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4"/>
      </w:pPr>
      <w:bookmarkStart w:id="0" w:name="_Hlk57883707"/>
      <w:r>
        <w:t>40-WH11421K-P2201</w:t>
      </w:r>
    </w:p>
    <w:p>
      <w:pPr>
        <w:rPr>
          <w:sz w:val="36"/>
          <w:szCs w:val="36"/>
          <w:highlight w:val="yellow"/>
        </w:rPr>
      </w:pPr>
    </w:p>
    <w:p>
      <w:pPr>
        <w:rPr>
          <w:color w:val="000000"/>
          <w:sz w:val="36"/>
          <w:szCs w:val="36"/>
          <w:highlight w:val="yellow"/>
        </w:rPr>
      </w:pPr>
    </w:p>
    <w:p>
      <w:pPr>
        <w:rPr>
          <w:color w:val="000000"/>
          <w:sz w:val="36"/>
          <w:szCs w:val="36"/>
          <w:highlight w:val="yellow"/>
        </w:rPr>
      </w:pPr>
    </w:p>
    <w:bookmarkEnd w:id="0"/>
    <w:p>
      <w:pPr>
        <w:jc w:val="center"/>
        <w:rPr>
          <w:b/>
          <w:color w:val="000000"/>
          <w:sz w:val="72"/>
        </w:rPr>
      </w:pPr>
      <w:r>
        <w:rPr>
          <w:b/>
          <w:color w:val="000000"/>
          <w:sz w:val="72"/>
        </w:rPr>
        <w:t>建设项目环境影响报告表</w:t>
      </w:r>
    </w:p>
    <w:p>
      <w:pPr>
        <w:ind w:firstLine="360"/>
        <w:rPr>
          <w:color w:val="000000"/>
          <w:sz w:val="36"/>
        </w:rPr>
      </w:pPr>
    </w:p>
    <w:p>
      <w:pPr>
        <w:pStyle w:val="2"/>
        <w:jc w:val="center"/>
        <w:rPr>
          <w:rFonts w:hint="default" w:eastAsia="宋体"/>
          <w:sz w:val="44"/>
          <w:szCs w:val="44"/>
          <w:lang w:val="en-US" w:eastAsia="zh-CN"/>
        </w:rPr>
      </w:pPr>
      <w:r>
        <w:rPr>
          <w:rFonts w:hint="eastAsia"/>
          <w:sz w:val="44"/>
          <w:szCs w:val="44"/>
          <w:lang w:val="en-US" w:eastAsia="zh-CN"/>
        </w:rPr>
        <w:t>（公示稿）</w:t>
      </w:r>
    </w:p>
    <w:p>
      <w:pPr>
        <w:ind w:firstLine="360"/>
        <w:jc w:val="center"/>
        <w:rPr>
          <w:color w:val="000000"/>
          <w:sz w:val="36"/>
        </w:rPr>
      </w:pPr>
    </w:p>
    <w:p>
      <w:pPr>
        <w:ind w:firstLine="360"/>
        <w:jc w:val="right"/>
        <w:rPr>
          <w:color w:val="000000"/>
          <w:sz w:val="36"/>
        </w:rPr>
      </w:pPr>
    </w:p>
    <w:p>
      <w:pPr>
        <w:tabs>
          <w:tab w:val="left" w:pos="3286"/>
        </w:tabs>
        <w:ind w:firstLine="360"/>
        <w:rPr>
          <w:color w:val="000000"/>
          <w:sz w:val="36"/>
        </w:rPr>
      </w:pPr>
      <w:r>
        <w:rPr>
          <w:color w:val="000000"/>
          <w:sz w:val="36"/>
        </w:rPr>
        <w:tab/>
      </w:r>
    </w:p>
    <w:p>
      <w:pPr>
        <w:ind w:left="210" w:leftChars="100" w:firstLine="360"/>
        <w:jc w:val="center"/>
        <w:rPr>
          <w:color w:val="000000"/>
          <w:sz w:val="36"/>
        </w:rPr>
      </w:pPr>
    </w:p>
    <w:tbl>
      <w:tblPr>
        <w:tblStyle w:val="43"/>
        <w:tblW w:w="9923" w:type="dxa"/>
        <w:jc w:val="center"/>
        <w:tblLayout w:type="autofit"/>
        <w:tblCellMar>
          <w:top w:w="0" w:type="dxa"/>
          <w:left w:w="108" w:type="dxa"/>
          <w:bottom w:w="0" w:type="dxa"/>
          <w:right w:w="108" w:type="dxa"/>
        </w:tblCellMar>
      </w:tblPr>
      <w:tblGrid>
        <w:gridCol w:w="1843"/>
        <w:gridCol w:w="8080"/>
      </w:tblGrid>
      <w:tr>
        <w:tblPrEx>
          <w:tblCellMar>
            <w:top w:w="0" w:type="dxa"/>
            <w:left w:w="108" w:type="dxa"/>
            <w:bottom w:w="0" w:type="dxa"/>
            <w:right w:w="108" w:type="dxa"/>
          </w:tblCellMar>
        </w:tblPrEx>
        <w:trPr>
          <w:jc w:val="center"/>
        </w:trPr>
        <w:tc>
          <w:tcPr>
            <w:tcW w:w="1843" w:type="dxa"/>
            <w:vAlign w:val="center"/>
          </w:tcPr>
          <w:p>
            <w:pPr>
              <w:spacing w:line="360" w:lineRule="auto"/>
              <w:jc w:val="center"/>
              <w:rPr>
                <w:rFonts w:hint="eastAsia" w:ascii="宋体" w:hAnsi="宋体"/>
                <w:b/>
                <w:color w:val="000000"/>
                <w:sz w:val="32"/>
              </w:rPr>
            </w:pPr>
            <w:r>
              <w:rPr>
                <w:rFonts w:ascii="宋体" w:hAnsi="宋体"/>
                <w:b/>
                <w:color w:val="000000"/>
                <w:sz w:val="32"/>
              </w:rPr>
              <w:t>项目名称：</w:t>
            </w:r>
          </w:p>
        </w:tc>
        <w:tc>
          <w:tcPr>
            <w:tcW w:w="8080" w:type="dxa"/>
            <w:vAlign w:val="center"/>
          </w:tcPr>
          <w:p>
            <w:pPr>
              <w:spacing w:line="360" w:lineRule="auto"/>
              <w:jc w:val="distribute"/>
              <w:rPr>
                <w:bCs/>
                <w:snapToGrid w:val="0"/>
                <w:color w:val="000000"/>
                <w:kern w:val="0"/>
                <w:sz w:val="30"/>
                <w:szCs w:val="30"/>
              </w:rPr>
            </w:pPr>
            <w:r>
              <w:rPr>
                <w:rFonts w:hint="eastAsia"/>
                <w:bCs/>
                <w:snapToGrid w:val="0"/>
                <w:color w:val="000000"/>
                <w:kern w:val="0"/>
                <w:sz w:val="30"/>
                <w:szCs w:val="30"/>
              </w:rPr>
              <w:t>吐鲁番东环110千伏输变电工程</w:t>
            </w:r>
          </w:p>
        </w:tc>
      </w:tr>
      <w:tr>
        <w:tblPrEx>
          <w:tblCellMar>
            <w:top w:w="0" w:type="dxa"/>
            <w:left w:w="108" w:type="dxa"/>
            <w:bottom w:w="0" w:type="dxa"/>
            <w:right w:w="108" w:type="dxa"/>
          </w:tblCellMar>
        </w:tblPrEx>
        <w:trPr>
          <w:jc w:val="center"/>
        </w:trPr>
        <w:tc>
          <w:tcPr>
            <w:tcW w:w="1843" w:type="dxa"/>
            <w:vAlign w:val="center"/>
          </w:tcPr>
          <w:p>
            <w:pPr>
              <w:spacing w:line="360" w:lineRule="auto"/>
              <w:jc w:val="center"/>
              <w:rPr>
                <w:rFonts w:hint="eastAsia" w:ascii="宋体" w:hAnsi="宋体"/>
                <w:b/>
                <w:color w:val="000000"/>
                <w:sz w:val="32"/>
              </w:rPr>
            </w:pPr>
            <w:r>
              <w:rPr>
                <w:rFonts w:ascii="宋体" w:hAnsi="宋体"/>
                <w:b/>
                <w:color w:val="000000"/>
                <w:sz w:val="32"/>
              </w:rPr>
              <w:t>建设单位：</w:t>
            </w:r>
          </w:p>
        </w:tc>
        <w:tc>
          <w:tcPr>
            <w:tcW w:w="8080" w:type="dxa"/>
            <w:vAlign w:val="center"/>
          </w:tcPr>
          <w:p>
            <w:pPr>
              <w:spacing w:line="360" w:lineRule="auto"/>
              <w:jc w:val="distribute"/>
              <w:rPr>
                <w:rFonts w:hint="eastAsia" w:ascii="宋体" w:hAnsi="宋体"/>
                <w:bCs/>
                <w:snapToGrid w:val="0"/>
                <w:color w:val="000000"/>
                <w:kern w:val="0"/>
                <w:sz w:val="30"/>
                <w:szCs w:val="30"/>
              </w:rPr>
            </w:pPr>
            <w:r>
              <w:rPr>
                <w:rFonts w:hint="eastAsia" w:ascii="宋体" w:hAnsi="宋体"/>
                <w:bCs/>
                <w:snapToGrid w:val="0"/>
                <w:color w:val="000000"/>
                <w:kern w:val="0"/>
                <w:sz w:val="30"/>
                <w:szCs w:val="30"/>
              </w:rPr>
              <w:t>国网新疆电力有限公司吐鲁番供电公司</w:t>
            </w:r>
          </w:p>
        </w:tc>
      </w:tr>
    </w:tbl>
    <w:p>
      <w:pPr>
        <w:ind w:firstLine="280"/>
        <w:rPr>
          <w:rFonts w:eastAsia="仿宋_GB2312"/>
          <w:color w:val="000000"/>
          <w:sz w:val="28"/>
          <w:highlight w:val="yellow"/>
        </w:rPr>
      </w:pPr>
    </w:p>
    <w:p>
      <w:pPr>
        <w:ind w:firstLine="280"/>
        <w:rPr>
          <w:rFonts w:eastAsia="仿宋_GB2312"/>
          <w:color w:val="000000"/>
          <w:sz w:val="28"/>
          <w:highlight w:val="yellow"/>
        </w:rPr>
      </w:pPr>
    </w:p>
    <w:p>
      <w:pPr>
        <w:ind w:firstLine="280"/>
        <w:rPr>
          <w:rFonts w:eastAsia="仿宋_GB2312"/>
          <w:color w:val="000000"/>
          <w:sz w:val="28"/>
          <w:highlight w:val="yellow"/>
        </w:rPr>
      </w:pPr>
    </w:p>
    <w:p>
      <w:pPr>
        <w:ind w:firstLine="280"/>
        <w:rPr>
          <w:rFonts w:eastAsia="仿宋_GB2312"/>
          <w:color w:val="000000"/>
          <w:sz w:val="28"/>
          <w:highlight w:val="yellow"/>
        </w:rPr>
      </w:pPr>
    </w:p>
    <w:p>
      <w:pPr>
        <w:ind w:firstLine="280"/>
        <w:rPr>
          <w:rFonts w:eastAsia="仿宋_GB2312"/>
          <w:color w:val="000000"/>
          <w:sz w:val="28"/>
          <w:highlight w:val="yellow"/>
        </w:rPr>
      </w:pPr>
    </w:p>
    <w:p>
      <w:pPr>
        <w:ind w:firstLine="280"/>
        <w:rPr>
          <w:rFonts w:eastAsia="仿宋_GB2312"/>
          <w:color w:val="000000"/>
          <w:sz w:val="28"/>
          <w:highlight w:val="yellow"/>
        </w:rPr>
      </w:pPr>
    </w:p>
    <w:p>
      <w:pPr>
        <w:ind w:firstLine="280"/>
        <w:rPr>
          <w:rFonts w:eastAsia="仿宋_GB2312"/>
          <w:color w:val="000000"/>
          <w:sz w:val="28"/>
          <w:highlight w:val="yellow"/>
        </w:rPr>
      </w:pPr>
    </w:p>
    <w:p>
      <w:pPr>
        <w:ind w:firstLine="280"/>
        <w:rPr>
          <w:rFonts w:eastAsia="仿宋_GB2312"/>
          <w:color w:val="000000"/>
          <w:sz w:val="28"/>
          <w:highlight w:val="yellow"/>
        </w:rPr>
      </w:pPr>
    </w:p>
    <w:p>
      <w:pPr>
        <w:ind w:firstLine="280"/>
        <w:rPr>
          <w:color w:val="000000"/>
          <w:highlight w:val="yellow"/>
        </w:rPr>
      </w:pPr>
    </w:p>
    <w:p>
      <w:pPr>
        <w:ind w:firstLine="280"/>
        <w:rPr>
          <w:color w:val="000000"/>
          <w:highlight w:val="yellow"/>
        </w:rPr>
      </w:pPr>
    </w:p>
    <w:p>
      <w:pPr>
        <w:ind w:firstLine="280"/>
        <w:rPr>
          <w:color w:val="000000"/>
          <w:highlight w:val="yellow"/>
        </w:rPr>
      </w:pPr>
    </w:p>
    <w:p>
      <w:pPr>
        <w:ind w:firstLine="280"/>
        <w:rPr>
          <w:color w:val="000000"/>
          <w:highlight w:val="yellow"/>
        </w:rPr>
      </w:pPr>
    </w:p>
    <w:p>
      <w:pPr>
        <w:pStyle w:val="117"/>
        <w:spacing w:line="360" w:lineRule="auto"/>
        <w:jc w:val="left"/>
        <w:rPr>
          <w:rFonts w:eastAsia="宋体"/>
          <w:bCs/>
          <w:snapToGrid w:val="0"/>
          <w:color w:val="000000"/>
          <w:kern w:val="0"/>
          <w:sz w:val="30"/>
          <w:szCs w:val="30"/>
        </w:rPr>
      </w:pPr>
      <w:r>
        <w:rPr>
          <w:rFonts w:eastAsia="宋体"/>
          <w:bCs/>
          <w:snapToGrid w:val="0"/>
          <w:color w:val="000000"/>
          <w:kern w:val="0"/>
          <w:sz w:val="30"/>
          <w:szCs w:val="30"/>
        </w:rPr>
        <w:t>编制单位：  中国电力工程顾问集团中南电力设计院有限公司</w:t>
      </w:r>
    </w:p>
    <w:p>
      <w:pPr>
        <w:pStyle w:val="117"/>
        <w:jc w:val="left"/>
        <w:rPr>
          <w:rFonts w:eastAsia="宋体"/>
          <w:bCs/>
          <w:snapToGrid w:val="0"/>
          <w:color w:val="000000"/>
          <w:kern w:val="0"/>
          <w:sz w:val="30"/>
          <w:szCs w:val="30"/>
        </w:rPr>
        <w:sectPr>
          <w:headerReference r:id="rId3" w:type="default"/>
          <w:footerReference r:id="rId4" w:type="default"/>
          <w:footerReference r:id="rId5" w:type="even"/>
          <w:pgSz w:w="11906" w:h="16838"/>
          <w:pgMar w:top="1701" w:right="1531" w:bottom="1701" w:left="1531" w:header="851" w:footer="1077" w:gutter="0"/>
          <w:pgNumType w:start="21"/>
          <w:cols w:space="720" w:num="1"/>
          <w:docGrid w:linePitch="312" w:charSpace="0"/>
        </w:sectPr>
      </w:pPr>
      <w:r>
        <w:rPr>
          <w:rFonts w:eastAsia="宋体"/>
          <w:bCs/>
          <w:snapToGrid w:val="0"/>
          <w:color w:val="000000"/>
          <w:kern w:val="0"/>
          <w:sz w:val="30"/>
          <w:szCs w:val="30"/>
        </w:rPr>
        <w:t>编制日期：             二〇二</w:t>
      </w:r>
      <w:r>
        <w:rPr>
          <w:rFonts w:hint="eastAsia" w:eastAsia="宋体"/>
          <w:bCs/>
          <w:snapToGrid w:val="0"/>
          <w:color w:val="000000"/>
          <w:kern w:val="0"/>
          <w:sz w:val="30"/>
          <w:szCs w:val="30"/>
        </w:rPr>
        <w:t>五年十二月</w:t>
      </w:r>
    </w:p>
    <w:p>
      <w:pPr>
        <w:pStyle w:val="39"/>
        <w:jc w:val="center"/>
        <w:outlineLvl w:val="0"/>
        <w:rPr>
          <w:rFonts w:ascii="Times New Roman" w:hAnsi="Times New Roman"/>
          <w:b/>
          <w:bCs/>
          <w:snapToGrid w:val="0"/>
          <w:color w:val="000000"/>
          <w:sz w:val="32"/>
          <w:szCs w:val="32"/>
        </w:rPr>
      </w:pPr>
      <w:bookmarkStart w:id="1" w:name="_Toc29325"/>
      <w:bookmarkStart w:id="2" w:name="_Toc111564269"/>
      <w:bookmarkStart w:id="3" w:name="_Toc4273"/>
      <w:r>
        <w:rPr>
          <w:rFonts w:ascii="Times New Roman" w:hAnsi="Times New Roman"/>
          <w:b/>
          <w:bCs/>
          <w:snapToGrid w:val="0"/>
          <w:color w:val="000000"/>
          <w:sz w:val="32"/>
          <w:szCs w:val="32"/>
        </w:rPr>
        <w:t>一、建设项目基本情况</w:t>
      </w:r>
      <w:bookmarkEnd w:id="1"/>
      <w:bookmarkEnd w:id="2"/>
      <w:bookmarkEnd w:id="3"/>
    </w:p>
    <w:tbl>
      <w:tblPr>
        <w:tblStyle w:val="43"/>
        <w:tblW w:w="90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99"/>
        <w:gridCol w:w="567"/>
        <w:gridCol w:w="2268"/>
        <w:gridCol w:w="1843"/>
        <w:gridCol w:w="37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1266" w:type="dxa"/>
            <w:gridSpan w:val="2"/>
            <w:tcMar>
              <w:top w:w="16" w:type="dxa"/>
              <w:left w:w="16" w:type="dxa"/>
              <w:right w:w="16" w:type="dxa"/>
            </w:tcMar>
            <w:vAlign w:val="center"/>
          </w:tcPr>
          <w:p>
            <w:pPr>
              <w:adjustRightInd w:val="0"/>
              <w:snapToGrid w:val="0"/>
              <w:jc w:val="center"/>
              <w:rPr>
                <w:rFonts w:hint="eastAsia" w:ascii="宋体" w:hAnsi="宋体" w:cs="宋体"/>
                <w:b/>
                <w:color w:val="000000"/>
                <w:kern w:val="21"/>
                <w:sz w:val="24"/>
              </w:rPr>
            </w:pPr>
            <w:r>
              <w:rPr>
                <w:rFonts w:ascii="宋体" w:hAnsi="宋体" w:cs="宋体"/>
                <w:b/>
                <w:color w:val="000000"/>
                <w:kern w:val="21"/>
                <w:sz w:val="24"/>
              </w:rPr>
              <w:t>建设项目</w:t>
            </w:r>
          </w:p>
          <w:p>
            <w:pPr>
              <w:adjustRightInd w:val="0"/>
              <w:snapToGrid w:val="0"/>
              <w:jc w:val="center"/>
              <w:rPr>
                <w:rFonts w:hint="eastAsia" w:ascii="宋体" w:hAnsi="宋体" w:cs="宋体"/>
                <w:b/>
                <w:color w:val="000000"/>
                <w:kern w:val="21"/>
                <w:sz w:val="24"/>
              </w:rPr>
            </w:pPr>
            <w:r>
              <w:rPr>
                <w:rFonts w:ascii="宋体" w:hAnsi="宋体" w:cs="宋体"/>
                <w:b/>
                <w:color w:val="000000"/>
                <w:kern w:val="21"/>
                <w:sz w:val="24"/>
              </w:rPr>
              <w:t>名称</w:t>
            </w:r>
          </w:p>
        </w:tc>
        <w:tc>
          <w:tcPr>
            <w:tcW w:w="7813" w:type="dxa"/>
            <w:gridSpan w:val="3"/>
            <w:vAlign w:val="center"/>
          </w:tcPr>
          <w:p>
            <w:pPr>
              <w:adjustRightInd w:val="0"/>
              <w:snapToGrid w:val="0"/>
              <w:jc w:val="center"/>
              <w:rPr>
                <w:color w:val="000000"/>
                <w:sz w:val="24"/>
              </w:rPr>
            </w:pPr>
            <w:r>
              <w:rPr>
                <w:rFonts w:hint="eastAsia"/>
                <w:color w:val="000000"/>
                <w:sz w:val="24"/>
              </w:rPr>
              <w:t>吐鲁番东环110千伏输变电工程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1266" w:type="dxa"/>
            <w:gridSpan w:val="2"/>
            <w:tcMar>
              <w:top w:w="16" w:type="dxa"/>
              <w:left w:w="16" w:type="dxa"/>
              <w:right w:w="16" w:type="dxa"/>
            </w:tcMar>
            <w:vAlign w:val="center"/>
          </w:tcPr>
          <w:p>
            <w:pPr>
              <w:adjustRightInd w:val="0"/>
              <w:snapToGrid w:val="0"/>
              <w:jc w:val="center"/>
              <w:rPr>
                <w:rFonts w:hint="eastAsia" w:ascii="宋体" w:hAnsi="宋体" w:cs="宋体"/>
                <w:b/>
                <w:color w:val="000000"/>
                <w:kern w:val="21"/>
                <w:sz w:val="24"/>
              </w:rPr>
            </w:pPr>
            <w:r>
              <w:rPr>
                <w:rFonts w:ascii="宋体" w:hAnsi="宋体" w:cs="宋体"/>
                <w:b/>
                <w:color w:val="000000"/>
                <w:kern w:val="21"/>
                <w:sz w:val="24"/>
              </w:rPr>
              <w:t>建设项目</w:t>
            </w:r>
          </w:p>
          <w:p>
            <w:pPr>
              <w:adjustRightInd w:val="0"/>
              <w:snapToGrid w:val="0"/>
              <w:jc w:val="center"/>
              <w:rPr>
                <w:rFonts w:hint="eastAsia" w:ascii="宋体" w:hAnsi="宋体" w:cs="宋体"/>
                <w:b/>
                <w:color w:val="000000"/>
                <w:kern w:val="21"/>
                <w:sz w:val="24"/>
              </w:rPr>
            </w:pPr>
            <w:r>
              <w:rPr>
                <w:rFonts w:ascii="宋体" w:hAnsi="宋体" w:cs="宋体"/>
                <w:b/>
                <w:color w:val="000000"/>
                <w:kern w:val="21"/>
                <w:sz w:val="24"/>
              </w:rPr>
              <w:t>行业类别</w:t>
            </w:r>
          </w:p>
        </w:tc>
        <w:tc>
          <w:tcPr>
            <w:tcW w:w="2268" w:type="dxa"/>
            <w:vAlign w:val="center"/>
          </w:tcPr>
          <w:p>
            <w:pPr>
              <w:adjustRightInd w:val="0"/>
              <w:snapToGrid w:val="0"/>
              <w:jc w:val="center"/>
              <w:rPr>
                <w:color w:val="000000"/>
                <w:sz w:val="24"/>
              </w:rPr>
            </w:pPr>
            <w:r>
              <w:rPr>
                <w:color w:val="000000"/>
                <w:sz w:val="24"/>
              </w:rPr>
              <w:t>55-161输变电工程</w:t>
            </w:r>
          </w:p>
        </w:tc>
        <w:tc>
          <w:tcPr>
            <w:tcW w:w="1843" w:type="dxa"/>
            <w:vAlign w:val="center"/>
          </w:tcPr>
          <w:p>
            <w:pPr>
              <w:adjustRightInd w:val="0"/>
              <w:snapToGrid w:val="0"/>
              <w:jc w:val="center"/>
              <w:rPr>
                <w:color w:val="000000"/>
                <w:sz w:val="24"/>
              </w:rPr>
            </w:pPr>
            <w:r>
              <w:rPr>
                <w:b/>
                <w:color w:val="000000"/>
                <w:sz w:val="24"/>
              </w:rPr>
              <w:t>用地面积（</w:t>
            </w:r>
            <w:r>
              <w:rPr>
                <w:rFonts w:hint="eastAsia"/>
                <w:b/>
                <w:color w:val="000000"/>
                <w:sz w:val="24"/>
              </w:rPr>
              <w:t>h</w:t>
            </w:r>
            <w:r>
              <w:rPr>
                <w:b/>
                <w:color w:val="000000"/>
                <w:sz w:val="24"/>
              </w:rPr>
              <w:t>m</w:t>
            </w:r>
            <w:r>
              <w:rPr>
                <w:b/>
                <w:color w:val="000000"/>
                <w:sz w:val="24"/>
                <w:vertAlign w:val="superscript"/>
              </w:rPr>
              <w:t>2</w:t>
            </w:r>
            <w:r>
              <w:rPr>
                <w:b/>
                <w:color w:val="000000"/>
                <w:sz w:val="24"/>
              </w:rPr>
              <w:t>）/</w:t>
            </w:r>
            <w:r>
              <w:rPr>
                <w:rFonts w:hint="eastAsia"/>
                <w:b/>
                <w:color w:val="000000"/>
                <w:sz w:val="24"/>
              </w:rPr>
              <w:t>路径</w:t>
            </w:r>
            <w:r>
              <w:rPr>
                <w:b/>
                <w:color w:val="000000"/>
                <w:sz w:val="24"/>
              </w:rPr>
              <w:t>长度（km）</w:t>
            </w:r>
          </w:p>
        </w:tc>
        <w:tc>
          <w:tcPr>
            <w:tcW w:w="3702" w:type="dxa"/>
            <w:vAlign w:val="center"/>
          </w:tcPr>
          <w:p>
            <w:pPr>
              <w:adjustRightInd w:val="0"/>
              <w:snapToGrid w:val="0"/>
              <w:jc w:val="center"/>
              <w:rPr>
                <w:color w:val="000000"/>
                <w:sz w:val="24"/>
              </w:rPr>
            </w:pPr>
            <w:r>
              <w:rPr>
                <w:rFonts w:hint="eastAsia"/>
                <w:color w:val="000000"/>
                <w:sz w:val="24"/>
              </w:rPr>
              <w:t>9.6</w:t>
            </w:r>
            <w:r>
              <w:rPr>
                <w:color w:val="000000"/>
                <w:sz w:val="24"/>
              </w:rPr>
              <w:t>7</w:t>
            </w:r>
            <w:r>
              <w:rPr>
                <w:rFonts w:hint="eastAsia"/>
                <w:color w:val="000000"/>
                <w:sz w:val="24"/>
              </w:rPr>
              <w:t>h</w:t>
            </w:r>
            <w:r>
              <w:rPr>
                <w:color w:val="000000"/>
                <w:sz w:val="24"/>
              </w:rPr>
              <w:t>m</w:t>
            </w:r>
            <w:r>
              <w:rPr>
                <w:rFonts w:hint="eastAsia"/>
                <w:color w:val="000000"/>
                <w:sz w:val="24"/>
              </w:rPr>
              <w:t>²（其中永久占地1.13h</w:t>
            </w:r>
            <w:r>
              <w:rPr>
                <w:color w:val="000000"/>
                <w:sz w:val="24"/>
              </w:rPr>
              <w:t>m</w:t>
            </w:r>
            <w:r>
              <w:rPr>
                <w:rFonts w:hint="eastAsia"/>
                <w:color w:val="000000"/>
                <w:sz w:val="24"/>
              </w:rPr>
              <w:t>²，临时占地8.</w:t>
            </w:r>
            <w:r>
              <w:rPr>
                <w:color w:val="000000"/>
                <w:sz w:val="24"/>
              </w:rPr>
              <w:t>54</w:t>
            </w:r>
            <w:r>
              <w:rPr>
                <w:rFonts w:hint="eastAsia"/>
                <w:color w:val="000000"/>
                <w:sz w:val="24"/>
              </w:rPr>
              <w:t>h</w:t>
            </w:r>
            <w:r>
              <w:rPr>
                <w:color w:val="000000"/>
                <w:sz w:val="24"/>
              </w:rPr>
              <w:t>m</w:t>
            </w:r>
            <w:r>
              <w:rPr>
                <w:rFonts w:hint="eastAsia"/>
                <w:color w:val="000000"/>
                <w:sz w:val="24"/>
              </w:rPr>
              <w:t>²）/27.2km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1266" w:type="dxa"/>
            <w:gridSpan w:val="2"/>
            <w:tcMar>
              <w:top w:w="16" w:type="dxa"/>
              <w:left w:w="16" w:type="dxa"/>
              <w:right w:w="16" w:type="dxa"/>
            </w:tcMar>
            <w:vAlign w:val="center"/>
          </w:tcPr>
          <w:p>
            <w:pPr>
              <w:adjustRightInd w:val="0"/>
              <w:snapToGrid w:val="0"/>
              <w:jc w:val="center"/>
              <w:rPr>
                <w:rFonts w:hint="eastAsia" w:ascii="宋体" w:hAnsi="宋体" w:cs="宋体"/>
                <w:b/>
                <w:color w:val="000000"/>
                <w:kern w:val="21"/>
                <w:sz w:val="24"/>
              </w:rPr>
            </w:pPr>
            <w:r>
              <w:rPr>
                <w:rFonts w:ascii="宋体" w:hAnsi="宋体" w:cs="宋体"/>
                <w:b/>
                <w:color w:val="000000"/>
                <w:kern w:val="21"/>
                <w:sz w:val="24"/>
              </w:rPr>
              <w:t>建设性质</w:t>
            </w:r>
          </w:p>
        </w:tc>
        <w:tc>
          <w:tcPr>
            <w:tcW w:w="2268" w:type="dxa"/>
            <w:vAlign w:val="center"/>
          </w:tcPr>
          <w:p>
            <w:pPr>
              <w:adjustRightInd w:val="0"/>
              <w:snapToGrid w:val="0"/>
              <w:spacing w:line="360" w:lineRule="auto"/>
              <w:jc w:val="left"/>
              <w:rPr>
                <w:color w:val="000000"/>
                <w:sz w:val="24"/>
              </w:rPr>
            </w:pPr>
            <w:r>
              <w:rPr>
                <w:color w:val="000000"/>
                <w:sz w:val="24"/>
              </w:rPr>
              <w:sym w:font="Wingdings 2" w:char="0052"/>
            </w:r>
            <w:r>
              <w:rPr>
                <w:color w:val="000000"/>
                <w:sz w:val="24"/>
              </w:rPr>
              <w:t>新建（迁建）</w:t>
            </w:r>
          </w:p>
          <w:p>
            <w:pPr>
              <w:adjustRightInd w:val="0"/>
              <w:snapToGrid w:val="0"/>
              <w:spacing w:line="360" w:lineRule="auto"/>
              <w:jc w:val="left"/>
              <w:rPr>
                <w:color w:val="000000"/>
                <w:sz w:val="24"/>
              </w:rPr>
            </w:pPr>
            <w:r>
              <w:rPr>
                <w:color w:val="000000"/>
                <w:sz w:val="24"/>
              </w:rPr>
              <w:sym w:font="Wingdings 2" w:char="00A3"/>
            </w:r>
            <w:r>
              <w:rPr>
                <w:color w:val="000000"/>
                <w:sz w:val="24"/>
              </w:rPr>
              <w:t>改建</w:t>
            </w:r>
          </w:p>
          <w:p>
            <w:pPr>
              <w:adjustRightInd w:val="0"/>
              <w:snapToGrid w:val="0"/>
              <w:spacing w:line="360" w:lineRule="auto"/>
              <w:jc w:val="left"/>
              <w:rPr>
                <w:color w:val="000000"/>
                <w:sz w:val="24"/>
              </w:rPr>
            </w:pPr>
            <w:r>
              <w:rPr>
                <w:color w:val="000000"/>
                <w:sz w:val="24"/>
              </w:rPr>
              <w:sym w:font="Wingdings 2" w:char="00A3"/>
            </w:r>
            <w:r>
              <w:rPr>
                <w:color w:val="000000"/>
                <w:sz w:val="24"/>
              </w:rPr>
              <w:t>扩建</w:t>
            </w:r>
          </w:p>
          <w:p>
            <w:pPr>
              <w:adjustRightInd w:val="0"/>
              <w:snapToGrid w:val="0"/>
              <w:spacing w:line="360" w:lineRule="auto"/>
              <w:jc w:val="left"/>
              <w:rPr>
                <w:color w:val="000000"/>
                <w:sz w:val="24"/>
              </w:rPr>
            </w:pPr>
            <w:r>
              <w:rPr>
                <w:color w:val="000000"/>
                <w:sz w:val="24"/>
              </w:rPr>
              <w:sym w:font="Wingdings 2" w:char="00A3"/>
            </w:r>
            <w:r>
              <w:rPr>
                <w:color w:val="000000"/>
                <w:sz w:val="24"/>
              </w:rPr>
              <w:t>技术改造</w:t>
            </w:r>
          </w:p>
        </w:tc>
        <w:tc>
          <w:tcPr>
            <w:tcW w:w="1843" w:type="dxa"/>
            <w:vAlign w:val="center"/>
          </w:tcPr>
          <w:p>
            <w:pPr>
              <w:adjustRightInd w:val="0"/>
              <w:snapToGrid w:val="0"/>
              <w:spacing w:line="360" w:lineRule="auto"/>
              <w:jc w:val="center"/>
              <w:rPr>
                <w:b/>
                <w:color w:val="000000"/>
                <w:sz w:val="24"/>
              </w:rPr>
            </w:pPr>
            <w:r>
              <w:rPr>
                <w:b/>
                <w:color w:val="000000"/>
                <w:sz w:val="24"/>
              </w:rPr>
              <w:t>建设项目</w:t>
            </w:r>
          </w:p>
          <w:p>
            <w:pPr>
              <w:adjustRightInd w:val="0"/>
              <w:snapToGrid w:val="0"/>
              <w:spacing w:line="360" w:lineRule="auto"/>
              <w:jc w:val="center"/>
              <w:rPr>
                <w:b/>
                <w:color w:val="000000"/>
                <w:sz w:val="24"/>
              </w:rPr>
            </w:pPr>
            <w:r>
              <w:rPr>
                <w:b/>
                <w:color w:val="000000"/>
                <w:sz w:val="24"/>
              </w:rPr>
              <w:t>申报情形</w:t>
            </w:r>
          </w:p>
        </w:tc>
        <w:tc>
          <w:tcPr>
            <w:tcW w:w="3702" w:type="dxa"/>
            <w:vAlign w:val="center"/>
          </w:tcPr>
          <w:p>
            <w:pPr>
              <w:adjustRightInd w:val="0"/>
              <w:snapToGrid w:val="0"/>
              <w:spacing w:line="360" w:lineRule="auto"/>
              <w:rPr>
                <w:color w:val="000000"/>
                <w:sz w:val="24"/>
              </w:rPr>
            </w:pPr>
            <w:r>
              <w:rPr>
                <w:color w:val="000000"/>
                <w:sz w:val="24"/>
              </w:rPr>
              <w:sym w:font="Wingdings 2" w:char="0052"/>
            </w:r>
            <w:r>
              <w:rPr>
                <w:color w:val="000000"/>
                <w:sz w:val="24"/>
              </w:rPr>
              <w:t>首次申报项目</w:t>
            </w:r>
          </w:p>
          <w:p>
            <w:pPr>
              <w:adjustRightInd w:val="0"/>
              <w:snapToGrid w:val="0"/>
              <w:spacing w:line="360" w:lineRule="auto"/>
              <w:rPr>
                <w:color w:val="000000"/>
                <w:sz w:val="24"/>
              </w:rPr>
            </w:pPr>
            <w:r>
              <w:rPr>
                <w:color w:val="000000"/>
                <w:sz w:val="24"/>
              </w:rPr>
              <w:sym w:font="Wingdings 2" w:char="00A3"/>
            </w:r>
            <w:r>
              <w:rPr>
                <w:color w:val="000000"/>
                <w:sz w:val="24"/>
              </w:rPr>
              <w:t>不予批准后再次申报项目</w:t>
            </w:r>
          </w:p>
          <w:p>
            <w:pPr>
              <w:adjustRightInd w:val="0"/>
              <w:snapToGrid w:val="0"/>
              <w:spacing w:line="360" w:lineRule="auto"/>
              <w:rPr>
                <w:color w:val="000000"/>
                <w:sz w:val="24"/>
              </w:rPr>
            </w:pPr>
            <w:r>
              <w:rPr>
                <w:color w:val="000000"/>
                <w:sz w:val="24"/>
              </w:rPr>
              <w:sym w:font="Wingdings 2" w:char="00A3"/>
            </w:r>
            <w:r>
              <w:rPr>
                <w:color w:val="000000"/>
                <w:sz w:val="24"/>
              </w:rPr>
              <w:t>超五年重新审核项目</w:t>
            </w:r>
          </w:p>
          <w:p>
            <w:pPr>
              <w:adjustRightInd w:val="0"/>
              <w:snapToGrid w:val="0"/>
              <w:spacing w:line="360" w:lineRule="auto"/>
              <w:rPr>
                <w:color w:val="000000"/>
                <w:sz w:val="24"/>
              </w:rPr>
            </w:pPr>
            <w:r>
              <w:rPr>
                <w:color w:val="000000"/>
                <w:sz w:val="24"/>
              </w:rPr>
              <w:sym w:font="Wingdings 2" w:char="00A3"/>
            </w:r>
            <w:r>
              <w:rPr>
                <w:color w:val="000000"/>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1266" w:type="dxa"/>
            <w:gridSpan w:val="2"/>
            <w:tcMar>
              <w:top w:w="16" w:type="dxa"/>
              <w:left w:w="16" w:type="dxa"/>
              <w:right w:w="16" w:type="dxa"/>
            </w:tcMar>
            <w:vAlign w:val="center"/>
          </w:tcPr>
          <w:p>
            <w:pPr>
              <w:adjustRightInd w:val="0"/>
              <w:snapToGrid w:val="0"/>
              <w:rPr>
                <w:rFonts w:hint="eastAsia" w:ascii="宋体" w:hAnsi="宋体" w:cs="宋体"/>
                <w:b/>
                <w:color w:val="000000"/>
                <w:kern w:val="21"/>
                <w:sz w:val="24"/>
              </w:rPr>
            </w:pPr>
            <w:r>
              <w:rPr>
                <w:rFonts w:ascii="宋体" w:hAnsi="宋体" w:cs="宋体"/>
                <w:b/>
                <w:color w:val="000000"/>
                <w:kern w:val="21"/>
                <w:sz w:val="24"/>
              </w:rPr>
              <w:t>项目审批</w:t>
            </w:r>
            <w:r>
              <w:rPr>
                <w:rFonts w:hint="eastAsia" w:ascii="宋体" w:hAnsi="宋体" w:cs="宋体"/>
                <w:b/>
                <w:color w:val="000000"/>
                <w:kern w:val="21"/>
                <w:sz w:val="24"/>
              </w:rPr>
              <w:t>(</w:t>
            </w:r>
            <w:r>
              <w:rPr>
                <w:rFonts w:ascii="宋体" w:hAnsi="宋体" w:cs="宋体"/>
                <w:b/>
                <w:color w:val="000000"/>
                <w:kern w:val="21"/>
                <w:sz w:val="24"/>
              </w:rPr>
              <w:t>核准/备案</w:t>
            </w:r>
            <w:r>
              <w:rPr>
                <w:rFonts w:hint="eastAsia" w:ascii="宋体" w:hAnsi="宋体" w:cs="宋体"/>
                <w:b/>
                <w:color w:val="000000"/>
                <w:kern w:val="21"/>
                <w:sz w:val="24"/>
              </w:rPr>
              <w:t>)</w:t>
            </w:r>
            <w:r>
              <w:rPr>
                <w:rFonts w:ascii="宋体" w:hAnsi="宋体" w:cs="宋体"/>
                <w:b/>
                <w:color w:val="000000"/>
                <w:kern w:val="21"/>
                <w:sz w:val="24"/>
              </w:rPr>
              <w:t>部门（选填）</w:t>
            </w:r>
          </w:p>
        </w:tc>
        <w:tc>
          <w:tcPr>
            <w:tcW w:w="2268" w:type="dxa"/>
            <w:vAlign w:val="center"/>
          </w:tcPr>
          <w:p>
            <w:pPr>
              <w:adjustRightInd w:val="0"/>
              <w:snapToGrid w:val="0"/>
              <w:jc w:val="center"/>
              <w:rPr>
                <w:color w:val="000000"/>
                <w:sz w:val="24"/>
              </w:rPr>
            </w:pPr>
            <w:r>
              <w:rPr>
                <w:rFonts w:hint="eastAsia"/>
                <w:color w:val="000000"/>
                <w:sz w:val="24"/>
              </w:rPr>
              <w:t>/</w:t>
            </w:r>
          </w:p>
        </w:tc>
        <w:tc>
          <w:tcPr>
            <w:tcW w:w="1843" w:type="dxa"/>
            <w:vAlign w:val="center"/>
          </w:tcPr>
          <w:p>
            <w:pPr>
              <w:adjustRightInd w:val="0"/>
              <w:snapToGrid w:val="0"/>
              <w:jc w:val="center"/>
              <w:rPr>
                <w:b/>
                <w:color w:val="000000"/>
                <w:sz w:val="24"/>
              </w:rPr>
            </w:pPr>
            <w:r>
              <w:rPr>
                <w:b/>
                <w:color w:val="000000"/>
                <w:sz w:val="24"/>
              </w:rPr>
              <w:t>项目审批（核准</w:t>
            </w:r>
            <w:r>
              <w:rPr>
                <w:rFonts w:hint="eastAsia" w:ascii="宋体" w:hAnsi="宋体" w:cs="宋体"/>
                <w:b/>
                <w:color w:val="000000"/>
                <w:sz w:val="24"/>
              </w:rPr>
              <w:t>/</w:t>
            </w:r>
          </w:p>
          <w:p>
            <w:pPr>
              <w:adjustRightInd w:val="0"/>
              <w:snapToGrid w:val="0"/>
              <w:jc w:val="center"/>
              <w:rPr>
                <w:b/>
                <w:color w:val="000000"/>
                <w:sz w:val="24"/>
              </w:rPr>
            </w:pPr>
            <w:r>
              <w:rPr>
                <w:b/>
                <w:color w:val="000000"/>
                <w:sz w:val="24"/>
              </w:rPr>
              <w:t>备案）文号（选填）</w:t>
            </w:r>
          </w:p>
        </w:tc>
        <w:tc>
          <w:tcPr>
            <w:tcW w:w="3702" w:type="dxa"/>
            <w:vAlign w:val="center"/>
          </w:tcPr>
          <w:p>
            <w:pPr>
              <w:adjustRightInd w:val="0"/>
              <w:snapToGrid w:val="0"/>
              <w:jc w:val="center"/>
              <w:rPr>
                <w:color w:val="000000"/>
                <w:sz w:val="24"/>
              </w:rPr>
            </w:pPr>
            <w:r>
              <w:rPr>
                <w:rFonts w:hint="eastAsia"/>
                <w:color w:val="00000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266" w:type="dxa"/>
            <w:gridSpan w:val="2"/>
            <w:tcMar>
              <w:top w:w="16" w:type="dxa"/>
              <w:left w:w="16" w:type="dxa"/>
              <w:right w:w="16" w:type="dxa"/>
            </w:tcMar>
            <w:vAlign w:val="center"/>
          </w:tcPr>
          <w:p>
            <w:pPr>
              <w:adjustRightInd w:val="0"/>
              <w:snapToGrid w:val="0"/>
              <w:jc w:val="center"/>
              <w:rPr>
                <w:rFonts w:hint="eastAsia" w:ascii="宋体" w:hAnsi="宋体" w:cs="宋体"/>
                <w:b/>
                <w:color w:val="000000"/>
                <w:kern w:val="21"/>
                <w:sz w:val="24"/>
              </w:rPr>
            </w:pPr>
            <w:r>
              <w:rPr>
                <w:rFonts w:ascii="宋体" w:hAnsi="宋体" w:cs="宋体"/>
                <w:b/>
                <w:color w:val="000000"/>
                <w:kern w:val="21"/>
                <w:sz w:val="24"/>
              </w:rPr>
              <w:t>总投资</w:t>
            </w:r>
          </w:p>
          <w:p>
            <w:pPr>
              <w:adjustRightInd w:val="0"/>
              <w:snapToGrid w:val="0"/>
              <w:jc w:val="center"/>
              <w:rPr>
                <w:rFonts w:hint="eastAsia" w:ascii="宋体" w:hAnsi="宋体" w:cs="宋体"/>
                <w:b/>
                <w:color w:val="000000"/>
                <w:kern w:val="21"/>
                <w:sz w:val="24"/>
              </w:rPr>
            </w:pPr>
            <w:r>
              <w:rPr>
                <w:rFonts w:ascii="宋体" w:hAnsi="宋体" w:cs="宋体"/>
                <w:b/>
                <w:color w:val="000000"/>
                <w:kern w:val="21"/>
                <w:sz w:val="24"/>
              </w:rPr>
              <w:t>（万元）</w:t>
            </w:r>
          </w:p>
        </w:tc>
        <w:tc>
          <w:tcPr>
            <w:tcW w:w="2268" w:type="dxa"/>
            <w:vAlign w:val="center"/>
          </w:tcPr>
          <w:p>
            <w:pPr>
              <w:adjustRightInd w:val="0"/>
              <w:snapToGrid w:val="0"/>
              <w:jc w:val="center"/>
              <w:rPr>
                <w:color w:val="000000"/>
                <w:sz w:val="24"/>
              </w:rPr>
            </w:pPr>
            <w:r>
              <w:rPr>
                <w:rFonts w:hint="eastAsia"/>
                <w:color w:val="000000"/>
                <w:sz w:val="24"/>
              </w:rPr>
              <w:t>8658（动态）</w:t>
            </w:r>
          </w:p>
        </w:tc>
        <w:tc>
          <w:tcPr>
            <w:tcW w:w="1843" w:type="dxa"/>
            <w:tcMar>
              <w:top w:w="16" w:type="dxa"/>
              <w:left w:w="16" w:type="dxa"/>
              <w:right w:w="16" w:type="dxa"/>
            </w:tcMar>
            <w:vAlign w:val="center"/>
          </w:tcPr>
          <w:p>
            <w:pPr>
              <w:adjustRightInd w:val="0"/>
              <w:snapToGrid w:val="0"/>
              <w:jc w:val="center"/>
              <w:rPr>
                <w:b/>
                <w:color w:val="000000"/>
                <w:sz w:val="24"/>
              </w:rPr>
            </w:pPr>
            <w:r>
              <w:rPr>
                <w:b/>
                <w:color w:val="000000"/>
                <w:sz w:val="24"/>
              </w:rPr>
              <w:t>环保投资（万元）</w:t>
            </w:r>
          </w:p>
        </w:tc>
        <w:tc>
          <w:tcPr>
            <w:tcW w:w="3702" w:type="dxa"/>
            <w:vAlign w:val="center"/>
          </w:tcPr>
          <w:p>
            <w:pPr>
              <w:adjustRightInd w:val="0"/>
              <w:snapToGrid w:val="0"/>
              <w:jc w:val="center"/>
              <w:rPr>
                <w:color w:val="000000"/>
                <w:sz w:val="24"/>
              </w:rPr>
            </w:pPr>
            <w:r>
              <w:rPr>
                <w:rFonts w:hint="eastAsia"/>
                <w:color w:val="000000"/>
                <w:sz w:val="24"/>
              </w:rPr>
              <w:t>90.3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1266" w:type="dxa"/>
            <w:gridSpan w:val="2"/>
            <w:tcMar>
              <w:top w:w="16" w:type="dxa"/>
              <w:left w:w="16" w:type="dxa"/>
              <w:right w:w="16" w:type="dxa"/>
            </w:tcMar>
            <w:vAlign w:val="center"/>
          </w:tcPr>
          <w:p>
            <w:pPr>
              <w:adjustRightInd w:val="0"/>
              <w:snapToGrid w:val="0"/>
              <w:jc w:val="center"/>
              <w:rPr>
                <w:rFonts w:hint="eastAsia" w:ascii="宋体" w:hAnsi="宋体" w:cs="宋体"/>
                <w:b/>
                <w:color w:val="000000"/>
                <w:kern w:val="21"/>
                <w:sz w:val="24"/>
              </w:rPr>
            </w:pPr>
            <w:r>
              <w:rPr>
                <w:rFonts w:ascii="宋体" w:hAnsi="宋体" w:cs="宋体"/>
                <w:b/>
                <w:color w:val="000000"/>
                <w:kern w:val="21"/>
                <w:sz w:val="24"/>
              </w:rPr>
              <w:t>环保投资</w:t>
            </w:r>
          </w:p>
          <w:p>
            <w:pPr>
              <w:adjustRightInd w:val="0"/>
              <w:snapToGrid w:val="0"/>
              <w:jc w:val="center"/>
              <w:rPr>
                <w:rFonts w:hint="eastAsia" w:ascii="宋体" w:hAnsi="宋体" w:cs="宋体"/>
                <w:b/>
                <w:color w:val="000000"/>
                <w:kern w:val="21"/>
                <w:sz w:val="24"/>
              </w:rPr>
            </w:pPr>
            <w:r>
              <w:rPr>
                <w:rFonts w:ascii="宋体" w:hAnsi="宋体" w:cs="宋体"/>
                <w:b/>
                <w:color w:val="000000"/>
                <w:kern w:val="21"/>
                <w:sz w:val="24"/>
              </w:rPr>
              <w:t>占比（</w:t>
            </w:r>
            <w:r>
              <w:rPr>
                <w:b/>
                <w:color w:val="000000"/>
                <w:kern w:val="21"/>
                <w:sz w:val="24"/>
              </w:rPr>
              <w:t>%</w:t>
            </w:r>
            <w:r>
              <w:rPr>
                <w:rFonts w:ascii="宋体" w:hAnsi="宋体" w:cs="宋体"/>
                <w:b/>
                <w:color w:val="000000"/>
                <w:kern w:val="21"/>
                <w:sz w:val="24"/>
              </w:rPr>
              <w:t>）</w:t>
            </w:r>
          </w:p>
        </w:tc>
        <w:tc>
          <w:tcPr>
            <w:tcW w:w="2268" w:type="dxa"/>
            <w:vAlign w:val="center"/>
          </w:tcPr>
          <w:p>
            <w:pPr>
              <w:adjustRightInd w:val="0"/>
              <w:snapToGrid w:val="0"/>
              <w:jc w:val="center"/>
              <w:rPr>
                <w:color w:val="000000"/>
                <w:sz w:val="24"/>
              </w:rPr>
            </w:pPr>
            <w:r>
              <w:rPr>
                <w:rFonts w:hint="eastAsia"/>
                <w:color w:val="000000"/>
                <w:sz w:val="24"/>
              </w:rPr>
              <w:t>1.04</w:t>
            </w:r>
          </w:p>
        </w:tc>
        <w:tc>
          <w:tcPr>
            <w:tcW w:w="1843" w:type="dxa"/>
            <w:tcMar>
              <w:top w:w="16" w:type="dxa"/>
              <w:left w:w="16" w:type="dxa"/>
              <w:right w:w="16" w:type="dxa"/>
            </w:tcMar>
            <w:vAlign w:val="center"/>
          </w:tcPr>
          <w:p>
            <w:pPr>
              <w:adjustRightInd w:val="0"/>
              <w:snapToGrid w:val="0"/>
              <w:jc w:val="center"/>
              <w:rPr>
                <w:b/>
                <w:color w:val="000000"/>
                <w:sz w:val="24"/>
              </w:rPr>
            </w:pPr>
            <w:r>
              <w:rPr>
                <w:b/>
                <w:color w:val="000000"/>
                <w:sz w:val="24"/>
              </w:rPr>
              <w:t>施工工期</w:t>
            </w:r>
          </w:p>
        </w:tc>
        <w:tc>
          <w:tcPr>
            <w:tcW w:w="3702" w:type="dxa"/>
            <w:vAlign w:val="center"/>
          </w:tcPr>
          <w:p>
            <w:pPr>
              <w:adjustRightInd w:val="0"/>
              <w:snapToGrid w:val="0"/>
              <w:jc w:val="center"/>
              <w:rPr>
                <w:color w:val="000000"/>
                <w:sz w:val="24"/>
              </w:rPr>
            </w:pPr>
            <w:r>
              <w:rPr>
                <w:color w:val="000000"/>
                <w:sz w:val="24"/>
              </w:rPr>
              <w:t>8个月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78" w:hRule="atLeast"/>
          <w:jc w:val="center"/>
        </w:trPr>
        <w:tc>
          <w:tcPr>
            <w:tcW w:w="1266" w:type="dxa"/>
            <w:gridSpan w:val="2"/>
            <w:tcMar>
              <w:top w:w="16" w:type="dxa"/>
              <w:left w:w="16" w:type="dxa"/>
              <w:right w:w="16" w:type="dxa"/>
            </w:tcMar>
            <w:vAlign w:val="center"/>
          </w:tcPr>
          <w:p>
            <w:pPr>
              <w:adjustRightInd w:val="0"/>
              <w:snapToGrid w:val="0"/>
              <w:jc w:val="center"/>
              <w:rPr>
                <w:rFonts w:hint="eastAsia" w:ascii="宋体" w:hAnsi="宋体" w:cs="宋体"/>
                <w:b/>
                <w:color w:val="000000"/>
                <w:kern w:val="21"/>
                <w:sz w:val="24"/>
              </w:rPr>
            </w:pPr>
            <w:r>
              <w:rPr>
                <w:rFonts w:ascii="宋体" w:hAnsi="宋体" w:cs="宋体"/>
                <w:b/>
                <w:color w:val="000000"/>
                <w:kern w:val="21"/>
                <w:sz w:val="24"/>
              </w:rPr>
              <w:t>是否开工</w:t>
            </w:r>
          </w:p>
          <w:p>
            <w:pPr>
              <w:adjustRightInd w:val="0"/>
              <w:snapToGrid w:val="0"/>
              <w:jc w:val="center"/>
              <w:rPr>
                <w:rFonts w:hint="eastAsia" w:ascii="宋体" w:hAnsi="宋体" w:cs="宋体"/>
                <w:b/>
                <w:color w:val="000000"/>
                <w:kern w:val="21"/>
                <w:sz w:val="24"/>
              </w:rPr>
            </w:pPr>
            <w:r>
              <w:rPr>
                <w:rFonts w:ascii="宋体" w:hAnsi="宋体" w:cs="宋体"/>
                <w:b/>
                <w:color w:val="000000"/>
                <w:kern w:val="21"/>
                <w:sz w:val="24"/>
              </w:rPr>
              <w:t>建设</w:t>
            </w:r>
          </w:p>
        </w:tc>
        <w:tc>
          <w:tcPr>
            <w:tcW w:w="7813" w:type="dxa"/>
            <w:gridSpan w:val="3"/>
            <w:vAlign w:val="center"/>
          </w:tcPr>
          <w:p>
            <w:pPr>
              <w:adjustRightInd w:val="0"/>
              <w:snapToGrid w:val="0"/>
              <w:spacing w:line="360" w:lineRule="auto"/>
              <w:ind w:firstLine="105"/>
              <w:jc w:val="left"/>
              <w:rPr>
                <w:color w:val="000000"/>
                <w:sz w:val="24"/>
              </w:rPr>
            </w:pPr>
            <w:r>
              <w:rPr>
                <w:color w:val="000000"/>
                <w:sz w:val="24"/>
              </w:rPr>
              <w:sym w:font="Wingdings 2" w:char="0052"/>
            </w:r>
            <w:r>
              <w:rPr>
                <w:color w:val="000000"/>
                <w:sz w:val="24"/>
              </w:rPr>
              <w:t>否</w:t>
            </w:r>
          </w:p>
          <w:p>
            <w:pPr>
              <w:adjustRightInd w:val="0"/>
              <w:snapToGrid w:val="0"/>
              <w:spacing w:line="360" w:lineRule="auto"/>
              <w:ind w:firstLine="92"/>
              <w:jc w:val="left"/>
              <w:rPr>
                <w:color w:val="000000"/>
                <w:sz w:val="24"/>
              </w:rPr>
            </w:pPr>
            <w:r>
              <w:rPr>
                <w:color w:val="000000"/>
                <w:sz w:val="24"/>
              </w:rPr>
              <w:sym w:font="Wingdings 2" w:char="00A3"/>
            </w:r>
            <w:r>
              <w:rPr>
                <w:color w:val="000000"/>
                <w:sz w:val="24"/>
              </w:rPr>
              <w:t>是：</w:t>
            </w:r>
            <w:r>
              <w:rPr>
                <w:color w:val="000000"/>
                <w:sz w:val="24"/>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2" w:hRule="atLeast"/>
          <w:jc w:val="center"/>
        </w:trPr>
        <w:tc>
          <w:tcPr>
            <w:tcW w:w="1266" w:type="dxa"/>
            <w:gridSpan w:val="2"/>
            <w:tcMar>
              <w:top w:w="16" w:type="dxa"/>
              <w:left w:w="16" w:type="dxa"/>
              <w:right w:w="16" w:type="dxa"/>
            </w:tcMar>
            <w:vAlign w:val="center"/>
          </w:tcPr>
          <w:p>
            <w:pPr>
              <w:adjustRightInd w:val="0"/>
              <w:snapToGrid w:val="0"/>
              <w:jc w:val="center"/>
              <w:rPr>
                <w:rFonts w:hint="eastAsia" w:ascii="宋体" w:hAnsi="宋体" w:cs="宋体"/>
                <w:b/>
                <w:color w:val="000000"/>
                <w:kern w:val="21"/>
                <w:sz w:val="24"/>
              </w:rPr>
            </w:pPr>
            <w:r>
              <w:rPr>
                <w:rFonts w:ascii="宋体" w:hAnsi="宋体" w:cs="宋体"/>
                <w:b/>
                <w:color w:val="000000"/>
                <w:kern w:val="21"/>
                <w:sz w:val="24"/>
              </w:rPr>
              <w:t>专项评价</w:t>
            </w:r>
          </w:p>
          <w:p>
            <w:pPr>
              <w:adjustRightInd w:val="0"/>
              <w:snapToGrid w:val="0"/>
              <w:jc w:val="center"/>
              <w:rPr>
                <w:rFonts w:hint="eastAsia" w:ascii="宋体" w:hAnsi="宋体" w:cs="宋体"/>
                <w:b/>
                <w:color w:val="000000"/>
                <w:kern w:val="21"/>
                <w:sz w:val="24"/>
              </w:rPr>
            </w:pPr>
            <w:r>
              <w:rPr>
                <w:rFonts w:ascii="宋体" w:hAnsi="宋体" w:cs="宋体"/>
                <w:b/>
                <w:color w:val="000000"/>
                <w:kern w:val="21"/>
                <w:sz w:val="24"/>
              </w:rPr>
              <w:t>设置情况</w:t>
            </w:r>
          </w:p>
        </w:tc>
        <w:tc>
          <w:tcPr>
            <w:tcW w:w="7813" w:type="dxa"/>
            <w:gridSpan w:val="3"/>
            <w:tcMar>
              <w:top w:w="16" w:type="dxa"/>
              <w:left w:w="16" w:type="dxa"/>
              <w:right w:w="16" w:type="dxa"/>
            </w:tcMar>
            <w:vAlign w:val="center"/>
          </w:tcPr>
          <w:p>
            <w:pPr>
              <w:autoSpaceDE w:val="0"/>
              <w:autoSpaceDN w:val="0"/>
              <w:adjustRightInd w:val="0"/>
              <w:snapToGrid w:val="0"/>
              <w:spacing w:before="240" w:line="360" w:lineRule="auto"/>
              <w:ind w:firstLine="480" w:firstLineChars="200"/>
              <w:jc w:val="left"/>
              <w:rPr>
                <w:color w:val="000000"/>
                <w:kern w:val="0"/>
                <w:sz w:val="24"/>
              </w:rPr>
            </w:pPr>
            <w:r>
              <w:rPr>
                <w:kern w:val="0"/>
                <w:sz w:val="24"/>
              </w:rPr>
              <w:t>本工程不涉及《建设项目环境影响评价分类管理名录（2021年版）》（生态环境部令第16号）第三条（一）中的环境敏感区，根据《环境影响评价技术导则 输变电》（HJ24-2020）中附录B</w:t>
            </w:r>
            <w:r>
              <w:rPr>
                <w:rFonts w:hint="eastAsia"/>
                <w:kern w:val="0"/>
                <w:sz w:val="24"/>
              </w:rPr>
              <w:t>“</w:t>
            </w:r>
            <w:r>
              <w:rPr>
                <w:kern w:val="0"/>
                <w:sz w:val="24"/>
              </w:rPr>
              <w:t>专题评价</w:t>
            </w:r>
            <w:r>
              <w:rPr>
                <w:rFonts w:hint="eastAsia"/>
                <w:kern w:val="0"/>
                <w:sz w:val="24"/>
              </w:rPr>
              <w:t>”</w:t>
            </w:r>
            <w:r>
              <w:rPr>
                <w:kern w:val="0"/>
                <w:sz w:val="24"/>
              </w:rPr>
              <w:t>及《建设项目环境影响报告表编制技术指南（生态影响类）（试行）》中</w:t>
            </w:r>
            <w:r>
              <w:rPr>
                <w:rFonts w:hint="eastAsia"/>
                <w:kern w:val="0"/>
                <w:sz w:val="24"/>
              </w:rPr>
              <w:t>“</w:t>
            </w:r>
            <w:r>
              <w:rPr>
                <w:kern w:val="0"/>
                <w:sz w:val="24"/>
              </w:rPr>
              <w:t>专项评价设置情况</w:t>
            </w:r>
            <w:r>
              <w:rPr>
                <w:rFonts w:hint="eastAsia"/>
                <w:kern w:val="0"/>
                <w:sz w:val="24"/>
              </w:rPr>
              <w:t>”</w:t>
            </w:r>
            <w:r>
              <w:rPr>
                <w:kern w:val="0"/>
                <w:sz w:val="24"/>
              </w:rPr>
              <w:t>的要求：应设电磁环境影响专题评价。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98" w:hRule="atLeast"/>
          <w:jc w:val="center"/>
        </w:trPr>
        <w:tc>
          <w:tcPr>
            <w:tcW w:w="1266" w:type="dxa"/>
            <w:gridSpan w:val="2"/>
            <w:tcMar>
              <w:top w:w="16" w:type="dxa"/>
              <w:left w:w="16" w:type="dxa"/>
              <w:right w:w="16" w:type="dxa"/>
            </w:tcMar>
            <w:vAlign w:val="center"/>
          </w:tcPr>
          <w:p>
            <w:pPr>
              <w:adjustRightInd w:val="0"/>
              <w:snapToGrid w:val="0"/>
              <w:jc w:val="center"/>
              <w:rPr>
                <w:rFonts w:hint="eastAsia" w:ascii="宋体" w:hAnsi="宋体" w:cs="宋体"/>
                <w:b/>
                <w:color w:val="000000"/>
                <w:kern w:val="21"/>
                <w:sz w:val="24"/>
              </w:rPr>
            </w:pPr>
            <w:r>
              <w:rPr>
                <w:rFonts w:ascii="宋体" w:hAnsi="宋体" w:cs="宋体"/>
                <w:b/>
                <w:color w:val="000000"/>
                <w:kern w:val="21"/>
                <w:sz w:val="24"/>
              </w:rPr>
              <w:t>规划情况</w:t>
            </w:r>
          </w:p>
        </w:tc>
        <w:tc>
          <w:tcPr>
            <w:tcW w:w="7813" w:type="dxa"/>
            <w:gridSpan w:val="3"/>
            <w:tcMar>
              <w:top w:w="16" w:type="dxa"/>
              <w:left w:w="16" w:type="dxa"/>
              <w:right w:w="16" w:type="dxa"/>
            </w:tcMar>
            <w:vAlign w:val="center"/>
          </w:tcPr>
          <w:p>
            <w:pPr>
              <w:pStyle w:val="51"/>
              <w:jc w:val="center"/>
            </w:pPr>
            <w:r>
              <w:rPr>
                <w:rFonts w:hint="eastAsia"/>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266" w:type="dxa"/>
            <w:gridSpan w:val="2"/>
            <w:tcMar>
              <w:top w:w="16" w:type="dxa"/>
              <w:left w:w="16" w:type="dxa"/>
              <w:right w:w="16" w:type="dxa"/>
            </w:tcMar>
            <w:vAlign w:val="center"/>
          </w:tcPr>
          <w:p>
            <w:pPr>
              <w:adjustRightInd w:val="0"/>
              <w:snapToGrid w:val="0"/>
              <w:jc w:val="center"/>
              <w:rPr>
                <w:rFonts w:hint="eastAsia" w:ascii="宋体" w:hAnsi="宋体" w:cs="宋体"/>
                <w:b/>
                <w:color w:val="000000"/>
                <w:kern w:val="21"/>
                <w:sz w:val="24"/>
              </w:rPr>
            </w:pPr>
            <w:r>
              <w:rPr>
                <w:rFonts w:ascii="宋体" w:hAnsi="宋体" w:cs="宋体"/>
                <w:b/>
                <w:color w:val="000000"/>
                <w:kern w:val="21"/>
                <w:sz w:val="24"/>
              </w:rPr>
              <w:t>规划环境影响评价情况</w:t>
            </w:r>
          </w:p>
        </w:tc>
        <w:tc>
          <w:tcPr>
            <w:tcW w:w="7813" w:type="dxa"/>
            <w:gridSpan w:val="3"/>
            <w:tcMar>
              <w:top w:w="16" w:type="dxa"/>
              <w:left w:w="16" w:type="dxa"/>
              <w:right w:w="16" w:type="dxa"/>
            </w:tcMar>
            <w:vAlign w:val="center"/>
          </w:tcPr>
          <w:p>
            <w:pPr>
              <w:adjustRightInd w:val="0"/>
              <w:snapToGrid w:val="0"/>
              <w:jc w:val="center"/>
              <w:rPr>
                <w:color w:val="000000"/>
                <w:kern w:val="0"/>
                <w:sz w:val="24"/>
              </w:rPr>
            </w:pPr>
            <w:r>
              <w:rPr>
                <w:rFonts w:hint="eastAsia"/>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01" w:hRule="atLeast"/>
          <w:jc w:val="center"/>
        </w:trPr>
        <w:tc>
          <w:tcPr>
            <w:tcW w:w="1266" w:type="dxa"/>
            <w:gridSpan w:val="2"/>
            <w:tcMar>
              <w:top w:w="16" w:type="dxa"/>
              <w:left w:w="16" w:type="dxa"/>
              <w:right w:w="16" w:type="dxa"/>
            </w:tcMar>
            <w:vAlign w:val="center"/>
          </w:tcPr>
          <w:p>
            <w:pPr>
              <w:adjustRightInd w:val="0"/>
              <w:snapToGrid w:val="0"/>
              <w:jc w:val="center"/>
              <w:rPr>
                <w:rFonts w:hint="eastAsia" w:ascii="宋体" w:hAnsi="宋体" w:cs="宋体"/>
                <w:b/>
                <w:color w:val="000000"/>
                <w:kern w:val="21"/>
                <w:sz w:val="24"/>
              </w:rPr>
            </w:pPr>
            <w:r>
              <w:rPr>
                <w:rFonts w:ascii="宋体" w:hAnsi="宋体" w:cs="宋体"/>
                <w:b/>
                <w:color w:val="000000"/>
                <w:kern w:val="21"/>
                <w:sz w:val="24"/>
              </w:rPr>
              <w:t>规划及规划环境影响评价符合性分析</w:t>
            </w:r>
          </w:p>
        </w:tc>
        <w:tc>
          <w:tcPr>
            <w:tcW w:w="7813" w:type="dxa"/>
            <w:gridSpan w:val="3"/>
            <w:tcMar>
              <w:top w:w="16" w:type="dxa"/>
              <w:left w:w="16" w:type="dxa"/>
              <w:right w:w="16" w:type="dxa"/>
            </w:tcMar>
            <w:vAlign w:val="center"/>
          </w:tcPr>
          <w:p>
            <w:pPr>
              <w:pStyle w:val="114"/>
              <w:snapToGrid w:val="0"/>
              <w:ind w:firstLine="0" w:firstLineChars="0"/>
              <w:jc w:val="center"/>
              <w:rPr>
                <w:sz w:val="24"/>
              </w:rPr>
            </w:pPr>
            <w:r>
              <w:rPr>
                <w:rFonts w:hint="eastAsia"/>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jc w:val="center"/>
        </w:trPr>
        <w:tc>
          <w:tcPr>
            <w:tcW w:w="699" w:type="dxa"/>
            <w:tcMar>
              <w:top w:w="16" w:type="dxa"/>
              <w:left w:w="16" w:type="dxa"/>
              <w:right w:w="16" w:type="dxa"/>
            </w:tcMar>
            <w:vAlign w:val="center"/>
          </w:tcPr>
          <w:p>
            <w:pPr>
              <w:adjustRightInd w:val="0"/>
              <w:snapToGrid w:val="0"/>
              <w:jc w:val="center"/>
              <w:rPr>
                <w:rFonts w:hint="eastAsia" w:ascii="宋体" w:hAnsi="宋体" w:cs="宋体"/>
                <w:b/>
                <w:color w:val="000000"/>
                <w:kern w:val="21"/>
                <w:sz w:val="24"/>
                <w:highlight w:val="yellow"/>
              </w:rPr>
            </w:pPr>
            <w:bookmarkStart w:id="4" w:name="_Hlk56690880"/>
            <w:r>
              <w:rPr>
                <w:rFonts w:ascii="宋体" w:hAnsi="宋体" w:cs="宋体"/>
                <w:b/>
                <w:color w:val="000000"/>
                <w:kern w:val="21"/>
                <w:sz w:val="24"/>
              </w:rPr>
              <w:t>其他符合性分析</w:t>
            </w:r>
            <w:bookmarkEnd w:id="4"/>
          </w:p>
        </w:tc>
        <w:tc>
          <w:tcPr>
            <w:tcW w:w="8380" w:type="dxa"/>
            <w:gridSpan w:val="4"/>
            <w:tcMar>
              <w:top w:w="16" w:type="dxa"/>
              <w:left w:w="16" w:type="dxa"/>
              <w:right w:w="16" w:type="dxa"/>
            </w:tcMar>
            <w:vAlign w:val="center"/>
          </w:tcPr>
          <w:p>
            <w:pPr>
              <w:numPr>
                <w:ilvl w:val="0"/>
                <w:numId w:val="4"/>
              </w:numPr>
              <w:autoSpaceDE w:val="0"/>
              <w:autoSpaceDN w:val="0"/>
              <w:adjustRightInd w:val="0"/>
              <w:snapToGrid w:val="0"/>
              <w:spacing w:line="360" w:lineRule="auto"/>
              <w:rPr>
                <w:b/>
                <w:color w:val="000000"/>
                <w:sz w:val="24"/>
              </w:rPr>
            </w:pPr>
            <w:r>
              <w:rPr>
                <w:b/>
                <w:color w:val="000000"/>
                <w:sz w:val="24"/>
              </w:rPr>
              <w:t>与</w:t>
            </w:r>
            <w:r>
              <w:rPr>
                <w:rFonts w:hint="eastAsia"/>
                <w:b/>
                <w:color w:val="000000"/>
                <w:sz w:val="24"/>
              </w:rPr>
              <w:t>《新疆维吾尔自治区生态环境分区管控动态更新成果》（新环环评发〔2024〕157号）</w:t>
            </w:r>
            <w:r>
              <w:rPr>
                <w:b/>
                <w:color w:val="000000"/>
                <w:sz w:val="24"/>
              </w:rPr>
              <w:t>符合性分析</w:t>
            </w:r>
          </w:p>
          <w:p>
            <w:pPr>
              <w:pStyle w:val="114"/>
              <w:snapToGrid w:val="0"/>
              <w:spacing w:line="360" w:lineRule="auto"/>
              <w:ind w:firstLine="480"/>
              <w:rPr>
                <w:color w:val="000000"/>
                <w:sz w:val="24"/>
              </w:rPr>
            </w:pPr>
            <w:r>
              <w:rPr>
                <w:rFonts w:hint="eastAsia"/>
                <w:sz w:val="24"/>
              </w:rPr>
              <w:t>本工程的建设符合《新疆维吾尔自治区生态环境分区管控动态更新成果》</w:t>
            </w:r>
            <w:r>
              <w:rPr>
                <w:rFonts w:hint="eastAsia"/>
                <w:color w:val="000000"/>
                <w:sz w:val="24"/>
              </w:rPr>
              <w:t>新环环评发</w:t>
            </w:r>
            <w:r>
              <w:rPr>
                <w:rFonts w:hint="eastAsia"/>
                <w:sz w:val="24"/>
              </w:rPr>
              <w:t>〔2024〕157号）。</w:t>
            </w:r>
          </w:p>
          <w:p>
            <w:pPr>
              <w:numPr>
                <w:ilvl w:val="0"/>
                <w:numId w:val="4"/>
              </w:numPr>
              <w:autoSpaceDE w:val="0"/>
              <w:autoSpaceDN w:val="0"/>
              <w:adjustRightInd w:val="0"/>
              <w:snapToGrid w:val="0"/>
              <w:spacing w:line="360" w:lineRule="auto"/>
              <w:rPr>
                <w:b/>
                <w:color w:val="000000"/>
                <w:sz w:val="24"/>
              </w:rPr>
            </w:pPr>
            <w:r>
              <w:rPr>
                <w:rFonts w:hint="eastAsia"/>
                <w:b/>
                <w:color w:val="000000"/>
                <w:sz w:val="24"/>
              </w:rPr>
              <w:t>与《吐鲁番市“三线一单”生态环境分区管控方案动态更新成果》相符性分析</w:t>
            </w:r>
          </w:p>
          <w:p>
            <w:pPr>
              <w:autoSpaceDE w:val="0"/>
              <w:autoSpaceDN w:val="0"/>
              <w:adjustRightInd w:val="0"/>
              <w:snapToGrid w:val="0"/>
              <w:spacing w:before="120" w:beforeLines="50" w:line="360" w:lineRule="auto"/>
              <w:ind w:firstLine="480" w:firstLineChars="200"/>
              <w:rPr>
                <w:color w:val="000000"/>
                <w:sz w:val="24"/>
              </w:rPr>
            </w:pPr>
            <w:r>
              <w:rPr>
                <w:color w:val="000000"/>
                <w:sz w:val="24"/>
              </w:rPr>
              <w:t>本工程建设符合</w:t>
            </w:r>
            <w:r>
              <w:rPr>
                <w:rFonts w:hint="eastAsia"/>
                <w:color w:val="000000"/>
                <w:sz w:val="24"/>
              </w:rPr>
              <w:t>《吐鲁番市“三线一单”生态环境分区管控方案动态更新成果》</w:t>
            </w:r>
            <w:r>
              <w:rPr>
                <w:color w:val="000000"/>
                <w:sz w:val="24"/>
              </w:rPr>
              <w:t>相关要求，与</w:t>
            </w:r>
            <w:r>
              <w:rPr>
                <w:rFonts w:hint="eastAsia"/>
                <w:color w:val="000000"/>
                <w:sz w:val="24"/>
              </w:rPr>
              <w:t>吐鲁番市环境管控单元管控要求</w:t>
            </w:r>
            <w:r>
              <w:rPr>
                <w:color w:val="000000"/>
                <w:sz w:val="24"/>
              </w:rPr>
              <w:t>相符。</w:t>
            </w:r>
          </w:p>
          <w:p>
            <w:pPr>
              <w:numPr>
                <w:ilvl w:val="0"/>
                <w:numId w:val="4"/>
              </w:numPr>
              <w:autoSpaceDE w:val="0"/>
              <w:autoSpaceDN w:val="0"/>
              <w:adjustRightInd w:val="0"/>
              <w:snapToGrid w:val="0"/>
              <w:spacing w:line="360" w:lineRule="auto"/>
              <w:rPr>
                <w:b/>
                <w:color w:val="000000"/>
                <w:sz w:val="24"/>
              </w:rPr>
            </w:pPr>
            <w:r>
              <w:rPr>
                <w:b/>
                <w:color w:val="000000"/>
                <w:sz w:val="24"/>
              </w:rPr>
              <w:t>与</w:t>
            </w:r>
            <w:r>
              <w:rPr>
                <w:rFonts w:hint="eastAsia"/>
                <w:b/>
                <w:color w:val="000000"/>
                <w:sz w:val="24"/>
              </w:rPr>
              <w:t>《输变电建设项目环境保护技术要求》（HJ1113-2020）</w:t>
            </w:r>
            <w:r>
              <w:rPr>
                <w:b/>
                <w:color w:val="000000"/>
                <w:sz w:val="24"/>
              </w:rPr>
              <w:t>符合性分析</w:t>
            </w:r>
          </w:p>
          <w:p>
            <w:pPr>
              <w:autoSpaceDE w:val="0"/>
              <w:autoSpaceDN w:val="0"/>
              <w:adjustRightInd w:val="0"/>
              <w:snapToGrid w:val="0"/>
              <w:spacing w:before="120" w:beforeLines="50" w:line="360" w:lineRule="auto"/>
              <w:ind w:firstLine="480" w:firstLineChars="200"/>
              <w:rPr>
                <w:color w:val="000000"/>
                <w:sz w:val="24"/>
              </w:rPr>
            </w:pPr>
            <w:r>
              <w:rPr>
                <w:color w:val="000000"/>
                <w:sz w:val="24"/>
              </w:rPr>
              <w:t>本工程建设</w:t>
            </w:r>
            <w:r>
              <w:rPr>
                <w:rFonts w:hint="eastAsia"/>
                <w:color w:val="000000"/>
                <w:sz w:val="24"/>
              </w:rPr>
              <w:t>满足</w:t>
            </w:r>
            <w:r>
              <w:rPr>
                <w:color w:val="000000"/>
                <w:sz w:val="24"/>
              </w:rPr>
              <w:t>《输变电建设项目环境保护技术要求》（HJ1113-2020）相关要求。</w:t>
            </w:r>
          </w:p>
          <w:p>
            <w:pPr>
              <w:numPr>
                <w:ilvl w:val="0"/>
                <w:numId w:val="4"/>
              </w:numPr>
              <w:autoSpaceDE w:val="0"/>
              <w:autoSpaceDN w:val="0"/>
              <w:adjustRightInd w:val="0"/>
              <w:snapToGrid w:val="0"/>
              <w:spacing w:line="360" w:lineRule="auto"/>
              <w:rPr>
                <w:b/>
                <w:color w:val="000000"/>
                <w:sz w:val="24"/>
              </w:rPr>
            </w:pPr>
            <w:r>
              <w:rPr>
                <w:rFonts w:hint="eastAsia"/>
                <w:b/>
                <w:color w:val="000000"/>
                <w:sz w:val="24"/>
              </w:rPr>
              <w:t>与《新疆生态环境保护“十四五”生态环境保护规划》相符性分析</w:t>
            </w:r>
          </w:p>
          <w:p>
            <w:pPr>
              <w:autoSpaceDE w:val="0"/>
              <w:autoSpaceDN w:val="0"/>
              <w:adjustRightInd w:val="0"/>
              <w:snapToGrid w:val="0"/>
              <w:spacing w:line="360" w:lineRule="auto"/>
              <w:ind w:firstLine="480" w:firstLineChars="200"/>
              <w:rPr>
                <w:rFonts w:hint="eastAsia" w:ascii="宋体" w:hAnsi="宋体" w:cs="宋体"/>
                <w:szCs w:val="21"/>
              </w:rPr>
            </w:pPr>
            <w:r>
              <w:rPr>
                <w:rFonts w:hint="eastAsia"/>
                <w:sz w:val="24"/>
                <w:szCs w:val="32"/>
              </w:rPr>
              <w:t>本工程未进入生态保护红线，未进入各类自然保护区、风景名胜区等生态敏感区域，未进入饮用水水源保护区，不属于资源开发类以及污染重、风险高、对生态环境具有较大现实和潜在影响的项目，符合《新疆生态环境保护“十四五”规划》要求。</w:t>
            </w:r>
          </w:p>
          <w:p>
            <w:pPr>
              <w:numPr>
                <w:ilvl w:val="0"/>
                <w:numId w:val="4"/>
              </w:numPr>
              <w:autoSpaceDE w:val="0"/>
              <w:autoSpaceDN w:val="0"/>
              <w:adjustRightInd w:val="0"/>
              <w:snapToGrid w:val="0"/>
              <w:spacing w:line="360" w:lineRule="auto"/>
              <w:rPr>
                <w:b/>
              </w:rPr>
            </w:pPr>
            <w:r>
              <w:rPr>
                <w:rFonts w:hint="eastAsia"/>
                <w:b/>
                <w:sz w:val="24"/>
              </w:rPr>
              <w:t>与《关于规范临时用地管理的通知》符合性分析</w:t>
            </w:r>
          </w:p>
          <w:p>
            <w:pPr>
              <w:spacing w:line="360" w:lineRule="auto"/>
              <w:ind w:firstLine="480" w:firstLineChars="200"/>
              <w:rPr>
                <w:sz w:val="24"/>
                <w:szCs w:val="32"/>
              </w:rPr>
            </w:pPr>
            <w:r>
              <w:rPr>
                <w:rFonts w:hint="eastAsia"/>
                <w:sz w:val="24"/>
                <w:szCs w:val="32"/>
              </w:rPr>
              <w:t>本工程与</w:t>
            </w:r>
            <w:r>
              <w:rPr>
                <w:sz w:val="24"/>
                <w:szCs w:val="32"/>
              </w:rPr>
              <w:t>《关于规范临时用地管理的通知》</w:t>
            </w:r>
            <w:r>
              <w:rPr>
                <w:rFonts w:hint="eastAsia"/>
                <w:sz w:val="24"/>
                <w:szCs w:val="32"/>
              </w:rPr>
              <w:t>相符。</w:t>
            </w:r>
          </w:p>
          <w:p>
            <w:pPr>
              <w:numPr>
                <w:ilvl w:val="0"/>
                <w:numId w:val="4"/>
              </w:numPr>
              <w:autoSpaceDE w:val="0"/>
              <w:autoSpaceDN w:val="0"/>
              <w:adjustRightInd w:val="0"/>
              <w:snapToGrid w:val="0"/>
              <w:spacing w:line="360" w:lineRule="auto"/>
              <w:rPr>
                <w:b/>
              </w:rPr>
            </w:pPr>
            <w:r>
              <w:rPr>
                <w:rFonts w:hint="eastAsia"/>
                <w:b/>
                <w:sz w:val="24"/>
              </w:rPr>
              <w:t>与地区规划符合性分析</w:t>
            </w:r>
          </w:p>
          <w:p>
            <w:pPr>
              <w:pStyle w:val="11"/>
              <w:keepNext/>
              <w:rPr>
                <w:bCs/>
                <w:szCs w:val="24"/>
              </w:rPr>
            </w:pPr>
            <w:r>
              <w:rPr>
                <w:rFonts w:hint="eastAsia"/>
                <w:bCs/>
                <w:szCs w:val="24"/>
              </w:rPr>
              <w:t>本工程在选线阶段，已充分征求沿线行政</w:t>
            </w:r>
            <w:r>
              <w:t>部门</w:t>
            </w:r>
            <w:r>
              <w:rPr>
                <w:rFonts w:hint="eastAsia"/>
                <w:bCs/>
                <w:szCs w:val="24"/>
              </w:rPr>
              <w:t>的意见，工程建设不影响当地土地利用规划和城镇发展规划。</w:t>
            </w:r>
          </w:p>
          <w:p>
            <w:pPr>
              <w:numPr>
                <w:ilvl w:val="0"/>
                <w:numId w:val="4"/>
              </w:numPr>
              <w:autoSpaceDE w:val="0"/>
              <w:autoSpaceDN w:val="0"/>
              <w:adjustRightInd w:val="0"/>
              <w:snapToGrid w:val="0"/>
              <w:spacing w:before="120" w:beforeLines="50" w:line="360" w:lineRule="auto"/>
              <w:rPr>
                <w:b/>
              </w:rPr>
            </w:pPr>
            <w:r>
              <w:rPr>
                <w:rFonts w:hint="eastAsia"/>
                <w:b/>
                <w:sz w:val="24"/>
              </w:rPr>
              <w:t>与《吐鲁番市国民经济和社会发展第十四个五年规划和2035年远景目标纲要》符合性分析</w:t>
            </w:r>
          </w:p>
          <w:p>
            <w:pPr>
              <w:autoSpaceDE w:val="0"/>
              <w:autoSpaceDN w:val="0"/>
              <w:adjustRightInd w:val="0"/>
              <w:snapToGrid w:val="0"/>
              <w:spacing w:line="360" w:lineRule="auto"/>
              <w:ind w:firstLine="480" w:firstLineChars="200"/>
              <w:rPr>
                <w:sz w:val="24"/>
                <w:szCs w:val="20"/>
              </w:rPr>
            </w:pPr>
            <w:r>
              <w:rPr>
                <w:rFonts w:hint="eastAsia"/>
                <w:sz w:val="24"/>
                <w:szCs w:val="20"/>
              </w:rPr>
              <w:t>本工程不涉及生态敏感区，不涉及饮用水水源保护区。综上所述，本工程建设符合《吐鲁番市国民经济和社会发展第十四个五年规划和2035年远景目标纲要》要求。</w:t>
            </w:r>
          </w:p>
          <w:p>
            <w:pPr>
              <w:numPr>
                <w:ilvl w:val="0"/>
                <w:numId w:val="4"/>
              </w:numPr>
              <w:autoSpaceDE w:val="0"/>
              <w:autoSpaceDN w:val="0"/>
              <w:adjustRightInd w:val="0"/>
              <w:snapToGrid w:val="0"/>
              <w:spacing w:before="120" w:beforeLines="50" w:line="360" w:lineRule="auto"/>
              <w:rPr>
                <w:b/>
              </w:rPr>
            </w:pPr>
            <w:r>
              <w:rPr>
                <w:rFonts w:hint="eastAsia"/>
                <w:b/>
                <w:sz w:val="24"/>
              </w:rPr>
              <w:t>与产业政策相符性分析</w:t>
            </w:r>
          </w:p>
          <w:p>
            <w:pPr>
              <w:pStyle w:val="11"/>
              <w:keepNext/>
            </w:pPr>
            <w:r>
              <w:rPr>
                <w:rFonts w:hint="eastAsia"/>
              </w:rPr>
              <w:t>本工程属于城乡电网建设项目。根据国家发展和改革委员会令第7号《产业结构调整指导目录（2024年本）》，“电力基础设施建设：电网改造与建设”属于“第一类 鼓励类”项目，符合国家产业政策。</w:t>
            </w:r>
          </w:p>
          <w:p>
            <w:pPr>
              <w:pStyle w:val="11"/>
              <w:keepNext/>
            </w:pPr>
          </w:p>
          <w:p>
            <w:pPr>
              <w:pStyle w:val="11"/>
              <w:keepNext/>
            </w:pPr>
          </w:p>
          <w:p>
            <w:pPr>
              <w:pStyle w:val="11"/>
              <w:keepNext/>
            </w:pPr>
          </w:p>
          <w:p>
            <w:pPr>
              <w:pStyle w:val="11"/>
              <w:keepNext/>
            </w:pPr>
          </w:p>
          <w:p>
            <w:pPr>
              <w:pStyle w:val="11"/>
              <w:keepNext/>
            </w:pPr>
          </w:p>
          <w:p>
            <w:pPr>
              <w:pStyle w:val="11"/>
              <w:keepNext/>
            </w:pPr>
          </w:p>
          <w:p>
            <w:pPr>
              <w:pStyle w:val="11"/>
              <w:keepNext/>
            </w:pPr>
          </w:p>
          <w:p>
            <w:pPr>
              <w:pStyle w:val="11"/>
              <w:keepNext/>
            </w:pPr>
          </w:p>
          <w:p>
            <w:pPr>
              <w:pStyle w:val="11"/>
              <w:keepNext/>
            </w:pPr>
          </w:p>
          <w:p>
            <w:pPr>
              <w:pStyle w:val="11"/>
              <w:keepNext/>
            </w:pPr>
          </w:p>
          <w:p>
            <w:pPr>
              <w:pStyle w:val="11"/>
              <w:keepNext/>
            </w:pPr>
          </w:p>
          <w:p>
            <w:pPr>
              <w:pStyle w:val="11"/>
              <w:keepNext/>
            </w:pPr>
          </w:p>
        </w:tc>
      </w:tr>
    </w:tbl>
    <w:p>
      <w:pPr>
        <w:tabs>
          <w:tab w:val="left" w:pos="1165"/>
        </w:tabs>
        <w:rPr>
          <w:color w:val="000000"/>
          <w:highlight w:val="yellow"/>
        </w:rPr>
        <w:sectPr>
          <w:footerReference r:id="rId6" w:type="default"/>
          <w:pgSz w:w="11906" w:h="16838"/>
          <w:pgMar w:top="1440" w:right="1800" w:bottom="1440" w:left="1800" w:header="851" w:footer="1077" w:gutter="0"/>
          <w:pgNumType w:start="1"/>
          <w:cols w:space="720" w:num="1"/>
          <w:docGrid w:linePitch="312" w:charSpace="0"/>
        </w:sectPr>
      </w:pPr>
    </w:p>
    <w:p>
      <w:pPr>
        <w:pStyle w:val="39"/>
        <w:jc w:val="center"/>
        <w:outlineLvl w:val="0"/>
        <w:rPr>
          <w:rFonts w:ascii="Times New Roman" w:hAnsi="Times New Roman"/>
          <w:b/>
          <w:bCs/>
          <w:snapToGrid w:val="0"/>
          <w:color w:val="000000"/>
          <w:sz w:val="32"/>
          <w:szCs w:val="32"/>
        </w:rPr>
      </w:pPr>
      <w:bookmarkStart w:id="5" w:name="_Toc13602"/>
      <w:bookmarkStart w:id="6" w:name="_Toc29200"/>
      <w:bookmarkStart w:id="7" w:name="_Toc111564270"/>
      <w:r>
        <w:rPr>
          <w:rFonts w:ascii="Times New Roman" w:hAnsi="Times New Roman"/>
          <w:b/>
          <w:bCs/>
          <w:snapToGrid w:val="0"/>
          <w:color w:val="000000"/>
          <w:sz w:val="32"/>
          <w:szCs w:val="32"/>
        </w:rPr>
        <w:t>二、建设内容</w:t>
      </w:r>
      <w:bookmarkEnd w:id="5"/>
      <w:bookmarkEnd w:id="6"/>
      <w:bookmarkEnd w:id="7"/>
    </w:p>
    <w:tbl>
      <w:tblPr>
        <w:tblStyle w:val="43"/>
        <w:tblW w:w="90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8"/>
        <w:gridCol w:w="85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8" w:type="dxa"/>
            <w:vAlign w:val="center"/>
          </w:tcPr>
          <w:p>
            <w:pPr>
              <w:adjustRightInd w:val="0"/>
              <w:snapToGrid w:val="0"/>
              <w:jc w:val="center"/>
              <w:rPr>
                <w:b/>
                <w:color w:val="000000"/>
                <w:kern w:val="0"/>
                <w:sz w:val="24"/>
                <w:highlight w:val="yellow"/>
              </w:rPr>
            </w:pPr>
            <w:r>
              <w:rPr>
                <w:b/>
                <w:color w:val="000000"/>
                <w:kern w:val="0"/>
                <w:sz w:val="24"/>
              </w:rPr>
              <w:t>项目组成及规模</w:t>
            </w:r>
          </w:p>
        </w:tc>
        <w:tc>
          <w:tcPr>
            <w:tcW w:w="8542" w:type="dxa"/>
            <w:vAlign w:val="center"/>
          </w:tcPr>
          <w:p>
            <w:pPr>
              <w:pStyle w:val="5"/>
              <w:numPr>
                <w:ilvl w:val="0"/>
                <w:numId w:val="5"/>
              </w:numPr>
              <w:spacing w:before="0" w:after="0" w:line="360" w:lineRule="auto"/>
              <w:rPr>
                <w:rFonts w:eastAsia="宋体"/>
                <w:sz w:val="24"/>
                <w:szCs w:val="24"/>
              </w:rPr>
            </w:pPr>
            <w:bookmarkStart w:id="8" w:name="_Toc81415582"/>
            <w:bookmarkStart w:id="9" w:name="_Toc91532124"/>
            <w:bookmarkStart w:id="10" w:name="_Toc96031244"/>
            <w:bookmarkStart w:id="11" w:name="_Toc95464618"/>
            <w:bookmarkStart w:id="12" w:name="_Toc110439050"/>
            <w:bookmarkStart w:id="13" w:name="_Toc96031327"/>
            <w:bookmarkStart w:id="14" w:name="_Toc85036838"/>
            <w:bookmarkStart w:id="15" w:name="_Toc85037172"/>
            <w:bookmarkStart w:id="16" w:name="_Toc97290400"/>
            <w:bookmarkStart w:id="17" w:name="_Toc88558479"/>
            <w:bookmarkStart w:id="18" w:name="_Toc96935364"/>
            <w:bookmarkStart w:id="19" w:name="_Toc91493217"/>
            <w:bookmarkStart w:id="20" w:name="_Toc6225"/>
            <w:bookmarkStart w:id="21" w:name="_Toc109473837"/>
            <w:bookmarkStart w:id="22" w:name="_Toc81308110"/>
            <w:bookmarkStart w:id="23" w:name="_Toc30172"/>
            <w:bookmarkStart w:id="24" w:name="_Toc109472531"/>
            <w:bookmarkStart w:id="25" w:name="_Toc109473524"/>
            <w:bookmarkStart w:id="26" w:name="_Toc111564271"/>
            <w:bookmarkStart w:id="27" w:name="_Toc97290534"/>
            <w:bookmarkStart w:id="28" w:name="_Toc6217"/>
            <w:bookmarkStart w:id="29" w:name="_Toc109473758"/>
            <w:r>
              <w:rPr>
                <w:rFonts w:eastAsia="宋体"/>
                <w:sz w:val="24"/>
                <w:szCs w:val="24"/>
              </w:rPr>
              <w:t>项目组成</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pPr>
              <w:autoSpaceDE w:val="0"/>
              <w:autoSpaceDN w:val="0"/>
              <w:adjustRightInd w:val="0"/>
              <w:snapToGrid w:val="0"/>
              <w:spacing w:line="360" w:lineRule="auto"/>
              <w:ind w:firstLine="480" w:firstLineChars="200"/>
              <w:rPr>
                <w:color w:val="000000"/>
                <w:sz w:val="24"/>
              </w:rPr>
            </w:pPr>
            <w:r>
              <w:rPr>
                <w:rFonts w:hint="eastAsia"/>
                <w:color w:val="000000"/>
                <w:sz w:val="24"/>
              </w:rPr>
              <w:t>本工程项目</w:t>
            </w:r>
            <w:r>
              <w:rPr>
                <w:color w:val="000000"/>
                <w:sz w:val="24"/>
              </w:rPr>
              <w:t>组成包括：</w:t>
            </w:r>
          </w:p>
          <w:p>
            <w:pPr>
              <w:pStyle w:val="11"/>
            </w:pPr>
            <w:r>
              <w:rPr>
                <w:rFonts w:hint="eastAsia"/>
              </w:rPr>
              <w:t>（1）东环110千伏变电站新建工程：新建一座110kV户外变电站，本期新建主变2×50MVA，110kV出线2回（1回至交河220kV变电站，1回至番南220kV变电站），每台主变10kV侧配置2×5Mvar电容器。</w:t>
            </w:r>
          </w:p>
          <w:p>
            <w:pPr>
              <w:pStyle w:val="11"/>
            </w:pPr>
            <w:r>
              <w:rPr>
                <w:rFonts w:hint="eastAsia"/>
              </w:rPr>
              <w:t>（2）番南变110千伏保护新增工程：本工程拟利用番南220kV变电站站内2个已建的110kV备用间隔，站内仅涉及增加相应的线路保护装置。</w:t>
            </w:r>
          </w:p>
          <w:p>
            <w:pPr>
              <w:pStyle w:val="11"/>
            </w:pPr>
            <w:r>
              <w:rPr>
                <w:rFonts w:hint="eastAsia"/>
              </w:rPr>
              <w:t>（3）七泉湖变、交河变110千伏保护改造工程：本期七泉湖变、交河变分别更换1套光纤电流差动保护装置，七泉湖变侧保护装置应与沙河子变配合使用，交河变侧保护装置应与东环变配合使用。</w:t>
            </w:r>
          </w:p>
          <w:p>
            <w:pPr>
              <w:pStyle w:val="11"/>
            </w:pPr>
            <w:r>
              <w:rPr>
                <w:rFonts w:hint="eastAsia"/>
              </w:rPr>
              <w:t>（4）七泉湖~红旗π入番南变110千伏线路工程：新建七旗I线π入番南变110kV架空线路，新建线路路径全长约2×7.8km，除在番南220kV变电站出线端采用同塔双回架设外，其余线路均采用单回路架设。另拆除110kV七旗Ⅰ线135#杆塔。</w:t>
            </w:r>
          </w:p>
          <w:p>
            <w:pPr>
              <w:pStyle w:val="11"/>
            </w:pPr>
            <w:r>
              <w:rPr>
                <w:rFonts w:hint="eastAsia"/>
              </w:rPr>
              <w:t>（5）七泉湖~番南改接入沙河子变110千伏线路工程：新建七泉湖~番南(七泉湖变侧)改接入沙河子变110kV架空线路，路径全长约1km，单回路架设。另拆除110kV七旗Ⅰ线75#杆塔、110kV交沙Ⅱ线67#杆塔，拆除导线0.225km。</w:t>
            </w:r>
          </w:p>
          <w:p>
            <w:pPr>
              <w:pStyle w:val="11"/>
            </w:pPr>
            <w:r>
              <w:rPr>
                <w:rFonts w:hint="eastAsia"/>
              </w:rPr>
              <w:t>（6）七泉湖~番南改接入交河变110千伏线路工程：新建七泉湖~番南(番南变侧)改接入交河变110kV架空线路，路径全长约1km，单回路架设。另拆除110kV七旗Ⅰ线76#杆塔、110kV交沙Ⅱ线66#杆塔，拆除导线0.225km。</w:t>
            </w:r>
          </w:p>
          <w:p>
            <w:pPr>
              <w:pStyle w:val="11"/>
            </w:pPr>
            <w:r>
              <w:rPr>
                <w:rFonts w:hint="eastAsia"/>
              </w:rPr>
              <w:t>（7）交河~番南π入东环变110千伏线路工程：新建交河~番南π入东环变110kV架空线路，新建线路路径全长约2×4.8km，除在东环110kV变电站出线端采用同塔双回架设（本期单边挂线），其余线路均采用单回路架设。另拆除110kV七旗Ⅰ线8</w:t>
            </w:r>
            <w:r>
              <w:t>9#、</w:t>
            </w:r>
            <w:r>
              <w:rPr>
                <w:rFonts w:hint="eastAsia"/>
              </w:rPr>
              <w:t>90#、9</w:t>
            </w:r>
            <w:r>
              <w:t>1#</w:t>
            </w:r>
            <w:r>
              <w:rPr>
                <w:rFonts w:hint="eastAsia"/>
              </w:rPr>
              <w:t>杆塔，拆除导线1.11km。</w:t>
            </w:r>
          </w:p>
          <w:p>
            <w:pPr>
              <w:widowControl/>
              <w:spacing w:line="360" w:lineRule="auto"/>
              <w:ind w:firstLine="480" w:firstLineChars="200"/>
              <w:jc w:val="left"/>
              <w:rPr>
                <w:color w:val="000000"/>
                <w:sz w:val="24"/>
              </w:rPr>
            </w:pPr>
            <w:r>
              <w:rPr>
                <w:rFonts w:hint="eastAsia"/>
                <w:color w:val="000000"/>
                <w:sz w:val="24"/>
              </w:rPr>
              <w:t>“番南变110千伏保护新增工程”“七泉湖变、交河变110千伏保护改造工程”不新增站内间隔和电气设备，不新增含油设备和主变等主要声源设备，无土建施工，对站外电磁环境、声环境和生态环境基本不造成增量影响，本《报告表》仅做简要分析。本《报告表》重点关注和评价“东环110千伏变电站新建工程”“七泉湖~红旗π入番南变110千伏线路工程”“七泉湖~番南改接入沙河子变110千伏线路工程”“七泉湖~番南改接入交河变110千伏线路工程”“交河~番南π入东环变110千伏线路工程”。</w:t>
            </w:r>
          </w:p>
          <w:p>
            <w:pPr>
              <w:widowControl/>
              <w:spacing w:line="360" w:lineRule="auto"/>
              <w:ind w:firstLine="480" w:firstLineChars="200"/>
              <w:jc w:val="left"/>
              <w:rPr>
                <w:color w:val="000000"/>
                <w:sz w:val="24"/>
              </w:rPr>
            </w:pPr>
            <w:r>
              <w:rPr>
                <w:rFonts w:hint="eastAsia"/>
                <w:color w:val="000000"/>
                <w:sz w:val="24"/>
              </w:rPr>
              <w:t>本工程基本组成情</w:t>
            </w:r>
            <w:r>
              <w:rPr>
                <w:rFonts w:hint="eastAsia"/>
                <w:sz w:val="24"/>
                <w:szCs w:val="20"/>
              </w:rPr>
              <w:t>况见</w:t>
            </w:r>
            <w:r>
              <w:rPr>
                <w:rFonts w:hint="eastAsia"/>
                <w:sz w:val="24"/>
                <w:szCs w:val="20"/>
              </w:rPr>
              <w:fldChar w:fldCharType="begin"/>
            </w:r>
            <w:r>
              <w:rPr>
                <w:rFonts w:hint="eastAsia"/>
                <w:sz w:val="24"/>
                <w:szCs w:val="20"/>
              </w:rPr>
              <w:instrText xml:space="preserve"> REF _Ref9226 \h </w:instrText>
            </w:r>
            <w:r>
              <w:rPr>
                <w:sz w:val="24"/>
                <w:szCs w:val="20"/>
              </w:rPr>
              <w:instrText xml:space="preserve"> \* MERGEFORMAT </w:instrText>
            </w:r>
            <w:r>
              <w:rPr>
                <w:rFonts w:hint="eastAsia"/>
                <w:sz w:val="24"/>
                <w:szCs w:val="20"/>
              </w:rPr>
              <w:fldChar w:fldCharType="separate"/>
            </w:r>
            <w:r>
              <w:rPr>
                <w:sz w:val="24"/>
                <w:szCs w:val="20"/>
              </w:rPr>
              <w:t>表 1</w:t>
            </w:r>
            <w:r>
              <w:rPr>
                <w:rFonts w:hint="eastAsia"/>
                <w:sz w:val="24"/>
                <w:szCs w:val="20"/>
              </w:rPr>
              <w:fldChar w:fldCharType="end"/>
            </w:r>
            <w:r>
              <w:rPr>
                <w:rFonts w:hint="eastAsia"/>
                <w:sz w:val="24"/>
                <w:szCs w:val="20"/>
              </w:rPr>
              <w:t>。</w:t>
            </w:r>
            <w:bookmarkStart w:id="30" w:name="_Ref157118955"/>
          </w:p>
          <w:p>
            <w:pPr>
              <w:pStyle w:val="18"/>
              <w:keepNext/>
              <w:rPr>
                <w:rFonts w:ascii="Times New Roman" w:hAnsi="Times New Roman"/>
                <w:b/>
              </w:rPr>
            </w:pPr>
            <w:bookmarkStart w:id="31" w:name="_Ref9226"/>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1</w:t>
            </w:r>
            <w:r>
              <w:rPr>
                <w:rFonts w:ascii="Times New Roman" w:hAnsi="Times New Roman"/>
                <w:b/>
              </w:rPr>
              <w:fldChar w:fldCharType="end"/>
            </w:r>
            <w:bookmarkEnd w:id="30"/>
            <w:bookmarkEnd w:id="31"/>
            <w:r>
              <w:rPr>
                <w:rFonts w:ascii="Times New Roman" w:hAnsi="Times New Roman"/>
                <w:b/>
              </w:rPr>
              <w:t xml:space="preserve">                            项目基本组成</w:t>
            </w:r>
          </w:p>
          <w:tbl>
            <w:tblPr>
              <w:tblStyle w:val="4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74"/>
              <w:gridCol w:w="1554"/>
              <w:gridCol w:w="1408"/>
              <w:gridCol w:w="367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1942" w:type="pct"/>
                  <w:gridSpan w:val="2"/>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82"/>
                  </w:pPr>
                  <w:r>
                    <w:t>工程名称</w:t>
                  </w:r>
                </w:p>
              </w:tc>
              <w:tc>
                <w:tcPr>
                  <w:tcW w:w="3058" w:type="pct"/>
                  <w:gridSpan w:val="2"/>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82"/>
                  </w:pPr>
                  <w:r>
                    <w:rPr>
                      <w:rFonts w:hint="eastAsia"/>
                    </w:rPr>
                    <w:t>吐鲁番东环110千伏输变电工程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1942" w:type="pct"/>
                  <w:gridSpan w:val="2"/>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82"/>
                  </w:pPr>
                  <w:r>
                    <w:t>建设单位</w:t>
                  </w:r>
                </w:p>
              </w:tc>
              <w:tc>
                <w:tcPr>
                  <w:tcW w:w="3058" w:type="pct"/>
                  <w:gridSpan w:val="2"/>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82"/>
                  </w:pPr>
                  <w:r>
                    <w:t>国网</w:t>
                  </w:r>
                  <w:r>
                    <w:rPr>
                      <w:rFonts w:hint="eastAsia"/>
                    </w:rPr>
                    <w:t>新疆</w:t>
                  </w:r>
                  <w:r>
                    <w:t>电力有限公司</w:t>
                  </w:r>
                  <w:r>
                    <w:rPr>
                      <w:rFonts w:hint="eastAsia"/>
                    </w:rPr>
                    <w:t>吐鲁番</w:t>
                  </w:r>
                  <w:r>
                    <w:t>供电公司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1942" w:type="pct"/>
                  <w:gridSpan w:val="2"/>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82"/>
                  </w:pPr>
                  <w:r>
                    <w:t>工程性质</w:t>
                  </w:r>
                </w:p>
              </w:tc>
              <w:tc>
                <w:tcPr>
                  <w:tcW w:w="3058" w:type="pct"/>
                  <w:gridSpan w:val="2"/>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82"/>
                  </w:pPr>
                  <w: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1942" w:type="pct"/>
                  <w:gridSpan w:val="2"/>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82"/>
                  </w:pPr>
                  <w:r>
                    <w:t>建设地点</w:t>
                  </w:r>
                </w:p>
              </w:tc>
              <w:tc>
                <w:tcPr>
                  <w:tcW w:w="3058" w:type="pct"/>
                  <w:gridSpan w:val="2"/>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82"/>
                  </w:pPr>
                  <w:r>
                    <w:rPr>
                      <w:rFonts w:hint="eastAsia"/>
                    </w:rPr>
                    <w:t>新疆维吾尔自治区吐鲁番市高昌区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1942" w:type="pct"/>
                  <w:gridSpan w:val="2"/>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82"/>
                  </w:pPr>
                  <w:r>
                    <w:t>建设内容</w:t>
                  </w:r>
                </w:p>
              </w:tc>
              <w:tc>
                <w:tcPr>
                  <w:tcW w:w="3058" w:type="pct"/>
                  <w:gridSpan w:val="2"/>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82"/>
                    <w:jc w:val="both"/>
                  </w:pPr>
                  <w:r>
                    <w:rPr>
                      <w:rFonts w:hint="eastAsia" w:ascii="宋体" w:hAnsi="宋体" w:cs="宋体"/>
                    </w:rPr>
                    <w:t>①</w:t>
                  </w:r>
                  <w:r>
                    <w:t>东环110千伏变电站新建工程</w:t>
                  </w:r>
                  <w:r>
                    <w:rPr>
                      <w:color w:val="000000"/>
                    </w:rPr>
                    <w:t>；</w:t>
                  </w:r>
                  <w:r>
                    <w:rPr>
                      <w:rFonts w:hint="eastAsia" w:ascii="宋体" w:hAnsi="宋体" w:cs="宋体"/>
                      <w:color w:val="000000"/>
                    </w:rPr>
                    <w:t>②</w:t>
                  </w:r>
                  <w:r>
                    <w:rPr>
                      <w:color w:val="000000"/>
                    </w:rPr>
                    <w:t>番南变110千伏保护新增工程；</w:t>
                  </w:r>
                  <w:r>
                    <w:rPr>
                      <w:rFonts w:hint="eastAsia" w:ascii="宋体" w:hAnsi="宋体" w:cs="宋体"/>
                      <w:color w:val="000000"/>
                    </w:rPr>
                    <w:t>③</w:t>
                  </w:r>
                  <w:r>
                    <w:rPr>
                      <w:color w:val="000000"/>
                    </w:rPr>
                    <w:t>七泉湖变、交河变110千伏保护改造工程；</w:t>
                  </w:r>
                  <w:r>
                    <w:rPr>
                      <w:rFonts w:hint="eastAsia" w:ascii="宋体" w:hAnsi="宋体" w:cs="宋体"/>
                    </w:rPr>
                    <w:t>④</w:t>
                  </w:r>
                  <w:r>
                    <w:t>七泉湖~红旗π入番南变110千伏线路工程；</w:t>
                  </w:r>
                  <w:r>
                    <w:rPr>
                      <w:rFonts w:hint="eastAsia" w:ascii="宋体" w:hAnsi="宋体" w:cs="宋体"/>
                    </w:rPr>
                    <w:t>⑤</w:t>
                  </w:r>
                  <w:r>
                    <w:t>七泉湖~番南改接入沙河子变110千伏线路工程；</w:t>
                  </w:r>
                  <w:r>
                    <w:rPr>
                      <w:rFonts w:hint="eastAsia" w:ascii="宋体" w:hAnsi="宋体" w:cs="宋体"/>
                    </w:rPr>
                    <w:t>⑥</w:t>
                  </w:r>
                  <w:r>
                    <w:t>七泉湖~番南改接入交河变110千伏线路工程；</w:t>
                  </w:r>
                  <w:r>
                    <w:rPr>
                      <w:rFonts w:hint="eastAsia" w:ascii="宋体" w:hAnsi="宋体" w:cs="宋体"/>
                    </w:rPr>
                    <w:t>⑦</w:t>
                  </w:r>
                  <w:r>
                    <w:t>交河~番南π入东环变110千伏线路工程。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1942" w:type="pct"/>
                  <w:gridSpan w:val="2"/>
                  <w:tcBorders>
                    <w:top w:val="single" w:color="auto" w:sz="4" w:space="0"/>
                  </w:tcBorders>
                  <w:tcMar>
                    <w:left w:w="57" w:type="dxa"/>
                    <w:right w:w="57" w:type="dxa"/>
                  </w:tcMar>
                  <w:vAlign w:val="center"/>
                </w:tcPr>
                <w:p>
                  <w:pPr>
                    <w:pStyle w:val="82"/>
                    <w:ind w:firstLine="422"/>
                    <w:rPr>
                      <w:b/>
                      <w:color w:val="000000"/>
                    </w:rPr>
                  </w:pPr>
                  <w:r>
                    <w:rPr>
                      <w:b/>
                      <w:color w:val="000000"/>
                    </w:rPr>
                    <w:t>建设内容</w:t>
                  </w:r>
                </w:p>
              </w:tc>
              <w:tc>
                <w:tcPr>
                  <w:tcW w:w="3058" w:type="pct"/>
                  <w:gridSpan w:val="2"/>
                  <w:tcBorders>
                    <w:top w:val="single" w:color="auto" w:sz="4" w:space="0"/>
                  </w:tcBorders>
                  <w:tcMar>
                    <w:left w:w="57" w:type="dxa"/>
                    <w:right w:w="57" w:type="dxa"/>
                  </w:tcMar>
                  <w:vAlign w:val="center"/>
                </w:tcPr>
                <w:p>
                  <w:pPr>
                    <w:pStyle w:val="82"/>
                    <w:ind w:firstLine="422"/>
                    <w:rPr>
                      <w:b/>
                      <w:color w:val="000000"/>
                    </w:rPr>
                  </w:pPr>
                  <w:r>
                    <w:rPr>
                      <w:b/>
                      <w:color w:val="000000"/>
                    </w:rPr>
                    <w:t>规  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289" w:hRule="atLeast"/>
                <w:jc w:val="center"/>
              </w:trPr>
              <w:tc>
                <w:tcPr>
                  <w:tcW w:w="1007" w:type="pct"/>
                  <w:vMerge w:val="restart"/>
                  <w:tcMar>
                    <w:left w:w="57" w:type="dxa"/>
                    <w:right w:w="57" w:type="dxa"/>
                  </w:tcMar>
                  <w:vAlign w:val="center"/>
                </w:tcPr>
                <w:p>
                  <w:pPr>
                    <w:pStyle w:val="82"/>
                    <w:rPr>
                      <w:color w:val="000000"/>
                    </w:rPr>
                  </w:pPr>
                  <w:r>
                    <w:rPr>
                      <w:rFonts w:hint="eastAsia"/>
                    </w:rPr>
                    <w:t>东环110千伏变电站新建工程</w:t>
                  </w:r>
                </w:p>
              </w:tc>
              <w:tc>
                <w:tcPr>
                  <w:tcW w:w="935" w:type="pct"/>
                  <w:tcMar>
                    <w:left w:w="57" w:type="dxa"/>
                    <w:right w:w="57" w:type="dxa"/>
                  </w:tcMar>
                  <w:vAlign w:val="center"/>
                </w:tcPr>
                <w:p>
                  <w:pPr>
                    <w:pStyle w:val="82"/>
                    <w:rPr>
                      <w:color w:val="000000"/>
                    </w:rPr>
                  </w:pPr>
                  <w:r>
                    <w:rPr>
                      <w:rFonts w:hint="eastAsia"/>
                      <w:color w:val="000000"/>
                    </w:rPr>
                    <w:t>主体工程</w:t>
                  </w:r>
                </w:p>
              </w:tc>
              <w:tc>
                <w:tcPr>
                  <w:tcW w:w="3058" w:type="pct"/>
                  <w:gridSpan w:val="2"/>
                  <w:tcMar>
                    <w:left w:w="57" w:type="dxa"/>
                    <w:right w:w="57" w:type="dxa"/>
                  </w:tcMar>
                  <w:vAlign w:val="center"/>
                </w:tcPr>
                <w:p>
                  <w:pPr>
                    <w:pStyle w:val="82"/>
                    <w:jc w:val="both"/>
                    <w:rPr>
                      <w:color w:val="000000"/>
                    </w:rPr>
                  </w:pPr>
                  <w:r>
                    <w:rPr>
                      <w:rFonts w:hint="eastAsia"/>
                      <w:color w:val="000000"/>
                    </w:rPr>
                    <w:t>新建一座110kV户外变电站，本期新建主变2×50MVA，110kV出线2回（1回至交河220kV变电站，1回至番南220kV变电站），每台主变10kV侧配置2×5Mvar电容器</w:t>
                  </w:r>
                  <w:r>
                    <w:rPr>
                      <w:color w:val="000000"/>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57"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vMerge w:val="restart"/>
                  <w:tcMar>
                    <w:left w:w="57" w:type="dxa"/>
                    <w:right w:w="57" w:type="dxa"/>
                  </w:tcMar>
                  <w:vAlign w:val="center"/>
                </w:tcPr>
                <w:p>
                  <w:pPr>
                    <w:pStyle w:val="82"/>
                    <w:rPr>
                      <w:color w:val="000000"/>
                    </w:rPr>
                  </w:pPr>
                  <w:r>
                    <w:rPr>
                      <w:rFonts w:hint="eastAsia"/>
                      <w:color w:val="000000"/>
                    </w:rPr>
                    <w:t>公用及</w:t>
                  </w:r>
                  <w:r>
                    <w:rPr>
                      <w:color w:val="000000"/>
                    </w:rPr>
                    <w:t>辅助工程</w:t>
                  </w:r>
                </w:p>
              </w:tc>
              <w:tc>
                <w:tcPr>
                  <w:tcW w:w="847" w:type="pct"/>
                  <w:tcMar>
                    <w:left w:w="57" w:type="dxa"/>
                    <w:right w:w="57" w:type="dxa"/>
                  </w:tcMar>
                  <w:vAlign w:val="center"/>
                </w:tcPr>
                <w:p>
                  <w:pPr>
                    <w:pStyle w:val="82"/>
                    <w:rPr>
                      <w:color w:val="000000"/>
                    </w:rPr>
                  </w:pPr>
                  <w:r>
                    <w:rPr>
                      <w:color w:val="000000"/>
                    </w:rPr>
                    <w:t>进站道路</w:t>
                  </w:r>
                </w:p>
              </w:tc>
              <w:tc>
                <w:tcPr>
                  <w:tcW w:w="2211" w:type="pct"/>
                  <w:tcMar>
                    <w:left w:w="57" w:type="dxa"/>
                    <w:right w:w="57" w:type="dxa"/>
                  </w:tcMar>
                  <w:vAlign w:val="center"/>
                </w:tcPr>
                <w:p>
                  <w:pPr>
                    <w:pStyle w:val="82"/>
                    <w:jc w:val="both"/>
                    <w:rPr>
                      <w:color w:val="000000"/>
                    </w:rPr>
                  </w:pPr>
                  <w:r>
                    <w:rPr>
                      <w:color w:val="000000"/>
                    </w:rPr>
                    <w:t>新建进站道路长约50m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57"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vMerge w:val="continue"/>
                  <w:tcMar>
                    <w:left w:w="57" w:type="dxa"/>
                    <w:right w:w="57" w:type="dxa"/>
                  </w:tcMar>
                  <w:vAlign w:val="center"/>
                </w:tcPr>
                <w:p>
                  <w:pPr>
                    <w:pStyle w:val="82"/>
                    <w:rPr>
                      <w:color w:val="000000"/>
                    </w:rPr>
                  </w:pPr>
                </w:p>
              </w:tc>
              <w:tc>
                <w:tcPr>
                  <w:tcW w:w="847" w:type="pct"/>
                  <w:tcMar>
                    <w:left w:w="57" w:type="dxa"/>
                    <w:right w:w="57" w:type="dxa"/>
                  </w:tcMar>
                  <w:vAlign w:val="center"/>
                </w:tcPr>
                <w:p>
                  <w:pPr>
                    <w:pStyle w:val="82"/>
                    <w:rPr>
                      <w:color w:val="000000"/>
                    </w:rPr>
                  </w:pPr>
                  <w:r>
                    <w:rPr>
                      <w:color w:val="000000"/>
                    </w:rPr>
                    <w:t>生活设施及辅助生产用房</w:t>
                  </w:r>
                </w:p>
              </w:tc>
              <w:tc>
                <w:tcPr>
                  <w:tcW w:w="2211" w:type="pct"/>
                  <w:tcMar>
                    <w:left w:w="57" w:type="dxa"/>
                    <w:right w:w="57" w:type="dxa"/>
                  </w:tcMar>
                  <w:vAlign w:val="center"/>
                </w:tcPr>
                <w:p>
                  <w:pPr>
                    <w:pStyle w:val="82"/>
                    <w:jc w:val="both"/>
                    <w:rPr>
                      <w:color w:val="000000"/>
                    </w:rPr>
                  </w:pPr>
                  <w:r>
                    <w:rPr>
                      <w:color w:val="000000"/>
                    </w:rPr>
                    <w:t>新建</w:t>
                  </w:r>
                  <w:r>
                    <w:rPr>
                      <w:rFonts w:hint="eastAsia"/>
                      <w:color w:val="000000"/>
                    </w:rPr>
                    <w:t>二次设备室、35kV及10kV屋内配电装置室、辅助用房</w:t>
                  </w:r>
                  <w:r>
                    <w:rPr>
                      <w:color w:val="000000"/>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57"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vMerge w:val="continue"/>
                  <w:tcMar>
                    <w:left w:w="57" w:type="dxa"/>
                    <w:right w:w="57" w:type="dxa"/>
                  </w:tcMar>
                  <w:vAlign w:val="center"/>
                </w:tcPr>
                <w:p>
                  <w:pPr>
                    <w:pStyle w:val="82"/>
                    <w:rPr>
                      <w:color w:val="000000"/>
                    </w:rPr>
                  </w:pPr>
                </w:p>
              </w:tc>
              <w:tc>
                <w:tcPr>
                  <w:tcW w:w="847" w:type="pct"/>
                  <w:tcMar>
                    <w:left w:w="57" w:type="dxa"/>
                    <w:right w:w="57" w:type="dxa"/>
                  </w:tcMar>
                  <w:vAlign w:val="center"/>
                </w:tcPr>
                <w:p>
                  <w:pPr>
                    <w:pStyle w:val="82"/>
                    <w:rPr>
                      <w:color w:val="000000"/>
                    </w:rPr>
                  </w:pPr>
                  <w:r>
                    <w:rPr>
                      <w:color w:val="000000"/>
                    </w:rPr>
                    <w:t>给排水</w:t>
                  </w:r>
                </w:p>
              </w:tc>
              <w:tc>
                <w:tcPr>
                  <w:tcW w:w="2211" w:type="pct"/>
                  <w:tcMar>
                    <w:left w:w="57" w:type="dxa"/>
                    <w:right w:w="57" w:type="dxa"/>
                  </w:tcMar>
                  <w:vAlign w:val="center"/>
                </w:tcPr>
                <w:p>
                  <w:pPr>
                    <w:pStyle w:val="82"/>
                    <w:jc w:val="both"/>
                    <w:rPr>
                      <w:color w:val="000000"/>
                    </w:rPr>
                  </w:pPr>
                  <w:r>
                    <w:rPr>
                      <w:color w:val="000000"/>
                    </w:rPr>
                    <w:t>给水：</w:t>
                  </w:r>
                  <w:r>
                    <w:rPr>
                      <w:rFonts w:hint="eastAsia"/>
                      <w:color w:val="000000"/>
                    </w:rPr>
                    <w:t>采用外接水源的供水方式，供生产和生活用水</w:t>
                  </w:r>
                  <w:r>
                    <w:rPr>
                      <w:color w:val="000000"/>
                    </w:rPr>
                    <w:t>。</w:t>
                  </w:r>
                </w:p>
                <w:p>
                  <w:pPr>
                    <w:pStyle w:val="82"/>
                    <w:jc w:val="both"/>
                    <w:rPr>
                      <w:color w:val="000000"/>
                    </w:rPr>
                  </w:pPr>
                  <w:r>
                    <w:rPr>
                      <w:color w:val="000000"/>
                    </w:rPr>
                    <w:t>排水：采用雨污分流制，场地雨水采取散排及自渗排水，生活污水经化粪池处理后定期清理</w:t>
                  </w:r>
                  <w:r>
                    <w:rPr>
                      <w:rFonts w:hint="eastAsia"/>
                      <w:color w:val="000000"/>
                    </w:rPr>
                    <w:t>，不外排</w:t>
                  </w:r>
                  <w:r>
                    <w:rPr>
                      <w:color w:val="000000"/>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24"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vMerge w:val="restart"/>
                  <w:tcMar>
                    <w:left w:w="57" w:type="dxa"/>
                    <w:right w:w="57" w:type="dxa"/>
                  </w:tcMar>
                  <w:vAlign w:val="center"/>
                </w:tcPr>
                <w:p>
                  <w:pPr>
                    <w:pStyle w:val="82"/>
                    <w:rPr>
                      <w:color w:val="000000"/>
                    </w:rPr>
                  </w:pPr>
                  <w:r>
                    <w:rPr>
                      <w:color w:val="000000"/>
                      <w:lang w:bidi="ar"/>
                    </w:rPr>
                    <w:t>环保工程</w:t>
                  </w:r>
                </w:p>
              </w:tc>
              <w:tc>
                <w:tcPr>
                  <w:tcW w:w="847" w:type="pct"/>
                  <w:tcMar>
                    <w:left w:w="57" w:type="dxa"/>
                    <w:right w:w="57" w:type="dxa"/>
                  </w:tcMar>
                  <w:vAlign w:val="center"/>
                </w:tcPr>
                <w:p>
                  <w:pPr>
                    <w:pStyle w:val="82"/>
                    <w:rPr>
                      <w:color w:val="000000"/>
                    </w:rPr>
                  </w:pPr>
                  <w:r>
                    <w:rPr>
                      <w:color w:val="000000"/>
                    </w:rPr>
                    <w:t>事故油池</w:t>
                  </w:r>
                </w:p>
              </w:tc>
              <w:tc>
                <w:tcPr>
                  <w:tcW w:w="2211" w:type="pct"/>
                  <w:tcMar>
                    <w:left w:w="57" w:type="dxa"/>
                    <w:right w:w="57" w:type="dxa"/>
                  </w:tcMar>
                  <w:vAlign w:val="center"/>
                </w:tcPr>
                <w:p>
                  <w:pPr>
                    <w:pStyle w:val="82"/>
                    <w:jc w:val="both"/>
                    <w:rPr>
                      <w:color w:val="000000"/>
                    </w:rPr>
                  </w:pPr>
                  <w:r>
                    <w:rPr>
                      <w:color w:val="000000"/>
                    </w:rPr>
                    <w:t>建设一座有效容积为30m</w:t>
                  </w:r>
                  <w:r>
                    <w:rPr>
                      <w:color w:val="000000"/>
                      <w:vertAlign w:val="superscript"/>
                    </w:rPr>
                    <w:t>3</w:t>
                  </w:r>
                  <w:r>
                    <w:rPr>
                      <w:color w:val="000000"/>
                    </w:rPr>
                    <w:t>的主变压器事故油池</w:t>
                  </w:r>
                  <w:r>
                    <w:rPr>
                      <w:rFonts w:hint="eastAsia"/>
                      <w:color w:val="000000"/>
                    </w:rPr>
                    <w:t>，用于接入#</w:t>
                  </w:r>
                  <w:r>
                    <w:rPr>
                      <w:color w:val="000000"/>
                    </w:rPr>
                    <w:t>1</w:t>
                  </w:r>
                  <w:r>
                    <w:rPr>
                      <w:rFonts w:hint="eastAsia"/>
                      <w:color w:val="000000"/>
                    </w:rPr>
                    <w:t>、#</w:t>
                  </w:r>
                  <w:r>
                    <w:rPr>
                      <w:color w:val="000000"/>
                    </w:rPr>
                    <w:t>2</w:t>
                  </w:r>
                  <w:r>
                    <w:rPr>
                      <w:rFonts w:hint="eastAsia"/>
                      <w:color w:val="000000"/>
                    </w:rPr>
                    <w:t>主变压器和站用变事故状态下产生的废变压器油</w:t>
                  </w:r>
                  <w:r>
                    <w:rPr>
                      <w:color w:val="000000"/>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017"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vMerge w:val="continue"/>
                  <w:tcMar>
                    <w:left w:w="57" w:type="dxa"/>
                    <w:right w:w="57" w:type="dxa"/>
                  </w:tcMar>
                  <w:vAlign w:val="center"/>
                </w:tcPr>
                <w:p>
                  <w:pPr>
                    <w:pStyle w:val="82"/>
                    <w:ind w:firstLine="420"/>
                    <w:rPr>
                      <w:color w:val="000000"/>
                    </w:rPr>
                  </w:pPr>
                </w:p>
              </w:tc>
              <w:tc>
                <w:tcPr>
                  <w:tcW w:w="847" w:type="pct"/>
                  <w:tcMar>
                    <w:left w:w="57" w:type="dxa"/>
                    <w:right w:w="57" w:type="dxa"/>
                  </w:tcMar>
                  <w:vAlign w:val="center"/>
                </w:tcPr>
                <w:p>
                  <w:pPr>
                    <w:pStyle w:val="82"/>
                    <w:rPr>
                      <w:color w:val="000000"/>
                    </w:rPr>
                  </w:pPr>
                  <w:r>
                    <w:rPr>
                      <w:color w:val="000000"/>
                    </w:rPr>
                    <w:t>站内生活垃圾处置</w:t>
                  </w:r>
                </w:p>
              </w:tc>
              <w:tc>
                <w:tcPr>
                  <w:tcW w:w="2211" w:type="pct"/>
                  <w:tcMar>
                    <w:left w:w="57" w:type="dxa"/>
                    <w:right w:w="57" w:type="dxa"/>
                  </w:tcMar>
                  <w:vAlign w:val="center"/>
                </w:tcPr>
                <w:p>
                  <w:pPr>
                    <w:pStyle w:val="82"/>
                    <w:jc w:val="left"/>
                    <w:rPr>
                      <w:color w:val="000000"/>
                    </w:rPr>
                  </w:pPr>
                  <w:r>
                    <w:rPr>
                      <w:color w:val="000000"/>
                    </w:rPr>
                    <w:t>站内设置垃圾桶、笤帚等生活垃圾收集设施，生活垃圾经收集后由运维检修人员运送至当地生活垃圾转运点，最终交由环卫部门妥善处置。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017"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vMerge w:val="continue"/>
                  <w:tcMar>
                    <w:left w:w="57" w:type="dxa"/>
                    <w:right w:w="57" w:type="dxa"/>
                  </w:tcMar>
                  <w:vAlign w:val="center"/>
                </w:tcPr>
                <w:p>
                  <w:pPr>
                    <w:pStyle w:val="82"/>
                    <w:ind w:firstLine="420"/>
                    <w:rPr>
                      <w:color w:val="000000"/>
                    </w:rPr>
                  </w:pPr>
                </w:p>
              </w:tc>
              <w:tc>
                <w:tcPr>
                  <w:tcW w:w="847" w:type="pct"/>
                  <w:tcMar>
                    <w:left w:w="57" w:type="dxa"/>
                    <w:right w:w="57" w:type="dxa"/>
                  </w:tcMar>
                  <w:vAlign w:val="center"/>
                </w:tcPr>
                <w:p>
                  <w:pPr>
                    <w:pStyle w:val="82"/>
                    <w:rPr>
                      <w:color w:val="000000"/>
                    </w:rPr>
                  </w:pPr>
                  <w:r>
                    <w:rPr>
                      <w:color w:val="000000"/>
                    </w:rPr>
                    <w:t>站内生活污水处置</w:t>
                  </w:r>
                </w:p>
              </w:tc>
              <w:tc>
                <w:tcPr>
                  <w:tcW w:w="2211" w:type="pct"/>
                  <w:tcMar>
                    <w:left w:w="57" w:type="dxa"/>
                    <w:right w:w="57" w:type="dxa"/>
                  </w:tcMar>
                  <w:vAlign w:val="center"/>
                </w:tcPr>
                <w:p>
                  <w:pPr>
                    <w:pStyle w:val="82"/>
                    <w:jc w:val="left"/>
                    <w:rPr>
                      <w:color w:val="000000"/>
                    </w:rPr>
                  </w:pPr>
                  <w:r>
                    <w:rPr>
                      <w:color w:val="000000"/>
                    </w:rPr>
                    <w:t>站区新建1座化粪池，站区内生活污水经化粪池处理后定期清理</w:t>
                  </w:r>
                  <w:r>
                    <w:rPr>
                      <w:rFonts w:hint="eastAsia"/>
                      <w:color w:val="000000"/>
                    </w:rPr>
                    <w:t>，不外排</w:t>
                  </w:r>
                  <w:r>
                    <w:rPr>
                      <w:color w:val="000000"/>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vMerge w:val="restart"/>
                  <w:tcMar>
                    <w:left w:w="57" w:type="dxa"/>
                    <w:right w:w="57" w:type="dxa"/>
                  </w:tcMar>
                  <w:vAlign w:val="center"/>
                </w:tcPr>
                <w:p>
                  <w:pPr>
                    <w:pStyle w:val="82"/>
                    <w:rPr>
                      <w:color w:val="000000"/>
                    </w:rPr>
                  </w:pPr>
                  <w:r>
                    <w:rPr>
                      <w:rFonts w:hint="eastAsia"/>
                      <w:color w:val="000000"/>
                    </w:rPr>
                    <w:t>占地面积</w:t>
                  </w:r>
                </w:p>
              </w:tc>
              <w:tc>
                <w:tcPr>
                  <w:tcW w:w="847" w:type="pct"/>
                  <w:tcMar>
                    <w:left w:w="57" w:type="dxa"/>
                    <w:right w:w="57" w:type="dxa"/>
                  </w:tcMar>
                  <w:vAlign w:val="center"/>
                </w:tcPr>
                <w:p>
                  <w:pPr>
                    <w:pStyle w:val="82"/>
                    <w:rPr>
                      <w:color w:val="000000"/>
                    </w:rPr>
                  </w:pPr>
                  <w:r>
                    <w:rPr>
                      <w:rFonts w:hint="eastAsia"/>
                      <w:color w:val="000000"/>
                    </w:rPr>
                    <w:t>永久占地面积</w:t>
                  </w:r>
                </w:p>
              </w:tc>
              <w:tc>
                <w:tcPr>
                  <w:tcW w:w="2211" w:type="pct"/>
                  <w:vAlign w:val="center"/>
                </w:tcPr>
                <w:p>
                  <w:pPr>
                    <w:pStyle w:val="82"/>
                    <w:jc w:val="both"/>
                    <w:rPr>
                      <w:color w:val="000000"/>
                    </w:rPr>
                  </w:pPr>
                  <w:r>
                    <w:t>变电站总用地面积约0.5</w:t>
                  </w:r>
                  <w:r>
                    <w:rPr>
                      <w:rFonts w:hint="eastAsia"/>
                    </w:rPr>
                    <w:t>0</w:t>
                  </w:r>
                  <w:r>
                    <w:rPr>
                      <w:color w:val="000000"/>
                      <w:kern w:val="2"/>
                      <w:szCs w:val="24"/>
                    </w:rPr>
                    <w:t>hm²</w:t>
                  </w:r>
                  <w:r>
                    <w:t>，进站道路占地面积约0.0</w:t>
                  </w:r>
                  <w:r>
                    <w:rPr>
                      <w:rFonts w:hint="eastAsia"/>
                    </w:rPr>
                    <w:t>2</w:t>
                  </w:r>
                  <w:r>
                    <w:rPr>
                      <w:color w:val="000000"/>
                      <w:kern w:val="2"/>
                      <w:szCs w:val="24"/>
                    </w:rPr>
                    <w:t>hm²，边坡占地面积约0.0</w:t>
                  </w:r>
                  <w:r>
                    <w:rPr>
                      <w:rFonts w:hint="eastAsia"/>
                      <w:color w:val="000000"/>
                      <w:kern w:val="2"/>
                      <w:szCs w:val="24"/>
                    </w:rPr>
                    <w:t>5</w:t>
                  </w:r>
                  <w:r>
                    <w:rPr>
                      <w:color w:val="000000"/>
                      <w:kern w:val="2"/>
                      <w:szCs w:val="24"/>
                    </w:rPr>
                    <w:t>hm²，</w:t>
                  </w:r>
                  <w:r>
                    <w:t>围墙内占地面积为</w:t>
                  </w:r>
                  <w:r>
                    <w:rPr>
                      <w:color w:val="000000"/>
                      <w:kern w:val="2"/>
                      <w:szCs w:val="24"/>
                    </w:rPr>
                    <w:t>0.4</w:t>
                  </w:r>
                  <w:r>
                    <w:rPr>
                      <w:rFonts w:hint="eastAsia"/>
                      <w:color w:val="000000"/>
                      <w:kern w:val="2"/>
                      <w:szCs w:val="24"/>
                    </w:rPr>
                    <w:t>3</w:t>
                  </w:r>
                  <w:r>
                    <w:rPr>
                      <w:color w:val="000000"/>
                      <w:kern w:val="2"/>
                      <w:szCs w:val="24"/>
                    </w:rPr>
                    <w:t>hm²</w:t>
                  </w:r>
                  <w:r>
                    <w:rPr>
                      <w:color w:val="000000"/>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6"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vMerge w:val="continue"/>
                  <w:tcMar>
                    <w:left w:w="57" w:type="dxa"/>
                    <w:right w:w="57" w:type="dxa"/>
                  </w:tcMar>
                  <w:vAlign w:val="center"/>
                </w:tcPr>
                <w:p>
                  <w:pPr>
                    <w:pStyle w:val="82"/>
                    <w:rPr>
                      <w:color w:val="000000"/>
                    </w:rPr>
                  </w:pPr>
                </w:p>
              </w:tc>
              <w:tc>
                <w:tcPr>
                  <w:tcW w:w="847" w:type="pct"/>
                  <w:tcMar>
                    <w:left w:w="57" w:type="dxa"/>
                    <w:right w:w="57" w:type="dxa"/>
                  </w:tcMar>
                  <w:vAlign w:val="center"/>
                </w:tcPr>
                <w:p>
                  <w:pPr>
                    <w:pStyle w:val="82"/>
                  </w:pPr>
                  <w:r>
                    <w:rPr>
                      <w:rFonts w:hint="eastAsia"/>
                    </w:rPr>
                    <w:t>临时占地面积</w:t>
                  </w:r>
                </w:p>
              </w:tc>
              <w:tc>
                <w:tcPr>
                  <w:tcW w:w="2211" w:type="pct"/>
                  <w:vAlign w:val="center"/>
                </w:tcPr>
                <w:p>
                  <w:pPr>
                    <w:pStyle w:val="82"/>
                    <w:jc w:val="both"/>
                  </w:pPr>
                  <w:r>
                    <w:rPr>
                      <w:color w:val="000000"/>
                    </w:rPr>
                    <w:t>施工生产生活区0.50</w:t>
                  </w:r>
                  <w:r>
                    <w:rPr>
                      <w:color w:val="000000"/>
                      <w:kern w:val="2"/>
                      <w:szCs w:val="24"/>
                    </w:rPr>
                    <w:t>hm²</w:t>
                  </w:r>
                  <w:r>
                    <w:rPr>
                      <w:color w:val="000000"/>
                    </w:rPr>
                    <w:t>、</w:t>
                  </w:r>
                  <w:r>
                    <w:rPr>
                      <w:color w:val="000000"/>
                      <w:lang w:bidi="ar"/>
                    </w:rPr>
                    <w:t>站外供水管线区0.40</w:t>
                  </w:r>
                  <w:r>
                    <w:rPr>
                      <w:color w:val="000000"/>
                      <w:kern w:val="2"/>
                      <w:szCs w:val="24"/>
                    </w:rPr>
                    <w:t>hm²</w:t>
                  </w:r>
                  <w:r>
                    <w:rPr>
                      <w:color w:val="000000"/>
                      <w:lang w:bidi="ar"/>
                    </w:rPr>
                    <w:t>、临时施工电源区0.07</w:t>
                  </w:r>
                  <w:r>
                    <w:rPr>
                      <w:color w:val="000000"/>
                      <w:kern w:val="2"/>
                      <w:szCs w:val="24"/>
                    </w:rPr>
                    <w:t>hm²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942" w:type="pct"/>
                  <w:gridSpan w:val="2"/>
                  <w:tcMar>
                    <w:left w:w="57" w:type="dxa"/>
                    <w:right w:w="57" w:type="dxa"/>
                  </w:tcMar>
                  <w:vAlign w:val="center"/>
                </w:tcPr>
                <w:p>
                  <w:pPr>
                    <w:pStyle w:val="82"/>
                    <w:rPr>
                      <w:color w:val="000000"/>
                    </w:rPr>
                  </w:pPr>
                  <w:r>
                    <w:rPr>
                      <w:rFonts w:hint="eastAsia" w:ascii="FZFSK--GBK1-0" w:hAnsi="FZFSK--GBK1-0"/>
                      <w:color w:val="000000"/>
                    </w:rPr>
                    <w:t>番南变110千伏保护新增工程</w:t>
                  </w:r>
                </w:p>
              </w:tc>
              <w:tc>
                <w:tcPr>
                  <w:tcW w:w="3058" w:type="pct"/>
                  <w:gridSpan w:val="2"/>
                  <w:tcMar>
                    <w:left w:w="57" w:type="dxa"/>
                    <w:right w:w="57" w:type="dxa"/>
                  </w:tcMar>
                  <w:vAlign w:val="center"/>
                </w:tcPr>
                <w:p>
                  <w:pPr>
                    <w:pStyle w:val="82"/>
                    <w:jc w:val="both"/>
                    <w:rPr>
                      <w:color w:val="000000"/>
                    </w:rPr>
                  </w:pPr>
                  <w:r>
                    <w:rPr>
                      <w:rFonts w:hint="eastAsia"/>
                      <w:color w:val="000000"/>
                    </w:rPr>
                    <w:t>本工程拟利用番南220kV变电站站内2个已建的110kV备用间隔，站内仅涉及增加相应的线路保护装置。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942" w:type="pct"/>
                  <w:gridSpan w:val="2"/>
                  <w:tcMar>
                    <w:left w:w="57" w:type="dxa"/>
                    <w:right w:w="57" w:type="dxa"/>
                  </w:tcMar>
                  <w:vAlign w:val="center"/>
                </w:tcPr>
                <w:p>
                  <w:pPr>
                    <w:pStyle w:val="82"/>
                    <w:rPr>
                      <w:rFonts w:hint="eastAsia" w:ascii="FZFSK--GBK1-0" w:hAnsi="FZFSK--GBK1-0"/>
                      <w:color w:val="000000"/>
                    </w:rPr>
                  </w:pPr>
                  <w:r>
                    <w:rPr>
                      <w:rFonts w:hint="eastAsia" w:ascii="FZFSK--GBK1-0" w:hAnsi="FZFSK--GBK1-0"/>
                      <w:color w:val="000000"/>
                    </w:rPr>
                    <w:t>七泉湖变、交河变110千伏保护改造工程</w:t>
                  </w:r>
                </w:p>
              </w:tc>
              <w:tc>
                <w:tcPr>
                  <w:tcW w:w="3058" w:type="pct"/>
                  <w:gridSpan w:val="2"/>
                  <w:tcMar>
                    <w:left w:w="57" w:type="dxa"/>
                    <w:right w:w="57" w:type="dxa"/>
                  </w:tcMar>
                  <w:vAlign w:val="center"/>
                </w:tcPr>
                <w:p>
                  <w:pPr>
                    <w:pStyle w:val="82"/>
                    <w:jc w:val="both"/>
                    <w:rPr>
                      <w:color w:val="000000"/>
                    </w:rPr>
                  </w:pPr>
                  <w:r>
                    <w:rPr>
                      <w:rFonts w:hint="eastAsia"/>
                      <w:color w:val="000000"/>
                    </w:rPr>
                    <w:t>本期七泉湖变、交河变分别更换1套光纤电流差动保护装置，七泉湖变侧保护装置应与沙河子变配合使用，交河变侧保护装置应与东环变配合使用。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57" w:hRule="atLeast"/>
                <w:jc w:val="center"/>
              </w:trPr>
              <w:tc>
                <w:tcPr>
                  <w:tcW w:w="1942" w:type="pct"/>
                  <w:gridSpan w:val="2"/>
                  <w:tcMar>
                    <w:left w:w="57" w:type="dxa"/>
                    <w:right w:w="57" w:type="dxa"/>
                  </w:tcMar>
                  <w:vAlign w:val="center"/>
                </w:tcPr>
                <w:p>
                  <w:pPr>
                    <w:pStyle w:val="82"/>
                    <w:ind w:firstLine="422"/>
                    <w:rPr>
                      <w:b/>
                      <w:color w:val="000000"/>
                    </w:rPr>
                  </w:pPr>
                  <w:r>
                    <w:rPr>
                      <w:b/>
                      <w:color w:val="000000"/>
                    </w:rPr>
                    <w:t>建设内容</w:t>
                  </w:r>
                </w:p>
              </w:tc>
              <w:tc>
                <w:tcPr>
                  <w:tcW w:w="3058" w:type="pct"/>
                  <w:gridSpan w:val="2"/>
                  <w:tcMar>
                    <w:left w:w="57" w:type="dxa"/>
                    <w:right w:w="57" w:type="dxa"/>
                  </w:tcMar>
                  <w:vAlign w:val="center"/>
                </w:tcPr>
                <w:p>
                  <w:pPr>
                    <w:pStyle w:val="82"/>
                    <w:ind w:firstLine="422"/>
                    <w:rPr>
                      <w:b/>
                      <w:color w:val="000000"/>
                    </w:rPr>
                  </w:pPr>
                  <w:r>
                    <w:rPr>
                      <w:b/>
                      <w:color w:val="000000"/>
                    </w:rPr>
                    <w:t>规模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727" w:hRule="atLeast"/>
                <w:jc w:val="center"/>
              </w:trPr>
              <w:tc>
                <w:tcPr>
                  <w:tcW w:w="1007" w:type="pct"/>
                  <w:vMerge w:val="restart"/>
                  <w:tcMar>
                    <w:left w:w="57" w:type="dxa"/>
                    <w:right w:w="57" w:type="dxa"/>
                  </w:tcMar>
                  <w:vAlign w:val="center"/>
                </w:tcPr>
                <w:p>
                  <w:pPr>
                    <w:pStyle w:val="82"/>
                    <w:rPr>
                      <w:color w:val="000000"/>
                      <w:highlight w:val="yellow"/>
                    </w:rPr>
                  </w:pPr>
                  <w:r>
                    <w:rPr>
                      <w:rFonts w:hint="eastAsia"/>
                    </w:rPr>
                    <w:t>七泉湖~红旗π入番南变110千伏线路工程</w:t>
                  </w:r>
                </w:p>
              </w:tc>
              <w:tc>
                <w:tcPr>
                  <w:tcW w:w="935" w:type="pct"/>
                  <w:tcMar>
                    <w:left w:w="57" w:type="dxa"/>
                    <w:right w:w="57" w:type="dxa"/>
                  </w:tcMar>
                  <w:vAlign w:val="center"/>
                </w:tcPr>
                <w:p>
                  <w:pPr>
                    <w:pStyle w:val="82"/>
                    <w:rPr>
                      <w:color w:val="000000"/>
                    </w:rPr>
                  </w:pPr>
                  <w:r>
                    <w:rPr>
                      <w:color w:val="000000"/>
                    </w:rPr>
                    <w:t>线路路径长度</w:t>
                  </w:r>
                </w:p>
              </w:tc>
              <w:tc>
                <w:tcPr>
                  <w:tcW w:w="3058" w:type="pct"/>
                  <w:gridSpan w:val="2"/>
                  <w:tcMar>
                    <w:left w:w="57" w:type="dxa"/>
                    <w:right w:w="57" w:type="dxa"/>
                  </w:tcMar>
                  <w:vAlign w:val="center"/>
                </w:tcPr>
                <w:p>
                  <w:pPr>
                    <w:pStyle w:val="82"/>
                    <w:ind w:firstLine="420"/>
                    <w:rPr>
                      <w:color w:val="000000"/>
                    </w:rPr>
                  </w:pPr>
                  <w:r>
                    <w:rPr>
                      <w:color w:val="000000"/>
                    </w:rPr>
                    <w:t>2×7.8km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727" w:hRule="atLeast"/>
                <w:jc w:val="center"/>
              </w:trPr>
              <w:tc>
                <w:tcPr>
                  <w:tcW w:w="1007" w:type="pct"/>
                  <w:vMerge w:val="continue"/>
                  <w:tcMar>
                    <w:left w:w="57" w:type="dxa"/>
                    <w:right w:w="57" w:type="dxa"/>
                  </w:tcMar>
                  <w:vAlign w:val="center"/>
                </w:tcPr>
                <w:p>
                  <w:pPr>
                    <w:pStyle w:val="82"/>
                  </w:pPr>
                </w:p>
              </w:tc>
              <w:tc>
                <w:tcPr>
                  <w:tcW w:w="935" w:type="pct"/>
                  <w:tcMar>
                    <w:left w:w="57" w:type="dxa"/>
                    <w:right w:w="57" w:type="dxa"/>
                  </w:tcMar>
                  <w:vAlign w:val="center"/>
                </w:tcPr>
                <w:p>
                  <w:pPr>
                    <w:pStyle w:val="82"/>
                    <w:rPr>
                      <w:color w:val="000000"/>
                    </w:rPr>
                  </w:pPr>
                  <w:r>
                    <w:rPr>
                      <w:rFonts w:hint="eastAsia"/>
                      <w:color w:val="000000"/>
                    </w:rPr>
                    <w:t>架设方式</w:t>
                  </w:r>
                </w:p>
              </w:tc>
              <w:tc>
                <w:tcPr>
                  <w:tcW w:w="3058" w:type="pct"/>
                  <w:gridSpan w:val="2"/>
                  <w:tcMar>
                    <w:left w:w="57" w:type="dxa"/>
                    <w:right w:w="57" w:type="dxa"/>
                  </w:tcMar>
                  <w:vAlign w:val="center"/>
                </w:tcPr>
                <w:p>
                  <w:pPr>
                    <w:pStyle w:val="82"/>
                    <w:ind w:firstLine="420"/>
                    <w:rPr>
                      <w:color w:val="000000"/>
                    </w:rPr>
                  </w:pPr>
                  <w:r>
                    <w:rPr>
                      <w:rFonts w:hint="eastAsia"/>
                      <w:color w:val="000000"/>
                    </w:rPr>
                    <w:t>单、双回架空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92"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tcMar>
                    <w:left w:w="57" w:type="dxa"/>
                    <w:right w:w="57" w:type="dxa"/>
                  </w:tcMar>
                  <w:vAlign w:val="center"/>
                </w:tcPr>
                <w:p>
                  <w:pPr>
                    <w:pStyle w:val="82"/>
                    <w:rPr>
                      <w:color w:val="000000"/>
                    </w:rPr>
                  </w:pPr>
                  <w:r>
                    <w:rPr>
                      <w:color w:val="000000"/>
                    </w:rPr>
                    <w:t>新建铁塔数量</w:t>
                  </w:r>
                </w:p>
              </w:tc>
              <w:tc>
                <w:tcPr>
                  <w:tcW w:w="3058" w:type="pct"/>
                  <w:gridSpan w:val="2"/>
                  <w:tcMar>
                    <w:left w:w="57" w:type="dxa"/>
                    <w:right w:w="57" w:type="dxa"/>
                  </w:tcMar>
                  <w:vAlign w:val="center"/>
                </w:tcPr>
                <w:p>
                  <w:pPr>
                    <w:pStyle w:val="82"/>
                    <w:ind w:firstLine="420"/>
                    <w:rPr>
                      <w:color w:val="000000"/>
                    </w:rPr>
                  </w:pPr>
                  <w:r>
                    <w:rPr>
                      <w:color w:val="000000"/>
                    </w:rPr>
                    <w:t>56基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tcMar>
                    <w:left w:w="57" w:type="dxa"/>
                    <w:right w:w="57" w:type="dxa"/>
                  </w:tcMar>
                  <w:vAlign w:val="center"/>
                </w:tcPr>
                <w:p>
                  <w:pPr>
                    <w:pStyle w:val="82"/>
                    <w:rPr>
                      <w:color w:val="000000"/>
                    </w:rPr>
                  </w:pPr>
                  <w:r>
                    <w:rPr>
                      <w:rFonts w:hint="eastAsia"/>
                      <w:color w:val="000000"/>
                    </w:rPr>
                    <w:t>铁塔型式</w:t>
                  </w:r>
                </w:p>
              </w:tc>
              <w:tc>
                <w:tcPr>
                  <w:tcW w:w="3058" w:type="pct"/>
                  <w:gridSpan w:val="2"/>
                  <w:tcMar>
                    <w:left w:w="57" w:type="dxa"/>
                    <w:right w:w="57" w:type="dxa"/>
                  </w:tcMar>
                  <w:vAlign w:val="center"/>
                </w:tcPr>
                <w:p>
                  <w:pPr>
                    <w:pStyle w:val="82"/>
                    <w:ind w:firstLine="420"/>
                    <w:rPr>
                      <w:color w:val="000000"/>
                      <w:highlight w:val="yellow"/>
                    </w:rPr>
                  </w:pPr>
                  <w:r>
                    <w:rPr>
                      <w:rFonts w:hint="eastAsia"/>
                      <w:color w:val="000000"/>
                    </w:rPr>
                    <w:t>双回路终端耐张塔</w:t>
                  </w:r>
                  <w:r>
                    <w:rPr>
                      <w:color w:val="000000"/>
                    </w:rPr>
                    <w:t>1</w:t>
                  </w:r>
                  <w:r>
                    <w:rPr>
                      <w:rFonts w:hint="eastAsia"/>
                      <w:color w:val="000000"/>
                    </w:rPr>
                    <w:t>基、单回路直线塔4</w:t>
                  </w:r>
                  <w:r>
                    <w:rPr>
                      <w:color w:val="000000"/>
                    </w:rPr>
                    <w:t>4</w:t>
                  </w:r>
                  <w:r>
                    <w:rPr>
                      <w:rFonts w:hint="eastAsia"/>
                      <w:color w:val="000000"/>
                    </w:rPr>
                    <w:t>基、单回路耐张塔</w:t>
                  </w:r>
                  <w:r>
                    <w:rPr>
                      <w:color w:val="000000"/>
                    </w:rPr>
                    <w:t>11</w:t>
                  </w:r>
                  <w:r>
                    <w:rPr>
                      <w:rFonts w:hint="eastAsia"/>
                      <w:color w:val="000000"/>
                    </w:rPr>
                    <w:t>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50"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tcMar>
                    <w:left w:w="57" w:type="dxa"/>
                    <w:right w:w="57" w:type="dxa"/>
                  </w:tcMar>
                  <w:vAlign w:val="center"/>
                </w:tcPr>
                <w:p>
                  <w:pPr>
                    <w:pStyle w:val="82"/>
                    <w:rPr>
                      <w:color w:val="000000"/>
                    </w:rPr>
                  </w:pPr>
                  <w:r>
                    <w:rPr>
                      <w:rFonts w:hint="eastAsia"/>
                      <w:color w:val="000000"/>
                    </w:rPr>
                    <w:t>基础型式</w:t>
                  </w:r>
                </w:p>
              </w:tc>
              <w:tc>
                <w:tcPr>
                  <w:tcW w:w="3058" w:type="pct"/>
                  <w:gridSpan w:val="2"/>
                  <w:tcMar>
                    <w:left w:w="57" w:type="dxa"/>
                    <w:right w:w="57" w:type="dxa"/>
                  </w:tcMar>
                  <w:vAlign w:val="center"/>
                </w:tcPr>
                <w:p>
                  <w:pPr>
                    <w:pStyle w:val="82"/>
                    <w:ind w:firstLine="420"/>
                    <w:rPr>
                      <w:color w:val="000000"/>
                      <w:highlight w:val="yellow"/>
                    </w:rPr>
                  </w:pPr>
                  <w:r>
                    <w:rPr>
                      <w:rFonts w:ascii="宋体" w:hAnsi="宋体"/>
                      <w:color w:val="000000"/>
                      <w:kern w:val="2"/>
                      <w:szCs w:val="24"/>
                    </w:rPr>
                    <w:t>板式基础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39"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tcMar>
                    <w:left w:w="57" w:type="dxa"/>
                    <w:right w:w="57" w:type="dxa"/>
                  </w:tcMar>
                  <w:vAlign w:val="center"/>
                </w:tcPr>
                <w:p>
                  <w:pPr>
                    <w:pStyle w:val="82"/>
                    <w:rPr>
                      <w:color w:val="000000"/>
                    </w:rPr>
                  </w:pPr>
                  <w:r>
                    <w:rPr>
                      <w:color w:val="000000"/>
                    </w:rPr>
                    <w:t>导线型号</w:t>
                  </w:r>
                </w:p>
              </w:tc>
              <w:tc>
                <w:tcPr>
                  <w:tcW w:w="3058" w:type="pct"/>
                  <w:gridSpan w:val="2"/>
                  <w:tcMar>
                    <w:left w:w="57" w:type="dxa"/>
                    <w:right w:w="57" w:type="dxa"/>
                  </w:tcMar>
                  <w:vAlign w:val="center"/>
                </w:tcPr>
                <w:p>
                  <w:pPr>
                    <w:pStyle w:val="82"/>
                    <w:ind w:firstLine="420"/>
                    <w:rPr>
                      <w:color w:val="000000"/>
                    </w:rPr>
                  </w:pPr>
                  <w:r>
                    <w:rPr>
                      <w:color w:val="000000"/>
                      <w:kern w:val="2"/>
                    </w:rPr>
                    <w:t>JL3/G1A-240/30</w:t>
                  </w:r>
                  <w:r>
                    <w:rPr>
                      <w:color w:val="000000"/>
                    </w:rPr>
                    <w:t>型钢芯铝绞线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6"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tcMar>
                    <w:left w:w="57" w:type="dxa"/>
                    <w:right w:w="57" w:type="dxa"/>
                  </w:tcMar>
                  <w:vAlign w:val="center"/>
                </w:tcPr>
                <w:p>
                  <w:pPr>
                    <w:pStyle w:val="82"/>
                    <w:rPr>
                      <w:color w:val="000000"/>
                    </w:rPr>
                  </w:pPr>
                  <w:r>
                    <w:rPr>
                      <w:color w:val="000000"/>
                    </w:rPr>
                    <w:t>地线型号</w:t>
                  </w:r>
                </w:p>
              </w:tc>
              <w:tc>
                <w:tcPr>
                  <w:tcW w:w="3058" w:type="pct"/>
                  <w:gridSpan w:val="2"/>
                  <w:tcMar>
                    <w:left w:w="57" w:type="dxa"/>
                    <w:right w:w="57" w:type="dxa"/>
                  </w:tcMar>
                  <w:vAlign w:val="center"/>
                </w:tcPr>
                <w:p>
                  <w:pPr>
                    <w:pStyle w:val="82"/>
                    <w:rPr>
                      <w:color w:val="000000"/>
                    </w:rPr>
                  </w:pPr>
                  <w:r>
                    <w:rPr>
                      <w:color w:val="000000"/>
                      <w:kern w:val="2"/>
                      <w:szCs w:val="24"/>
                    </w:rPr>
                    <w:t>一根48芯OPGW光缆，一根采用GJ-80</w:t>
                  </w:r>
                  <w:r>
                    <w:rPr>
                      <w:rFonts w:hint="eastAsia"/>
                      <w:color w:val="000000"/>
                      <w:kern w:val="2"/>
                      <w:szCs w:val="24"/>
                    </w:rPr>
                    <w:t>型镀锌</w:t>
                  </w:r>
                  <w:r>
                    <w:rPr>
                      <w:color w:val="000000"/>
                      <w:kern w:val="2"/>
                      <w:szCs w:val="24"/>
                    </w:rPr>
                    <w:t>钢绞线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6"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tcMar>
                    <w:left w:w="57" w:type="dxa"/>
                    <w:right w:w="57" w:type="dxa"/>
                  </w:tcMar>
                  <w:vAlign w:val="center"/>
                </w:tcPr>
                <w:p>
                  <w:pPr>
                    <w:pStyle w:val="82"/>
                    <w:rPr>
                      <w:color w:val="000000"/>
                    </w:rPr>
                  </w:pPr>
                  <w:r>
                    <w:rPr>
                      <w:rFonts w:hint="eastAsia"/>
                      <w:color w:val="000000"/>
                    </w:rPr>
                    <w:t>拆除工程</w:t>
                  </w:r>
                </w:p>
              </w:tc>
              <w:tc>
                <w:tcPr>
                  <w:tcW w:w="3058" w:type="pct"/>
                  <w:gridSpan w:val="2"/>
                  <w:tcMar>
                    <w:left w:w="57" w:type="dxa"/>
                    <w:right w:w="57" w:type="dxa"/>
                  </w:tcMar>
                  <w:vAlign w:val="center"/>
                </w:tcPr>
                <w:p>
                  <w:pPr>
                    <w:pStyle w:val="82"/>
                    <w:rPr>
                      <w:rFonts w:hint="eastAsia" w:ascii="宋体" w:hAnsi="宋体"/>
                      <w:color w:val="000000"/>
                      <w:kern w:val="2"/>
                      <w:szCs w:val="24"/>
                    </w:rPr>
                  </w:pPr>
                  <w:r>
                    <w:rPr>
                      <w:rFonts w:hint="eastAsia" w:ascii="宋体" w:hAnsi="宋体"/>
                      <w:color w:val="000000"/>
                      <w:kern w:val="2"/>
                      <w:szCs w:val="24"/>
                    </w:rPr>
                    <w:t>拆除</w:t>
                  </w:r>
                  <w:r>
                    <w:rPr>
                      <w:rFonts w:hint="eastAsia" w:ascii="FZFSK--GBK1-0" w:hAnsi="FZFSK--GBK1-0"/>
                      <w:color w:val="000000"/>
                    </w:rPr>
                    <w:t>1</w:t>
                  </w:r>
                  <w:r>
                    <w:rPr>
                      <w:rFonts w:ascii="FZFSK--GBK1-0" w:hAnsi="FZFSK--GBK1-0"/>
                      <w:color w:val="000000"/>
                    </w:rPr>
                    <w:t>10kV</w:t>
                  </w:r>
                  <w:r>
                    <w:rPr>
                      <w:rFonts w:hint="eastAsia" w:ascii="FZFSK--GBK1-0" w:hAnsi="FZFSK--GBK1-0"/>
                      <w:color w:val="000000"/>
                    </w:rPr>
                    <w:t>七旗</w:t>
                  </w:r>
                  <w:r>
                    <w:rPr>
                      <w:color w:val="000000"/>
                    </w:rPr>
                    <w:t>Ⅰ</w:t>
                  </w:r>
                  <w:r>
                    <w:rPr>
                      <w:rFonts w:hint="eastAsia" w:ascii="FZFSK--GBK1-0" w:hAnsi="FZFSK--GBK1-0"/>
                      <w:color w:val="000000"/>
                    </w:rPr>
                    <w:t>线1</w:t>
                  </w:r>
                  <w:r>
                    <w:rPr>
                      <w:rFonts w:ascii="FZFSK--GBK1-0" w:hAnsi="FZFSK--GBK1-0"/>
                      <w:color w:val="000000"/>
                    </w:rPr>
                    <w:t>3</w:t>
                  </w:r>
                  <w:r>
                    <w:rPr>
                      <w:rFonts w:hint="eastAsia" w:ascii="FZFSK--GBK1-0" w:hAnsi="FZFSK--GBK1-0"/>
                      <w:color w:val="000000"/>
                    </w:rPr>
                    <w:t>5#杆塔</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6" w:hRule="atLeast"/>
                <w:jc w:val="center"/>
              </w:trPr>
              <w:tc>
                <w:tcPr>
                  <w:tcW w:w="1007" w:type="pct"/>
                  <w:vMerge w:val="restart"/>
                  <w:tcMar>
                    <w:left w:w="57" w:type="dxa"/>
                    <w:right w:w="57" w:type="dxa"/>
                  </w:tcMar>
                  <w:vAlign w:val="center"/>
                </w:tcPr>
                <w:p>
                  <w:pPr>
                    <w:pStyle w:val="82"/>
                    <w:jc w:val="both"/>
                    <w:rPr>
                      <w:color w:val="000000"/>
                      <w:highlight w:val="yellow"/>
                    </w:rPr>
                  </w:pPr>
                  <w:r>
                    <w:rPr>
                      <w:rFonts w:hint="eastAsia"/>
                    </w:rPr>
                    <w:t>七泉湖~番南改接入沙河子变110千伏线路工程</w:t>
                  </w:r>
                </w:p>
              </w:tc>
              <w:tc>
                <w:tcPr>
                  <w:tcW w:w="935" w:type="pct"/>
                  <w:tcMar>
                    <w:left w:w="57" w:type="dxa"/>
                    <w:right w:w="57" w:type="dxa"/>
                  </w:tcMar>
                  <w:vAlign w:val="center"/>
                </w:tcPr>
                <w:p>
                  <w:pPr>
                    <w:pStyle w:val="82"/>
                    <w:rPr>
                      <w:color w:val="000000"/>
                    </w:rPr>
                  </w:pPr>
                  <w:r>
                    <w:rPr>
                      <w:color w:val="000000"/>
                    </w:rPr>
                    <w:t>线路路径长度</w:t>
                  </w:r>
                </w:p>
              </w:tc>
              <w:tc>
                <w:tcPr>
                  <w:tcW w:w="3058" w:type="pct"/>
                  <w:gridSpan w:val="2"/>
                  <w:tcMar>
                    <w:left w:w="57" w:type="dxa"/>
                    <w:right w:w="57" w:type="dxa"/>
                  </w:tcMar>
                  <w:vAlign w:val="center"/>
                </w:tcPr>
                <w:p>
                  <w:pPr>
                    <w:pStyle w:val="82"/>
                    <w:ind w:firstLine="420"/>
                    <w:rPr>
                      <w:color w:val="000000"/>
                    </w:rPr>
                  </w:pPr>
                  <w:r>
                    <w:rPr>
                      <w:rFonts w:hint="eastAsia"/>
                      <w:color w:val="000000"/>
                    </w:rPr>
                    <w:t>线路全长约1km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6"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tcMar>
                    <w:left w:w="57" w:type="dxa"/>
                    <w:right w:w="57" w:type="dxa"/>
                  </w:tcMar>
                  <w:vAlign w:val="center"/>
                </w:tcPr>
                <w:p>
                  <w:pPr>
                    <w:pStyle w:val="82"/>
                    <w:rPr>
                      <w:color w:val="000000"/>
                    </w:rPr>
                  </w:pPr>
                  <w:r>
                    <w:rPr>
                      <w:rFonts w:hint="eastAsia"/>
                      <w:color w:val="000000"/>
                    </w:rPr>
                    <w:t>架设方式</w:t>
                  </w:r>
                </w:p>
              </w:tc>
              <w:tc>
                <w:tcPr>
                  <w:tcW w:w="3058" w:type="pct"/>
                  <w:gridSpan w:val="2"/>
                  <w:tcMar>
                    <w:left w:w="57" w:type="dxa"/>
                    <w:right w:w="57" w:type="dxa"/>
                  </w:tcMar>
                  <w:vAlign w:val="center"/>
                </w:tcPr>
                <w:p>
                  <w:pPr>
                    <w:pStyle w:val="82"/>
                    <w:ind w:firstLine="420"/>
                    <w:rPr>
                      <w:color w:val="000000"/>
                    </w:rPr>
                  </w:pPr>
                  <w:r>
                    <w:rPr>
                      <w:rFonts w:hint="eastAsia"/>
                      <w:color w:val="000000"/>
                    </w:rPr>
                    <w:t>单回架空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6"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tcMar>
                    <w:left w:w="57" w:type="dxa"/>
                    <w:right w:w="57" w:type="dxa"/>
                  </w:tcMar>
                  <w:vAlign w:val="center"/>
                </w:tcPr>
                <w:p>
                  <w:pPr>
                    <w:pStyle w:val="82"/>
                    <w:rPr>
                      <w:color w:val="000000"/>
                    </w:rPr>
                  </w:pPr>
                  <w:r>
                    <w:rPr>
                      <w:color w:val="000000"/>
                    </w:rPr>
                    <w:t>新建铁塔数量</w:t>
                  </w:r>
                </w:p>
              </w:tc>
              <w:tc>
                <w:tcPr>
                  <w:tcW w:w="3058" w:type="pct"/>
                  <w:gridSpan w:val="2"/>
                  <w:tcMar>
                    <w:left w:w="57" w:type="dxa"/>
                    <w:right w:w="57" w:type="dxa"/>
                  </w:tcMar>
                  <w:vAlign w:val="center"/>
                </w:tcPr>
                <w:p>
                  <w:pPr>
                    <w:pStyle w:val="82"/>
                    <w:ind w:firstLine="420"/>
                    <w:rPr>
                      <w:color w:val="000000"/>
                    </w:rPr>
                  </w:pPr>
                  <w:r>
                    <w:rPr>
                      <w:color w:val="000000"/>
                    </w:rPr>
                    <w:t>4基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6"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tcMar>
                    <w:left w:w="57" w:type="dxa"/>
                    <w:right w:w="57" w:type="dxa"/>
                  </w:tcMar>
                  <w:vAlign w:val="center"/>
                </w:tcPr>
                <w:p>
                  <w:pPr>
                    <w:pStyle w:val="82"/>
                    <w:rPr>
                      <w:color w:val="000000"/>
                    </w:rPr>
                  </w:pPr>
                  <w:r>
                    <w:rPr>
                      <w:rFonts w:hint="eastAsia"/>
                      <w:color w:val="000000"/>
                    </w:rPr>
                    <w:t>铁塔型式</w:t>
                  </w:r>
                </w:p>
              </w:tc>
              <w:tc>
                <w:tcPr>
                  <w:tcW w:w="3058" w:type="pct"/>
                  <w:gridSpan w:val="2"/>
                  <w:tcMar>
                    <w:left w:w="57" w:type="dxa"/>
                    <w:right w:w="57" w:type="dxa"/>
                  </w:tcMar>
                  <w:vAlign w:val="center"/>
                </w:tcPr>
                <w:p>
                  <w:pPr>
                    <w:pStyle w:val="82"/>
                    <w:ind w:firstLine="420"/>
                    <w:rPr>
                      <w:color w:val="000000"/>
                      <w:highlight w:val="yellow"/>
                    </w:rPr>
                  </w:pPr>
                  <w:r>
                    <w:rPr>
                      <w:rFonts w:hint="eastAsia"/>
                      <w:color w:val="000000"/>
                    </w:rPr>
                    <w:t>单回路直线塔</w:t>
                  </w:r>
                  <w:r>
                    <w:rPr>
                      <w:color w:val="000000"/>
                    </w:rPr>
                    <w:t>2</w:t>
                  </w:r>
                  <w:r>
                    <w:rPr>
                      <w:rFonts w:hint="eastAsia"/>
                      <w:color w:val="000000"/>
                    </w:rPr>
                    <w:t>基、单回路耐张塔</w:t>
                  </w:r>
                  <w:r>
                    <w:rPr>
                      <w:color w:val="000000"/>
                    </w:rPr>
                    <w:t>2</w:t>
                  </w:r>
                  <w:r>
                    <w:rPr>
                      <w:rFonts w:hint="eastAsia"/>
                      <w:color w:val="000000"/>
                    </w:rPr>
                    <w:t>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6"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tcMar>
                    <w:left w:w="57" w:type="dxa"/>
                    <w:right w:w="57" w:type="dxa"/>
                  </w:tcMar>
                  <w:vAlign w:val="center"/>
                </w:tcPr>
                <w:p>
                  <w:pPr>
                    <w:pStyle w:val="82"/>
                    <w:rPr>
                      <w:color w:val="000000"/>
                    </w:rPr>
                  </w:pPr>
                  <w:r>
                    <w:rPr>
                      <w:rFonts w:hint="eastAsia"/>
                      <w:color w:val="000000"/>
                    </w:rPr>
                    <w:t>基础型式</w:t>
                  </w:r>
                </w:p>
              </w:tc>
              <w:tc>
                <w:tcPr>
                  <w:tcW w:w="3058" w:type="pct"/>
                  <w:gridSpan w:val="2"/>
                  <w:tcMar>
                    <w:left w:w="57" w:type="dxa"/>
                    <w:right w:w="57" w:type="dxa"/>
                  </w:tcMar>
                  <w:vAlign w:val="center"/>
                </w:tcPr>
                <w:p>
                  <w:pPr>
                    <w:pStyle w:val="82"/>
                    <w:ind w:firstLine="420"/>
                    <w:rPr>
                      <w:color w:val="000000"/>
                      <w:highlight w:val="yellow"/>
                    </w:rPr>
                  </w:pPr>
                  <w:r>
                    <w:rPr>
                      <w:rFonts w:ascii="宋体" w:hAnsi="宋体"/>
                      <w:color w:val="000000"/>
                      <w:kern w:val="2"/>
                      <w:szCs w:val="24"/>
                    </w:rPr>
                    <w:t>板式基础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6"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tcMar>
                    <w:left w:w="57" w:type="dxa"/>
                    <w:right w:w="57" w:type="dxa"/>
                  </w:tcMar>
                  <w:vAlign w:val="center"/>
                </w:tcPr>
                <w:p>
                  <w:pPr>
                    <w:pStyle w:val="82"/>
                    <w:rPr>
                      <w:color w:val="000000"/>
                    </w:rPr>
                  </w:pPr>
                  <w:r>
                    <w:rPr>
                      <w:color w:val="000000"/>
                    </w:rPr>
                    <w:t>导线型号</w:t>
                  </w:r>
                </w:p>
              </w:tc>
              <w:tc>
                <w:tcPr>
                  <w:tcW w:w="3058" w:type="pct"/>
                  <w:gridSpan w:val="2"/>
                  <w:tcMar>
                    <w:left w:w="57" w:type="dxa"/>
                    <w:right w:w="57" w:type="dxa"/>
                  </w:tcMar>
                  <w:vAlign w:val="center"/>
                </w:tcPr>
                <w:p>
                  <w:pPr>
                    <w:pStyle w:val="82"/>
                    <w:ind w:firstLine="420"/>
                    <w:rPr>
                      <w:color w:val="000000"/>
                    </w:rPr>
                  </w:pPr>
                  <w:r>
                    <w:rPr>
                      <w:color w:val="000000"/>
                      <w:kern w:val="2"/>
                    </w:rPr>
                    <w:t>JL3/G1A-240/30</w:t>
                  </w:r>
                  <w:r>
                    <w:rPr>
                      <w:color w:val="000000"/>
                    </w:rPr>
                    <w:t>型钢芯铝绞线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6"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tcMar>
                    <w:left w:w="57" w:type="dxa"/>
                    <w:right w:w="57" w:type="dxa"/>
                  </w:tcMar>
                  <w:vAlign w:val="center"/>
                </w:tcPr>
                <w:p>
                  <w:pPr>
                    <w:pStyle w:val="82"/>
                    <w:rPr>
                      <w:color w:val="000000"/>
                    </w:rPr>
                  </w:pPr>
                  <w:r>
                    <w:rPr>
                      <w:color w:val="000000"/>
                    </w:rPr>
                    <w:t>地线型号</w:t>
                  </w:r>
                </w:p>
              </w:tc>
              <w:tc>
                <w:tcPr>
                  <w:tcW w:w="3058" w:type="pct"/>
                  <w:gridSpan w:val="2"/>
                  <w:tcMar>
                    <w:left w:w="57" w:type="dxa"/>
                    <w:right w:w="57" w:type="dxa"/>
                  </w:tcMar>
                  <w:vAlign w:val="center"/>
                </w:tcPr>
                <w:p>
                  <w:pPr>
                    <w:pStyle w:val="82"/>
                    <w:rPr>
                      <w:color w:val="000000"/>
                    </w:rPr>
                  </w:pPr>
                  <w:r>
                    <w:rPr>
                      <w:color w:val="000000"/>
                      <w:kern w:val="2"/>
                      <w:szCs w:val="24"/>
                    </w:rPr>
                    <w:t>一根48芯OPGW光缆，一根采用GJ-80</w:t>
                  </w:r>
                  <w:r>
                    <w:rPr>
                      <w:rFonts w:hint="eastAsia"/>
                      <w:color w:val="000000"/>
                      <w:kern w:val="2"/>
                      <w:szCs w:val="24"/>
                    </w:rPr>
                    <w:t>型镀锌</w:t>
                  </w:r>
                  <w:r>
                    <w:rPr>
                      <w:color w:val="000000"/>
                      <w:kern w:val="2"/>
                      <w:szCs w:val="24"/>
                    </w:rPr>
                    <w:t>钢绞线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6"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tcMar>
                    <w:left w:w="57" w:type="dxa"/>
                    <w:right w:w="57" w:type="dxa"/>
                  </w:tcMar>
                  <w:vAlign w:val="center"/>
                </w:tcPr>
                <w:p>
                  <w:pPr>
                    <w:pStyle w:val="82"/>
                    <w:rPr>
                      <w:color w:val="000000"/>
                    </w:rPr>
                  </w:pPr>
                  <w:r>
                    <w:rPr>
                      <w:rFonts w:hint="eastAsia"/>
                      <w:color w:val="000000"/>
                    </w:rPr>
                    <w:t>拆除工程</w:t>
                  </w:r>
                </w:p>
              </w:tc>
              <w:tc>
                <w:tcPr>
                  <w:tcW w:w="3058" w:type="pct"/>
                  <w:gridSpan w:val="2"/>
                  <w:tcMar>
                    <w:left w:w="57" w:type="dxa"/>
                    <w:right w:w="57" w:type="dxa"/>
                  </w:tcMar>
                  <w:vAlign w:val="center"/>
                </w:tcPr>
                <w:p>
                  <w:pPr>
                    <w:pStyle w:val="82"/>
                    <w:jc w:val="both"/>
                    <w:rPr>
                      <w:rFonts w:hint="eastAsia" w:ascii="FZFSK--GBK1-0" w:hAnsi="FZFSK--GBK1-0"/>
                      <w:color w:val="000000"/>
                      <w:kern w:val="2"/>
                    </w:rPr>
                  </w:pPr>
                  <w:r>
                    <w:rPr>
                      <w:rFonts w:hint="eastAsia" w:ascii="宋体" w:hAnsi="宋体"/>
                      <w:color w:val="000000"/>
                      <w:kern w:val="2"/>
                      <w:szCs w:val="24"/>
                    </w:rPr>
                    <w:t>拆除</w:t>
                  </w:r>
                  <w:r>
                    <w:rPr>
                      <w:rFonts w:hint="eastAsia" w:ascii="FZFSK--GBK1-0" w:hAnsi="FZFSK--GBK1-0"/>
                      <w:color w:val="000000"/>
                    </w:rPr>
                    <w:t>1</w:t>
                  </w:r>
                  <w:r>
                    <w:rPr>
                      <w:rFonts w:ascii="FZFSK--GBK1-0" w:hAnsi="FZFSK--GBK1-0"/>
                      <w:color w:val="000000"/>
                    </w:rPr>
                    <w:t>10kV</w:t>
                  </w:r>
                  <w:r>
                    <w:rPr>
                      <w:rFonts w:hint="eastAsia" w:ascii="FZFSK--GBK1-0" w:hAnsi="FZFSK--GBK1-0"/>
                      <w:color w:val="000000"/>
                    </w:rPr>
                    <w:t>七</w:t>
                  </w:r>
                  <w:r>
                    <w:rPr>
                      <w:color w:val="000000"/>
                    </w:rPr>
                    <w:t>旗Ⅰ线75#杆塔、110kV交沙Ⅱ线67#杆塔，拆除导线0.225km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6" w:hRule="atLeast"/>
                <w:jc w:val="center"/>
              </w:trPr>
              <w:tc>
                <w:tcPr>
                  <w:tcW w:w="1007" w:type="pct"/>
                  <w:vMerge w:val="restart"/>
                  <w:tcMar>
                    <w:left w:w="57" w:type="dxa"/>
                    <w:right w:w="57" w:type="dxa"/>
                  </w:tcMar>
                  <w:vAlign w:val="center"/>
                </w:tcPr>
                <w:p>
                  <w:pPr>
                    <w:pStyle w:val="82"/>
                    <w:jc w:val="both"/>
                  </w:pPr>
                  <w:r>
                    <w:rPr>
                      <w:rFonts w:hint="eastAsia"/>
                    </w:rPr>
                    <w:t>七泉湖~番南改接入交河变110千伏线路工程</w:t>
                  </w:r>
                </w:p>
              </w:tc>
              <w:tc>
                <w:tcPr>
                  <w:tcW w:w="935" w:type="pct"/>
                  <w:tcMar>
                    <w:left w:w="57" w:type="dxa"/>
                    <w:right w:w="57" w:type="dxa"/>
                  </w:tcMar>
                  <w:vAlign w:val="center"/>
                </w:tcPr>
                <w:p>
                  <w:pPr>
                    <w:pStyle w:val="82"/>
                    <w:rPr>
                      <w:color w:val="000000"/>
                    </w:rPr>
                  </w:pPr>
                  <w:r>
                    <w:rPr>
                      <w:color w:val="000000"/>
                    </w:rPr>
                    <w:t>线路路径长度</w:t>
                  </w:r>
                </w:p>
              </w:tc>
              <w:tc>
                <w:tcPr>
                  <w:tcW w:w="3058" w:type="pct"/>
                  <w:gridSpan w:val="2"/>
                  <w:tcMar>
                    <w:left w:w="57" w:type="dxa"/>
                    <w:right w:w="57" w:type="dxa"/>
                  </w:tcMar>
                  <w:vAlign w:val="center"/>
                </w:tcPr>
                <w:p>
                  <w:pPr>
                    <w:pStyle w:val="82"/>
                    <w:rPr>
                      <w:rFonts w:hint="eastAsia" w:ascii="宋体" w:hAnsi="宋体"/>
                      <w:color w:val="000000"/>
                      <w:kern w:val="2"/>
                      <w:szCs w:val="24"/>
                    </w:rPr>
                  </w:pPr>
                  <w:r>
                    <w:rPr>
                      <w:rFonts w:hint="eastAsia"/>
                      <w:color w:val="000000"/>
                    </w:rPr>
                    <w:t>线路全长约1km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6"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tcMar>
                    <w:left w:w="57" w:type="dxa"/>
                    <w:right w:w="57" w:type="dxa"/>
                  </w:tcMar>
                  <w:vAlign w:val="center"/>
                </w:tcPr>
                <w:p>
                  <w:pPr>
                    <w:pStyle w:val="82"/>
                    <w:rPr>
                      <w:color w:val="000000"/>
                    </w:rPr>
                  </w:pPr>
                  <w:r>
                    <w:rPr>
                      <w:rFonts w:hint="eastAsia"/>
                      <w:color w:val="000000"/>
                    </w:rPr>
                    <w:t>架设方式</w:t>
                  </w:r>
                </w:p>
              </w:tc>
              <w:tc>
                <w:tcPr>
                  <w:tcW w:w="3058" w:type="pct"/>
                  <w:gridSpan w:val="2"/>
                  <w:tcMar>
                    <w:left w:w="57" w:type="dxa"/>
                    <w:right w:w="57" w:type="dxa"/>
                  </w:tcMar>
                  <w:vAlign w:val="center"/>
                </w:tcPr>
                <w:p>
                  <w:pPr>
                    <w:pStyle w:val="82"/>
                    <w:rPr>
                      <w:rFonts w:hint="eastAsia" w:ascii="宋体" w:hAnsi="宋体"/>
                      <w:color w:val="000000"/>
                      <w:kern w:val="2"/>
                      <w:szCs w:val="24"/>
                    </w:rPr>
                  </w:pPr>
                  <w:r>
                    <w:rPr>
                      <w:rFonts w:hint="eastAsia"/>
                      <w:color w:val="000000"/>
                    </w:rPr>
                    <w:t>单回架空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6"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tcMar>
                    <w:left w:w="57" w:type="dxa"/>
                    <w:right w:w="57" w:type="dxa"/>
                  </w:tcMar>
                  <w:vAlign w:val="center"/>
                </w:tcPr>
                <w:p>
                  <w:pPr>
                    <w:pStyle w:val="82"/>
                    <w:rPr>
                      <w:color w:val="000000"/>
                    </w:rPr>
                  </w:pPr>
                  <w:r>
                    <w:rPr>
                      <w:color w:val="000000"/>
                    </w:rPr>
                    <w:t>新建铁塔数量</w:t>
                  </w:r>
                </w:p>
              </w:tc>
              <w:tc>
                <w:tcPr>
                  <w:tcW w:w="3058" w:type="pct"/>
                  <w:gridSpan w:val="2"/>
                  <w:tcMar>
                    <w:left w:w="57" w:type="dxa"/>
                    <w:right w:w="57" w:type="dxa"/>
                  </w:tcMar>
                  <w:vAlign w:val="center"/>
                </w:tcPr>
                <w:p>
                  <w:pPr>
                    <w:pStyle w:val="82"/>
                    <w:rPr>
                      <w:rFonts w:hint="eastAsia" w:ascii="宋体" w:hAnsi="宋体"/>
                      <w:color w:val="000000"/>
                      <w:kern w:val="2"/>
                      <w:szCs w:val="24"/>
                    </w:rPr>
                  </w:pPr>
                  <w:r>
                    <w:rPr>
                      <w:color w:val="000000"/>
                    </w:rPr>
                    <w:t>4基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6"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tcMar>
                    <w:left w:w="57" w:type="dxa"/>
                    <w:right w:w="57" w:type="dxa"/>
                  </w:tcMar>
                  <w:vAlign w:val="center"/>
                </w:tcPr>
                <w:p>
                  <w:pPr>
                    <w:pStyle w:val="82"/>
                    <w:rPr>
                      <w:color w:val="000000"/>
                    </w:rPr>
                  </w:pPr>
                  <w:r>
                    <w:rPr>
                      <w:rFonts w:hint="eastAsia"/>
                      <w:color w:val="000000"/>
                    </w:rPr>
                    <w:t>铁塔型式</w:t>
                  </w:r>
                </w:p>
              </w:tc>
              <w:tc>
                <w:tcPr>
                  <w:tcW w:w="3058" w:type="pct"/>
                  <w:gridSpan w:val="2"/>
                  <w:tcMar>
                    <w:left w:w="57" w:type="dxa"/>
                    <w:right w:w="57" w:type="dxa"/>
                  </w:tcMar>
                  <w:vAlign w:val="center"/>
                </w:tcPr>
                <w:p>
                  <w:pPr>
                    <w:pStyle w:val="82"/>
                    <w:rPr>
                      <w:rFonts w:hint="eastAsia" w:ascii="宋体" w:hAnsi="宋体"/>
                      <w:color w:val="000000"/>
                      <w:kern w:val="2"/>
                      <w:szCs w:val="24"/>
                    </w:rPr>
                  </w:pPr>
                  <w:r>
                    <w:rPr>
                      <w:rFonts w:hint="eastAsia"/>
                      <w:color w:val="000000"/>
                    </w:rPr>
                    <w:t>单回路直线塔</w:t>
                  </w:r>
                  <w:r>
                    <w:rPr>
                      <w:color w:val="000000"/>
                    </w:rPr>
                    <w:t>2</w:t>
                  </w:r>
                  <w:r>
                    <w:rPr>
                      <w:rFonts w:hint="eastAsia"/>
                      <w:color w:val="000000"/>
                    </w:rPr>
                    <w:t>基、单回路耐张塔</w:t>
                  </w:r>
                  <w:r>
                    <w:rPr>
                      <w:color w:val="000000"/>
                    </w:rPr>
                    <w:t>2</w:t>
                  </w:r>
                  <w:r>
                    <w:rPr>
                      <w:rFonts w:hint="eastAsia"/>
                      <w:color w:val="000000"/>
                    </w:rPr>
                    <w:t>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6"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tcMar>
                    <w:left w:w="57" w:type="dxa"/>
                    <w:right w:w="57" w:type="dxa"/>
                  </w:tcMar>
                  <w:vAlign w:val="center"/>
                </w:tcPr>
                <w:p>
                  <w:pPr>
                    <w:pStyle w:val="82"/>
                    <w:rPr>
                      <w:color w:val="000000"/>
                    </w:rPr>
                  </w:pPr>
                  <w:r>
                    <w:rPr>
                      <w:rFonts w:hint="eastAsia"/>
                      <w:color w:val="000000"/>
                    </w:rPr>
                    <w:t>基础型式</w:t>
                  </w:r>
                </w:p>
              </w:tc>
              <w:tc>
                <w:tcPr>
                  <w:tcW w:w="3058" w:type="pct"/>
                  <w:gridSpan w:val="2"/>
                  <w:tcMar>
                    <w:left w:w="57" w:type="dxa"/>
                    <w:right w:w="57" w:type="dxa"/>
                  </w:tcMar>
                  <w:vAlign w:val="center"/>
                </w:tcPr>
                <w:p>
                  <w:pPr>
                    <w:pStyle w:val="82"/>
                    <w:rPr>
                      <w:rFonts w:hint="eastAsia" w:ascii="宋体" w:hAnsi="宋体"/>
                      <w:color w:val="000000"/>
                      <w:kern w:val="2"/>
                      <w:szCs w:val="24"/>
                    </w:rPr>
                  </w:pPr>
                  <w:r>
                    <w:rPr>
                      <w:rFonts w:ascii="宋体" w:hAnsi="宋体"/>
                      <w:color w:val="000000"/>
                      <w:kern w:val="2"/>
                      <w:szCs w:val="24"/>
                    </w:rPr>
                    <w:t>板式基础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6"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tcMar>
                    <w:left w:w="57" w:type="dxa"/>
                    <w:right w:w="57" w:type="dxa"/>
                  </w:tcMar>
                  <w:vAlign w:val="center"/>
                </w:tcPr>
                <w:p>
                  <w:pPr>
                    <w:pStyle w:val="82"/>
                    <w:rPr>
                      <w:color w:val="000000"/>
                    </w:rPr>
                  </w:pPr>
                  <w:r>
                    <w:rPr>
                      <w:color w:val="000000"/>
                    </w:rPr>
                    <w:t>导线型号</w:t>
                  </w:r>
                </w:p>
              </w:tc>
              <w:tc>
                <w:tcPr>
                  <w:tcW w:w="3058" w:type="pct"/>
                  <w:gridSpan w:val="2"/>
                  <w:tcMar>
                    <w:left w:w="57" w:type="dxa"/>
                    <w:right w:w="57" w:type="dxa"/>
                  </w:tcMar>
                  <w:vAlign w:val="center"/>
                </w:tcPr>
                <w:p>
                  <w:pPr>
                    <w:pStyle w:val="82"/>
                    <w:rPr>
                      <w:rFonts w:hint="eastAsia" w:ascii="宋体" w:hAnsi="宋体"/>
                      <w:color w:val="000000"/>
                      <w:kern w:val="2"/>
                      <w:szCs w:val="24"/>
                    </w:rPr>
                  </w:pPr>
                  <w:r>
                    <w:rPr>
                      <w:color w:val="000000"/>
                      <w:kern w:val="2"/>
                    </w:rPr>
                    <w:t>JL3/G1A-240/30</w:t>
                  </w:r>
                  <w:r>
                    <w:rPr>
                      <w:color w:val="000000"/>
                    </w:rPr>
                    <w:t>型钢芯铝绞线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6"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tcMar>
                    <w:left w:w="57" w:type="dxa"/>
                    <w:right w:w="57" w:type="dxa"/>
                  </w:tcMar>
                  <w:vAlign w:val="center"/>
                </w:tcPr>
                <w:p>
                  <w:pPr>
                    <w:pStyle w:val="82"/>
                    <w:rPr>
                      <w:color w:val="000000"/>
                    </w:rPr>
                  </w:pPr>
                  <w:r>
                    <w:rPr>
                      <w:color w:val="000000"/>
                    </w:rPr>
                    <w:t>地线型号</w:t>
                  </w:r>
                </w:p>
              </w:tc>
              <w:tc>
                <w:tcPr>
                  <w:tcW w:w="3058" w:type="pct"/>
                  <w:gridSpan w:val="2"/>
                  <w:tcMar>
                    <w:left w:w="57" w:type="dxa"/>
                    <w:right w:w="57" w:type="dxa"/>
                  </w:tcMar>
                  <w:vAlign w:val="center"/>
                </w:tcPr>
                <w:p>
                  <w:pPr>
                    <w:pStyle w:val="82"/>
                    <w:rPr>
                      <w:rFonts w:hint="eastAsia" w:ascii="宋体" w:hAnsi="宋体"/>
                      <w:color w:val="000000"/>
                      <w:kern w:val="2"/>
                      <w:szCs w:val="24"/>
                    </w:rPr>
                  </w:pPr>
                  <w:r>
                    <w:rPr>
                      <w:color w:val="000000"/>
                      <w:kern w:val="2"/>
                      <w:szCs w:val="24"/>
                    </w:rPr>
                    <w:t>一根48芯OPGW光缆，一根采用GJ-80</w:t>
                  </w:r>
                  <w:r>
                    <w:rPr>
                      <w:rFonts w:hint="eastAsia"/>
                      <w:color w:val="000000"/>
                      <w:kern w:val="2"/>
                      <w:szCs w:val="24"/>
                    </w:rPr>
                    <w:t>型镀锌</w:t>
                  </w:r>
                  <w:r>
                    <w:rPr>
                      <w:color w:val="000000"/>
                      <w:kern w:val="2"/>
                      <w:szCs w:val="24"/>
                    </w:rPr>
                    <w:t>钢绞线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6"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tcMar>
                    <w:left w:w="57" w:type="dxa"/>
                    <w:right w:w="57" w:type="dxa"/>
                  </w:tcMar>
                  <w:vAlign w:val="center"/>
                </w:tcPr>
                <w:p>
                  <w:pPr>
                    <w:pStyle w:val="82"/>
                    <w:rPr>
                      <w:color w:val="000000"/>
                    </w:rPr>
                  </w:pPr>
                  <w:r>
                    <w:rPr>
                      <w:rFonts w:hint="eastAsia"/>
                      <w:color w:val="000000"/>
                    </w:rPr>
                    <w:t>拆除工程</w:t>
                  </w:r>
                </w:p>
              </w:tc>
              <w:tc>
                <w:tcPr>
                  <w:tcW w:w="3058" w:type="pct"/>
                  <w:gridSpan w:val="2"/>
                  <w:tcMar>
                    <w:left w:w="57" w:type="dxa"/>
                    <w:right w:w="57" w:type="dxa"/>
                  </w:tcMar>
                  <w:vAlign w:val="center"/>
                </w:tcPr>
                <w:p>
                  <w:pPr>
                    <w:pStyle w:val="82"/>
                    <w:rPr>
                      <w:rFonts w:hint="eastAsia" w:ascii="宋体" w:hAnsi="宋体"/>
                      <w:color w:val="000000"/>
                      <w:kern w:val="2"/>
                      <w:szCs w:val="24"/>
                    </w:rPr>
                  </w:pPr>
                  <w:r>
                    <w:rPr>
                      <w:rFonts w:hint="eastAsia" w:ascii="宋体" w:hAnsi="宋体"/>
                      <w:color w:val="000000"/>
                      <w:kern w:val="2"/>
                      <w:szCs w:val="24"/>
                    </w:rPr>
                    <w:t>拆除</w:t>
                  </w:r>
                  <w:r>
                    <w:rPr>
                      <w:rFonts w:hint="eastAsia" w:ascii="FZFSK--GBK1-0" w:hAnsi="FZFSK--GBK1-0"/>
                      <w:color w:val="000000"/>
                    </w:rPr>
                    <w:t>1</w:t>
                  </w:r>
                  <w:r>
                    <w:rPr>
                      <w:rFonts w:ascii="FZFSK--GBK1-0" w:hAnsi="FZFSK--GBK1-0"/>
                      <w:color w:val="000000"/>
                    </w:rPr>
                    <w:t>1</w:t>
                  </w:r>
                  <w:r>
                    <w:rPr>
                      <w:color w:val="000000"/>
                    </w:rPr>
                    <w:t>0kV七旗Ⅰ线76#杆塔、110kV交沙Ⅱ线66#杆塔，拆除导线0.225km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6" w:hRule="atLeast"/>
                <w:jc w:val="center"/>
              </w:trPr>
              <w:tc>
                <w:tcPr>
                  <w:tcW w:w="1007" w:type="pct"/>
                  <w:vMerge w:val="restart"/>
                  <w:tcMar>
                    <w:left w:w="57" w:type="dxa"/>
                    <w:right w:w="57" w:type="dxa"/>
                  </w:tcMar>
                  <w:vAlign w:val="center"/>
                </w:tcPr>
                <w:p>
                  <w:pPr>
                    <w:pStyle w:val="82"/>
                    <w:jc w:val="both"/>
                    <w:rPr>
                      <w:color w:val="000000"/>
                      <w:highlight w:val="yellow"/>
                    </w:rPr>
                  </w:pPr>
                  <w:r>
                    <w:rPr>
                      <w:rFonts w:hint="eastAsia"/>
                    </w:rPr>
                    <w:t>交河~番南π入东环变110千伏线路工程</w:t>
                  </w:r>
                </w:p>
              </w:tc>
              <w:tc>
                <w:tcPr>
                  <w:tcW w:w="935" w:type="pct"/>
                  <w:tcMar>
                    <w:left w:w="57" w:type="dxa"/>
                    <w:right w:w="57" w:type="dxa"/>
                  </w:tcMar>
                  <w:vAlign w:val="center"/>
                </w:tcPr>
                <w:p>
                  <w:pPr>
                    <w:pStyle w:val="82"/>
                    <w:rPr>
                      <w:color w:val="000000"/>
                    </w:rPr>
                  </w:pPr>
                  <w:r>
                    <w:rPr>
                      <w:color w:val="000000"/>
                    </w:rPr>
                    <w:t>线路路径长度</w:t>
                  </w:r>
                </w:p>
              </w:tc>
              <w:tc>
                <w:tcPr>
                  <w:tcW w:w="3058" w:type="pct"/>
                  <w:gridSpan w:val="2"/>
                  <w:tcMar>
                    <w:left w:w="57" w:type="dxa"/>
                    <w:right w:w="57" w:type="dxa"/>
                  </w:tcMar>
                  <w:vAlign w:val="center"/>
                </w:tcPr>
                <w:p>
                  <w:pPr>
                    <w:pStyle w:val="82"/>
                    <w:rPr>
                      <w:rFonts w:hint="eastAsia" w:ascii="宋体" w:hAnsi="宋体"/>
                      <w:color w:val="000000"/>
                      <w:kern w:val="2"/>
                      <w:szCs w:val="24"/>
                    </w:rPr>
                  </w:pPr>
                  <w:r>
                    <w:rPr>
                      <w:color w:val="000000"/>
                    </w:rPr>
                    <w:t>2×4.8km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6"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tcMar>
                    <w:left w:w="57" w:type="dxa"/>
                    <w:right w:w="57" w:type="dxa"/>
                  </w:tcMar>
                  <w:vAlign w:val="center"/>
                </w:tcPr>
                <w:p>
                  <w:pPr>
                    <w:pStyle w:val="82"/>
                    <w:rPr>
                      <w:color w:val="000000"/>
                    </w:rPr>
                  </w:pPr>
                  <w:r>
                    <w:rPr>
                      <w:rFonts w:hint="eastAsia"/>
                      <w:color w:val="000000"/>
                    </w:rPr>
                    <w:t>架设方式</w:t>
                  </w:r>
                </w:p>
              </w:tc>
              <w:tc>
                <w:tcPr>
                  <w:tcW w:w="3058" w:type="pct"/>
                  <w:gridSpan w:val="2"/>
                  <w:tcMar>
                    <w:left w:w="57" w:type="dxa"/>
                    <w:right w:w="57" w:type="dxa"/>
                  </w:tcMar>
                  <w:vAlign w:val="center"/>
                </w:tcPr>
                <w:p>
                  <w:pPr>
                    <w:pStyle w:val="82"/>
                    <w:rPr>
                      <w:rFonts w:hint="eastAsia" w:ascii="宋体" w:hAnsi="宋体"/>
                      <w:color w:val="000000"/>
                      <w:kern w:val="2"/>
                      <w:szCs w:val="24"/>
                    </w:rPr>
                  </w:pPr>
                  <w:r>
                    <w:rPr>
                      <w:rFonts w:hint="eastAsia"/>
                      <w:color w:val="000000"/>
                    </w:rPr>
                    <w:t>单回路、同塔双回单边挂线架空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6"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tcMar>
                    <w:left w:w="57" w:type="dxa"/>
                    <w:right w:w="57" w:type="dxa"/>
                  </w:tcMar>
                  <w:vAlign w:val="center"/>
                </w:tcPr>
                <w:p>
                  <w:pPr>
                    <w:pStyle w:val="82"/>
                    <w:rPr>
                      <w:color w:val="000000"/>
                    </w:rPr>
                  </w:pPr>
                  <w:r>
                    <w:rPr>
                      <w:color w:val="000000"/>
                    </w:rPr>
                    <w:t>新建铁塔数量</w:t>
                  </w:r>
                </w:p>
              </w:tc>
              <w:tc>
                <w:tcPr>
                  <w:tcW w:w="3058" w:type="pct"/>
                  <w:gridSpan w:val="2"/>
                  <w:tcMar>
                    <w:left w:w="57" w:type="dxa"/>
                    <w:right w:w="57" w:type="dxa"/>
                  </w:tcMar>
                  <w:vAlign w:val="center"/>
                </w:tcPr>
                <w:p>
                  <w:pPr>
                    <w:pStyle w:val="82"/>
                    <w:rPr>
                      <w:rFonts w:hint="eastAsia" w:ascii="宋体" w:hAnsi="宋体"/>
                      <w:color w:val="000000"/>
                      <w:kern w:val="2"/>
                      <w:szCs w:val="24"/>
                    </w:rPr>
                  </w:pPr>
                  <w:r>
                    <w:rPr>
                      <w:color w:val="000000"/>
                    </w:rPr>
                    <w:t>36基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6"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tcMar>
                    <w:left w:w="57" w:type="dxa"/>
                    <w:right w:w="57" w:type="dxa"/>
                  </w:tcMar>
                  <w:vAlign w:val="center"/>
                </w:tcPr>
                <w:p>
                  <w:pPr>
                    <w:pStyle w:val="82"/>
                    <w:rPr>
                      <w:color w:val="000000"/>
                    </w:rPr>
                  </w:pPr>
                  <w:r>
                    <w:rPr>
                      <w:rFonts w:hint="eastAsia"/>
                      <w:color w:val="000000"/>
                    </w:rPr>
                    <w:t>铁塔型式</w:t>
                  </w:r>
                </w:p>
              </w:tc>
              <w:tc>
                <w:tcPr>
                  <w:tcW w:w="3058" w:type="pct"/>
                  <w:gridSpan w:val="2"/>
                  <w:tcMar>
                    <w:left w:w="57" w:type="dxa"/>
                    <w:right w:w="57" w:type="dxa"/>
                  </w:tcMar>
                  <w:vAlign w:val="center"/>
                </w:tcPr>
                <w:p>
                  <w:pPr>
                    <w:pStyle w:val="82"/>
                    <w:rPr>
                      <w:rFonts w:hint="eastAsia" w:ascii="宋体" w:hAnsi="宋体"/>
                      <w:color w:val="000000"/>
                      <w:kern w:val="2"/>
                      <w:szCs w:val="24"/>
                    </w:rPr>
                  </w:pPr>
                  <w:r>
                    <w:rPr>
                      <w:rFonts w:hint="eastAsia"/>
                      <w:color w:val="000000"/>
                    </w:rPr>
                    <w:t>双回路终端耐张塔</w:t>
                  </w:r>
                  <w:r>
                    <w:rPr>
                      <w:color w:val="000000"/>
                    </w:rPr>
                    <w:t>2</w:t>
                  </w:r>
                  <w:r>
                    <w:rPr>
                      <w:rFonts w:hint="eastAsia"/>
                      <w:color w:val="000000"/>
                    </w:rPr>
                    <w:t>基、单回路直线塔</w:t>
                  </w:r>
                  <w:r>
                    <w:rPr>
                      <w:color w:val="000000"/>
                    </w:rPr>
                    <w:t>19</w:t>
                  </w:r>
                  <w:r>
                    <w:rPr>
                      <w:rFonts w:hint="eastAsia"/>
                      <w:color w:val="000000"/>
                    </w:rPr>
                    <w:t>基、单回路耐张塔</w:t>
                  </w:r>
                  <w:r>
                    <w:rPr>
                      <w:color w:val="000000"/>
                    </w:rPr>
                    <w:t>15</w:t>
                  </w:r>
                  <w:r>
                    <w:rPr>
                      <w:rFonts w:hint="eastAsia"/>
                      <w:color w:val="000000"/>
                    </w:rPr>
                    <w:t>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6"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tcMar>
                    <w:left w:w="57" w:type="dxa"/>
                    <w:right w:w="57" w:type="dxa"/>
                  </w:tcMar>
                  <w:vAlign w:val="center"/>
                </w:tcPr>
                <w:p>
                  <w:pPr>
                    <w:pStyle w:val="82"/>
                    <w:rPr>
                      <w:color w:val="000000"/>
                    </w:rPr>
                  </w:pPr>
                  <w:r>
                    <w:rPr>
                      <w:rFonts w:hint="eastAsia"/>
                      <w:color w:val="000000"/>
                    </w:rPr>
                    <w:t>基础型式</w:t>
                  </w:r>
                </w:p>
              </w:tc>
              <w:tc>
                <w:tcPr>
                  <w:tcW w:w="3058" w:type="pct"/>
                  <w:gridSpan w:val="2"/>
                  <w:tcMar>
                    <w:left w:w="57" w:type="dxa"/>
                    <w:right w:w="57" w:type="dxa"/>
                  </w:tcMar>
                  <w:vAlign w:val="center"/>
                </w:tcPr>
                <w:p>
                  <w:pPr>
                    <w:pStyle w:val="82"/>
                    <w:rPr>
                      <w:rFonts w:hint="eastAsia" w:ascii="宋体" w:hAnsi="宋体"/>
                      <w:color w:val="000000"/>
                      <w:kern w:val="2"/>
                      <w:szCs w:val="24"/>
                    </w:rPr>
                  </w:pPr>
                  <w:r>
                    <w:rPr>
                      <w:rFonts w:ascii="宋体" w:hAnsi="宋体"/>
                      <w:color w:val="000000"/>
                      <w:kern w:val="2"/>
                      <w:szCs w:val="24"/>
                    </w:rPr>
                    <w:t>板式基础、挖空基础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6"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tcMar>
                    <w:left w:w="57" w:type="dxa"/>
                    <w:right w:w="57" w:type="dxa"/>
                  </w:tcMar>
                  <w:vAlign w:val="center"/>
                </w:tcPr>
                <w:p>
                  <w:pPr>
                    <w:pStyle w:val="82"/>
                    <w:rPr>
                      <w:color w:val="000000"/>
                    </w:rPr>
                  </w:pPr>
                  <w:r>
                    <w:rPr>
                      <w:color w:val="000000"/>
                    </w:rPr>
                    <w:t>导线型号</w:t>
                  </w:r>
                </w:p>
              </w:tc>
              <w:tc>
                <w:tcPr>
                  <w:tcW w:w="3058" w:type="pct"/>
                  <w:gridSpan w:val="2"/>
                  <w:tcMar>
                    <w:left w:w="57" w:type="dxa"/>
                    <w:right w:w="57" w:type="dxa"/>
                  </w:tcMar>
                  <w:vAlign w:val="center"/>
                </w:tcPr>
                <w:p>
                  <w:pPr>
                    <w:pStyle w:val="82"/>
                    <w:rPr>
                      <w:rFonts w:hint="eastAsia" w:ascii="宋体" w:hAnsi="宋体"/>
                      <w:color w:val="000000"/>
                      <w:kern w:val="2"/>
                      <w:szCs w:val="24"/>
                    </w:rPr>
                  </w:pPr>
                  <w:r>
                    <w:rPr>
                      <w:color w:val="000000"/>
                      <w:kern w:val="2"/>
                    </w:rPr>
                    <w:t>JL3/G1A-240/30</w:t>
                  </w:r>
                  <w:r>
                    <w:rPr>
                      <w:color w:val="000000"/>
                    </w:rPr>
                    <w:t>型钢芯铝绞线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6"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tcMar>
                    <w:left w:w="57" w:type="dxa"/>
                    <w:right w:w="57" w:type="dxa"/>
                  </w:tcMar>
                  <w:vAlign w:val="center"/>
                </w:tcPr>
                <w:p>
                  <w:pPr>
                    <w:pStyle w:val="82"/>
                    <w:rPr>
                      <w:color w:val="000000"/>
                    </w:rPr>
                  </w:pPr>
                  <w:r>
                    <w:rPr>
                      <w:color w:val="000000"/>
                    </w:rPr>
                    <w:t>地线型号</w:t>
                  </w:r>
                </w:p>
              </w:tc>
              <w:tc>
                <w:tcPr>
                  <w:tcW w:w="3058" w:type="pct"/>
                  <w:gridSpan w:val="2"/>
                  <w:tcMar>
                    <w:left w:w="57" w:type="dxa"/>
                    <w:right w:w="57" w:type="dxa"/>
                  </w:tcMar>
                  <w:vAlign w:val="center"/>
                </w:tcPr>
                <w:p>
                  <w:pPr>
                    <w:pStyle w:val="82"/>
                    <w:rPr>
                      <w:rFonts w:hint="eastAsia" w:ascii="宋体" w:hAnsi="宋体"/>
                      <w:color w:val="000000"/>
                      <w:kern w:val="2"/>
                      <w:szCs w:val="24"/>
                    </w:rPr>
                  </w:pPr>
                  <w:r>
                    <w:rPr>
                      <w:color w:val="000000"/>
                      <w:kern w:val="2"/>
                      <w:szCs w:val="24"/>
                    </w:rPr>
                    <w:t>一根48芯OPGW光缆，一根采用GJ-80</w:t>
                  </w:r>
                  <w:r>
                    <w:rPr>
                      <w:rFonts w:hint="eastAsia"/>
                      <w:color w:val="000000"/>
                      <w:kern w:val="2"/>
                      <w:szCs w:val="24"/>
                    </w:rPr>
                    <w:t>型镀锌</w:t>
                  </w:r>
                  <w:r>
                    <w:rPr>
                      <w:color w:val="000000"/>
                      <w:kern w:val="2"/>
                      <w:szCs w:val="24"/>
                    </w:rPr>
                    <w:t>钢绞线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6" w:hRule="atLeast"/>
                <w:jc w:val="center"/>
              </w:trPr>
              <w:tc>
                <w:tcPr>
                  <w:tcW w:w="1007" w:type="pct"/>
                  <w:vMerge w:val="continue"/>
                  <w:tcMar>
                    <w:left w:w="57" w:type="dxa"/>
                    <w:right w:w="57" w:type="dxa"/>
                  </w:tcMar>
                  <w:vAlign w:val="center"/>
                </w:tcPr>
                <w:p>
                  <w:pPr>
                    <w:pStyle w:val="82"/>
                    <w:ind w:firstLine="420"/>
                    <w:rPr>
                      <w:color w:val="000000"/>
                      <w:highlight w:val="yellow"/>
                    </w:rPr>
                  </w:pPr>
                </w:p>
              </w:tc>
              <w:tc>
                <w:tcPr>
                  <w:tcW w:w="935" w:type="pct"/>
                  <w:tcMar>
                    <w:left w:w="57" w:type="dxa"/>
                    <w:right w:w="57" w:type="dxa"/>
                  </w:tcMar>
                  <w:vAlign w:val="center"/>
                </w:tcPr>
                <w:p>
                  <w:pPr>
                    <w:pStyle w:val="82"/>
                    <w:rPr>
                      <w:color w:val="000000"/>
                    </w:rPr>
                  </w:pPr>
                  <w:r>
                    <w:rPr>
                      <w:rFonts w:hint="eastAsia"/>
                      <w:color w:val="000000"/>
                    </w:rPr>
                    <w:t>拆除工程</w:t>
                  </w:r>
                </w:p>
              </w:tc>
              <w:tc>
                <w:tcPr>
                  <w:tcW w:w="3058" w:type="pct"/>
                  <w:gridSpan w:val="2"/>
                  <w:tcMar>
                    <w:left w:w="57" w:type="dxa"/>
                    <w:right w:w="57" w:type="dxa"/>
                  </w:tcMar>
                  <w:vAlign w:val="center"/>
                </w:tcPr>
                <w:p>
                  <w:pPr>
                    <w:pStyle w:val="82"/>
                    <w:rPr>
                      <w:color w:val="000000"/>
                      <w:kern w:val="2"/>
                      <w:szCs w:val="24"/>
                    </w:rPr>
                  </w:pPr>
                  <w:r>
                    <w:rPr>
                      <w:color w:val="000000"/>
                      <w:kern w:val="2"/>
                      <w:szCs w:val="24"/>
                    </w:rPr>
                    <w:t>拆除110kV七旗Ⅰ线89#、90#、91#杆塔，拆除导线1.11km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87" w:hRule="atLeast"/>
                <w:jc w:val="center"/>
              </w:trPr>
              <w:tc>
                <w:tcPr>
                  <w:tcW w:w="1007" w:type="pct"/>
                  <w:vMerge w:val="restart"/>
                  <w:tcMar>
                    <w:left w:w="57" w:type="dxa"/>
                    <w:right w:w="57" w:type="dxa"/>
                  </w:tcMar>
                  <w:vAlign w:val="center"/>
                </w:tcPr>
                <w:p>
                  <w:pPr>
                    <w:pStyle w:val="82"/>
                    <w:rPr>
                      <w:color w:val="000000"/>
                      <w:highlight w:val="yellow"/>
                    </w:rPr>
                  </w:pPr>
                  <w:r>
                    <w:rPr>
                      <w:color w:val="000000"/>
                    </w:rPr>
                    <w:t>线路辅助工程</w:t>
                  </w:r>
                  <w:r>
                    <w:rPr>
                      <w:rFonts w:hint="eastAsia"/>
                      <w:color w:val="000000"/>
                    </w:rPr>
                    <w:t>（各临时占地面积汇总）</w:t>
                  </w:r>
                </w:p>
              </w:tc>
              <w:tc>
                <w:tcPr>
                  <w:tcW w:w="935" w:type="pct"/>
                  <w:tcMar>
                    <w:left w:w="57" w:type="dxa"/>
                    <w:right w:w="57" w:type="dxa"/>
                  </w:tcMar>
                  <w:vAlign w:val="center"/>
                </w:tcPr>
                <w:p>
                  <w:pPr>
                    <w:pStyle w:val="82"/>
                  </w:pPr>
                  <w:r>
                    <w:rPr>
                      <w:rFonts w:hint="eastAsia"/>
                    </w:rPr>
                    <w:t>塔基施工场地</w:t>
                  </w:r>
                </w:p>
              </w:tc>
              <w:tc>
                <w:tcPr>
                  <w:tcW w:w="3058" w:type="pct"/>
                  <w:gridSpan w:val="2"/>
                  <w:tcMar>
                    <w:left w:w="57" w:type="dxa"/>
                    <w:right w:w="57" w:type="dxa"/>
                  </w:tcMar>
                  <w:vAlign w:val="center"/>
                </w:tcPr>
                <w:p>
                  <w:pPr>
                    <w:pStyle w:val="82"/>
                    <w:ind w:firstLine="420"/>
                    <w:rPr>
                      <w:color w:val="000000"/>
                    </w:rPr>
                  </w:pPr>
                  <w:r>
                    <w:rPr>
                      <w:rFonts w:hint="eastAsia"/>
                      <w:color w:val="000000"/>
                    </w:rPr>
                    <w:t>共100基，临时占地面积约4.41</w:t>
                  </w:r>
                  <w:r>
                    <w:rPr>
                      <w:rFonts w:hint="eastAsia"/>
                    </w:rPr>
                    <w:t>hm²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87" w:hRule="atLeast"/>
                <w:jc w:val="center"/>
              </w:trPr>
              <w:tc>
                <w:tcPr>
                  <w:tcW w:w="1007" w:type="pct"/>
                  <w:vMerge w:val="continue"/>
                  <w:tcMar>
                    <w:left w:w="57" w:type="dxa"/>
                    <w:right w:w="57" w:type="dxa"/>
                  </w:tcMar>
                  <w:vAlign w:val="center"/>
                </w:tcPr>
                <w:p>
                  <w:pPr>
                    <w:pStyle w:val="82"/>
                    <w:rPr>
                      <w:color w:val="000000"/>
                    </w:rPr>
                  </w:pPr>
                </w:p>
              </w:tc>
              <w:tc>
                <w:tcPr>
                  <w:tcW w:w="935" w:type="pct"/>
                  <w:tcMar>
                    <w:left w:w="57" w:type="dxa"/>
                    <w:right w:w="57" w:type="dxa"/>
                  </w:tcMar>
                  <w:vAlign w:val="center"/>
                </w:tcPr>
                <w:p>
                  <w:pPr>
                    <w:pStyle w:val="82"/>
                  </w:pPr>
                  <w:r>
                    <w:rPr>
                      <w:rFonts w:hint="eastAsia"/>
                    </w:rPr>
                    <w:t>临时施工道路</w:t>
                  </w:r>
                </w:p>
              </w:tc>
              <w:tc>
                <w:tcPr>
                  <w:tcW w:w="3058" w:type="pct"/>
                  <w:gridSpan w:val="2"/>
                  <w:tcMar>
                    <w:left w:w="57" w:type="dxa"/>
                    <w:right w:w="57" w:type="dxa"/>
                  </w:tcMar>
                  <w:vAlign w:val="center"/>
                </w:tcPr>
                <w:p>
                  <w:pPr>
                    <w:pStyle w:val="82"/>
                    <w:ind w:firstLine="420"/>
                    <w:rPr>
                      <w:color w:val="000000"/>
                    </w:rPr>
                  </w:pPr>
                  <w:r>
                    <w:rPr>
                      <w:rFonts w:hint="eastAsia"/>
                      <w:color w:val="000000"/>
                    </w:rPr>
                    <w:t>临时施工道路约6km，宽3.5m，施工道路占地面积约2.1h</w:t>
                  </w:r>
                  <w:r>
                    <w:rPr>
                      <w:color w:val="000000"/>
                    </w:rPr>
                    <w:t>m</w:t>
                  </w:r>
                  <w:r>
                    <w:rPr>
                      <w:color w:val="000000"/>
                      <w:vertAlign w:val="superscript"/>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87" w:hRule="atLeast"/>
                <w:jc w:val="center"/>
              </w:trPr>
              <w:tc>
                <w:tcPr>
                  <w:tcW w:w="1007" w:type="pct"/>
                  <w:vMerge w:val="continue"/>
                  <w:tcMar>
                    <w:left w:w="57" w:type="dxa"/>
                    <w:right w:w="57" w:type="dxa"/>
                  </w:tcMar>
                  <w:vAlign w:val="center"/>
                </w:tcPr>
                <w:p>
                  <w:pPr>
                    <w:pStyle w:val="82"/>
                    <w:rPr>
                      <w:color w:val="000000"/>
                    </w:rPr>
                  </w:pPr>
                </w:p>
              </w:tc>
              <w:tc>
                <w:tcPr>
                  <w:tcW w:w="935" w:type="pct"/>
                  <w:tcMar>
                    <w:left w:w="57" w:type="dxa"/>
                    <w:right w:w="57" w:type="dxa"/>
                  </w:tcMar>
                  <w:vAlign w:val="center"/>
                </w:tcPr>
                <w:p>
                  <w:pPr>
                    <w:pStyle w:val="82"/>
                  </w:pPr>
                  <w:r>
                    <w:rPr>
                      <w:rFonts w:hint="eastAsia"/>
                    </w:rPr>
                    <w:t>跨越施工区</w:t>
                  </w:r>
                </w:p>
              </w:tc>
              <w:tc>
                <w:tcPr>
                  <w:tcW w:w="3058" w:type="pct"/>
                  <w:gridSpan w:val="2"/>
                  <w:tcMar>
                    <w:left w:w="57" w:type="dxa"/>
                    <w:right w:w="57" w:type="dxa"/>
                  </w:tcMar>
                  <w:vAlign w:val="center"/>
                </w:tcPr>
                <w:p>
                  <w:pPr>
                    <w:pStyle w:val="82"/>
                    <w:ind w:firstLine="420"/>
                    <w:rPr>
                      <w:color w:val="000000"/>
                      <w:highlight w:val="yellow"/>
                    </w:rPr>
                  </w:pPr>
                  <w:r>
                    <w:rPr>
                      <w:rFonts w:hint="eastAsia"/>
                    </w:rPr>
                    <w:t>跨越施工场地26处，每处占地面积约0</w:t>
                  </w:r>
                  <w:r>
                    <w:t>.02</w:t>
                  </w:r>
                  <w:r>
                    <w:rPr>
                      <w:rFonts w:hint="eastAsia"/>
                      <w:color w:val="000000"/>
                    </w:rPr>
                    <w:t>h</w:t>
                  </w:r>
                  <w:r>
                    <w:rPr>
                      <w:color w:val="000000"/>
                    </w:rPr>
                    <w:t>m</w:t>
                  </w:r>
                  <w:r>
                    <w:rPr>
                      <w:color w:val="000000"/>
                      <w:vertAlign w:val="superscript"/>
                    </w:rPr>
                    <w:t>2</w:t>
                  </w:r>
                  <w:r>
                    <w:rPr>
                      <w:rFonts w:hint="eastAsia"/>
                    </w:rPr>
                    <w:t>，共计占地0</w:t>
                  </w:r>
                  <w:r>
                    <w:t>.</w:t>
                  </w:r>
                  <w:r>
                    <w:rPr>
                      <w:rFonts w:hint="eastAsia"/>
                    </w:rPr>
                    <w:t>52</w:t>
                  </w:r>
                  <w:r>
                    <w:rPr>
                      <w:rFonts w:hint="eastAsia"/>
                      <w:color w:val="000000"/>
                    </w:rPr>
                    <w:t>h</w:t>
                  </w:r>
                  <w:r>
                    <w:rPr>
                      <w:color w:val="000000"/>
                    </w:rPr>
                    <w:t>m</w:t>
                  </w:r>
                  <w:r>
                    <w:rPr>
                      <w:color w:val="000000"/>
                      <w:vertAlign w:val="superscript"/>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87" w:hRule="atLeast"/>
                <w:jc w:val="center"/>
              </w:trPr>
              <w:tc>
                <w:tcPr>
                  <w:tcW w:w="1007" w:type="pct"/>
                  <w:vMerge w:val="continue"/>
                  <w:tcMar>
                    <w:left w:w="57" w:type="dxa"/>
                    <w:right w:w="57" w:type="dxa"/>
                  </w:tcMar>
                  <w:vAlign w:val="center"/>
                </w:tcPr>
                <w:p>
                  <w:pPr>
                    <w:pStyle w:val="82"/>
                    <w:rPr>
                      <w:color w:val="000000"/>
                    </w:rPr>
                  </w:pPr>
                </w:p>
              </w:tc>
              <w:tc>
                <w:tcPr>
                  <w:tcW w:w="935" w:type="pct"/>
                  <w:tcMar>
                    <w:left w:w="57" w:type="dxa"/>
                    <w:right w:w="57" w:type="dxa"/>
                  </w:tcMar>
                  <w:vAlign w:val="center"/>
                </w:tcPr>
                <w:p>
                  <w:pPr>
                    <w:pStyle w:val="82"/>
                  </w:pPr>
                  <w:r>
                    <w:rPr>
                      <w:rFonts w:hint="eastAsia"/>
                    </w:rPr>
                    <w:t>牵张场</w:t>
                  </w:r>
                </w:p>
              </w:tc>
              <w:tc>
                <w:tcPr>
                  <w:tcW w:w="3058" w:type="pct"/>
                  <w:gridSpan w:val="2"/>
                  <w:tcMar>
                    <w:left w:w="57" w:type="dxa"/>
                    <w:right w:w="57" w:type="dxa"/>
                  </w:tcMar>
                  <w:vAlign w:val="center"/>
                </w:tcPr>
                <w:p>
                  <w:pPr>
                    <w:pStyle w:val="82"/>
                    <w:ind w:firstLine="420"/>
                    <w:rPr>
                      <w:color w:val="000000"/>
                      <w:highlight w:val="yellow"/>
                    </w:rPr>
                  </w:pPr>
                  <w:r>
                    <w:rPr>
                      <w:rFonts w:hint="eastAsia"/>
                      <w:color w:val="000000"/>
                    </w:rPr>
                    <w:t>牵张场地4处，平均每处占地约</w:t>
                  </w:r>
                  <w:r>
                    <w:rPr>
                      <w:color w:val="000000"/>
                    </w:rPr>
                    <w:t>0.</w:t>
                  </w:r>
                  <w:r>
                    <w:rPr>
                      <w:rFonts w:hint="eastAsia"/>
                      <w:color w:val="000000"/>
                    </w:rPr>
                    <w:t>0</w:t>
                  </w:r>
                  <w:r>
                    <w:rPr>
                      <w:color w:val="000000"/>
                    </w:rPr>
                    <w:t>9</w:t>
                  </w:r>
                  <w:r>
                    <w:rPr>
                      <w:rFonts w:hint="eastAsia"/>
                      <w:color w:val="000000"/>
                    </w:rPr>
                    <w:t>h</w:t>
                  </w:r>
                  <w:r>
                    <w:rPr>
                      <w:color w:val="000000"/>
                    </w:rPr>
                    <w:t>m</w:t>
                  </w:r>
                  <w:r>
                    <w:rPr>
                      <w:color w:val="000000"/>
                      <w:vertAlign w:val="superscript"/>
                    </w:rPr>
                    <w:t>2</w:t>
                  </w:r>
                  <w:r>
                    <w:rPr>
                      <w:rFonts w:hint="eastAsia"/>
                      <w:color w:val="000000"/>
                    </w:rPr>
                    <w:t>，共计占地0</w:t>
                  </w:r>
                  <w:r>
                    <w:rPr>
                      <w:color w:val="000000"/>
                    </w:rPr>
                    <w:t>.</w:t>
                  </w:r>
                  <w:r>
                    <w:rPr>
                      <w:rFonts w:hint="eastAsia"/>
                      <w:color w:val="000000"/>
                    </w:rPr>
                    <w:t>36h</w:t>
                  </w:r>
                  <w:r>
                    <w:rPr>
                      <w:color w:val="000000"/>
                    </w:rPr>
                    <w:t>m</w:t>
                  </w:r>
                  <w:r>
                    <w:rPr>
                      <w:color w:val="000000"/>
                      <w:vertAlign w:val="superscript"/>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87" w:hRule="atLeast"/>
                <w:jc w:val="center"/>
              </w:trPr>
              <w:tc>
                <w:tcPr>
                  <w:tcW w:w="1007" w:type="pct"/>
                  <w:vMerge w:val="continue"/>
                  <w:tcMar>
                    <w:left w:w="57" w:type="dxa"/>
                    <w:right w:w="57" w:type="dxa"/>
                  </w:tcMar>
                  <w:vAlign w:val="center"/>
                </w:tcPr>
                <w:p>
                  <w:pPr>
                    <w:pStyle w:val="82"/>
                    <w:rPr>
                      <w:color w:val="000000"/>
                    </w:rPr>
                  </w:pPr>
                </w:p>
              </w:tc>
              <w:tc>
                <w:tcPr>
                  <w:tcW w:w="935" w:type="pct"/>
                  <w:tcMar>
                    <w:left w:w="57" w:type="dxa"/>
                    <w:right w:w="57" w:type="dxa"/>
                  </w:tcMar>
                  <w:vAlign w:val="center"/>
                </w:tcPr>
                <w:p>
                  <w:pPr>
                    <w:pStyle w:val="82"/>
                  </w:pPr>
                  <w:r>
                    <w:rPr>
                      <w:rFonts w:hint="eastAsia"/>
                    </w:rPr>
                    <w:t>拆除施工场地</w:t>
                  </w:r>
                </w:p>
              </w:tc>
              <w:tc>
                <w:tcPr>
                  <w:tcW w:w="3058" w:type="pct"/>
                  <w:gridSpan w:val="2"/>
                  <w:tcMar>
                    <w:left w:w="57" w:type="dxa"/>
                    <w:right w:w="57" w:type="dxa"/>
                  </w:tcMar>
                  <w:vAlign w:val="center"/>
                </w:tcPr>
                <w:p>
                  <w:pPr>
                    <w:pStyle w:val="82"/>
                    <w:ind w:firstLine="420"/>
                    <w:rPr>
                      <w:color w:val="000000"/>
                    </w:rPr>
                  </w:pPr>
                  <w:r>
                    <w:rPr>
                      <w:rFonts w:hint="eastAsia"/>
                      <w:color w:val="000000"/>
                    </w:rPr>
                    <w:t>拆除杆塔</w:t>
                  </w:r>
                  <w:r>
                    <w:rPr>
                      <w:color w:val="000000"/>
                    </w:rPr>
                    <w:t>8</w:t>
                  </w:r>
                  <w:r>
                    <w:rPr>
                      <w:rFonts w:hint="eastAsia"/>
                      <w:color w:val="000000"/>
                    </w:rPr>
                    <w:t>基，拆除施工场地</w:t>
                  </w:r>
                  <w:r>
                    <w:rPr>
                      <w:color w:val="000000"/>
                    </w:rPr>
                    <w:t>6</w:t>
                  </w:r>
                  <w:r>
                    <w:rPr>
                      <w:rFonts w:hint="eastAsia"/>
                      <w:color w:val="000000"/>
                    </w:rPr>
                    <w:t>处，每处占地面积约0.03h</w:t>
                  </w:r>
                  <w:r>
                    <w:rPr>
                      <w:color w:val="000000"/>
                    </w:rPr>
                    <w:t>m</w:t>
                  </w:r>
                  <w:r>
                    <w:rPr>
                      <w:color w:val="000000"/>
                      <w:vertAlign w:val="superscript"/>
                    </w:rPr>
                    <w:t>2</w:t>
                  </w:r>
                  <w:r>
                    <w:rPr>
                      <w:rFonts w:hint="eastAsia"/>
                      <w:color w:val="000000"/>
                    </w:rPr>
                    <w:t>，共计占地面积0.1</w:t>
                  </w:r>
                  <w:r>
                    <w:rPr>
                      <w:color w:val="000000"/>
                    </w:rPr>
                    <w:t>8</w:t>
                  </w:r>
                  <w:r>
                    <w:rPr>
                      <w:rFonts w:hint="eastAsia"/>
                      <w:color w:val="000000"/>
                    </w:rPr>
                    <w:t>h</w:t>
                  </w:r>
                  <w:r>
                    <w:rPr>
                      <w:color w:val="000000"/>
                    </w:rPr>
                    <w:t>m</w:t>
                  </w:r>
                  <w:r>
                    <w:rPr>
                      <w:color w:val="000000"/>
                      <w:vertAlign w:val="superscript"/>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87" w:hRule="atLeast"/>
                <w:jc w:val="center"/>
              </w:trPr>
              <w:tc>
                <w:tcPr>
                  <w:tcW w:w="1007" w:type="pct"/>
                  <w:vMerge w:val="restart"/>
                  <w:tcMar>
                    <w:left w:w="57" w:type="dxa"/>
                    <w:right w:w="57" w:type="dxa"/>
                  </w:tcMar>
                  <w:vAlign w:val="center"/>
                </w:tcPr>
                <w:p>
                  <w:pPr>
                    <w:pStyle w:val="82"/>
                    <w:rPr>
                      <w:color w:val="000000"/>
                    </w:rPr>
                  </w:pPr>
                  <w:r>
                    <w:rPr>
                      <w:rFonts w:hint="eastAsia"/>
                    </w:rPr>
                    <w:t>环保工程</w:t>
                  </w:r>
                </w:p>
              </w:tc>
              <w:tc>
                <w:tcPr>
                  <w:tcW w:w="935" w:type="pct"/>
                  <w:tcMar>
                    <w:left w:w="57" w:type="dxa"/>
                    <w:right w:w="57" w:type="dxa"/>
                  </w:tcMar>
                  <w:vAlign w:val="center"/>
                </w:tcPr>
                <w:p>
                  <w:pPr>
                    <w:pStyle w:val="82"/>
                  </w:pPr>
                  <w:r>
                    <w:rPr>
                      <w:rFonts w:hint="eastAsia"/>
                    </w:rPr>
                    <w:t>生态环境保护</w:t>
                  </w:r>
                </w:p>
              </w:tc>
              <w:tc>
                <w:tcPr>
                  <w:tcW w:w="3058" w:type="pct"/>
                  <w:gridSpan w:val="2"/>
                  <w:tcMar>
                    <w:left w:w="57" w:type="dxa"/>
                    <w:right w:w="57" w:type="dxa"/>
                  </w:tcMar>
                  <w:vAlign w:val="center"/>
                </w:tcPr>
                <w:p>
                  <w:pPr>
                    <w:pStyle w:val="82"/>
                    <w:jc w:val="both"/>
                  </w:pPr>
                  <w:r>
                    <w:rPr>
                      <w:rFonts w:hint="eastAsia"/>
                    </w:rPr>
                    <w:t>优化塔基占地，减少施工临时占地，减少对植物的破坏，对临时占地及时恢复，施工结束后及时恢复土地原有功能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87" w:hRule="atLeast"/>
                <w:jc w:val="center"/>
              </w:trPr>
              <w:tc>
                <w:tcPr>
                  <w:tcW w:w="1007" w:type="pct"/>
                  <w:vMerge w:val="continue"/>
                  <w:tcMar>
                    <w:left w:w="57" w:type="dxa"/>
                    <w:right w:w="57" w:type="dxa"/>
                  </w:tcMar>
                  <w:vAlign w:val="center"/>
                </w:tcPr>
                <w:p>
                  <w:pPr>
                    <w:pStyle w:val="82"/>
                  </w:pPr>
                </w:p>
              </w:tc>
              <w:tc>
                <w:tcPr>
                  <w:tcW w:w="935" w:type="pct"/>
                  <w:tcMar>
                    <w:left w:w="57" w:type="dxa"/>
                    <w:right w:w="57" w:type="dxa"/>
                  </w:tcMar>
                  <w:vAlign w:val="center"/>
                </w:tcPr>
                <w:p>
                  <w:pPr>
                    <w:pStyle w:val="82"/>
                  </w:pPr>
                  <w:r>
                    <w:rPr>
                      <w:rFonts w:hint="eastAsia"/>
                    </w:rPr>
                    <w:t>水环境保护</w:t>
                  </w:r>
                </w:p>
              </w:tc>
              <w:tc>
                <w:tcPr>
                  <w:tcW w:w="3058" w:type="pct"/>
                  <w:gridSpan w:val="2"/>
                  <w:tcMar>
                    <w:left w:w="57" w:type="dxa"/>
                    <w:right w:w="57" w:type="dxa"/>
                  </w:tcMar>
                  <w:vAlign w:val="center"/>
                </w:tcPr>
                <w:p>
                  <w:pPr>
                    <w:pStyle w:val="82"/>
                    <w:jc w:val="both"/>
                  </w:pPr>
                  <w:r>
                    <w:rPr>
                      <w:rFonts w:hint="eastAsia"/>
                    </w:rPr>
                    <w:t>施工人员生活污水利用施工生产生活区设置的临时化粪池收集处理，定期清掏不外排；同时在线路沿线施工场地设置移动环保厕所，输电线路施工人员生活污水可依托移动环保厕所收集处理，定期清掏不外排。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87" w:hRule="atLeast"/>
                <w:jc w:val="center"/>
              </w:trPr>
              <w:tc>
                <w:tcPr>
                  <w:tcW w:w="1007" w:type="pct"/>
                  <w:vMerge w:val="continue"/>
                  <w:tcMar>
                    <w:left w:w="57" w:type="dxa"/>
                    <w:right w:w="57" w:type="dxa"/>
                  </w:tcMar>
                  <w:vAlign w:val="center"/>
                </w:tcPr>
                <w:p>
                  <w:pPr>
                    <w:pStyle w:val="82"/>
                  </w:pPr>
                </w:p>
              </w:tc>
              <w:tc>
                <w:tcPr>
                  <w:tcW w:w="935" w:type="pct"/>
                  <w:tcMar>
                    <w:left w:w="57" w:type="dxa"/>
                    <w:right w:w="57" w:type="dxa"/>
                  </w:tcMar>
                  <w:vAlign w:val="center"/>
                </w:tcPr>
                <w:p>
                  <w:pPr>
                    <w:pStyle w:val="82"/>
                    <w:rPr>
                      <w:highlight w:val="yellow"/>
                    </w:rPr>
                  </w:pPr>
                  <w:r>
                    <w:rPr>
                      <w:rFonts w:hint="eastAsia"/>
                    </w:rPr>
                    <w:t>声环境保护</w:t>
                  </w:r>
                </w:p>
              </w:tc>
              <w:tc>
                <w:tcPr>
                  <w:tcW w:w="3058" w:type="pct"/>
                  <w:gridSpan w:val="2"/>
                  <w:tcMar>
                    <w:left w:w="57" w:type="dxa"/>
                    <w:right w:w="57" w:type="dxa"/>
                  </w:tcMar>
                  <w:vAlign w:val="center"/>
                </w:tcPr>
                <w:p>
                  <w:pPr>
                    <w:pStyle w:val="82"/>
                    <w:jc w:val="both"/>
                  </w:pPr>
                  <w:r>
                    <w:rPr>
                      <w:rFonts w:hint="eastAsia"/>
                    </w:rPr>
                    <w:t>通过先行修建变电站围墙、</w:t>
                  </w:r>
                  <w:r>
                    <w:rPr>
                      <w:rFonts w:hint="eastAsia"/>
                      <w:color w:val="000000"/>
                    </w:rPr>
                    <w:t>依法限制夜间高噪声施工</w:t>
                  </w:r>
                  <w:r>
                    <w:rPr>
                      <w:rFonts w:hint="eastAsia"/>
                    </w:rPr>
                    <w:t>、优选低噪声设备、加强施工管理等措施减少施工对声环境的影响。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87" w:hRule="atLeast"/>
                <w:jc w:val="center"/>
              </w:trPr>
              <w:tc>
                <w:tcPr>
                  <w:tcW w:w="1007" w:type="pct"/>
                  <w:vMerge w:val="continue"/>
                  <w:tcMar>
                    <w:left w:w="57" w:type="dxa"/>
                    <w:right w:w="57" w:type="dxa"/>
                  </w:tcMar>
                  <w:vAlign w:val="center"/>
                </w:tcPr>
                <w:p>
                  <w:pPr>
                    <w:pStyle w:val="82"/>
                  </w:pPr>
                </w:p>
              </w:tc>
              <w:tc>
                <w:tcPr>
                  <w:tcW w:w="935" w:type="pct"/>
                  <w:tcMar>
                    <w:left w:w="57" w:type="dxa"/>
                    <w:right w:w="57" w:type="dxa"/>
                  </w:tcMar>
                  <w:vAlign w:val="center"/>
                </w:tcPr>
                <w:p>
                  <w:pPr>
                    <w:pStyle w:val="82"/>
                  </w:pPr>
                  <w:r>
                    <w:rPr>
                      <w:rFonts w:hint="eastAsia"/>
                    </w:rPr>
                    <w:t>大气环境保护</w:t>
                  </w:r>
                </w:p>
              </w:tc>
              <w:tc>
                <w:tcPr>
                  <w:tcW w:w="3058" w:type="pct"/>
                  <w:gridSpan w:val="2"/>
                  <w:tcMar>
                    <w:left w:w="57" w:type="dxa"/>
                    <w:right w:w="57" w:type="dxa"/>
                  </w:tcMar>
                  <w:vAlign w:val="center"/>
                </w:tcPr>
                <w:p>
                  <w:pPr>
                    <w:pStyle w:val="82"/>
                    <w:jc w:val="both"/>
                  </w:pPr>
                  <w:r>
                    <w:rPr>
                      <w:rFonts w:hint="eastAsia"/>
                    </w:rPr>
                    <w:t>通过采取定期洒水、临时苫盖、合理堆放等措施减少施工对大气环境的影响。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87" w:hRule="atLeast"/>
                <w:jc w:val="center"/>
              </w:trPr>
              <w:tc>
                <w:tcPr>
                  <w:tcW w:w="1007" w:type="pct"/>
                  <w:vMerge w:val="continue"/>
                  <w:tcMar>
                    <w:left w:w="57" w:type="dxa"/>
                    <w:right w:w="57" w:type="dxa"/>
                  </w:tcMar>
                  <w:vAlign w:val="center"/>
                </w:tcPr>
                <w:p>
                  <w:pPr>
                    <w:pStyle w:val="82"/>
                  </w:pPr>
                </w:p>
              </w:tc>
              <w:tc>
                <w:tcPr>
                  <w:tcW w:w="935" w:type="pct"/>
                  <w:tcMar>
                    <w:left w:w="57" w:type="dxa"/>
                    <w:right w:w="57" w:type="dxa"/>
                  </w:tcMar>
                  <w:vAlign w:val="center"/>
                </w:tcPr>
                <w:p>
                  <w:pPr>
                    <w:pStyle w:val="82"/>
                  </w:pPr>
                  <w:r>
                    <w:rPr>
                      <w:rFonts w:hint="eastAsia"/>
                    </w:rPr>
                    <w:t>电磁环境保护</w:t>
                  </w:r>
                </w:p>
              </w:tc>
              <w:tc>
                <w:tcPr>
                  <w:tcW w:w="3058" w:type="pct"/>
                  <w:gridSpan w:val="2"/>
                  <w:tcMar>
                    <w:left w:w="57" w:type="dxa"/>
                    <w:right w:w="57" w:type="dxa"/>
                  </w:tcMar>
                  <w:vAlign w:val="center"/>
                </w:tcPr>
                <w:p>
                  <w:pPr>
                    <w:pStyle w:val="11"/>
                    <w:spacing w:line="240" w:lineRule="auto"/>
                    <w:ind w:firstLine="0" w:firstLineChars="0"/>
                  </w:pPr>
                  <w:r>
                    <w:rPr>
                      <w:rFonts w:hint="eastAsia"/>
                      <w:snapToGrid w:val="0"/>
                      <w:kern w:val="0"/>
                      <w:sz w:val="21"/>
                      <w:szCs w:val="21"/>
                    </w:rPr>
                    <w:t>通过采取</w:t>
                  </w:r>
                  <w:r>
                    <w:rPr>
                      <w:snapToGrid w:val="0"/>
                      <w:kern w:val="0"/>
                      <w:sz w:val="21"/>
                      <w:szCs w:val="21"/>
                    </w:rPr>
                    <w:t>落实导线对地最低设计高度</w:t>
                  </w:r>
                  <w:r>
                    <w:rPr>
                      <w:rFonts w:hint="eastAsia"/>
                      <w:snapToGrid w:val="0"/>
                      <w:kern w:val="0"/>
                      <w:sz w:val="21"/>
                      <w:szCs w:val="21"/>
                    </w:rPr>
                    <w:t>、悬挂警示警告标志、加强设备维护和员工安全教育、</w:t>
                  </w:r>
                  <w:r>
                    <w:rPr>
                      <w:snapToGrid w:val="0"/>
                      <w:kern w:val="0"/>
                      <w:sz w:val="21"/>
                      <w:szCs w:val="21"/>
                    </w:rPr>
                    <w:t>定期开展环境监测</w:t>
                  </w:r>
                  <w:r>
                    <w:rPr>
                      <w:rFonts w:hint="eastAsia"/>
                      <w:snapToGrid w:val="0"/>
                      <w:kern w:val="0"/>
                      <w:sz w:val="21"/>
                      <w:szCs w:val="21"/>
                    </w:rPr>
                    <w:t>等措施确保电磁环境满足相应标准限值要求。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87" w:hRule="atLeast"/>
                <w:jc w:val="center"/>
              </w:trPr>
              <w:tc>
                <w:tcPr>
                  <w:tcW w:w="1007" w:type="pct"/>
                  <w:vMerge w:val="continue"/>
                  <w:tcMar>
                    <w:left w:w="57" w:type="dxa"/>
                    <w:right w:w="57" w:type="dxa"/>
                  </w:tcMar>
                  <w:vAlign w:val="center"/>
                </w:tcPr>
                <w:p>
                  <w:pPr>
                    <w:pStyle w:val="82"/>
                  </w:pPr>
                </w:p>
              </w:tc>
              <w:tc>
                <w:tcPr>
                  <w:tcW w:w="935" w:type="pct"/>
                  <w:tcMar>
                    <w:left w:w="57" w:type="dxa"/>
                    <w:right w:w="57" w:type="dxa"/>
                  </w:tcMar>
                  <w:vAlign w:val="center"/>
                </w:tcPr>
                <w:p>
                  <w:pPr>
                    <w:pStyle w:val="82"/>
                  </w:pPr>
                  <w:r>
                    <w:rPr>
                      <w:rFonts w:hint="eastAsia"/>
                    </w:rPr>
                    <w:t>固体废物防治</w:t>
                  </w:r>
                </w:p>
              </w:tc>
              <w:tc>
                <w:tcPr>
                  <w:tcW w:w="3058" w:type="pct"/>
                  <w:gridSpan w:val="2"/>
                  <w:tcMar>
                    <w:left w:w="57" w:type="dxa"/>
                    <w:right w:w="57" w:type="dxa"/>
                  </w:tcMar>
                  <w:vAlign w:val="center"/>
                </w:tcPr>
                <w:p>
                  <w:pPr>
                    <w:pStyle w:val="82"/>
                    <w:jc w:val="both"/>
                  </w:pPr>
                  <w:r>
                    <w:rPr>
                      <w:rFonts w:hint="eastAsia"/>
                    </w:rPr>
                    <w:t>通过采取垃圾分类定期清理、迹地恢复、表土集中堆放等措施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87" w:hRule="atLeast"/>
                <w:jc w:val="center"/>
              </w:trPr>
              <w:tc>
                <w:tcPr>
                  <w:tcW w:w="1007" w:type="pct"/>
                  <w:vMerge w:val="continue"/>
                  <w:tcMar>
                    <w:left w:w="57" w:type="dxa"/>
                    <w:right w:w="57" w:type="dxa"/>
                  </w:tcMar>
                  <w:vAlign w:val="center"/>
                </w:tcPr>
                <w:p>
                  <w:pPr>
                    <w:pStyle w:val="82"/>
                    <w:rPr>
                      <w:color w:val="000000"/>
                    </w:rPr>
                  </w:pPr>
                </w:p>
              </w:tc>
              <w:tc>
                <w:tcPr>
                  <w:tcW w:w="935" w:type="pct"/>
                  <w:tcMar>
                    <w:left w:w="57" w:type="dxa"/>
                    <w:right w:w="57" w:type="dxa"/>
                  </w:tcMar>
                  <w:vAlign w:val="center"/>
                </w:tcPr>
                <w:p>
                  <w:pPr>
                    <w:pStyle w:val="82"/>
                  </w:pPr>
                  <w:r>
                    <w:rPr>
                      <w:rFonts w:hint="eastAsia"/>
                    </w:rPr>
                    <w:t>水土流失</w:t>
                  </w:r>
                </w:p>
              </w:tc>
              <w:tc>
                <w:tcPr>
                  <w:tcW w:w="3058" w:type="pct"/>
                  <w:gridSpan w:val="2"/>
                  <w:tcMar>
                    <w:left w:w="57" w:type="dxa"/>
                    <w:right w:w="57" w:type="dxa"/>
                  </w:tcMar>
                  <w:vAlign w:val="center"/>
                </w:tcPr>
                <w:p>
                  <w:pPr>
                    <w:pStyle w:val="82"/>
                    <w:jc w:val="both"/>
                  </w:pPr>
                  <w:r>
                    <w:t>采取工程措施，控制水土流失量。</w:t>
                  </w:r>
                </w:p>
              </w:tc>
            </w:tr>
          </w:tbl>
          <w:p>
            <w:pPr>
              <w:pStyle w:val="5"/>
              <w:numPr>
                <w:ilvl w:val="0"/>
                <w:numId w:val="5"/>
              </w:numPr>
              <w:spacing w:before="0" w:after="0" w:line="360" w:lineRule="auto"/>
              <w:rPr>
                <w:rFonts w:eastAsia="宋体"/>
                <w:sz w:val="24"/>
                <w:szCs w:val="24"/>
              </w:rPr>
            </w:pPr>
            <w:bookmarkStart w:id="32" w:name="_Toc91532125"/>
            <w:bookmarkStart w:id="33" w:name="_Toc23635"/>
            <w:bookmarkStart w:id="34" w:name="_Toc85036839"/>
            <w:bookmarkStart w:id="35" w:name="_Toc88558480"/>
            <w:bookmarkStart w:id="36" w:name="_Toc109473390"/>
            <w:bookmarkStart w:id="37" w:name="_Toc96031328"/>
            <w:bookmarkStart w:id="38" w:name="_Toc109473525"/>
            <w:bookmarkStart w:id="39" w:name="_Toc97290535"/>
            <w:bookmarkStart w:id="40" w:name="_Toc91493218"/>
            <w:bookmarkStart w:id="41" w:name="_Toc96935365"/>
            <w:bookmarkStart w:id="42" w:name="_Toc97290401"/>
            <w:bookmarkStart w:id="43" w:name="_Toc109472532"/>
            <w:bookmarkStart w:id="44" w:name="_Toc109473759"/>
            <w:bookmarkStart w:id="45" w:name="_Toc96031245"/>
            <w:bookmarkStart w:id="46" w:name="_Toc85037173"/>
            <w:bookmarkStart w:id="47" w:name="_Toc110439051"/>
            <w:bookmarkStart w:id="48" w:name="_Toc81308111"/>
            <w:bookmarkStart w:id="49" w:name="_Toc95464619"/>
            <w:bookmarkStart w:id="50" w:name="_Toc109473838"/>
            <w:bookmarkStart w:id="51" w:name="_Toc111564272"/>
            <w:bookmarkStart w:id="52" w:name="_Toc16673"/>
            <w:bookmarkStart w:id="53" w:name="_Toc81415583"/>
            <w:r>
              <w:rPr>
                <w:rFonts w:hint="eastAsia" w:eastAsia="宋体"/>
                <w:sz w:val="24"/>
                <w:szCs w:val="24"/>
              </w:rPr>
              <w:t>项目</w:t>
            </w:r>
            <w:r>
              <w:rPr>
                <w:rFonts w:eastAsia="宋体"/>
                <w:sz w:val="24"/>
                <w:szCs w:val="24"/>
              </w:rPr>
              <w:t>规模</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pPr>
              <w:pStyle w:val="5"/>
              <w:numPr>
                <w:ilvl w:val="1"/>
                <w:numId w:val="5"/>
              </w:numPr>
              <w:spacing w:before="0" w:after="0" w:line="360" w:lineRule="auto"/>
              <w:rPr>
                <w:rFonts w:eastAsia="宋体"/>
                <w:sz w:val="24"/>
                <w:szCs w:val="24"/>
              </w:rPr>
            </w:pPr>
            <w:bookmarkStart w:id="54" w:name="_Toc15656"/>
            <w:r>
              <w:rPr>
                <w:rFonts w:hint="eastAsia" w:eastAsia="宋体"/>
                <w:sz w:val="24"/>
                <w:szCs w:val="24"/>
              </w:rPr>
              <w:t>东环110千伏变电站新建工程</w:t>
            </w:r>
            <w:bookmarkEnd w:id="54"/>
          </w:p>
          <w:p>
            <w:pPr>
              <w:autoSpaceDE w:val="0"/>
              <w:autoSpaceDN w:val="0"/>
              <w:adjustRightInd w:val="0"/>
              <w:snapToGrid w:val="0"/>
              <w:spacing w:line="360" w:lineRule="auto"/>
              <w:ind w:firstLine="480" w:firstLineChars="200"/>
              <w:rPr>
                <w:color w:val="000000"/>
                <w:sz w:val="24"/>
              </w:rPr>
            </w:pPr>
            <w:r>
              <w:rPr>
                <w:rFonts w:hint="eastAsia"/>
                <w:color w:val="000000"/>
                <w:sz w:val="24"/>
              </w:rPr>
              <w:t>新建一座110kV户外变电站，本期新建主变2×50MVA，110kV出线2回（1回至交河220kV变电站，1回至番南220kV变电站），每台主变10kV侧配置2×5Mvar电容器。</w:t>
            </w:r>
          </w:p>
          <w:p>
            <w:pPr>
              <w:autoSpaceDE w:val="0"/>
              <w:autoSpaceDN w:val="0"/>
              <w:adjustRightInd w:val="0"/>
              <w:snapToGrid w:val="0"/>
              <w:spacing w:line="360" w:lineRule="auto"/>
              <w:ind w:firstLine="480" w:firstLineChars="200"/>
              <w:rPr>
                <w:color w:val="000000"/>
                <w:sz w:val="24"/>
              </w:rPr>
            </w:pPr>
            <w:r>
              <w:rPr>
                <w:rFonts w:hint="eastAsia"/>
                <w:color w:val="000000"/>
                <w:sz w:val="24"/>
              </w:rPr>
              <w:t>拟采取的环保设施和措施：</w:t>
            </w:r>
          </w:p>
          <w:p>
            <w:pPr>
              <w:autoSpaceDE w:val="0"/>
              <w:autoSpaceDN w:val="0"/>
              <w:adjustRightInd w:val="0"/>
              <w:snapToGrid w:val="0"/>
              <w:spacing w:line="360" w:lineRule="auto"/>
              <w:ind w:firstLine="480" w:firstLineChars="200"/>
              <w:rPr>
                <w:color w:val="000000"/>
                <w:sz w:val="24"/>
              </w:rPr>
            </w:pPr>
            <w:r>
              <w:rPr>
                <w:rFonts w:hint="eastAsia"/>
                <w:color w:val="000000"/>
                <w:sz w:val="24"/>
              </w:rPr>
              <w:t>（1）电磁环境影响防治措施</w:t>
            </w:r>
          </w:p>
          <w:p>
            <w:pPr>
              <w:autoSpaceDE w:val="0"/>
              <w:autoSpaceDN w:val="0"/>
              <w:adjustRightInd w:val="0"/>
              <w:snapToGrid w:val="0"/>
              <w:spacing w:line="360" w:lineRule="auto"/>
              <w:ind w:firstLine="480" w:firstLineChars="200"/>
              <w:rPr>
                <w:color w:val="000000"/>
                <w:sz w:val="24"/>
              </w:rPr>
            </w:pPr>
            <w:r>
              <w:rPr>
                <w:rFonts w:hint="eastAsia"/>
                <w:color w:val="000000"/>
                <w:sz w:val="24"/>
              </w:rPr>
              <w:t>合理选择相地和相间距离，控制设备间连线离地面的最低高度；对电气设备进行合理布局，保证导体和电气设备安全距离；选用具有抗干扰能力的设备等。</w:t>
            </w:r>
          </w:p>
          <w:p>
            <w:pPr>
              <w:autoSpaceDE w:val="0"/>
              <w:autoSpaceDN w:val="0"/>
              <w:adjustRightInd w:val="0"/>
              <w:snapToGrid w:val="0"/>
              <w:spacing w:line="360" w:lineRule="auto"/>
              <w:ind w:firstLine="480" w:firstLineChars="200"/>
              <w:rPr>
                <w:color w:val="000000"/>
                <w:sz w:val="24"/>
              </w:rPr>
            </w:pPr>
            <w:r>
              <w:rPr>
                <w:rFonts w:hint="eastAsia"/>
                <w:color w:val="000000"/>
                <w:sz w:val="24"/>
              </w:rPr>
              <w:t>（2）声环境影响防治措施</w:t>
            </w:r>
          </w:p>
          <w:p>
            <w:pPr>
              <w:autoSpaceDE w:val="0"/>
              <w:autoSpaceDN w:val="0"/>
              <w:adjustRightInd w:val="0"/>
              <w:snapToGrid w:val="0"/>
              <w:spacing w:line="360" w:lineRule="auto"/>
              <w:ind w:firstLine="480" w:firstLineChars="200"/>
              <w:rPr>
                <w:color w:val="000000"/>
                <w:sz w:val="24"/>
              </w:rPr>
            </w:pPr>
            <w:r>
              <w:rPr>
                <w:rFonts w:hint="eastAsia"/>
                <w:color w:val="000000"/>
                <w:sz w:val="24"/>
              </w:rPr>
              <w:t>选用符合国家标准的低噪声电气设备以减小噪声对站外环境的影响。</w:t>
            </w:r>
          </w:p>
          <w:p>
            <w:pPr>
              <w:autoSpaceDE w:val="0"/>
              <w:autoSpaceDN w:val="0"/>
              <w:adjustRightInd w:val="0"/>
              <w:snapToGrid w:val="0"/>
              <w:spacing w:line="360" w:lineRule="auto"/>
              <w:ind w:firstLine="480" w:firstLineChars="200"/>
              <w:rPr>
                <w:color w:val="000000"/>
                <w:sz w:val="24"/>
              </w:rPr>
            </w:pPr>
            <w:r>
              <w:rPr>
                <w:rFonts w:hint="eastAsia"/>
                <w:color w:val="000000"/>
                <w:sz w:val="24"/>
              </w:rPr>
              <w:t>（3）水环境影响防治措施</w:t>
            </w:r>
          </w:p>
          <w:p>
            <w:pPr>
              <w:autoSpaceDE w:val="0"/>
              <w:autoSpaceDN w:val="0"/>
              <w:adjustRightInd w:val="0"/>
              <w:snapToGrid w:val="0"/>
              <w:spacing w:line="360" w:lineRule="auto"/>
              <w:ind w:firstLine="480" w:firstLineChars="200"/>
              <w:rPr>
                <w:color w:val="000000"/>
                <w:sz w:val="24"/>
              </w:rPr>
            </w:pPr>
            <w:r>
              <w:rPr>
                <w:rFonts w:hint="eastAsia"/>
                <w:color w:val="000000"/>
                <w:sz w:val="24"/>
              </w:rPr>
              <w:t>东环110kV变电站采用雨水和生活污水分流制排水系统。即站区雨水采取散排及自渗排水；站内生活污水经化粪池处理后定期清理。</w:t>
            </w:r>
          </w:p>
          <w:p>
            <w:pPr>
              <w:autoSpaceDE w:val="0"/>
              <w:autoSpaceDN w:val="0"/>
              <w:adjustRightInd w:val="0"/>
              <w:snapToGrid w:val="0"/>
              <w:spacing w:line="360" w:lineRule="auto"/>
              <w:ind w:firstLine="480" w:firstLineChars="200"/>
              <w:rPr>
                <w:color w:val="000000"/>
                <w:sz w:val="24"/>
              </w:rPr>
            </w:pPr>
            <w:r>
              <w:rPr>
                <w:rFonts w:hint="eastAsia"/>
                <w:color w:val="000000"/>
                <w:sz w:val="24"/>
              </w:rPr>
              <w:t>（4）固体废物影响防治措施</w:t>
            </w:r>
          </w:p>
          <w:p>
            <w:pPr>
              <w:autoSpaceDE w:val="0"/>
              <w:autoSpaceDN w:val="0"/>
              <w:adjustRightInd w:val="0"/>
              <w:snapToGrid w:val="0"/>
              <w:spacing w:line="360" w:lineRule="auto"/>
              <w:ind w:firstLine="480" w:firstLineChars="200"/>
              <w:rPr>
                <w:color w:val="000000"/>
                <w:sz w:val="24"/>
              </w:rPr>
            </w:pPr>
            <w:r>
              <w:rPr>
                <w:rFonts w:hint="eastAsia"/>
                <w:color w:val="000000"/>
                <w:sz w:val="24"/>
              </w:rPr>
              <w:t>在站内设有垃圾桶等生活垃圾收集设施，生活垃圾经收集后定期清运至当地环卫部门指定的垃圾收集点，随当地生活垃圾一起处理。</w:t>
            </w:r>
          </w:p>
          <w:p>
            <w:pPr>
              <w:autoSpaceDE w:val="0"/>
              <w:autoSpaceDN w:val="0"/>
              <w:adjustRightInd w:val="0"/>
              <w:snapToGrid w:val="0"/>
              <w:spacing w:line="360" w:lineRule="auto"/>
              <w:ind w:firstLine="480" w:firstLineChars="200"/>
              <w:rPr>
                <w:color w:val="000000"/>
                <w:sz w:val="24"/>
              </w:rPr>
            </w:pPr>
            <w:r>
              <w:rPr>
                <w:rFonts w:hint="eastAsia"/>
                <w:color w:val="000000"/>
                <w:sz w:val="24"/>
              </w:rPr>
              <w:t>变电站内蓄电池达到寿命周期后，统一交由有危废处置资质的单位处理（目前为新疆泽龙蓄电池回收有限公司），不随意处置。</w:t>
            </w:r>
          </w:p>
          <w:p>
            <w:pPr>
              <w:autoSpaceDE w:val="0"/>
              <w:autoSpaceDN w:val="0"/>
              <w:adjustRightInd w:val="0"/>
              <w:snapToGrid w:val="0"/>
              <w:spacing w:line="360" w:lineRule="auto"/>
              <w:ind w:firstLine="480" w:firstLineChars="200"/>
              <w:rPr>
                <w:color w:val="000000"/>
                <w:sz w:val="24"/>
              </w:rPr>
            </w:pPr>
            <w:r>
              <w:rPr>
                <w:rFonts w:hint="eastAsia"/>
                <w:color w:val="000000"/>
                <w:sz w:val="24"/>
              </w:rPr>
              <w:t>（5）环境风险防范措施</w:t>
            </w:r>
          </w:p>
          <w:p>
            <w:pPr>
              <w:autoSpaceDE w:val="0"/>
              <w:autoSpaceDN w:val="0"/>
              <w:adjustRightInd w:val="0"/>
              <w:snapToGrid w:val="0"/>
              <w:spacing w:line="360" w:lineRule="auto"/>
              <w:ind w:firstLine="480" w:firstLineChars="200"/>
              <w:rPr>
                <w:color w:val="000000"/>
                <w:sz w:val="24"/>
              </w:rPr>
            </w:pPr>
            <w:r>
              <w:rPr>
                <w:rFonts w:hint="eastAsia"/>
                <w:color w:val="000000"/>
                <w:sz w:val="24"/>
              </w:rPr>
              <w:t>本期建设一座有效容积为3</w:t>
            </w:r>
            <w:r>
              <w:rPr>
                <w:color w:val="000000"/>
                <w:sz w:val="24"/>
              </w:rPr>
              <w:t>0</w:t>
            </w:r>
            <w:r>
              <w:rPr>
                <w:rFonts w:hint="eastAsia"/>
                <w:color w:val="000000"/>
                <w:sz w:val="24"/>
              </w:rPr>
              <w:t>m</w:t>
            </w:r>
            <w:r>
              <w:rPr>
                <w:rFonts w:hint="eastAsia"/>
                <w:color w:val="000000"/>
                <w:sz w:val="24"/>
                <w:vertAlign w:val="superscript"/>
              </w:rPr>
              <w:t>3</w:t>
            </w:r>
            <w:r>
              <w:rPr>
                <w:rFonts w:hint="eastAsia"/>
                <w:color w:val="000000"/>
                <w:sz w:val="24"/>
              </w:rPr>
              <w:t>的主变压器事故油池，用于接入本期新增的#1和#2主变压器事故状态下产生的废变压器油。东环变电站本期拟建#1、#2主变压器单台设备含油量约16t，按照主变绝缘油密度0.895g/ml计算，主变绝缘油折合体积约为17.88m</w:t>
            </w:r>
            <w:r>
              <w:rPr>
                <w:rFonts w:hint="eastAsia"/>
                <w:color w:val="000000"/>
                <w:sz w:val="24"/>
                <w:vertAlign w:val="superscript"/>
              </w:rPr>
              <w:t>3</w:t>
            </w:r>
            <w:r>
              <w:rPr>
                <w:rFonts w:hint="eastAsia"/>
                <w:color w:val="000000"/>
                <w:sz w:val="24"/>
              </w:rPr>
              <w:t>，设计建设的事故油池有效容积能够满足事故状态下最大单台主变100％的油量储存要求。事故状态下产生废绝缘油由事故油池收集储存，及时交由有危废处置资质的单位处理，不随意处置。</w:t>
            </w:r>
          </w:p>
          <w:p>
            <w:pPr>
              <w:autoSpaceDE w:val="0"/>
              <w:autoSpaceDN w:val="0"/>
              <w:adjustRightInd w:val="0"/>
              <w:snapToGrid w:val="0"/>
              <w:spacing w:line="360" w:lineRule="auto"/>
              <w:ind w:firstLine="480" w:firstLineChars="200"/>
              <w:rPr>
                <w:color w:val="000000"/>
                <w:sz w:val="24"/>
              </w:rPr>
            </w:pPr>
            <w:r>
              <w:rPr>
                <w:color w:val="000000"/>
                <w:sz w:val="24"/>
              </w:rPr>
              <w:t>（6）生态保护措施</w:t>
            </w:r>
          </w:p>
          <w:p>
            <w:pPr>
              <w:autoSpaceDE w:val="0"/>
              <w:autoSpaceDN w:val="0"/>
              <w:adjustRightInd w:val="0"/>
              <w:snapToGrid w:val="0"/>
              <w:spacing w:line="360" w:lineRule="auto"/>
              <w:ind w:firstLine="480" w:firstLineChars="200"/>
              <w:rPr>
                <w:color w:val="000000"/>
                <w:sz w:val="24"/>
              </w:rPr>
            </w:pPr>
            <w:r>
              <w:rPr>
                <w:color w:val="000000"/>
                <w:sz w:val="24"/>
              </w:rPr>
              <w:t>变电站站内</w:t>
            </w:r>
            <w:r>
              <w:rPr>
                <w:rFonts w:hint="eastAsia"/>
                <w:color w:val="000000"/>
                <w:sz w:val="24"/>
              </w:rPr>
              <w:t>道路</w:t>
            </w:r>
            <w:r>
              <w:rPr>
                <w:color w:val="000000"/>
                <w:sz w:val="24"/>
              </w:rPr>
              <w:t>采用混凝土硬化路面，</w:t>
            </w:r>
            <w:r>
              <w:rPr>
                <w:rFonts w:hint="eastAsia"/>
                <w:color w:val="000000"/>
                <w:sz w:val="24"/>
              </w:rPr>
              <w:t>其他区域采用碎石铺设，</w:t>
            </w:r>
            <w:r>
              <w:rPr>
                <w:color w:val="000000"/>
                <w:sz w:val="24"/>
              </w:rPr>
              <w:t>站外临时占地施工完成后进行场地平整</w:t>
            </w:r>
            <w:r>
              <w:rPr>
                <w:rFonts w:hint="eastAsia"/>
                <w:color w:val="000000"/>
                <w:sz w:val="24"/>
              </w:rPr>
              <w:t>。</w:t>
            </w:r>
          </w:p>
          <w:p>
            <w:pPr>
              <w:pStyle w:val="5"/>
              <w:numPr>
                <w:ilvl w:val="1"/>
                <w:numId w:val="5"/>
              </w:numPr>
              <w:spacing w:before="0" w:after="0" w:line="360" w:lineRule="auto"/>
              <w:rPr>
                <w:rFonts w:eastAsia="宋体"/>
                <w:sz w:val="24"/>
                <w:szCs w:val="24"/>
              </w:rPr>
            </w:pPr>
            <w:bookmarkStart w:id="55" w:name="_Toc29565"/>
            <w:r>
              <w:rPr>
                <w:rFonts w:hint="eastAsia" w:eastAsia="宋体"/>
                <w:sz w:val="24"/>
                <w:szCs w:val="24"/>
              </w:rPr>
              <w:t>七泉湖~红旗π入番南变110千伏线路工程</w:t>
            </w:r>
            <w:bookmarkEnd w:id="55"/>
          </w:p>
          <w:p>
            <w:pPr>
              <w:pStyle w:val="5"/>
              <w:numPr>
                <w:ilvl w:val="2"/>
                <w:numId w:val="5"/>
              </w:numPr>
              <w:spacing w:before="0" w:after="0" w:line="360" w:lineRule="auto"/>
              <w:rPr>
                <w:rFonts w:eastAsia="宋体"/>
                <w:sz w:val="24"/>
                <w:szCs w:val="24"/>
              </w:rPr>
            </w:pPr>
            <w:bookmarkStart w:id="56" w:name="_Toc24268"/>
            <w:bookmarkStart w:id="57" w:name="_Toc26355"/>
            <w:r>
              <w:rPr>
                <w:rFonts w:hint="eastAsia" w:eastAsia="宋体"/>
                <w:sz w:val="24"/>
                <w:szCs w:val="24"/>
              </w:rPr>
              <w:t>项目概况</w:t>
            </w:r>
            <w:bookmarkEnd w:id="56"/>
            <w:bookmarkEnd w:id="57"/>
          </w:p>
          <w:p>
            <w:pPr>
              <w:spacing w:line="360" w:lineRule="auto"/>
              <w:ind w:firstLine="480" w:firstLineChars="200"/>
              <w:rPr>
                <w:sz w:val="24"/>
                <w:szCs w:val="32"/>
              </w:rPr>
            </w:pPr>
            <w:r>
              <w:rPr>
                <w:rFonts w:hint="eastAsia"/>
                <w:color w:val="000000"/>
                <w:sz w:val="24"/>
              </w:rPr>
              <w:t>新建七旗I线π入番南变110kV架空线路，新建线路路径全长约2×7.8km，除在番南220kV变电站出线端采用同塔双回架设外，其余线路均采用单回路架设。另拆除110kV七旗</w:t>
            </w:r>
            <w:r>
              <w:rPr>
                <w:color w:val="000000"/>
                <w:sz w:val="24"/>
              </w:rPr>
              <w:t>Ⅰ</w:t>
            </w:r>
            <w:r>
              <w:rPr>
                <w:rFonts w:hint="eastAsia"/>
                <w:color w:val="000000"/>
                <w:sz w:val="24"/>
              </w:rPr>
              <w:t>线135#杆塔</w:t>
            </w:r>
            <w:r>
              <w:rPr>
                <w:rFonts w:hint="eastAsia"/>
                <w:sz w:val="24"/>
                <w:szCs w:val="32"/>
              </w:rPr>
              <w:t>。</w:t>
            </w:r>
          </w:p>
          <w:p>
            <w:pPr>
              <w:pStyle w:val="5"/>
              <w:numPr>
                <w:ilvl w:val="2"/>
                <w:numId w:val="5"/>
              </w:numPr>
              <w:spacing w:before="0" w:after="0" w:line="360" w:lineRule="auto"/>
              <w:rPr>
                <w:rFonts w:eastAsia="宋体"/>
                <w:sz w:val="24"/>
                <w:szCs w:val="24"/>
              </w:rPr>
            </w:pPr>
            <w:bookmarkStart w:id="58" w:name="_Toc29475"/>
            <w:bookmarkStart w:id="59" w:name="_Toc9824"/>
            <w:r>
              <w:rPr>
                <w:rFonts w:hint="eastAsia" w:eastAsia="宋体"/>
                <w:sz w:val="24"/>
                <w:szCs w:val="24"/>
              </w:rPr>
              <w:t>导线、地线、杆塔、基础</w:t>
            </w:r>
            <w:bookmarkEnd w:id="58"/>
            <w:bookmarkEnd w:id="59"/>
          </w:p>
          <w:p>
            <w:pPr>
              <w:autoSpaceDE w:val="0"/>
              <w:autoSpaceDN w:val="0"/>
              <w:adjustRightInd w:val="0"/>
              <w:snapToGrid w:val="0"/>
              <w:spacing w:line="360" w:lineRule="auto"/>
              <w:ind w:firstLine="480" w:firstLineChars="200"/>
              <w:rPr>
                <w:color w:val="000000"/>
                <w:sz w:val="24"/>
              </w:rPr>
            </w:pPr>
            <w:r>
              <w:rPr>
                <w:color w:val="000000"/>
                <w:sz w:val="24"/>
              </w:rPr>
              <w:t>（1）导线</w:t>
            </w:r>
          </w:p>
          <w:p>
            <w:pPr>
              <w:autoSpaceDE w:val="0"/>
              <w:autoSpaceDN w:val="0"/>
              <w:adjustRightInd w:val="0"/>
              <w:snapToGrid w:val="0"/>
              <w:spacing w:line="360" w:lineRule="auto"/>
              <w:ind w:firstLine="480" w:firstLineChars="200"/>
              <w:rPr>
                <w:color w:val="000000"/>
                <w:sz w:val="24"/>
              </w:rPr>
            </w:pPr>
            <w:r>
              <w:rPr>
                <w:color w:val="000000"/>
                <w:sz w:val="24"/>
              </w:rPr>
              <w:t>本期拟建</w:t>
            </w:r>
            <w:r>
              <w:rPr>
                <w:rFonts w:hint="eastAsia"/>
                <w:color w:val="000000"/>
                <w:sz w:val="24"/>
              </w:rPr>
              <w:t>11</w:t>
            </w:r>
            <w:r>
              <w:rPr>
                <w:color w:val="000000"/>
                <w:sz w:val="24"/>
              </w:rPr>
              <w:t>0kV线路导线选用</w:t>
            </w:r>
            <w:r>
              <w:rPr>
                <w:rFonts w:hint="eastAsia"/>
                <w:color w:val="000000"/>
                <w:sz w:val="24"/>
              </w:rPr>
              <w:t>JL3/G1A-240/30型钢芯铝绞线</w:t>
            </w:r>
            <w:r>
              <w:rPr>
                <w:color w:val="000000"/>
                <w:sz w:val="24"/>
              </w:rPr>
              <w:t>。架空线路导线基本参数见</w:t>
            </w:r>
            <w:r>
              <w:rPr>
                <w:color w:val="000000"/>
                <w:sz w:val="24"/>
              </w:rPr>
              <w:fldChar w:fldCharType="begin"/>
            </w:r>
            <w:r>
              <w:rPr>
                <w:color w:val="000000"/>
                <w:sz w:val="24"/>
              </w:rPr>
              <w:instrText xml:space="preserve"> REF _Ref157121687 \h  \* MERGEFORMAT </w:instrText>
            </w:r>
            <w:r>
              <w:rPr>
                <w:color w:val="000000"/>
                <w:sz w:val="24"/>
              </w:rPr>
              <w:fldChar w:fldCharType="separate"/>
            </w:r>
            <w:r>
              <w:rPr>
                <w:color w:val="000000"/>
                <w:sz w:val="24"/>
              </w:rPr>
              <w:t>表 2</w:t>
            </w:r>
            <w:r>
              <w:rPr>
                <w:color w:val="000000"/>
                <w:sz w:val="24"/>
              </w:rPr>
              <w:fldChar w:fldCharType="end"/>
            </w:r>
            <w:r>
              <w:rPr>
                <w:color w:val="000000"/>
                <w:sz w:val="24"/>
              </w:rPr>
              <w:t>。</w:t>
            </w:r>
          </w:p>
          <w:p>
            <w:pPr>
              <w:pStyle w:val="18"/>
              <w:keepNext/>
              <w:rPr>
                <w:rFonts w:ascii="Times New Roman" w:hAnsi="Times New Roman"/>
                <w:bCs/>
              </w:rPr>
            </w:pPr>
            <w:bookmarkStart w:id="60" w:name="_Ref157121687"/>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2</w:t>
            </w:r>
            <w:r>
              <w:rPr>
                <w:rFonts w:ascii="Times New Roman" w:hAnsi="Times New Roman"/>
                <w:b/>
              </w:rPr>
              <w:fldChar w:fldCharType="end"/>
            </w:r>
            <w:bookmarkEnd w:id="60"/>
            <w:r>
              <w:rPr>
                <w:rFonts w:ascii="Times New Roman" w:hAnsi="Times New Roman"/>
                <w:b/>
              </w:rPr>
              <w:t xml:space="preserve">                 </w:t>
            </w:r>
            <w:r>
              <w:rPr>
                <w:rFonts w:hint="eastAsia" w:ascii="Times New Roman" w:hAnsi="Times New Roman"/>
                <w:b/>
              </w:rPr>
              <w:t xml:space="preserve"> </w:t>
            </w:r>
            <w:r>
              <w:rPr>
                <w:rFonts w:ascii="Times New Roman" w:hAnsi="Times New Roman"/>
                <w:b/>
              </w:rPr>
              <w:t xml:space="preserve">  输电线路工程导线基本参数一览表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4"/>
              <w:gridCol w:w="3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690" w:type="pct"/>
                  <w:vAlign w:val="center"/>
                </w:tcPr>
                <w:p>
                  <w:pPr>
                    <w:pStyle w:val="82"/>
                    <w:rPr>
                      <w:b/>
                      <w:bCs/>
                      <w:szCs w:val="21"/>
                    </w:rPr>
                  </w:pPr>
                  <w:r>
                    <w:rPr>
                      <w:b/>
                      <w:bCs/>
                      <w:szCs w:val="21"/>
                    </w:rPr>
                    <w:t>项</w:t>
                  </w:r>
                  <w:r>
                    <w:rPr>
                      <w:rFonts w:hint="eastAsia"/>
                      <w:b/>
                      <w:bCs/>
                      <w:szCs w:val="21"/>
                    </w:rPr>
                    <w:t xml:space="preserve">   </w:t>
                  </w:r>
                  <w:r>
                    <w:rPr>
                      <w:b/>
                      <w:bCs/>
                      <w:szCs w:val="21"/>
                    </w:rPr>
                    <w:t>目</w:t>
                  </w:r>
                </w:p>
              </w:tc>
              <w:tc>
                <w:tcPr>
                  <w:tcW w:w="2310" w:type="pct"/>
                  <w:vAlign w:val="center"/>
                </w:tcPr>
                <w:p>
                  <w:pPr>
                    <w:pStyle w:val="82"/>
                    <w:rPr>
                      <w:b/>
                      <w:bCs/>
                      <w:szCs w:val="21"/>
                    </w:rPr>
                  </w:pPr>
                  <w:r>
                    <w:rPr>
                      <w:b/>
                      <w:bCs/>
                      <w:szCs w:val="21"/>
                    </w:rPr>
                    <w:t>架空线路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690" w:type="pct"/>
                  <w:vAlign w:val="center"/>
                </w:tcPr>
                <w:p>
                  <w:pPr>
                    <w:pStyle w:val="82"/>
                    <w:rPr>
                      <w:szCs w:val="21"/>
                    </w:rPr>
                  </w:pPr>
                  <w:r>
                    <w:rPr>
                      <w:szCs w:val="21"/>
                    </w:rPr>
                    <w:t>导线型号</w:t>
                  </w:r>
                </w:p>
              </w:tc>
              <w:tc>
                <w:tcPr>
                  <w:tcW w:w="2310" w:type="pct"/>
                  <w:vAlign w:val="center"/>
                </w:tcPr>
                <w:p>
                  <w:pPr>
                    <w:pStyle w:val="82"/>
                    <w:rPr>
                      <w:szCs w:val="21"/>
                    </w:rPr>
                  </w:pPr>
                  <w:bookmarkStart w:id="61" w:name="_Hlk183036095"/>
                  <w:r>
                    <w:rPr>
                      <w:rFonts w:hint="eastAsia"/>
                      <w:szCs w:val="21"/>
                    </w:rPr>
                    <w:t>JL3/G1A-240/30型钢芯铝绞线</w:t>
                  </w:r>
                  <w:bookmarkEnd w:id="6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690" w:type="pct"/>
                  <w:vAlign w:val="center"/>
                </w:tcPr>
                <w:p>
                  <w:pPr>
                    <w:pStyle w:val="82"/>
                    <w:rPr>
                      <w:szCs w:val="21"/>
                    </w:rPr>
                  </w:pPr>
                  <w:r>
                    <w:rPr>
                      <w:szCs w:val="21"/>
                    </w:rPr>
                    <w:t>计算截面（mm</w:t>
                  </w:r>
                  <w:r>
                    <w:rPr>
                      <w:szCs w:val="21"/>
                      <w:vertAlign w:val="superscript"/>
                    </w:rPr>
                    <w:t>2</w:t>
                  </w:r>
                  <w:r>
                    <w:rPr>
                      <w:szCs w:val="21"/>
                    </w:rPr>
                    <w:t>）</w:t>
                  </w:r>
                </w:p>
              </w:tc>
              <w:tc>
                <w:tcPr>
                  <w:tcW w:w="2310" w:type="pct"/>
                </w:tcPr>
                <w:p>
                  <w:pPr>
                    <w:pStyle w:val="82"/>
                    <w:rPr>
                      <w:szCs w:val="21"/>
                    </w:rPr>
                  </w:pPr>
                  <w:r>
                    <w:rPr>
                      <w:rFonts w:hint="eastAsia"/>
                      <w:szCs w:val="21"/>
                    </w:rPr>
                    <w:t>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690" w:type="pct"/>
                  <w:vAlign w:val="center"/>
                </w:tcPr>
                <w:p>
                  <w:pPr>
                    <w:pStyle w:val="82"/>
                    <w:rPr>
                      <w:szCs w:val="21"/>
                    </w:rPr>
                  </w:pPr>
                  <w:r>
                    <w:rPr>
                      <w:szCs w:val="21"/>
                    </w:rPr>
                    <w:t>外径（mm）</w:t>
                  </w:r>
                </w:p>
              </w:tc>
              <w:tc>
                <w:tcPr>
                  <w:tcW w:w="2310" w:type="pct"/>
                  <w:vAlign w:val="center"/>
                </w:tcPr>
                <w:p>
                  <w:pPr>
                    <w:pStyle w:val="82"/>
                    <w:rPr>
                      <w:szCs w:val="21"/>
                    </w:rPr>
                  </w:pPr>
                  <w:r>
                    <w:rPr>
                      <w:rFonts w:hint="eastAsia"/>
                      <w:szCs w:val="21"/>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690" w:type="pct"/>
                  <w:vAlign w:val="center"/>
                </w:tcPr>
                <w:p>
                  <w:pPr>
                    <w:pStyle w:val="82"/>
                    <w:rPr>
                      <w:szCs w:val="21"/>
                    </w:rPr>
                  </w:pPr>
                  <w:r>
                    <w:rPr>
                      <w:szCs w:val="21"/>
                    </w:rPr>
                    <w:t>允许载流量（A）</w:t>
                  </w:r>
                </w:p>
              </w:tc>
              <w:tc>
                <w:tcPr>
                  <w:tcW w:w="2310" w:type="pct"/>
                  <w:vAlign w:val="center"/>
                </w:tcPr>
                <w:p>
                  <w:pPr>
                    <w:pStyle w:val="82"/>
                    <w:rPr>
                      <w:szCs w:val="21"/>
                    </w:rPr>
                  </w:pPr>
                  <w:r>
                    <w:rPr>
                      <w:szCs w:val="21"/>
                    </w:rPr>
                    <w:t>662</w:t>
                  </w:r>
                </w:p>
              </w:tc>
            </w:tr>
          </w:tbl>
          <w:p>
            <w:pPr>
              <w:autoSpaceDE w:val="0"/>
              <w:autoSpaceDN w:val="0"/>
              <w:adjustRightInd w:val="0"/>
              <w:snapToGrid w:val="0"/>
              <w:spacing w:before="240" w:line="360" w:lineRule="auto"/>
              <w:ind w:firstLine="480" w:firstLineChars="200"/>
              <w:rPr>
                <w:color w:val="000000"/>
                <w:sz w:val="24"/>
              </w:rPr>
            </w:pPr>
            <w:r>
              <w:rPr>
                <w:color w:val="000000"/>
                <w:sz w:val="24"/>
              </w:rPr>
              <w:t>（2）</w:t>
            </w:r>
            <w:r>
              <w:rPr>
                <w:rFonts w:hint="eastAsia"/>
                <w:color w:val="000000"/>
                <w:sz w:val="24"/>
              </w:rPr>
              <w:t>地线</w:t>
            </w:r>
          </w:p>
          <w:p>
            <w:pPr>
              <w:spacing w:line="360" w:lineRule="auto"/>
              <w:ind w:firstLine="480" w:firstLineChars="200"/>
              <w:rPr>
                <w:color w:val="000000"/>
                <w:sz w:val="24"/>
              </w:rPr>
            </w:pPr>
            <w:r>
              <w:rPr>
                <w:rFonts w:hint="eastAsia"/>
                <w:color w:val="000000"/>
                <w:sz w:val="24"/>
              </w:rPr>
              <w:t>一根48芯OPGW光缆，一根采用GJ-80型镀锌钢绞线。</w:t>
            </w:r>
          </w:p>
          <w:p>
            <w:pPr>
              <w:autoSpaceDE w:val="0"/>
              <w:autoSpaceDN w:val="0"/>
              <w:adjustRightInd w:val="0"/>
              <w:snapToGrid w:val="0"/>
              <w:spacing w:line="360" w:lineRule="auto"/>
              <w:ind w:firstLine="480" w:firstLineChars="200"/>
              <w:rPr>
                <w:color w:val="000000"/>
                <w:sz w:val="24"/>
              </w:rPr>
            </w:pPr>
            <w:r>
              <w:rPr>
                <w:rFonts w:hint="eastAsia"/>
                <w:color w:val="000000"/>
                <w:sz w:val="24"/>
              </w:rPr>
              <w:t>（3）</w:t>
            </w:r>
            <w:r>
              <w:rPr>
                <w:color w:val="000000"/>
                <w:sz w:val="24"/>
              </w:rPr>
              <w:t>杆塔</w:t>
            </w:r>
          </w:p>
          <w:p>
            <w:pPr>
              <w:autoSpaceDE w:val="0"/>
              <w:autoSpaceDN w:val="0"/>
              <w:adjustRightInd w:val="0"/>
              <w:snapToGrid w:val="0"/>
              <w:spacing w:line="360" w:lineRule="auto"/>
              <w:ind w:firstLine="480" w:firstLineChars="200"/>
              <w:rPr>
                <w:sz w:val="24"/>
              </w:rPr>
            </w:pPr>
            <w:r>
              <w:rPr>
                <w:rFonts w:hint="eastAsia"/>
                <w:color w:val="000000"/>
                <w:sz w:val="24"/>
              </w:rPr>
              <w:t>按照《国家电网有限公司35～750千伏输变电建设项目通用设计、通用设备应用目录（2024年版）》，结合《110kV~750kV架空输电线路设计规范》（GB 50545-2010），根据本工程导线规格、气象条件及沿线地形具体特点，杆塔选用</w:t>
            </w:r>
            <w:bookmarkStart w:id="62" w:name="_Hlk183036151"/>
            <w:r>
              <w:rPr>
                <w:rFonts w:hint="eastAsia"/>
                <w:color w:val="000000"/>
                <w:sz w:val="24"/>
              </w:rPr>
              <w:t>自行设计的</w:t>
            </w:r>
            <w:r>
              <w:rPr>
                <w:color w:val="000000"/>
                <w:sz w:val="24"/>
              </w:rPr>
              <w:t>NR</w:t>
            </w:r>
            <w:r>
              <w:rPr>
                <w:rFonts w:hint="eastAsia"/>
                <w:color w:val="000000"/>
                <w:sz w:val="24"/>
              </w:rPr>
              <w:t>110模块</w:t>
            </w:r>
            <w:bookmarkEnd w:id="62"/>
            <w:r>
              <w:rPr>
                <w:rFonts w:hint="eastAsia"/>
                <w:color w:val="000000"/>
                <w:sz w:val="24"/>
              </w:rPr>
              <w:t>铁塔，</w:t>
            </w:r>
            <w:r>
              <w:rPr>
                <w:rFonts w:hint="eastAsia"/>
                <w:sz w:val="24"/>
              </w:rPr>
              <w:t>共</w:t>
            </w:r>
            <w:r>
              <w:rPr>
                <w:sz w:val="24"/>
              </w:rPr>
              <w:t>使用</w:t>
            </w:r>
            <w:r>
              <w:rPr>
                <w:rFonts w:hint="eastAsia"/>
                <w:sz w:val="24"/>
              </w:rPr>
              <w:t>铁塔</w:t>
            </w:r>
            <w:r>
              <w:rPr>
                <w:sz w:val="24"/>
              </w:rPr>
              <w:t>56基</w:t>
            </w:r>
            <w:r>
              <w:rPr>
                <w:rFonts w:hint="eastAsia"/>
                <w:sz w:val="24"/>
              </w:rPr>
              <w:t>，其中双回路终端耐张塔1基、单回路直线塔44基、单回路耐张塔11基。</w:t>
            </w:r>
          </w:p>
          <w:p>
            <w:pPr>
              <w:autoSpaceDE w:val="0"/>
              <w:autoSpaceDN w:val="0"/>
              <w:adjustRightInd w:val="0"/>
              <w:snapToGrid w:val="0"/>
              <w:spacing w:line="360" w:lineRule="auto"/>
              <w:ind w:firstLine="480" w:firstLineChars="200"/>
              <w:rPr>
                <w:color w:val="000000"/>
                <w:sz w:val="24"/>
              </w:rPr>
            </w:pPr>
            <w:r>
              <w:rPr>
                <w:rFonts w:hint="eastAsia"/>
                <w:color w:val="000000"/>
                <w:sz w:val="24"/>
              </w:rPr>
              <w:t>（4）基础</w:t>
            </w:r>
          </w:p>
          <w:p>
            <w:pPr>
              <w:autoSpaceDE w:val="0"/>
              <w:autoSpaceDN w:val="0"/>
              <w:adjustRightInd w:val="0"/>
              <w:snapToGrid w:val="0"/>
              <w:spacing w:line="360" w:lineRule="auto"/>
              <w:ind w:firstLine="480" w:firstLineChars="200"/>
              <w:rPr>
                <w:color w:val="000000"/>
                <w:sz w:val="24"/>
              </w:rPr>
            </w:pPr>
            <w:r>
              <w:rPr>
                <w:color w:val="000000"/>
                <w:sz w:val="24"/>
              </w:rPr>
              <w:t>根据本工程线路地形、地质特点、水文情况、施工条件和杆塔型式，经技术经济比较，</w:t>
            </w:r>
            <w:r>
              <w:rPr>
                <w:rFonts w:hint="eastAsia"/>
                <w:color w:val="000000"/>
                <w:sz w:val="24"/>
              </w:rPr>
              <w:t>本工程</w:t>
            </w:r>
            <w:r>
              <w:rPr>
                <w:color w:val="000000"/>
                <w:sz w:val="24"/>
              </w:rPr>
              <w:t>铁塔基础采用</w:t>
            </w:r>
            <w:r>
              <w:rPr>
                <w:rFonts w:hint="eastAsia"/>
                <w:color w:val="000000"/>
                <w:sz w:val="24"/>
              </w:rPr>
              <w:t>板式基础。</w:t>
            </w:r>
          </w:p>
          <w:p>
            <w:pPr>
              <w:pStyle w:val="5"/>
              <w:numPr>
                <w:ilvl w:val="1"/>
                <w:numId w:val="5"/>
              </w:numPr>
              <w:spacing w:before="0" w:after="0" w:line="360" w:lineRule="auto"/>
              <w:rPr>
                <w:rFonts w:eastAsia="宋体"/>
                <w:sz w:val="24"/>
                <w:szCs w:val="24"/>
              </w:rPr>
            </w:pPr>
            <w:bookmarkStart w:id="63" w:name="_Toc17179"/>
            <w:r>
              <w:rPr>
                <w:rFonts w:hint="eastAsia" w:eastAsia="宋体"/>
                <w:sz w:val="24"/>
                <w:szCs w:val="24"/>
              </w:rPr>
              <w:t>七泉湖~番南改接入沙河子变110千伏线路工程</w:t>
            </w:r>
            <w:bookmarkEnd w:id="63"/>
          </w:p>
          <w:p>
            <w:pPr>
              <w:pStyle w:val="5"/>
              <w:numPr>
                <w:ilvl w:val="2"/>
                <w:numId w:val="5"/>
              </w:numPr>
              <w:spacing w:before="0" w:after="0" w:line="360" w:lineRule="auto"/>
              <w:rPr>
                <w:rFonts w:eastAsia="宋体"/>
                <w:sz w:val="24"/>
                <w:szCs w:val="24"/>
              </w:rPr>
            </w:pPr>
            <w:bookmarkStart w:id="64" w:name="_Toc8853"/>
            <w:r>
              <w:rPr>
                <w:rFonts w:hint="eastAsia" w:eastAsia="宋体"/>
                <w:sz w:val="24"/>
                <w:szCs w:val="24"/>
              </w:rPr>
              <w:t>项目概况</w:t>
            </w:r>
            <w:bookmarkEnd w:id="64"/>
          </w:p>
          <w:p>
            <w:pPr>
              <w:spacing w:line="360" w:lineRule="auto"/>
              <w:ind w:firstLine="480" w:firstLineChars="200"/>
              <w:rPr>
                <w:sz w:val="24"/>
                <w:szCs w:val="32"/>
              </w:rPr>
            </w:pPr>
            <w:r>
              <w:rPr>
                <w:rFonts w:hint="eastAsia"/>
                <w:color w:val="000000"/>
                <w:sz w:val="24"/>
              </w:rPr>
              <w:t>新建七泉湖~番南(七泉湖变侧)改接入沙河子变110kV架空线路，路径全长约1km，单回路架设</w:t>
            </w:r>
            <w:r>
              <w:rPr>
                <w:color w:val="000000"/>
                <w:sz w:val="24"/>
              </w:rPr>
              <w:t>。另拆除110kV七旗Ⅰ线75#杆塔、110kV交沙Ⅱ线67#杆塔，拆除导线0.225km</w:t>
            </w:r>
            <w:r>
              <w:rPr>
                <w:rFonts w:hint="eastAsia"/>
                <w:sz w:val="24"/>
                <w:szCs w:val="32"/>
              </w:rPr>
              <w:t>。</w:t>
            </w:r>
          </w:p>
          <w:p>
            <w:pPr>
              <w:pStyle w:val="5"/>
              <w:numPr>
                <w:ilvl w:val="2"/>
                <w:numId w:val="5"/>
              </w:numPr>
              <w:spacing w:before="0" w:after="0" w:line="360" w:lineRule="auto"/>
              <w:rPr>
                <w:rFonts w:eastAsia="宋体"/>
                <w:sz w:val="24"/>
                <w:szCs w:val="24"/>
              </w:rPr>
            </w:pPr>
            <w:bookmarkStart w:id="65" w:name="_Toc20247"/>
            <w:r>
              <w:rPr>
                <w:rFonts w:hint="eastAsia" w:eastAsia="宋体"/>
                <w:sz w:val="24"/>
                <w:szCs w:val="24"/>
              </w:rPr>
              <w:t>导线、地线、杆塔、基础</w:t>
            </w:r>
            <w:bookmarkEnd w:id="65"/>
          </w:p>
          <w:p>
            <w:pPr>
              <w:autoSpaceDE w:val="0"/>
              <w:autoSpaceDN w:val="0"/>
              <w:adjustRightInd w:val="0"/>
              <w:snapToGrid w:val="0"/>
              <w:spacing w:line="360" w:lineRule="auto"/>
              <w:ind w:firstLine="480" w:firstLineChars="200"/>
              <w:rPr>
                <w:color w:val="000000"/>
                <w:sz w:val="24"/>
              </w:rPr>
            </w:pPr>
            <w:r>
              <w:rPr>
                <w:color w:val="000000"/>
                <w:sz w:val="24"/>
              </w:rPr>
              <w:t>（1）导线</w:t>
            </w:r>
          </w:p>
          <w:p>
            <w:pPr>
              <w:autoSpaceDE w:val="0"/>
              <w:autoSpaceDN w:val="0"/>
              <w:adjustRightInd w:val="0"/>
              <w:snapToGrid w:val="0"/>
              <w:spacing w:line="360" w:lineRule="auto"/>
              <w:ind w:firstLine="480" w:firstLineChars="200"/>
              <w:rPr>
                <w:color w:val="000000"/>
                <w:sz w:val="24"/>
              </w:rPr>
            </w:pPr>
            <w:r>
              <w:rPr>
                <w:color w:val="000000"/>
                <w:sz w:val="24"/>
              </w:rPr>
              <w:t>本期拟建</w:t>
            </w:r>
            <w:r>
              <w:rPr>
                <w:rFonts w:hint="eastAsia"/>
                <w:color w:val="000000"/>
                <w:sz w:val="24"/>
              </w:rPr>
              <w:t>11</w:t>
            </w:r>
            <w:r>
              <w:rPr>
                <w:color w:val="000000"/>
                <w:sz w:val="24"/>
              </w:rPr>
              <w:t>0kV线路导线选用</w:t>
            </w:r>
            <w:r>
              <w:rPr>
                <w:rFonts w:hint="eastAsia"/>
                <w:color w:val="000000"/>
                <w:sz w:val="24"/>
              </w:rPr>
              <w:t>JL3/G1A-240/30型钢芯铝绞线</w:t>
            </w:r>
            <w:r>
              <w:rPr>
                <w:color w:val="000000"/>
                <w:sz w:val="24"/>
              </w:rPr>
              <w:t>。架空线路导线基本参</w:t>
            </w:r>
            <w:r>
              <w:rPr>
                <w:rFonts w:hint="eastAsia"/>
                <w:sz w:val="24"/>
                <w:szCs w:val="20"/>
              </w:rPr>
              <w:t>数见前</w:t>
            </w:r>
            <w:r>
              <w:rPr>
                <w:rFonts w:hint="eastAsia"/>
                <w:sz w:val="24"/>
                <w:szCs w:val="20"/>
              </w:rPr>
              <w:fldChar w:fldCharType="begin"/>
            </w:r>
            <w:r>
              <w:rPr>
                <w:rFonts w:hint="eastAsia"/>
                <w:sz w:val="24"/>
                <w:szCs w:val="20"/>
              </w:rPr>
              <w:instrText xml:space="preserve"> REF _Ref157121687 \h </w:instrText>
            </w:r>
            <w:r>
              <w:rPr>
                <w:sz w:val="24"/>
                <w:szCs w:val="20"/>
              </w:rPr>
              <w:instrText xml:space="preserve"> \* MERGEFORMAT </w:instrText>
            </w:r>
            <w:r>
              <w:rPr>
                <w:rFonts w:hint="eastAsia"/>
                <w:sz w:val="24"/>
                <w:szCs w:val="20"/>
              </w:rPr>
              <w:fldChar w:fldCharType="separate"/>
            </w:r>
            <w:r>
              <w:rPr>
                <w:sz w:val="24"/>
                <w:szCs w:val="20"/>
              </w:rPr>
              <w:t>表 2</w:t>
            </w:r>
            <w:r>
              <w:rPr>
                <w:rFonts w:hint="eastAsia"/>
                <w:sz w:val="24"/>
                <w:szCs w:val="20"/>
              </w:rPr>
              <w:fldChar w:fldCharType="end"/>
            </w:r>
            <w:r>
              <w:rPr>
                <w:rFonts w:hint="eastAsia"/>
                <w:sz w:val="24"/>
                <w:szCs w:val="20"/>
              </w:rPr>
              <w:t>。</w:t>
            </w:r>
          </w:p>
          <w:p>
            <w:pPr>
              <w:autoSpaceDE w:val="0"/>
              <w:autoSpaceDN w:val="0"/>
              <w:adjustRightInd w:val="0"/>
              <w:snapToGrid w:val="0"/>
              <w:spacing w:line="360" w:lineRule="auto"/>
              <w:ind w:firstLine="480" w:firstLineChars="200"/>
              <w:rPr>
                <w:color w:val="000000"/>
                <w:sz w:val="24"/>
              </w:rPr>
            </w:pPr>
            <w:r>
              <w:rPr>
                <w:color w:val="000000"/>
                <w:sz w:val="24"/>
              </w:rPr>
              <w:t>（2）</w:t>
            </w:r>
            <w:r>
              <w:rPr>
                <w:rFonts w:hint="eastAsia"/>
                <w:color w:val="000000"/>
                <w:sz w:val="24"/>
              </w:rPr>
              <w:t>地线</w:t>
            </w:r>
          </w:p>
          <w:p>
            <w:pPr>
              <w:spacing w:line="360" w:lineRule="auto"/>
              <w:ind w:firstLine="480" w:firstLineChars="200"/>
              <w:rPr>
                <w:color w:val="000000"/>
                <w:sz w:val="24"/>
              </w:rPr>
            </w:pPr>
            <w:r>
              <w:rPr>
                <w:rFonts w:hint="eastAsia"/>
                <w:color w:val="000000"/>
                <w:sz w:val="24"/>
              </w:rPr>
              <w:t>一根48芯OPGW光缆，一根采用GJ-80型镀锌钢绞线。</w:t>
            </w:r>
          </w:p>
          <w:p>
            <w:pPr>
              <w:autoSpaceDE w:val="0"/>
              <w:autoSpaceDN w:val="0"/>
              <w:adjustRightInd w:val="0"/>
              <w:snapToGrid w:val="0"/>
              <w:spacing w:line="360" w:lineRule="auto"/>
              <w:ind w:firstLine="480" w:firstLineChars="200"/>
              <w:rPr>
                <w:color w:val="000000"/>
                <w:sz w:val="24"/>
              </w:rPr>
            </w:pPr>
            <w:r>
              <w:rPr>
                <w:rFonts w:hint="eastAsia"/>
                <w:color w:val="000000"/>
                <w:sz w:val="24"/>
              </w:rPr>
              <w:t>（3）</w:t>
            </w:r>
            <w:r>
              <w:rPr>
                <w:color w:val="000000"/>
                <w:sz w:val="24"/>
              </w:rPr>
              <w:t>杆塔</w:t>
            </w:r>
          </w:p>
          <w:p>
            <w:pPr>
              <w:autoSpaceDE w:val="0"/>
              <w:autoSpaceDN w:val="0"/>
              <w:adjustRightInd w:val="0"/>
              <w:snapToGrid w:val="0"/>
              <w:spacing w:line="360" w:lineRule="auto"/>
              <w:ind w:firstLine="480" w:firstLineChars="200"/>
              <w:rPr>
                <w:sz w:val="24"/>
              </w:rPr>
            </w:pPr>
            <w:r>
              <w:rPr>
                <w:rFonts w:hint="eastAsia"/>
                <w:color w:val="000000"/>
                <w:sz w:val="24"/>
              </w:rPr>
              <w:t>按照《国家电网有限公司35～750千伏输变电建设项目通用设计、通用设备应用目录（2024年版）》，结合《110kV~750kV架空输电线路设计规范》（GB 50545-2010），根据本工程导线规格、气象条件及沿线地形具体特点，杆塔选用自行设计的</w:t>
            </w:r>
            <w:r>
              <w:rPr>
                <w:color w:val="000000"/>
                <w:sz w:val="24"/>
              </w:rPr>
              <w:t>NR</w:t>
            </w:r>
            <w:r>
              <w:rPr>
                <w:rFonts w:hint="eastAsia"/>
                <w:color w:val="000000"/>
                <w:sz w:val="24"/>
              </w:rPr>
              <w:t>110模块铁塔，</w:t>
            </w:r>
            <w:r>
              <w:rPr>
                <w:rFonts w:hint="eastAsia"/>
                <w:sz w:val="24"/>
              </w:rPr>
              <w:t>共</w:t>
            </w:r>
            <w:r>
              <w:rPr>
                <w:sz w:val="24"/>
              </w:rPr>
              <w:t>使用</w:t>
            </w:r>
            <w:r>
              <w:rPr>
                <w:rFonts w:hint="eastAsia"/>
                <w:sz w:val="24"/>
              </w:rPr>
              <w:t>铁塔</w:t>
            </w:r>
            <w:r>
              <w:rPr>
                <w:sz w:val="24"/>
              </w:rPr>
              <w:t>4基</w:t>
            </w:r>
            <w:r>
              <w:rPr>
                <w:rFonts w:hint="eastAsia"/>
                <w:sz w:val="24"/>
              </w:rPr>
              <w:t>，其中单回路直线塔2基、单回路耐张塔2基。</w:t>
            </w:r>
          </w:p>
          <w:p>
            <w:pPr>
              <w:autoSpaceDE w:val="0"/>
              <w:autoSpaceDN w:val="0"/>
              <w:adjustRightInd w:val="0"/>
              <w:snapToGrid w:val="0"/>
              <w:spacing w:line="360" w:lineRule="auto"/>
              <w:ind w:firstLine="480" w:firstLineChars="200"/>
              <w:rPr>
                <w:color w:val="000000"/>
                <w:sz w:val="24"/>
              </w:rPr>
            </w:pPr>
            <w:r>
              <w:rPr>
                <w:rFonts w:hint="eastAsia"/>
                <w:color w:val="000000"/>
                <w:sz w:val="24"/>
              </w:rPr>
              <w:t>（4）基础</w:t>
            </w:r>
          </w:p>
          <w:p>
            <w:pPr>
              <w:autoSpaceDE w:val="0"/>
              <w:autoSpaceDN w:val="0"/>
              <w:adjustRightInd w:val="0"/>
              <w:snapToGrid w:val="0"/>
              <w:spacing w:line="360" w:lineRule="auto"/>
              <w:ind w:firstLine="480" w:firstLineChars="200"/>
              <w:rPr>
                <w:color w:val="000000"/>
                <w:sz w:val="24"/>
              </w:rPr>
            </w:pPr>
            <w:r>
              <w:rPr>
                <w:color w:val="000000"/>
                <w:sz w:val="24"/>
              </w:rPr>
              <w:t>根据本工程线路地形、地质特点、水文情况、施工条件和杆塔型式，经技术经济比较，</w:t>
            </w:r>
            <w:r>
              <w:rPr>
                <w:rFonts w:hint="eastAsia"/>
                <w:color w:val="000000"/>
                <w:sz w:val="24"/>
              </w:rPr>
              <w:t>本工程</w:t>
            </w:r>
            <w:r>
              <w:rPr>
                <w:color w:val="000000"/>
                <w:sz w:val="24"/>
              </w:rPr>
              <w:t>铁塔基础采用</w:t>
            </w:r>
            <w:r>
              <w:rPr>
                <w:rFonts w:hint="eastAsia"/>
                <w:color w:val="000000"/>
                <w:sz w:val="24"/>
              </w:rPr>
              <w:t>板式基础。</w:t>
            </w:r>
          </w:p>
          <w:p>
            <w:pPr>
              <w:pStyle w:val="5"/>
              <w:numPr>
                <w:ilvl w:val="1"/>
                <w:numId w:val="5"/>
              </w:numPr>
              <w:spacing w:before="0" w:after="0" w:line="360" w:lineRule="auto"/>
              <w:rPr>
                <w:rFonts w:eastAsia="宋体"/>
                <w:sz w:val="24"/>
                <w:szCs w:val="24"/>
              </w:rPr>
            </w:pPr>
            <w:bookmarkStart w:id="66" w:name="_Toc25838"/>
            <w:r>
              <w:rPr>
                <w:rFonts w:hint="eastAsia" w:eastAsia="宋体"/>
                <w:sz w:val="24"/>
                <w:szCs w:val="24"/>
              </w:rPr>
              <w:t>七泉湖~番南改接入交河变110千伏线路工程</w:t>
            </w:r>
            <w:bookmarkEnd w:id="66"/>
          </w:p>
          <w:p>
            <w:pPr>
              <w:pStyle w:val="5"/>
              <w:numPr>
                <w:ilvl w:val="2"/>
                <w:numId w:val="5"/>
              </w:numPr>
              <w:spacing w:before="0" w:after="0" w:line="360" w:lineRule="auto"/>
              <w:rPr>
                <w:rFonts w:eastAsia="宋体"/>
                <w:sz w:val="24"/>
                <w:szCs w:val="24"/>
              </w:rPr>
            </w:pPr>
            <w:bookmarkStart w:id="67" w:name="_Toc7364"/>
            <w:r>
              <w:rPr>
                <w:rFonts w:hint="eastAsia" w:eastAsia="宋体"/>
                <w:sz w:val="24"/>
                <w:szCs w:val="24"/>
              </w:rPr>
              <w:t>项目概况</w:t>
            </w:r>
            <w:bookmarkEnd w:id="67"/>
          </w:p>
          <w:p>
            <w:pPr>
              <w:spacing w:line="360" w:lineRule="auto"/>
              <w:ind w:firstLine="480" w:firstLineChars="200"/>
              <w:rPr>
                <w:sz w:val="24"/>
                <w:szCs w:val="32"/>
              </w:rPr>
            </w:pPr>
            <w:r>
              <w:rPr>
                <w:rFonts w:hint="eastAsia"/>
                <w:color w:val="000000"/>
                <w:sz w:val="24"/>
              </w:rPr>
              <w:t>新建七泉湖~番南(番南变侧)改接入交河变110kV架空线路，路径全长约1km，单回路架设</w:t>
            </w:r>
            <w:r>
              <w:rPr>
                <w:color w:val="000000"/>
                <w:sz w:val="24"/>
              </w:rPr>
              <w:t>。另拆除110kV七旗Ⅰ线76#杆塔、110kV交沙Ⅱ线66#杆塔，拆除导线0.225km</w:t>
            </w:r>
            <w:r>
              <w:rPr>
                <w:rFonts w:hint="eastAsia"/>
                <w:sz w:val="24"/>
                <w:szCs w:val="32"/>
              </w:rPr>
              <w:t>。</w:t>
            </w:r>
          </w:p>
          <w:p>
            <w:pPr>
              <w:pStyle w:val="5"/>
              <w:numPr>
                <w:ilvl w:val="2"/>
                <w:numId w:val="5"/>
              </w:numPr>
              <w:spacing w:before="0" w:after="0" w:line="360" w:lineRule="auto"/>
              <w:rPr>
                <w:rFonts w:eastAsia="宋体"/>
                <w:sz w:val="24"/>
                <w:szCs w:val="24"/>
              </w:rPr>
            </w:pPr>
            <w:bookmarkStart w:id="68" w:name="_Toc26336"/>
            <w:r>
              <w:rPr>
                <w:rFonts w:hint="eastAsia" w:eastAsia="宋体"/>
                <w:sz w:val="24"/>
                <w:szCs w:val="24"/>
              </w:rPr>
              <w:t>导线、地线、杆塔、基础</w:t>
            </w:r>
            <w:bookmarkEnd w:id="68"/>
          </w:p>
          <w:p>
            <w:pPr>
              <w:autoSpaceDE w:val="0"/>
              <w:autoSpaceDN w:val="0"/>
              <w:adjustRightInd w:val="0"/>
              <w:snapToGrid w:val="0"/>
              <w:spacing w:line="360" w:lineRule="auto"/>
              <w:ind w:firstLine="480" w:firstLineChars="200"/>
              <w:rPr>
                <w:color w:val="000000"/>
                <w:sz w:val="24"/>
              </w:rPr>
            </w:pPr>
            <w:r>
              <w:rPr>
                <w:color w:val="000000"/>
                <w:sz w:val="24"/>
              </w:rPr>
              <w:t>（1）导线</w:t>
            </w:r>
          </w:p>
          <w:p>
            <w:pPr>
              <w:autoSpaceDE w:val="0"/>
              <w:autoSpaceDN w:val="0"/>
              <w:adjustRightInd w:val="0"/>
              <w:snapToGrid w:val="0"/>
              <w:spacing w:line="360" w:lineRule="auto"/>
              <w:ind w:firstLine="480" w:firstLineChars="200"/>
              <w:rPr>
                <w:color w:val="000000"/>
                <w:sz w:val="24"/>
              </w:rPr>
            </w:pPr>
            <w:r>
              <w:rPr>
                <w:color w:val="000000"/>
                <w:sz w:val="24"/>
              </w:rPr>
              <w:t>本期拟</w:t>
            </w:r>
            <w:r>
              <w:rPr>
                <w:rFonts w:hint="eastAsia"/>
                <w:sz w:val="24"/>
                <w:szCs w:val="20"/>
              </w:rPr>
              <w:t>建110kV线路导线选用JL3/G1A-240/30型钢芯铝绞线。架空线路导线基本参数见前</w:t>
            </w:r>
            <w:r>
              <w:rPr>
                <w:rFonts w:hint="eastAsia"/>
                <w:sz w:val="24"/>
                <w:szCs w:val="20"/>
              </w:rPr>
              <w:fldChar w:fldCharType="begin"/>
            </w:r>
            <w:r>
              <w:rPr>
                <w:rFonts w:hint="eastAsia"/>
                <w:sz w:val="24"/>
                <w:szCs w:val="20"/>
              </w:rPr>
              <w:instrText xml:space="preserve"> REF _Ref157121687 \h </w:instrText>
            </w:r>
            <w:r>
              <w:rPr>
                <w:sz w:val="24"/>
                <w:szCs w:val="20"/>
              </w:rPr>
              <w:instrText xml:space="preserve"> \* MERGEFORMAT </w:instrText>
            </w:r>
            <w:r>
              <w:rPr>
                <w:rFonts w:hint="eastAsia"/>
                <w:sz w:val="24"/>
                <w:szCs w:val="20"/>
              </w:rPr>
              <w:fldChar w:fldCharType="separate"/>
            </w:r>
            <w:r>
              <w:rPr>
                <w:sz w:val="24"/>
                <w:szCs w:val="20"/>
              </w:rPr>
              <w:t>表 2</w:t>
            </w:r>
            <w:r>
              <w:rPr>
                <w:rFonts w:hint="eastAsia"/>
                <w:sz w:val="24"/>
                <w:szCs w:val="20"/>
              </w:rPr>
              <w:fldChar w:fldCharType="end"/>
            </w:r>
            <w:r>
              <w:rPr>
                <w:rFonts w:hint="eastAsia"/>
                <w:sz w:val="24"/>
                <w:szCs w:val="20"/>
              </w:rPr>
              <w:t>。</w:t>
            </w:r>
          </w:p>
          <w:p>
            <w:pPr>
              <w:autoSpaceDE w:val="0"/>
              <w:autoSpaceDN w:val="0"/>
              <w:adjustRightInd w:val="0"/>
              <w:snapToGrid w:val="0"/>
              <w:spacing w:line="360" w:lineRule="auto"/>
              <w:ind w:firstLine="480" w:firstLineChars="200"/>
              <w:rPr>
                <w:color w:val="000000"/>
                <w:sz w:val="24"/>
              </w:rPr>
            </w:pPr>
            <w:r>
              <w:rPr>
                <w:color w:val="000000"/>
                <w:sz w:val="24"/>
              </w:rPr>
              <w:t>（2）</w:t>
            </w:r>
            <w:r>
              <w:rPr>
                <w:rFonts w:hint="eastAsia"/>
                <w:color w:val="000000"/>
                <w:sz w:val="24"/>
              </w:rPr>
              <w:t>地线</w:t>
            </w:r>
          </w:p>
          <w:p>
            <w:pPr>
              <w:spacing w:line="360" w:lineRule="auto"/>
              <w:ind w:firstLine="480" w:firstLineChars="200"/>
              <w:rPr>
                <w:color w:val="000000"/>
                <w:sz w:val="24"/>
              </w:rPr>
            </w:pPr>
            <w:r>
              <w:rPr>
                <w:rFonts w:hint="eastAsia"/>
                <w:color w:val="000000"/>
                <w:sz w:val="24"/>
              </w:rPr>
              <w:t>一根48芯OPGW光缆，一根采用GJ-80型镀锌钢绞线。</w:t>
            </w:r>
          </w:p>
          <w:p>
            <w:pPr>
              <w:autoSpaceDE w:val="0"/>
              <w:autoSpaceDN w:val="0"/>
              <w:adjustRightInd w:val="0"/>
              <w:snapToGrid w:val="0"/>
              <w:spacing w:line="360" w:lineRule="auto"/>
              <w:ind w:firstLine="480" w:firstLineChars="200"/>
              <w:rPr>
                <w:color w:val="000000"/>
                <w:sz w:val="24"/>
              </w:rPr>
            </w:pPr>
            <w:r>
              <w:rPr>
                <w:rFonts w:hint="eastAsia"/>
                <w:color w:val="000000"/>
                <w:sz w:val="24"/>
              </w:rPr>
              <w:t>（3）</w:t>
            </w:r>
            <w:r>
              <w:rPr>
                <w:color w:val="000000"/>
                <w:sz w:val="24"/>
              </w:rPr>
              <w:t>杆塔</w:t>
            </w:r>
          </w:p>
          <w:p>
            <w:pPr>
              <w:autoSpaceDE w:val="0"/>
              <w:autoSpaceDN w:val="0"/>
              <w:adjustRightInd w:val="0"/>
              <w:snapToGrid w:val="0"/>
              <w:spacing w:line="360" w:lineRule="auto"/>
              <w:ind w:firstLine="480" w:firstLineChars="200"/>
              <w:rPr>
                <w:sz w:val="24"/>
              </w:rPr>
            </w:pPr>
            <w:r>
              <w:rPr>
                <w:rFonts w:hint="eastAsia"/>
                <w:color w:val="000000"/>
                <w:sz w:val="24"/>
              </w:rPr>
              <w:t>按照《国家电网有限公司35～750千伏输变电建设项目通用设计、通用设备应用目录（2024年版）》，结合《110kV~750kV架空输电线路设计规范》（GB 50545-2010），根据本工程导线规格、气象条件及沿线地形具体特点，杆塔选用自行设计的</w:t>
            </w:r>
            <w:r>
              <w:rPr>
                <w:color w:val="000000"/>
                <w:sz w:val="24"/>
              </w:rPr>
              <w:t>NR</w:t>
            </w:r>
            <w:r>
              <w:rPr>
                <w:rFonts w:hint="eastAsia"/>
                <w:color w:val="000000"/>
                <w:sz w:val="24"/>
              </w:rPr>
              <w:t>110模块铁塔，</w:t>
            </w:r>
            <w:r>
              <w:rPr>
                <w:rFonts w:hint="eastAsia"/>
                <w:sz w:val="24"/>
              </w:rPr>
              <w:t>共</w:t>
            </w:r>
            <w:r>
              <w:rPr>
                <w:sz w:val="24"/>
              </w:rPr>
              <w:t>使用</w:t>
            </w:r>
            <w:r>
              <w:rPr>
                <w:rFonts w:hint="eastAsia"/>
                <w:sz w:val="24"/>
              </w:rPr>
              <w:t>铁塔</w:t>
            </w:r>
            <w:r>
              <w:rPr>
                <w:sz w:val="24"/>
              </w:rPr>
              <w:t>4基</w:t>
            </w:r>
            <w:r>
              <w:rPr>
                <w:rFonts w:hint="eastAsia"/>
                <w:sz w:val="24"/>
              </w:rPr>
              <w:t>，其中单回路直线塔2基、单回路耐张塔2基。</w:t>
            </w:r>
          </w:p>
          <w:p>
            <w:pPr>
              <w:autoSpaceDE w:val="0"/>
              <w:autoSpaceDN w:val="0"/>
              <w:adjustRightInd w:val="0"/>
              <w:snapToGrid w:val="0"/>
              <w:spacing w:line="360" w:lineRule="auto"/>
              <w:ind w:firstLine="480" w:firstLineChars="200"/>
              <w:rPr>
                <w:color w:val="000000"/>
                <w:sz w:val="24"/>
              </w:rPr>
            </w:pPr>
            <w:r>
              <w:rPr>
                <w:rFonts w:hint="eastAsia"/>
                <w:color w:val="000000"/>
                <w:sz w:val="24"/>
              </w:rPr>
              <w:t>（4）基础</w:t>
            </w:r>
          </w:p>
          <w:p>
            <w:pPr>
              <w:autoSpaceDE w:val="0"/>
              <w:autoSpaceDN w:val="0"/>
              <w:adjustRightInd w:val="0"/>
              <w:snapToGrid w:val="0"/>
              <w:spacing w:line="360" w:lineRule="auto"/>
              <w:ind w:firstLine="480" w:firstLineChars="200"/>
              <w:rPr>
                <w:color w:val="000000"/>
                <w:sz w:val="24"/>
              </w:rPr>
            </w:pPr>
            <w:r>
              <w:rPr>
                <w:color w:val="000000"/>
                <w:sz w:val="24"/>
              </w:rPr>
              <w:t>根据本工程线路地形、地质特点、水文情况、施工条件和杆塔型式，经技术经济比较，</w:t>
            </w:r>
            <w:r>
              <w:rPr>
                <w:rFonts w:hint="eastAsia"/>
                <w:color w:val="000000"/>
                <w:sz w:val="24"/>
              </w:rPr>
              <w:t>本工程</w:t>
            </w:r>
            <w:r>
              <w:rPr>
                <w:color w:val="000000"/>
                <w:sz w:val="24"/>
              </w:rPr>
              <w:t>铁塔基础采用</w:t>
            </w:r>
            <w:r>
              <w:rPr>
                <w:rFonts w:hint="eastAsia"/>
                <w:color w:val="000000"/>
                <w:sz w:val="24"/>
              </w:rPr>
              <w:t>板式基础。</w:t>
            </w:r>
          </w:p>
          <w:p>
            <w:pPr>
              <w:pStyle w:val="5"/>
              <w:numPr>
                <w:ilvl w:val="1"/>
                <w:numId w:val="5"/>
              </w:numPr>
              <w:spacing w:before="0" w:after="0" w:line="360" w:lineRule="auto"/>
              <w:rPr>
                <w:rFonts w:eastAsia="宋体"/>
                <w:sz w:val="24"/>
                <w:szCs w:val="24"/>
              </w:rPr>
            </w:pPr>
            <w:bookmarkStart w:id="69" w:name="_Toc23203"/>
            <w:r>
              <w:rPr>
                <w:rFonts w:hint="eastAsia" w:eastAsia="宋体"/>
                <w:sz w:val="24"/>
                <w:szCs w:val="24"/>
              </w:rPr>
              <w:t>交河~番南π入东环变110千伏线路工程</w:t>
            </w:r>
            <w:bookmarkEnd w:id="69"/>
          </w:p>
          <w:p>
            <w:pPr>
              <w:pStyle w:val="5"/>
              <w:numPr>
                <w:ilvl w:val="2"/>
                <w:numId w:val="5"/>
              </w:numPr>
              <w:spacing w:before="0" w:after="0" w:line="360" w:lineRule="auto"/>
              <w:rPr>
                <w:rFonts w:eastAsia="宋体"/>
                <w:sz w:val="24"/>
                <w:szCs w:val="24"/>
              </w:rPr>
            </w:pPr>
            <w:bookmarkStart w:id="70" w:name="_Toc21568"/>
            <w:r>
              <w:rPr>
                <w:rFonts w:hint="eastAsia" w:eastAsia="宋体"/>
                <w:sz w:val="24"/>
                <w:szCs w:val="24"/>
              </w:rPr>
              <w:t>项目概况</w:t>
            </w:r>
            <w:bookmarkEnd w:id="70"/>
          </w:p>
          <w:p>
            <w:pPr>
              <w:spacing w:line="360" w:lineRule="auto"/>
              <w:ind w:firstLine="480" w:firstLineChars="200"/>
              <w:rPr>
                <w:sz w:val="24"/>
                <w:szCs w:val="32"/>
              </w:rPr>
            </w:pPr>
            <w:r>
              <w:rPr>
                <w:rFonts w:hint="eastAsia"/>
                <w:color w:val="000000"/>
                <w:sz w:val="24"/>
              </w:rPr>
              <w:t>新建交河~番南π入东环变1</w:t>
            </w:r>
            <w:r>
              <w:rPr>
                <w:color w:val="000000"/>
                <w:sz w:val="24"/>
              </w:rPr>
              <w:t>10kV架空线路，新建线路路径全长约2×4.8km，除在东环110kV变电站出线端采用同塔双回架设（本期单边挂线），其余线路均采用单回路架设。另拆除110kV七旗Ⅰ线89#、9</w:t>
            </w:r>
            <w:r>
              <w:rPr>
                <w:rFonts w:hint="eastAsia"/>
                <w:color w:val="000000"/>
                <w:sz w:val="24"/>
              </w:rPr>
              <w:t>0#、91#杆塔，拆除导线1.11km</w:t>
            </w:r>
            <w:r>
              <w:rPr>
                <w:rFonts w:hint="eastAsia"/>
                <w:sz w:val="24"/>
                <w:szCs w:val="32"/>
              </w:rPr>
              <w:t>。</w:t>
            </w:r>
          </w:p>
          <w:p>
            <w:pPr>
              <w:pStyle w:val="5"/>
              <w:numPr>
                <w:ilvl w:val="2"/>
                <w:numId w:val="5"/>
              </w:numPr>
              <w:spacing w:before="0" w:after="0" w:line="360" w:lineRule="auto"/>
              <w:rPr>
                <w:rFonts w:eastAsia="宋体"/>
                <w:sz w:val="24"/>
                <w:szCs w:val="24"/>
              </w:rPr>
            </w:pPr>
            <w:bookmarkStart w:id="71" w:name="_Toc18220"/>
            <w:r>
              <w:rPr>
                <w:rFonts w:hint="eastAsia" w:eastAsia="宋体"/>
                <w:sz w:val="24"/>
                <w:szCs w:val="24"/>
              </w:rPr>
              <w:t>导线、地线、杆塔、基础</w:t>
            </w:r>
            <w:bookmarkEnd w:id="71"/>
          </w:p>
          <w:p>
            <w:pPr>
              <w:autoSpaceDE w:val="0"/>
              <w:autoSpaceDN w:val="0"/>
              <w:adjustRightInd w:val="0"/>
              <w:snapToGrid w:val="0"/>
              <w:spacing w:line="360" w:lineRule="auto"/>
              <w:ind w:firstLine="480" w:firstLineChars="200"/>
              <w:rPr>
                <w:color w:val="000000"/>
                <w:sz w:val="24"/>
              </w:rPr>
            </w:pPr>
            <w:r>
              <w:rPr>
                <w:color w:val="000000"/>
                <w:sz w:val="24"/>
              </w:rPr>
              <w:t>（1）导线</w:t>
            </w:r>
          </w:p>
          <w:p>
            <w:pPr>
              <w:autoSpaceDE w:val="0"/>
              <w:autoSpaceDN w:val="0"/>
              <w:adjustRightInd w:val="0"/>
              <w:snapToGrid w:val="0"/>
              <w:spacing w:line="360" w:lineRule="auto"/>
              <w:ind w:firstLine="480" w:firstLineChars="200"/>
              <w:rPr>
                <w:color w:val="000000"/>
                <w:sz w:val="24"/>
              </w:rPr>
            </w:pPr>
            <w:r>
              <w:rPr>
                <w:color w:val="000000"/>
                <w:sz w:val="24"/>
              </w:rPr>
              <w:t>本期拟建</w:t>
            </w:r>
            <w:r>
              <w:rPr>
                <w:rFonts w:hint="eastAsia"/>
                <w:color w:val="000000"/>
                <w:sz w:val="24"/>
              </w:rPr>
              <w:t>11</w:t>
            </w:r>
            <w:r>
              <w:rPr>
                <w:color w:val="000000"/>
                <w:sz w:val="24"/>
              </w:rPr>
              <w:t>0kV线路导线选用</w:t>
            </w:r>
            <w:r>
              <w:rPr>
                <w:rFonts w:hint="eastAsia"/>
                <w:color w:val="000000"/>
                <w:sz w:val="24"/>
              </w:rPr>
              <w:t>JL3/G1A-240/30型钢芯铝绞线</w:t>
            </w:r>
            <w:r>
              <w:rPr>
                <w:color w:val="000000"/>
                <w:sz w:val="24"/>
              </w:rPr>
              <w:t>。架空线路导线基本参数见</w:t>
            </w:r>
            <w:r>
              <w:rPr>
                <w:rFonts w:hint="eastAsia"/>
                <w:sz w:val="24"/>
                <w:szCs w:val="20"/>
              </w:rPr>
              <w:t>前</w:t>
            </w:r>
            <w:r>
              <w:rPr>
                <w:rFonts w:hint="eastAsia"/>
                <w:sz w:val="24"/>
                <w:szCs w:val="20"/>
              </w:rPr>
              <w:fldChar w:fldCharType="begin"/>
            </w:r>
            <w:r>
              <w:rPr>
                <w:rFonts w:hint="eastAsia"/>
                <w:sz w:val="24"/>
                <w:szCs w:val="20"/>
              </w:rPr>
              <w:instrText xml:space="preserve"> REF _Ref157121687 \h </w:instrText>
            </w:r>
            <w:r>
              <w:rPr>
                <w:sz w:val="24"/>
                <w:szCs w:val="20"/>
              </w:rPr>
              <w:instrText xml:space="preserve"> \* MERGEFORMAT </w:instrText>
            </w:r>
            <w:r>
              <w:rPr>
                <w:rFonts w:hint="eastAsia"/>
                <w:sz w:val="24"/>
                <w:szCs w:val="20"/>
              </w:rPr>
              <w:fldChar w:fldCharType="separate"/>
            </w:r>
            <w:r>
              <w:rPr>
                <w:sz w:val="24"/>
                <w:szCs w:val="20"/>
              </w:rPr>
              <w:t>表 2</w:t>
            </w:r>
            <w:r>
              <w:rPr>
                <w:rFonts w:hint="eastAsia"/>
                <w:sz w:val="24"/>
                <w:szCs w:val="20"/>
              </w:rPr>
              <w:fldChar w:fldCharType="end"/>
            </w:r>
            <w:r>
              <w:rPr>
                <w:rFonts w:hint="eastAsia"/>
                <w:sz w:val="24"/>
                <w:szCs w:val="20"/>
              </w:rPr>
              <w:t>。</w:t>
            </w:r>
          </w:p>
          <w:p>
            <w:pPr>
              <w:autoSpaceDE w:val="0"/>
              <w:autoSpaceDN w:val="0"/>
              <w:adjustRightInd w:val="0"/>
              <w:snapToGrid w:val="0"/>
              <w:spacing w:line="360" w:lineRule="auto"/>
              <w:ind w:firstLine="480" w:firstLineChars="200"/>
              <w:rPr>
                <w:color w:val="000000"/>
                <w:sz w:val="24"/>
              </w:rPr>
            </w:pPr>
            <w:r>
              <w:rPr>
                <w:color w:val="000000"/>
                <w:sz w:val="24"/>
              </w:rPr>
              <w:t>（2）</w:t>
            </w:r>
            <w:r>
              <w:rPr>
                <w:rFonts w:hint="eastAsia"/>
                <w:color w:val="000000"/>
                <w:sz w:val="24"/>
              </w:rPr>
              <w:t>地线</w:t>
            </w:r>
          </w:p>
          <w:p>
            <w:pPr>
              <w:spacing w:line="360" w:lineRule="auto"/>
              <w:ind w:firstLine="480" w:firstLineChars="200"/>
              <w:rPr>
                <w:color w:val="000000"/>
                <w:sz w:val="24"/>
              </w:rPr>
            </w:pPr>
            <w:r>
              <w:rPr>
                <w:rFonts w:hint="eastAsia"/>
                <w:color w:val="000000"/>
                <w:sz w:val="24"/>
              </w:rPr>
              <w:t>一根48芯OPGW光缆，一根采用GJ-80型镀锌钢绞线。</w:t>
            </w:r>
          </w:p>
          <w:p>
            <w:pPr>
              <w:autoSpaceDE w:val="0"/>
              <w:autoSpaceDN w:val="0"/>
              <w:adjustRightInd w:val="0"/>
              <w:snapToGrid w:val="0"/>
              <w:spacing w:line="360" w:lineRule="auto"/>
              <w:ind w:firstLine="480" w:firstLineChars="200"/>
              <w:rPr>
                <w:color w:val="000000"/>
                <w:sz w:val="24"/>
              </w:rPr>
            </w:pPr>
            <w:r>
              <w:rPr>
                <w:rFonts w:hint="eastAsia"/>
                <w:color w:val="000000"/>
                <w:sz w:val="24"/>
              </w:rPr>
              <w:t>（3）</w:t>
            </w:r>
            <w:r>
              <w:rPr>
                <w:color w:val="000000"/>
                <w:sz w:val="24"/>
              </w:rPr>
              <w:t>杆塔</w:t>
            </w:r>
          </w:p>
          <w:p>
            <w:pPr>
              <w:autoSpaceDE w:val="0"/>
              <w:autoSpaceDN w:val="0"/>
              <w:adjustRightInd w:val="0"/>
              <w:snapToGrid w:val="0"/>
              <w:spacing w:line="360" w:lineRule="auto"/>
              <w:ind w:firstLine="480" w:firstLineChars="200"/>
              <w:rPr>
                <w:sz w:val="24"/>
              </w:rPr>
            </w:pPr>
            <w:r>
              <w:rPr>
                <w:rFonts w:hint="eastAsia"/>
                <w:color w:val="000000"/>
                <w:sz w:val="24"/>
              </w:rPr>
              <w:t>按照《国家电网有限公司35～750千伏输变电建设项目通用设计、通用设备应用目录（2024年版）》，结合《110kV~750kV架空输电线路设计规范》（GB 50545-2010），根据本工程导线规格、气象条件及沿线地形具体特点，杆塔选用自行设计的</w:t>
            </w:r>
            <w:r>
              <w:rPr>
                <w:color w:val="000000"/>
                <w:sz w:val="24"/>
              </w:rPr>
              <w:t>NR</w:t>
            </w:r>
            <w:r>
              <w:rPr>
                <w:rFonts w:hint="eastAsia"/>
                <w:color w:val="000000"/>
                <w:sz w:val="24"/>
              </w:rPr>
              <w:t>110模块铁塔，</w:t>
            </w:r>
            <w:r>
              <w:rPr>
                <w:rFonts w:hint="eastAsia"/>
                <w:sz w:val="24"/>
              </w:rPr>
              <w:t>共</w:t>
            </w:r>
            <w:r>
              <w:rPr>
                <w:sz w:val="24"/>
              </w:rPr>
              <w:t>使用</w:t>
            </w:r>
            <w:r>
              <w:rPr>
                <w:rFonts w:hint="eastAsia"/>
                <w:sz w:val="24"/>
              </w:rPr>
              <w:t>铁塔</w:t>
            </w:r>
            <w:r>
              <w:rPr>
                <w:sz w:val="24"/>
              </w:rPr>
              <w:t>36基</w:t>
            </w:r>
            <w:r>
              <w:rPr>
                <w:rFonts w:hint="eastAsia"/>
                <w:sz w:val="24"/>
              </w:rPr>
              <w:t>，其中双回路终端耐张塔2基、单回路直线塔19基、单回路耐张塔15基。</w:t>
            </w:r>
          </w:p>
          <w:p>
            <w:pPr>
              <w:autoSpaceDE w:val="0"/>
              <w:autoSpaceDN w:val="0"/>
              <w:adjustRightInd w:val="0"/>
              <w:snapToGrid w:val="0"/>
              <w:spacing w:line="360" w:lineRule="auto"/>
              <w:ind w:firstLine="480" w:firstLineChars="200"/>
              <w:rPr>
                <w:color w:val="000000"/>
                <w:sz w:val="24"/>
              </w:rPr>
            </w:pPr>
            <w:r>
              <w:rPr>
                <w:rFonts w:hint="eastAsia"/>
                <w:color w:val="000000"/>
                <w:sz w:val="24"/>
              </w:rPr>
              <w:t>（4）基础</w:t>
            </w:r>
          </w:p>
          <w:p>
            <w:pPr>
              <w:autoSpaceDE w:val="0"/>
              <w:autoSpaceDN w:val="0"/>
              <w:adjustRightInd w:val="0"/>
              <w:snapToGrid w:val="0"/>
              <w:spacing w:line="360" w:lineRule="auto"/>
              <w:ind w:firstLine="480" w:firstLineChars="200"/>
              <w:rPr>
                <w:color w:val="000000"/>
                <w:sz w:val="24"/>
              </w:rPr>
            </w:pPr>
            <w:r>
              <w:rPr>
                <w:color w:val="000000"/>
                <w:sz w:val="24"/>
              </w:rPr>
              <w:t>根据本工程线路地形、地质特点、水文情况、施工条件和杆塔型式，经技术经济比较，</w:t>
            </w:r>
            <w:r>
              <w:rPr>
                <w:rFonts w:hint="eastAsia"/>
                <w:color w:val="000000"/>
                <w:sz w:val="24"/>
              </w:rPr>
              <w:t>本工程</w:t>
            </w:r>
            <w:r>
              <w:rPr>
                <w:color w:val="000000"/>
                <w:sz w:val="24"/>
              </w:rPr>
              <w:t>铁塔基础采用</w:t>
            </w:r>
            <w:r>
              <w:rPr>
                <w:rFonts w:hint="eastAsia"/>
                <w:color w:val="000000"/>
                <w:sz w:val="24"/>
              </w:rPr>
              <w:t>板式基础、挖空基础。</w:t>
            </w:r>
          </w:p>
          <w:p>
            <w:pPr>
              <w:pStyle w:val="5"/>
              <w:numPr>
                <w:ilvl w:val="1"/>
                <w:numId w:val="5"/>
              </w:numPr>
              <w:spacing w:before="0" w:after="0" w:line="360" w:lineRule="auto"/>
              <w:rPr>
                <w:rFonts w:eastAsia="宋体"/>
                <w:sz w:val="24"/>
                <w:szCs w:val="24"/>
              </w:rPr>
            </w:pPr>
            <w:bookmarkStart w:id="72" w:name="_Toc111564280"/>
            <w:bookmarkStart w:id="73" w:name="_Toc109472539"/>
            <w:bookmarkStart w:id="74" w:name="_Toc95464630"/>
            <w:bookmarkStart w:id="75" w:name="_Toc97290412"/>
            <w:bookmarkStart w:id="76" w:name="_Toc96031339"/>
            <w:bookmarkStart w:id="77" w:name="_Toc109473532"/>
            <w:bookmarkStart w:id="78" w:name="_Toc85037181"/>
            <w:bookmarkStart w:id="79" w:name="_Toc109473766"/>
            <w:bookmarkStart w:id="80" w:name="_Toc109473845"/>
            <w:bookmarkStart w:id="81" w:name="_Toc110439059"/>
            <w:bookmarkStart w:id="82" w:name="_Toc88558488"/>
            <w:bookmarkStart w:id="83" w:name="_Toc91493229"/>
            <w:bookmarkStart w:id="84" w:name="_Toc96935376"/>
            <w:bookmarkStart w:id="85" w:name="_Toc97290546"/>
            <w:bookmarkStart w:id="86" w:name="_Toc96031256"/>
            <w:bookmarkStart w:id="87" w:name="_Toc91532136"/>
            <w:bookmarkStart w:id="88" w:name="_Toc29650"/>
            <w:bookmarkStart w:id="89" w:name="_Toc85036847"/>
            <w:bookmarkStart w:id="90" w:name="_Toc109473397"/>
            <w:bookmarkStart w:id="91" w:name="_Toc13331"/>
            <w:r>
              <w:rPr>
                <w:rFonts w:hint="eastAsia" w:eastAsia="宋体"/>
                <w:sz w:val="24"/>
                <w:szCs w:val="24"/>
              </w:rPr>
              <w:t>线路导线对地距离和交叉跨越</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pPr>
              <w:autoSpaceDE w:val="0"/>
              <w:autoSpaceDN w:val="0"/>
              <w:adjustRightInd w:val="0"/>
              <w:snapToGrid w:val="0"/>
              <w:spacing w:line="360" w:lineRule="auto"/>
              <w:ind w:firstLine="480" w:firstLineChars="200"/>
              <w:rPr>
                <w:color w:val="000000"/>
                <w:sz w:val="24"/>
              </w:rPr>
            </w:pPr>
            <w:r>
              <w:rPr>
                <w:color w:val="000000"/>
                <w:sz w:val="24"/>
              </w:rPr>
              <w:t>本工程线路</w:t>
            </w:r>
            <w:r>
              <w:rPr>
                <w:rFonts w:hint="eastAsia"/>
                <w:color w:val="000000"/>
                <w:sz w:val="24"/>
              </w:rPr>
              <w:t>根据最低线高标准，</w:t>
            </w:r>
            <w:r>
              <w:rPr>
                <w:color w:val="000000"/>
                <w:sz w:val="24"/>
              </w:rPr>
              <w:t>居民区导线对地距离</w:t>
            </w:r>
            <w:r>
              <w:rPr>
                <w:rFonts w:hint="eastAsia"/>
                <w:color w:val="000000"/>
                <w:sz w:val="24"/>
              </w:rPr>
              <w:t>为7.0</w:t>
            </w:r>
            <w:r>
              <w:rPr>
                <w:color w:val="000000"/>
                <w:sz w:val="24"/>
              </w:rPr>
              <w:t>m</w:t>
            </w:r>
            <w:r>
              <w:rPr>
                <w:rFonts w:hint="eastAsia"/>
                <w:color w:val="000000"/>
                <w:sz w:val="24"/>
              </w:rPr>
              <w:t>，非</w:t>
            </w:r>
            <w:r>
              <w:rPr>
                <w:color w:val="000000"/>
                <w:sz w:val="24"/>
              </w:rPr>
              <w:t>居民区导线对地距离</w:t>
            </w:r>
            <w:r>
              <w:rPr>
                <w:rFonts w:hint="eastAsia"/>
                <w:color w:val="000000"/>
                <w:sz w:val="24"/>
              </w:rPr>
              <w:t>为6.0</w:t>
            </w:r>
            <w:r>
              <w:rPr>
                <w:color w:val="000000"/>
                <w:sz w:val="24"/>
              </w:rPr>
              <w:t>m</w:t>
            </w:r>
            <w:r>
              <w:rPr>
                <w:rFonts w:hint="eastAsia"/>
                <w:color w:val="000000"/>
                <w:sz w:val="24"/>
              </w:rPr>
              <w:t>，</w:t>
            </w:r>
            <w:r>
              <w:rPr>
                <w:color w:val="000000"/>
                <w:sz w:val="24"/>
              </w:rPr>
              <w:t>跨越公路等其它设施时按相应设计规范执行</w:t>
            </w:r>
            <w:r>
              <w:rPr>
                <w:rFonts w:hint="eastAsia"/>
                <w:color w:val="000000"/>
                <w:sz w:val="24"/>
              </w:rPr>
              <w:t>，导线对地最小距离一览表</w:t>
            </w:r>
            <w:r>
              <w:rPr>
                <w:color w:val="000000"/>
                <w:sz w:val="24"/>
              </w:rPr>
              <w:t>见</w:t>
            </w:r>
            <w:r>
              <w:rPr>
                <w:color w:val="000000"/>
                <w:sz w:val="24"/>
              </w:rPr>
              <w:fldChar w:fldCharType="begin"/>
            </w:r>
            <w:r>
              <w:rPr>
                <w:color w:val="000000"/>
                <w:sz w:val="24"/>
              </w:rPr>
              <w:instrText xml:space="preserve"> REF _Ref157121824 \h  \* MERGEFORMAT </w:instrText>
            </w:r>
            <w:r>
              <w:rPr>
                <w:color w:val="000000"/>
                <w:sz w:val="24"/>
              </w:rPr>
              <w:fldChar w:fldCharType="separate"/>
            </w:r>
            <w:r>
              <w:rPr>
                <w:color w:val="000000"/>
                <w:sz w:val="24"/>
              </w:rPr>
              <w:t>表 3</w:t>
            </w:r>
            <w:r>
              <w:rPr>
                <w:color w:val="000000"/>
                <w:sz w:val="24"/>
              </w:rPr>
              <w:fldChar w:fldCharType="end"/>
            </w:r>
            <w:r>
              <w:rPr>
                <w:rFonts w:hint="eastAsia"/>
                <w:color w:val="000000"/>
                <w:sz w:val="24"/>
              </w:rPr>
              <w:t>，交叉跨越情况一览表见</w:t>
            </w:r>
            <w:r>
              <w:rPr>
                <w:color w:val="000000"/>
                <w:sz w:val="24"/>
              </w:rPr>
              <w:fldChar w:fldCharType="begin"/>
            </w:r>
            <w:r>
              <w:rPr>
                <w:color w:val="000000"/>
                <w:sz w:val="24"/>
              </w:rPr>
              <w:instrText xml:space="preserve"> </w:instrText>
            </w:r>
            <w:r>
              <w:rPr>
                <w:rFonts w:hint="eastAsia"/>
                <w:color w:val="000000"/>
                <w:sz w:val="24"/>
              </w:rPr>
              <w:instrText xml:space="preserve">REF _Ref157121855 \h</w:instrText>
            </w:r>
            <w:r>
              <w:rPr>
                <w:color w:val="000000"/>
                <w:sz w:val="24"/>
              </w:rPr>
              <w:instrText xml:space="preserve">  \* MERGEFORMAT </w:instrText>
            </w:r>
            <w:r>
              <w:rPr>
                <w:color w:val="000000"/>
                <w:sz w:val="24"/>
              </w:rPr>
              <w:fldChar w:fldCharType="separate"/>
            </w:r>
            <w:r>
              <w:rPr>
                <w:color w:val="000000"/>
                <w:sz w:val="24"/>
              </w:rPr>
              <w:t>表 4</w:t>
            </w:r>
            <w:r>
              <w:rPr>
                <w:color w:val="000000"/>
                <w:sz w:val="24"/>
              </w:rPr>
              <w:fldChar w:fldCharType="end"/>
            </w:r>
            <w:r>
              <w:rPr>
                <w:rFonts w:hint="eastAsia"/>
                <w:color w:val="000000"/>
                <w:sz w:val="24"/>
              </w:rPr>
              <w:t>。</w:t>
            </w:r>
          </w:p>
          <w:p>
            <w:pPr>
              <w:pStyle w:val="18"/>
              <w:keepNext/>
              <w:rPr>
                <w:rFonts w:ascii="Times New Roman" w:hAnsi="Times New Roman"/>
                <w:bCs/>
              </w:rPr>
            </w:pPr>
            <w:bookmarkStart w:id="92" w:name="_Ref157121824"/>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3</w:t>
            </w:r>
            <w:r>
              <w:rPr>
                <w:rFonts w:ascii="Times New Roman" w:hAnsi="Times New Roman"/>
                <w:b/>
              </w:rPr>
              <w:fldChar w:fldCharType="end"/>
            </w:r>
            <w:bookmarkEnd w:id="92"/>
            <w:r>
              <w:rPr>
                <w:rFonts w:ascii="Times New Roman" w:hAnsi="Times New Roman"/>
                <w:b/>
              </w:rPr>
              <w:t xml:space="preserve">                     </w:t>
            </w:r>
            <w:r>
              <w:rPr>
                <w:rFonts w:hint="eastAsia" w:ascii="Times New Roman" w:hAnsi="Times New Roman"/>
                <w:b/>
              </w:rPr>
              <w:t xml:space="preserve">  </w:t>
            </w:r>
            <w:r>
              <w:rPr>
                <w:rFonts w:ascii="Times New Roman" w:hAnsi="Times New Roman"/>
                <w:b/>
              </w:rPr>
              <w:t xml:space="preserve">   导线对地距离一览表</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4441"/>
              <w:gridCol w:w="2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b/>
                      <w:bCs/>
                      <w:color w:val="000000"/>
                    </w:rPr>
                  </w:pPr>
                  <w:r>
                    <w:rPr>
                      <w:b/>
                      <w:bCs/>
                      <w:color w:val="000000"/>
                    </w:rPr>
                    <w:t>序号</w:t>
                  </w:r>
                </w:p>
              </w:tc>
              <w:tc>
                <w:tcPr>
                  <w:tcW w:w="4441" w:type="dxa"/>
                  <w:vAlign w:val="center"/>
                </w:tcPr>
                <w:p>
                  <w:pPr>
                    <w:jc w:val="center"/>
                    <w:rPr>
                      <w:b/>
                      <w:bCs/>
                      <w:color w:val="000000"/>
                    </w:rPr>
                  </w:pPr>
                  <w:r>
                    <w:rPr>
                      <w:b/>
                      <w:bCs/>
                      <w:color w:val="000000"/>
                    </w:rPr>
                    <w:t>被交叉跨越物</w:t>
                  </w:r>
                </w:p>
              </w:tc>
              <w:tc>
                <w:tcPr>
                  <w:tcW w:w="2718" w:type="dxa"/>
                  <w:vAlign w:val="center"/>
                </w:tcPr>
                <w:p>
                  <w:pPr>
                    <w:jc w:val="center"/>
                    <w:rPr>
                      <w:b/>
                      <w:bCs/>
                      <w:color w:val="000000"/>
                    </w:rPr>
                  </w:pPr>
                  <w:r>
                    <w:rPr>
                      <w:b/>
                      <w:bCs/>
                      <w:color w:val="000000"/>
                    </w:rPr>
                    <w:t>最小允许垂直距离（m）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color w:val="000000"/>
                    </w:rPr>
                  </w:pPr>
                  <w:r>
                    <w:rPr>
                      <w:color w:val="000000"/>
                    </w:rPr>
                    <w:t>1</w:t>
                  </w:r>
                </w:p>
              </w:tc>
              <w:tc>
                <w:tcPr>
                  <w:tcW w:w="4441" w:type="dxa"/>
                  <w:vAlign w:val="center"/>
                </w:tcPr>
                <w:p>
                  <w:pPr>
                    <w:jc w:val="center"/>
                    <w:rPr>
                      <w:color w:val="000000"/>
                    </w:rPr>
                  </w:pPr>
                  <w:r>
                    <w:rPr>
                      <w:color w:val="000000"/>
                    </w:rPr>
                    <w:t>居民区</w:t>
                  </w:r>
                </w:p>
              </w:tc>
              <w:tc>
                <w:tcPr>
                  <w:tcW w:w="2718" w:type="dxa"/>
                  <w:vAlign w:val="center"/>
                </w:tcPr>
                <w:p>
                  <w:pPr>
                    <w:jc w:val="center"/>
                    <w:rPr>
                      <w:color w:val="000000"/>
                    </w:rPr>
                  </w:pPr>
                  <w:r>
                    <w:rPr>
                      <w:color w:val="000000"/>
                    </w:rPr>
                    <w:t>7.</w:t>
                  </w:r>
                  <w:r>
                    <w:rPr>
                      <w:rFonts w:hint="eastAsia"/>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color w:val="000000"/>
                    </w:rPr>
                  </w:pPr>
                  <w:r>
                    <w:rPr>
                      <w:color w:val="000000"/>
                    </w:rPr>
                    <w:t>2</w:t>
                  </w:r>
                </w:p>
              </w:tc>
              <w:tc>
                <w:tcPr>
                  <w:tcW w:w="4441" w:type="dxa"/>
                  <w:vAlign w:val="center"/>
                </w:tcPr>
                <w:p>
                  <w:pPr>
                    <w:jc w:val="center"/>
                    <w:rPr>
                      <w:color w:val="000000"/>
                    </w:rPr>
                  </w:pPr>
                  <w:r>
                    <w:rPr>
                      <w:color w:val="000000"/>
                    </w:rPr>
                    <w:t>非居民区</w:t>
                  </w:r>
                </w:p>
              </w:tc>
              <w:tc>
                <w:tcPr>
                  <w:tcW w:w="2718" w:type="dxa"/>
                  <w:vAlign w:val="center"/>
                </w:tcPr>
                <w:p>
                  <w:pPr>
                    <w:jc w:val="center"/>
                    <w:rPr>
                      <w:color w:val="000000"/>
                    </w:rPr>
                  </w:pPr>
                  <w:r>
                    <w:rPr>
                      <w:color w:val="000000"/>
                    </w:rPr>
                    <w:t>6.</w:t>
                  </w:r>
                  <w:r>
                    <w:rPr>
                      <w:rFonts w:hint="eastAsia"/>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color w:val="000000"/>
                    </w:rPr>
                  </w:pPr>
                  <w:r>
                    <w:rPr>
                      <w:color w:val="000000"/>
                    </w:rPr>
                    <w:t>3</w:t>
                  </w:r>
                </w:p>
              </w:tc>
              <w:tc>
                <w:tcPr>
                  <w:tcW w:w="4441" w:type="dxa"/>
                  <w:vAlign w:val="center"/>
                </w:tcPr>
                <w:p>
                  <w:pPr>
                    <w:jc w:val="center"/>
                    <w:rPr>
                      <w:color w:val="000000"/>
                    </w:rPr>
                  </w:pPr>
                  <w:r>
                    <w:rPr>
                      <w:color w:val="000000"/>
                    </w:rPr>
                    <w:t>交通困难区</w:t>
                  </w:r>
                </w:p>
              </w:tc>
              <w:tc>
                <w:tcPr>
                  <w:tcW w:w="2718" w:type="dxa"/>
                  <w:vAlign w:val="center"/>
                </w:tcPr>
                <w:p>
                  <w:pPr>
                    <w:jc w:val="center"/>
                    <w:rPr>
                      <w:color w:val="000000"/>
                    </w:rPr>
                  </w:pPr>
                  <w:r>
                    <w:rPr>
                      <w:color w:val="000000"/>
                    </w:rPr>
                    <w:t>5.</w:t>
                  </w:r>
                  <w:r>
                    <w:rPr>
                      <w:rFonts w:hint="eastAsia"/>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color w:val="000000"/>
                    </w:rPr>
                  </w:pPr>
                  <w:r>
                    <w:rPr>
                      <w:color w:val="000000"/>
                    </w:rPr>
                    <w:t>4</w:t>
                  </w:r>
                </w:p>
              </w:tc>
              <w:tc>
                <w:tcPr>
                  <w:tcW w:w="4441" w:type="dxa"/>
                  <w:vAlign w:val="center"/>
                </w:tcPr>
                <w:p>
                  <w:pPr>
                    <w:jc w:val="center"/>
                    <w:rPr>
                      <w:color w:val="000000"/>
                    </w:rPr>
                  </w:pPr>
                  <w:r>
                    <w:rPr>
                      <w:color w:val="000000"/>
                    </w:rPr>
                    <w:t>公路</w:t>
                  </w:r>
                </w:p>
              </w:tc>
              <w:tc>
                <w:tcPr>
                  <w:tcW w:w="2718" w:type="dxa"/>
                  <w:vAlign w:val="center"/>
                </w:tcPr>
                <w:p>
                  <w:pPr>
                    <w:jc w:val="center"/>
                    <w:rPr>
                      <w:color w:val="000000"/>
                    </w:rPr>
                  </w:pPr>
                  <w:r>
                    <w:rPr>
                      <w:rFonts w:hint="eastAsia"/>
                      <w:color w:val="000000"/>
                    </w:rPr>
                    <w:t>7</w:t>
                  </w:r>
                  <w:r>
                    <w:rPr>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color w:val="000000"/>
                    </w:rPr>
                  </w:pPr>
                  <w:r>
                    <w:rPr>
                      <w:color w:val="000000"/>
                    </w:rPr>
                    <w:t>5</w:t>
                  </w:r>
                </w:p>
              </w:tc>
              <w:tc>
                <w:tcPr>
                  <w:tcW w:w="4441" w:type="dxa"/>
                  <w:vAlign w:val="center"/>
                </w:tcPr>
                <w:p>
                  <w:pPr>
                    <w:jc w:val="center"/>
                    <w:rPr>
                      <w:color w:val="000000"/>
                    </w:rPr>
                  </w:pPr>
                  <w:r>
                    <w:rPr>
                      <w:color w:val="000000"/>
                    </w:rPr>
                    <w:t>电力线路</w:t>
                  </w:r>
                </w:p>
              </w:tc>
              <w:tc>
                <w:tcPr>
                  <w:tcW w:w="2718" w:type="dxa"/>
                  <w:vAlign w:val="center"/>
                </w:tcPr>
                <w:p>
                  <w:pPr>
                    <w:jc w:val="center"/>
                    <w:rPr>
                      <w:color w:val="000000"/>
                    </w:rPr>
                  </w:pPr>
                  <w:r>
                    <w:rPr>
                      <w:rFonts w:hint="eastAsia"/>
                      <w:color w:val="000000"/>
                    </w:rPr>
                    <w:t>3</w:t>
                  </w:r>
                  <w:r>
                    <w:rPr>
                      <w:color w:val="000000"/>
                    </w:rPr>
                    <w:t>.0</w:t>
                  </w:r>
                </w:p>
              </w:tc>
            </w:tr>
          </w:tbl>
          <w:p>
            <w:pPr>
              <w:pStyle w:val="18"/>
              <w:keepNext/>
              <w:rPr>
                <w:rFonts w:ascii="Times New Roman" w:hAnsi="Times New Roman"/>
                <w:color w:val="000000"/>
                <w:szCs w:val="21"/>
                <w:highlight w:val="yellow"/>
              </w:rPr>
            </w:pPr>
          </w:p>
          <w:p>
            <w:pPr>
              <w:pStyle w:val="18"/>
              <w:keepNext/>
              <w:rPr>
                <w:rFonts w:ascii="Times New Roman" w:hAnsi="Times New Roman"/>
                <w:bCs/>
              </w:rPr>
            </w:pPr>
            <w:bookmarkStart w:id="93" w:name="_Ref157121855"/>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4</w:t>
            </w:r>
            <w:r>
              <w:rPr>
                <w:rFonts w:ascii="Times New Roman" w:hAnsi="Times New Roman"/>
                <w:b/>
              </w:rPr>
              <w:fldChar w:fldCharType="end"/>
            </w:r>
            <w:bookmarkEnd w:id="93"/>
            <w:r>
              <w:rPr>
                <w:rFonts w:ascii="Times New Roman" w:hAnsi="Times New Roman"/>
                <w:b/>
              </w:rPr>
              <w:t xml:space="preserve">               </w:t>
            </w:r>
            <w:r>
              <w:rPr>
                <w:rFonts w:hint="eastAsia" w:ascii="Times New Roman" w:hAnsi="Times New Roman"/>
                <w:b/>
              </w:rPr>
              <w:t xml:space="preserve">  </w:t>
            </w:r>
            <w:r>
              <w:rPr>
                <w:rFonts w:ascii="Times New Roman" w:hAnsi="Times New Roman"/>
                <w:b/>
              </w:rPr>
              <w:t xml:space="preserve"> 本工程输电线路交叉跨越情况一览表</w:t>
            </w:r>
          </w:p>
          <w:tbl>
            <w:tblPr>
              <w:tblStyle w:val="43"/>
              <w:tblW w:w="8227" w:type="dxa"/>
              <w:tblInd w:w="0" w:type="dxa"/>
              <w:tblLayout w:type="fixed"/>
              <w:tblCellMar>
                <w:top w:w="0" w:type="dxa"/>
                <w:left w:w="108" w:type="dxa"/>
                <w:bottom w:w="0" w:type="dxa"/>
                <w:right w:w="108" w:type="dxa"/>
              </w:tblCellMar>
            </w:tblPr>
            <w:tblGrid>
              <w:gridCol w:w="628"/>
              <w:gridCol w:w="2579"/>
              <w:gridCol w:w="2628"/>
              <w:gridCol w:w="855"/>
              <w:gridCol w:w="1537"/>
            </w:tblGrid>
            <w:tr>
              <w:tblPrEx>
                <w:tblCellMar>
                  <w:top w:w="0" w:type="dxa"/>
                  <w:left w:w="108" w:type="dxa"/>
                  <w:bottom w:w="0" w:type="dxa"/>
                  <w:right w:w="108" w:type="dxa"/>
                </w:tblCellMar>
              </w:tblPrEx>
              <w:trPr>
                <w:trHeight w:val="339" w:hRule="atLeast"/>
              </w:trPr>
              <w:tc>
                <w:tcPr>
                  <w:tcW w:w="628" w:type="dxa"/>
                  <w:tcBorders>
                    <w:top w:val="single" w:color="auto" w:sz="4" w:space="0"/>
                    <w:left w:val="single" w:color="auto" w:sz="4" w:space="0"/>
                    <w:bottom w:val="single" w:color="auto" w:sz="4" w:space="0"/>
                    <w:right w:val="single" w:color="auto" w:sz="4" w:space="0"/>
                  </w:tcBorders>
                  <w:noWrap/>
                  <w:vAlign w:val="center"/>
                </w:tcPr>
                <w:p>
                  <w:pPr>
                    <w:widowControl/>
                    <w:jc w:val="center"/>
                    <w:rPr>
                      <w:kern w:val="0"/>
                      <w:szCs w:val="21"/>
                    </w:rPr>
                  </w:pPr>
                  <w:bookmarkStart w:id="94" w:name="_Toc85036848"/>
                  <w:bookmarkEnd w:id="94"/>
                  <w:bookmarkStart w:id="95" w:name="_Toc85037094"/>
                  <w:bookmarkEnd w:id="95"/>
                  <w:bookmarkStart w:id="96" w:name="_Toc85037182"/>
                  <w:bookmarkEnd w:id="96"/>
                  <w:bookmarkStart w:id="97" w:name="_Toc11607"/>
                  <w:r>
                    <w:rPr>
                      <w:kern w:val="0"/>
                      <w:szCs w:val="21"/>
                      <w:lang w:bidi="ar"/>
                    </w:rPr>
                    <w:t>序号</w:t>
                  </w:r>
                </w:p>
              </w:tc>
              <w:tc>
                <w:tcPr>
                  <w:tcW w:w="2579" w:type="dxa"/>
                  <w:tcBorders>
                    <w:top w:val="single" w:color="auto" w:sz="4" w:space="0"/>
                    <w:left w:val="nil"/>
                    <w:bottom w:val="single" w:color="auto" w:sz="4" w:space="0"/>
                    <w:right w:val="single" w:color="auto" w:sz="4" w:space="0"/>
                  </w:tcBorders>
                  <w:vAlign w:val="center"/>
                </w:tcPr>
                <w:p>
                  <w:pPr>
                    <w:widowControl/>
                    <w:jc w:val="center"/>
                    <w:rPr>
                      <w:kern w:val="0"/>
                      <w:szCs w:val="21"/>
                    </w:rPr>
                  </w:pPr>
                  <w:r>
                    <w:rPr>
                      <w:kern w:val="0"/>
                      <w:szCs w:val="21"/>
                      <w:lang w:bidi="ar"/>
                    </w:rPr>
                    <w:t>本期新建线路</w:t>
                  </w:r>
                </w:p>
              </w:tc>
              <w:tc>
                <w:tcPr>
                  <w:tcW w:w="2628" w:type="dxa"/>
                  <w:tcBorders>
                    <w:top w:val="single" w:color="auto" w:sz="4" w:space="0"/>
                    <w:left w:val="nil"/>
                    <w:bottom w:val="single" w:color="auto" w:sz="4" w:space="0"/>
                    <w:right w:val="single" w:color="auto" w:sz="4" w:space="0"/>
                  </w:tcBorders>
                  <w:noWrap/>
                  <w:vAlign w:val="center"/>
                </w:tcPr>
                <w:p>
                  <w:pPr>
                    <w:widowControl/>
                    <w:jc w:val="center"/>
                    <w:rPr>
                      <w:kern w:val="0"/>
                      <w:szCs w:val="21"/>
                    </w:rPr>
                  </w:pPr>
                  <w:r>
                    <w:rPr>
                      <w:kern w:val="0"/>
                      <w:szCs w:val="21"/>
                      <w:lang w:bidi="ar"/>
                    </w:rPr>
                    <w:t>线路名称</w:t>
                  </w:r>
                </w:p>
              </w:tc>
              <w:tc>
                <w:tcPr>
                  <w:tcW w:w="855" w:type="dxa"/>
                  <w:tcBorders>
                    <w:top w:val="single" w:color="auto" w:sz="4" w:space="0"/>
                    <w:left w:val="nil"/>
                    <w:bottom w:val="single" w:color="auto" w:sz="4" w:space="0"/>
                    <w:right w:val="single" w:color="auto" w:sz="4" w:space="0"/>
                  </w:tcBorders>
                  <w:noWrap/>
                  <w:vAlign w:val="center"/>
                </w:tcPr>
                <w:p>
                  <w:pPr>
                    <w:widowControl/>
                    <w:jc w:val="center"/>
                    <w:rPr>
                      <w:kern w:val="0"/>
                      <w:szCs w:val="21"/>
                    </w:rPr>
                  </w:pPr>
                  <w:r>
                    <w:rPr>
                      <w:kern w:val="0"/>
                      <w:szCs w:val="21"/>
                      <w:lang w:bidi="ar"/>
                    </w:rPr>
                    <w:t>次数</w:t>
                  </w:r>
                </w:p>
              </w:tc>
              <w:tc>
                <w:tcPr>
                  <w:tcW w:w="1537" w:type="dxa"/>
                  <w:tcBorders>
                    <w:top w:val="single" w:color="auto" w:sz="4" w:space="0"/>
                    <w:left w:val="nil"/>
                    <w:bottom w:val="single" w:color="auto" w:sz="4" w:space="0"/>
                    <w:right w:val="single" w:color="auto" w:sz="4" w:space="0"/>
                  </w:tcBorders>
                  <w:noWrap/>
                  <w:vAlign w:val="center"/>
                </w:tcPr>
                <w:p>
                  <w:pPr>
                    <w:widowControl/>
                    <w:jc w:val="center"/>
                    <w:rPr>
                      <w:kern w:val="0"/>
                      <w:szCs w:val="21"/>
                    </w:rPr>
                  </w:pPr>
                  <w:r>
                    <w:rPr>
                      <w:kern w:val="0"/>
                      <w:szCs w:val="21"/>
                      <w:lang w:bidi="ar"/>
                    </w:rPr>
                    <w:t>备注</w:t>
                  </w:r>
                </w:p>
              </w:tc>
            </w:tr>
            <w:tr>
              <w:tblPrEx>
                <w:tblCellMar>
                  <w:top w:w="0" w:type="dxa"/>
                  <w:left w:w="108" w:type="dxa"/>
                  <w:bottom w:w="0" w:type="dxa"/>
                  <w:right w:w="108" w:type="dxa"/>
                </w:tblCellMar>
              </w:tblPrEx>
              <w:trPr>
                <w:trHeight w:val="320" w:hRule="atLeast"/>
              </w:trPr>
              <w:tc>
                <w:tcPr>
                  <w:tcW w:w="628" w:type="dxa"/>
                  <w:tcBorders>
                    <w:top w:val="nil"/>
                    <w:left w:val="single" w:color="auto" w:sz="4" w:space="0"/>
                    <w:bottom w:val="single" w:color="auto" w:sz="4" w:space="0"/>
                    <w:right w:val="single" w:color="auto" w:sz="4" w:space="0"/>
                  </w:tcBorders>
                  <w:noWrap/>
                  <w:vAlign w:val="center"/>
                </w:tcPr>
                <w:p>
                  <w:pPr>
                    <w:widowControl/>
                    <w:numPr>
                      <w:ilvl w:val="0"/>
                      <w:numId w:val="6"/>
                    </w:numPr>
                    <w:jc w:val="center"/>
                    <w:rPr>
                      <w:kern w:val="0"/>
                      <w:szCs w:val="21"/>
                    </w:rPr>
                  </w:pPr>
                </w:p>
              </w:tc>
              <w:tc>
                <w:tcPr>
                  <w:tcW w:w="2579" w:type="dxa"/>
                  <w:tcBorders>
                    <w:left w:val="single" w:color="auto" w:sz="4" w:space="0"/>
                    <w:bottom w:val="single" w:color="auto" w:sz="4" w:space="0"/>
                    <w:right w:val="single" w:color="auto" w:sz="4" w:space="0"/>
                  </w:tcBorders>
                  <w:vAlign w:val="center"/>
                </w:tcPr>
                <w:p>
                  <w:pPr>
                    <w:widowControl/>
                    <w:jc w:val="center"/>
                    <w:rPr>
                      <w:kern w:val="0"/>
                      <w:szCs w:val="21"/>
                      <w:lang w:bidi="ar"/>
                    </w:rPr>
                  </w:pPr>
                  <w:r>
                    <w:rPr>
                      <w:rFonts w:hint="eastAsia"/>
                      <w:kern w:val="0"/>
                      <w:szCs w:val="21"/>
                      <w:lang w:bidi="ar"/>
                    </w:rPr>
                    <w:t>七泉湖~红旗π入番南变110千伏线路工程</w:t>
                  </w:r>
                </w:p>
              </w:tc>
              <w:tc>
                <w:tcPr>
                  <w:tcW w:w="2628" w:type="dxa"/>
                  <w:tcBorders>
                    <w:top w:val="nil"/>
                    <w:left w:val="nil"/>
                    <w:bottom w:val="single" w:color="auto" w:sz="4" w:space="0"/>
                    <w:right w:val="single" w:color="auto" w:sz="4" w:space="0"/>
                  </w:tcBorders>
                  <w:noWrap/>
                  <w:vAlign w:val="center"/>
                </w:tcPr>
                <w:p>
                  <w:pPr>
                    <w:widowControl/>
                    <w:jc w:val="center"/>
                    <w:rPr>
                      <w:kern w:val="0"/>
                      <w:szCs w:val="21"/>
                      <w:lang w:bidi="ar"/>
                    </w:rPr>
                  </w:pPr>
                  <w:r>
                    <w:rPr>
                      <w:kern w:val="0"/>
                      <w:szCs w:val="21"/>
                      <w:lang w:bidi="ar"/>
                    </w:rPr>
                    <w:t>跨越10kV线路</w:t>
                  </w:r>
                </w:p>
              </w:tc>
              <w:tc>
                <w:tcPr>
                  <w:tcW w:w="855" w:type="dxa"/>
                  <w:tcBorders>
                    <w:top w:val="nil"/>
                    <w:left w:val="nil"/>
                    <w:bottom w:val="single" w:color="auto" w:sz="4" w:space="0"/>
                    <w:right w:val="single" w:color="auto" w:sz="4" w:space="0"/>
                  </w:tcBorders>
                  <w:noWrap/>
                  <w:vAlign w:val="center"/>
                </w:tcPr>
                <w:p>
                  <w:pPr>
                    <w:widowControl/>
                    <w:jc w:val="center"/>
                    <w:rPr>
                      <w:kern w:val="0"/>
                      <w:szCs w:val="21"/>
                      <w:lang w:bidi="ar"/>
                    </w:rPr>
                  </w:pPr>
                  <w:r>
                    <w:rPr>
                      <w:kern w:val="0"/>
                      <w:szCs w:val="21"/>
                      <w:lang w:bidi="ar"/>
                    </w:rPr>
                    <w:t>7次</w:t>
                  </w:r>
                </w:p>
              </w:tc>
              <w:tc>
                <w:tcPr>
                  <w:tcW w:w="1537" w:type="dxa"/>
                  <w:tcBorders>
                    <w:top w:val="nil"/>
                    <w:left w:val="nil"/>
                    <w:bottom w:val="single" w:color="auto" w:sz="4" w:space="0"/>
                    <w:right w:val="single" w:color="auto" w:sz="4" w:space="0"/>
                  </w:tcBorders>
                  <w:noWrap/>
                  <w:vAlign w:val="center"/>
                </w:tcPr>
                <w:p>
                  <w:pPr>
                    <w:widowControl/>
                    <w:jc w:val="center"/>
                    <w:rPr>
                      <w:kern w:val="0"/>
                      <w:szCs w:val="21"/>
                    </w:rPr>
                  </w:pPr>
                </w:p>
              </w:tc>
            </w:tr>
            <w:tr>
              <w:trPr>
                <w:trHeight w:val="320" w:hRule="atLeast"/>
              </w:trPr>
              <w:tc>
                <w:tcPr>
                  <w:tcW w:w="628" w:type="dxa"/>
                  <w:tcBorders>
                    <w:top w:val="nil"/>
                    <w:left w:val="single" w:color="auto" w:sz="4" w:space="0"/>
                    <w:bottom w:val="single" w:color="auto" w:sz="4" w:space="0"/>
                    <w:right w:val="single" w:color="auto" w:sz="4" w:space="0"/>
                  </w:tcBorders>
                  <w:noWrap/>
                  <w:vAlign w:val="center"/>
                </w:tcPr>
                <w:p>
                  <w:pPr>
                    <w:widowControl/>
                    <w:numPr>
                      <w:ilvl w:val="0"/>
                      <w:numId w:val="6"/>
                    </w:numPr>
                    <w:jc w:val="center"/>
                    <w:rPr>
                      <w:kern w:val="0"/>
                      <w:szCs w:val="21"/>
                    </w:rPr>
                  </w:pPr>
                </w:p>
              </w:tc>
              <w:tc>
                <w:tcPr>
                  <w:tcW w:w="2579" w:type="dxa"/>
                  <w:tcBorders>
                    <w:left w:val="single" w:color="auto" w:sz="4" w:space="0"/>
                    <w:bottom w:val="single" w:color="auto" w:sz="4" w:space="0"/>
                    <w:right w:val="single" w:color="auto" w:sz="4" w:space="0"/>
                  </w:tcBorders>
                  <w:vAlign w:val="center"/>
                </w:tcPr>
                <w:p>
                  <w:pPr>
                    <w:widowControl/>
                    <w:jc w:val="center"/>
                    <w:rPr>
                      <w:kern w:val="0"/>
                      <w:szCs w:val="21"/>
                      <w:lang w:bidi="ar"/>
                    </w:rPr>
                  </w:pPr>
                  <w:r>
                    <w:rPr>
                      <w:rFonts w:hint="eastAsia"/>
                      <w:kern w:val="0"/>
                      <w:szCs w:val="21"/>
                      <w:lang w:bidi="ar"/>
                    </w:rPr>
                    <w:t>七泉湖~番南改接入沙河子变110千伏线路工程</w:t>
                  </w:r>
                </w:p>
              </w:tc>
              <w:tc>
                <w:tcPr>
                  <w:tcW w:w="2628" w:type="dxa"/>
                  <w:tcBorders>
                    <w:top w:val="nil"/>
                    <w:left w:val="nil"/>
                    <w:bottom w:val="single" w:color="auto" w:sz="4" w:space="0"/>
                    <w:right w:val="single" w:color="auto" w:sz="4" w:space="0"/>
                  </w:tcBorders>
                  <w:noWrap/>
                  <w:vAlign w:val="center"/>
                </w:tcPr>
                <w:p>
                  <w:pPr>
                    <w:widowControl/>
                    <w:jc w:val="center"/>
                    <w:rPr>
                      <w:kern w:val="0"/>
                      <w:szCs w:val="21"/>
                      <w:lang w:bidi="ar"/>
                    </w:rPr>
                  </w:pPr>
                  <w:r>
                    <w:rPr>
                      <w:kern w:val="0"/>
                      <w:szCs w:val="21"/>
                      <w:lang w:bidi="ar"/>
                    </w:rPr>
                    <w:t>跨越10kV线路</w:t>
                  </w:r>
                </w:p>
              </w:tc>
              <w:tc>
                <w:tcPr>
                  <w:tcW w:w="855" w:type="dxa"/>
                  <w:tcBorders>
                    <w:top w:val="nil"/>
                    <w:left w:val="nil"/>
                    <w:bottom w:val="single" w:color="auto" w:sz="4" w:space="0"/>
                    <w:right w:val="single" w:color="auto" w:sz="4" w:space="0"/>
                  </w:tcBorders>
                  <w:noWrap/>
                  <w:vAlign w:val="center"/>
                </w:tcPr>
                <w:p>
                  <w:pPr>
                    <w:widowControl/>
                    <w:jc w:val="center"/>
                    <w:rPr>
                      <w:kern w:val="0"/>
                      <w:szCs w:val="21"/>
                      <w:lang w:bidi="ar"/>
                    </w:rPr>
                  </w:pPr>
                  <w:r>
                    <w:rPr>
                      <w:kern w:val="0"/>
                      <w:szCs w:val="21"/>
                      <w:lang w:bidi="ar"/>
                    </w:rPr>
                    <w:t>1次</w:t>
                  </w:r>
                </w:p>
              </w:tc>
              <w:tc>
                <w:tcPr>
                  <w:tcW w:w="1537" w:type="dxa"/>
                  <w:tcBorders>
                    <w:top w:val="nil"/>
                    <w:left w:val="nil"/>
                    <w:bottom w:val="single" w:color="auto" w:sz="4" w:space="0"/>
                    <w:right w:val="single" w:color="auto" w:sz="4" w:space="0"/>
                  </w:tcBorders>
                  <w:noWrap/>
                  <w:vAlign w:val="center"/>
                </w:tcPr>
                <w:p>
                  <w:pPr>
                    <w:widowControl/>
                    <w:jc w:val="center"/>
                    <w:rPr>
                      <w:kern w:val="0"/>
                      <w:szCs w:val="21"/>
                    </w:rPr>
                  </w:pPr>
                </w:p>
              </w:tc>
            </w:tr>
            <w:tr>
              <w:trPr>
                <w:trHeight w:val="320" w:hRule="atLeast"/>
              </w:trPr>
              <w:tc>
                <w:tcPr>
                  <w:tcW w:w="628" w:type="dxa"/>
                  <w:tcBorders>
                    <w:top w:val="nil"/>
                    <w:left w:val="single" w:color="auto" w:sz="4" w:space="0"/>
                    <w:bottom w:val="single" w:color="auto" w:sz="4" w:space="0"/>
                    <w:right w:val="single" w:color="auto" w:sz="4" w:space="0"/>
                  </w:tcBorders>
                  <w:noWrap/>
                  <w:vAlign w:val="center"/>
                </w:tcPr>
                <w:p>
                  <w:pPr>
                    <w:widowControl/>
                    <w:numPr>
                      <w:ilvl w:val="0"/>
                      <w:numId w:val="6"/>
                    </w:numPr>
                    <w:jc w:val="center"/>
                    <w:rPr>
                      <w:kern w:val="0"/>
                      <w:szCs w:val="21"/>
                    </w:rPr>
                  </w:pPr>
                </w:p>
              </w:tc>
              <w:tc>
                <w:tcPr>
                  <w:tcW w:w="2579" w:type="dxa"/>
                  <w:tcBorders>
                    <w:left w:val="single" w:color="auto" w:sz="4" w:space="0"/>
                    <w:bottom w:val="single" w:color="auto" w:sz="4" w:space="0"/>
                    <w:right w:val="single" w:color="auto" w:sz="4" w:space="0"/>
                  </w:tcBorders>
                  <w:vAlign w:val="center"/>
                </w:tcPr>
                <w:p>
                  <w:pPr>
                    <w:widowControl/>
                    <w:jc w:val="center"/>
                    <w:rPr>
                      <w:kern w:val="0"/>
                      <w:szCs w:val="21"/>
                      <w:lang w:bidi="ar"/>
                    </w:rPr>
                  </w:pPr>
                  <w:r>
                    <w:rPr>
                      <w:rFonts w:hint="eastAsia"/>
                      <w:kern w:val="0"/>
                      <w:szCs w:val="21"/>
                      <w:lang w:bidi="ar"/>
                    </w:rPr>
                    <w:t>七泉湖~番南改接入交河变110千伏线路工程</w:t>
                  </w:r>
                </w:p>
              </w:tc>
              <w:tc>
                <w:tcPr>
                  <w:tcW w:w="2628" w:type="dxa"/>
                  <w:tcBorders>
                    <w:top w:val="nil"/>
                    <w:left w:val="nil"/>
                    <w:bottom w:val="single" w:color="auto" w:sz="4" w:space="0"/>
                    <w:right w:val="single" w:color="auto" w:sz="4" w:space="0"/>
                  </w:tcBorders>
                  <w:noWrap/>
                  <w:vAlign w:val="center"/>
                </w:tcPr>
                <w:p>
                  <w:pPr>
                    <w:widowControl/>
                    <w:jc w:val="center"/>
                    <w:rPr>
                      <w:kern w:val="0"/>
                      <w:szCs w:val="21"/>
                      <w:lang w:bidi="ar"/>
                    </w:rPr>
                  </w:pPr>
                  <w:r>
                    <w:rPr>
                      <w:kern w:val="0"/>
                      <w:szCs w:val="21"/>
                      <w:lang w:bidi="ar"/>
                    </w:rPr>
                    <w:t>跨越10kV线路</w:t>
                  </w:r>
                </w:p>
              </w:tc>
              <w:tc>
                <w:tcPr>
                  <w:tcW w:w="855" w:type="dxa"/>
                  <w:tcBorders>
                    <w:top w:val="nil"/>
                    <w:left w:val="nil"/>
                    <w:bottom w:val="single" w:color="auto" w:sz="4" w:space="0"/>
                    <w:right w:val="single" w:color="auto" w:sz="4" w:space="0"/>
                  </w:tcBorders>
                  <w:noWrap/>
                  <w:vAlign w:val="center"/>
                </w:tcPr>
                <w:p>
                  <w:pPr>
                    <w:widowControl/>
                    <w:jc w:val="center"/>
                    <w:rPr>
                      <w:kern w:val="0"/>
                      <w:szCs w:val="21"/>
                      <w:lang w:bidi="ar"/>
                    </w:rPr>
                  </w:pPr>
                  <w:r>
                    <w:rPr>
                      <w:kern w:val="0"/>
                      <w:szCs w:val="21"/>
                      <w:lang w:bidi="ar"/>
                    </w:rPr>
                    <w:t>1次</w:t>
                  </w:r>
                </w:p>
              </w:tc>
              <w:tc>
                <w:tcPr>
                  <w:tcW w:w="1537" w:type="dxa"/>
                  <w:tcBorders>
                    <w:top w:val="nil"/>
                    <w:left w:val="nil"/>
                    <w:bottom w:val="single" w:color="auto" w:sz="4" w:space="0"/>
                    <w:right w:val="single" w:color="auto" w:sz="4" w:space="0"/>
                  </w:tcBorders>
                  <w:noWrap/>
                  <w:vAlign w:val="center"/>
                </w:tcPr>
                <w:p>
                  <w:pPr>
                    <w:widowControl/>
                    <w:jc w:val="center"/>
                    <w:rPr>
                      <w:kern w:val="0"/>
                      <w:szCs w:val="21"/>
                    </w:rPr>
                  </w:pPr>
                </w:p>
              </w:tc>
            </w:tr>
            <w:tr>
              <w:trPr>
                <w:trHeight w:val="320" w:hRule="atLeast"/>
              </w:trPr>
              <w:tc>
                <w:tcPr>
                  <w:tcW w:w="628" w:type="dxa"/>
                  <w:tcBorders>
                    <w:top w:val="nil"/>
                    <w:left w:val="single" w:color="auto" w:sz="4" w:space="0"/>
                    <w:bottom w:val="single" w:color="auto" w:sz="4" w:space="0"/>
                    <w:right w:val="single" w:color="auto" w:sz="4" w:space="0"/>
                  </w:tcBorders>
                  <w:noWrap/>
                  <w:vAlign w:val="center"/>
                </w:tcPr>
                <w:p>
                  <w:pPr>
                    <w:widowControl/>
                    <w:numPr>
                      <w:ilvl w:val="0"/>
                      <w:numId w:val="6"/>
                    </w:numPr>
                    <w:jc w:val="center"/>
                    <w:rPr>
                      <w:kern w:val="0"/>
                      <w:szCs w:val="21"/>
                    </w:rPr>
                  </w:pPr>
                </w:p>
              </w:tc>
              <w:tc>
                <w:tcPr>
                  <w:tcW w:w="2579" w:type="dxa"/>
                  <w:vMerge w:val="restart"/>
                  <w:tcBorders>
                    <w:top w:val="nil"/>
                    <w:left w:val="single" w:color="auto" w:sz="4" w:space="0"/>
                    <w:right w:val="single" w:color="auto" w:sz="4" w:space="0"/>
                  </w:tcBorders>
                  <w:vAlign w:val="center"/>
                </w:tcPr>
                <w:p>
                  <w:pPr>
                    <w:widowControl/>
                    <w:jc w:val="center"/>
                    <w:rPr>
                      <w:kern w:val="0"/>
                      <w:szCs w:val="21"/>
                      <w:lang w:bidi="ar"/>
                    </w:rPr>
                  </w:pPr>
                  <w:r>
                    <w:rPr>
                      <w:rFonts w:hint="eastAsia"/>
                      <w:kern w:val="0"/>
                      <w:szCs w:val="21"/>
                      <w:lang w:bidi="ar"/>
                    </w:rPr>
                    <w:t>交河~番南π入东环变110千伏线路工程</w:t>
                  </w:r>
                </w:p>
              </w:tc>
              <w:tc>
                <w:tcPr>
                  <w:tcW w:w="2628" w:type="dxa"/>
                  <w:tcBorders>
                    <w:top w:val="nil"/>
                    <w:left w:val="nil"/>
                    <w:bottom w:val="single" w:color="auto" w:sz="4" w:space="0"/>
                    <w:right w:val="single" w:color="auto" w:sz="4" w:space="0"/>
                  </w:tcBorders>
                  <w:noWrap/>
                  <w:vAlign w:val="center"/>
                </w:tcPr>
                <w:p>
                  <w:pPr>
                    <w:widowControl/>
                    <w:jc w:val="center"/>
                    <w:rPr>
                      <w:kern w:val="0"/>
                      <w:szCs w:val="21"/>
                    </w:rPr>
                  </w:pPr>
                  <w:r>
                    <w:rPr>
                      <w:rFonts w:hint="eastAsia"/>
                      <w:kern w:val="0"/>
                      <w:szCs w:val="21"/>
                      <w:lang w:bidi="ar"/>
                    </w:rPr>
                    <w:t>钻越7</w:t>
                  </w:r>
                  <w:r>
                    <w:rPr>
                      <w:kern w:val="0"/>
                      <w:szCs w:val="21"/>
                      <w:lang w:bidi="ar"/>
                    </w:rPr>
                    <w:t>50kV线路</w:t>
                  </w:r>
                </w:p>
              </w:tc>
              <w:tc>
                <w:tcPr>
                  <w:tcW w:w="855" w:type="dxa"/>
                  <w:tcBorders>
                    <w:top w:val="nil"/>
                    <w:left w:val="nil"/>
                    <w:bottom w:val="single" w:color="auto" w:sz="4" w:space="0"/>
                    <w:right w:val="single" w:color="auto" w:sz="4" w:space="0"/>
                  </w:tcBorders>
                  <w:noWrap/>
                  <w:vAlign w:val="center"/>
                </w:tcPr>
                <w:p>
                  <w:pPr>
                    <w:widowControl/>
                    <w:jc w:val="center"/>
                    <w:rPr>
                      <w:kern w:val="0"/>
                      <w:szCs w:val="21"/>
                    </w:rPr>
                  </w:pPr>
                  <w:r>
                    <w:rPr>
                      <w:kern w:val="0"/>
                      <w:szCs w:val="21"/>
                      <w:lang w:bidi="ar"/>
                    </w:rPr>
                    <w:t>2次</w:t>
                  </w:r>
                </w:p>
              </w:tc>
              <w:tc>
                <w:tcPr>
                  <w:tcW w:w="1537" w:type="dxa"/>
                  <w:tcBorders>
                    <w:top w:val="nil"/>
                    <w:left w:val="nil"/>
                    <w:bottom w:val="single" w:color="auto" w:sz="4" w:space="0"/>
                    <w:right w:val="single" w:color="auto" w:sz="4" w:space="0"/>
                  </w:tcBorders>
                  <w:noWrap/>
                  <w:vAlign w:val="center"/>
                </w:tcPr>
                <w:p>
                  <w:pPr>
                    <w:widowControl/>
                    <w:jc w:val="center"/>
                    <w:rPr>
                      <w:kern w:val="0"/>
                      <w:szCs w:val="21"/>
                    </w:rPr>
                  </w:pPr>
                  <w:r>
                    <w:rPr>
                      <w:rFonts w:hint="eastAsia"/>
                      <w:kern w:val="0"/>
                      <w:szCs w:val="21"/>
                      <w:lang w:bidi="ar"/>
                    </w:rPr>
                    <w:t>钻越750kV巴吐I线</w:t>
                  </w:r>
                  <w:r>
                    <w:rPr>
                      <w:kern w:val="0"/>
                      <w:szCs w:val="21"/>
                      <w:lang w:bidi="ar"/>
                    </w:rPr>
                    <w:t>　</w:t>
                  </w:r>
                </w:p>
              </w:tc>
            </w:tr>
            <w:tr>
              <w:trPr>
                <w:trHeight w:val="392" w:hRule="atLeast"/>
              </w:trPr>
              <w:tc>
                <w:tcPr>
                  <w:tcW w:w="628" w:type="dxa"/>
                  <w:tcBorders>
                    <w:top w:val="nil"/>
                    <w:left w:val="single" w:color="auto" w:sz="4" w:space="0"/>
                    <w:bottom w:val="single" w:color="auto" w:sz="4" w:space="0"/>
                    <w:right w:val="single" w:color="auto" w:sz="4" w:space="0"/>
                  </w:tcBorders>
                  <w:noWrap/>
                  <w:vAlign w:val="center"/>
                </w:tcPr>
                <w:p>
                  <w:pPr>
                    <w:widowControl/>
                    <w:numPr>
                      <w:ilvl w:val="0"/>
                      <w:numId w:val="6"/>
                    </w:numPr>
                    <w:jc w:val="center"/>
                    <w:rPr>
                      <w:kern w:val="0"/>
                      <w:szCs w:val="21"/>
                    </w:rPr>
                  </w:pPr>
                </w:p>
              </w:tc>
              <w:tc>
                <w:tcPr>
                  <w:tcW w:w="2579" w:type="dxa"/>
                  <w:vMerge w:val="continue"/>
                  <w:tcBorders>
                    <w:left w:val="single" w:color="auto" w:sz="4" w:space="0"/>
                    <w:right w:val="single" w:color="auto" w:sz="4" w:space="0"/>
                  </w:tcBorders>
                  <w:vAlign w:val="center"/>
                </w:tcPr>
                <w:p>
                  <w:pPr>
                    <w:widowControl/>
                    <w:jc w:val="left"/>
                    <w:rPr>
                      <w:kern w:val="0"/>
                      <w:szCs w:val="21"/>
                      <w:lang w:bidi="ar"/>
                    </w:rPr>
                  </w:pPr>
                </w:p>
              </w:tc>
              <w:tc>
                <w:tcPr>
                  <w:tcW w:w="2628" w:type="dxa"/>
                  <w:tcBorders>
                    <w:top w:val="nil"/>
                    <w:left w:val="nil"/>
                    <w:bottom w:val="single" w:color="auto" w:sz="4" w:space="0"/>
                    <w:right w:val="single" w:color="auto" w:sz="4" w:space="0"/>
                  </w:tcBorders>
                  <w:noWrap/>
                  <w:vAlign w:val="center"/>
                </w:tcPr>
                <w:p>
                  <w:pPr>
                    <w:widowControl/>
                    <w:jc w:val="center"/>
                    <w:rPr>
                      <w:kern w:val="0"/>
                      <w:szCs w:val="21"/>
                    </w:rPr>
                  </w:pPr>
                  <w:r>
                    <w:rPr>
                      <w:kern w:val="0"/>
                      <w:szCs w:val="21"/>
                      <w:lang w:bidi="ar"/>
                    </w:rPr>
                    <w:t>跨越110kV线路</w:t>
                  </w:r>
                </w:p>
              </w:tc>
              <w:tc>
                <w:tcPr>
                  <w:tcW w:w="855" w:type="dxa"/>
                  <w:tcBorders>
                    <w:top w:val="nil"/>
                    <w:left w:val="nil"/>
                    <w:bottom w:val="single" w:color="auto" w:sz="4" w:space="0"/>
                    <w:right w:val="single" w:color="auto" w:sz="4" w:space="0"/>
                  </w:tcBorders>
                  <w:noWrap/>
                  <w:vAlign w:val="center"/>
                </w:tcPr>
                <w:p>
                  <w:pPr>
                    <w:widowControl/>
                    <w:jc w:val="center"/>
                    <w:rPr>
                      <w:kern w:val="0"/>
                      <w:szCs w:val="21"/>
                    </w:rPr>
                  </w:pPr>
                  <w:r>
                    <w:rPr>
                      <w:kern w:val="0"/>
                      <w:szCs w:val="21"/>
                      <w:lang w:bidi="ar"/>
                    </w:rPr>
                    <w:t>2次</w:t>
                  </w:r>
                </w:p>
              </w:tc>
              <w:tc>
                <w:tcPr>
                  <w:tcW w:w="1537" w:type="dxa"/>
                  <w:tcBorders>
                    <w:top w:val="nil"/>
                    <w:left w:val="nil"/>
                    <w:bottom w:val="single" w:color="auto" w:sz="4" w:space="0"/>
                    <w:right w:val="single" w:color="auto" w:sz="4" w:space="0"/>
                  </w:tcBorders>
                  <w:noWrap/>
                  <w:vAlign w:val="center"/>
                </w:tcPr>
                <w:p>
                  <w:pPr>
                    <w:widowControl/>
                    <w:jc w:val="center"/>
                    <w:rPr>
                      <w:kern w:val="0"/>
                      <w:szCs w:val="21"/>
                    </w:rPr>
                  </w:pPr>
                  <w:r>
                    <w:rPr>
                      <w:kern w:val="0"/>
                      <w:szCs w:val="21"/>
                      <w:lang w:bidi="ar"/>
                    </w:rPr>
                    <w:t>110kV番城线</w:t>
                  </w:r>
                </w:p>
              </w:tc>
            </w:tr>
            <w:tr>
              <w:trPr>
                <w:trHeight w:val="392" w:hRule="atLeast"/>
              </w:trPr>
              <w:tc>
                <w:tcPr>
                  <w:tcW w:w="628" w:type="dxa"/>
                  <w:tcBorders>
                    <w:top w:val="nil"/>
                    <w:left w:val="single" w:color="auto" w:sz="4" w:space="0"/>
                    <w:bottom w:val="single" w:color="auto" w:sz="4" w:space="0"/>
                    <w:right w:val="single" w:color="auto" w:sz="4" w:space="0"/>
                  </w:tcBorders>
                  <w:noWrap/>
                  <w:vAlign w:val="center"/>
                </w:tcPr>
                <w:p>
                  <w:pPr>
                    <w:widowControl/>
                    <w:numPr>
                      <w:ilvl w:val="0"/>
                      <w:numId w:val="6"/>
                    </w:numPr>
                    <w:jc w:val="center"/>
                    <w:rPr>
                      <w:kern w:val="0"/>
                      <w:szCs w:val="21"/>
                    </w:rPr>
                  </w:pPr>
                </w:p>
              </w:tc>
              <w:tc>
                <w:tcPr>
                  <w:tcW w:w="2579" w:type="dxa"/>
                  <w:vMerge w:val="continue"/>
                  <w:tcBorders>
                    <w:left w:val="single" w:color="auto" w:sz="4" w:space="0"/>
                    <w:bottom w:val="single" w:color="000000" w:sz="4" w:space="0"/>
                    <w:right w:val="single" w:color="auto" w:sz="4" w:space="0"/>
                  </w:tcBorders>
                  <w:vAlign w:val="center"/>
                </w:tcPr>
                <w:p>
                  <w:pPr>
                    <w:widowControl/>
                    <w:jc w:val="left"/>
                    <w:rPr>
                      <w:kern w:val="0"/>
                      <w:szCs w:val="21"/>
                      <w:lang w:bidi="ar"/>
                    </w:rPr>
                  </w:pPr>
                </w:p>
              </w:tc>
              <w:tc>
                <w:tcPr>
                  <w:tcW w:w="2628" w:type="dxa"/>
                  <w:tcBorders>
                    <w:top w:val="nil"/>
                    <w:left w:val="nil"/>
                    <w:bottom w:val="single" w:color="auto" w:sz="4" w:space="0"/>
                    <w:right w:val="single" w:color="auto" w:sz="4" w:space="0"/>
                  </w:tcBorders>
                  <w:noWrap/>
                  <w:vAlign w:val="center"/>
                </w:tcPr>
                <w:p>
                  <w:pPr>
                    <w:widowControl/>
                    <w:jc w:val="center"/>
                    <w:rPr>
                      <w:kern w:val="0"/>
                      <w:szCs w:val="21"/>
                      <w:lang w:bidi="ar"/>
                    </w:rPr>
                  </w:pPr>
                  <w:r>
                    <w:rPr>
                      <w:kern w:val="0"/>
                      <w:szCs w:val="21"/>
                      <w:lang w:bidi="ar"/>
                    </w:rPr>
                    <w:t>跨越35kV线路</w:t>
                  </w:r>
                </w:p>
              </w:tc>
              <w:tc>
                <w:tcPr>
                  <w:tcW w:w="855" w:type="dxa"/>
                  <w:tcBorders>
                    <w:top w:val="nil"/>
                    <w:left w:val="nil"/>
                    <w:bottom w:val="single" w:color="auto" w:sz="4" w:space="0"/>
                    <w:right w:val="single" w:color="auto" w:sz="4" w:space="0"/>
                  </w:tcBorders>
                  <w:noWrap/>
                  <w:vAlign w:val="center"/>
                </w:tcPr>
                <w:p>
                  <w:pPr>
                    <w:widowControl/>
                    <w:jc w:val="center"/>
                    <w:rPr>
                      <w:kern w:val="0"/>
                      <w:szCs w:val="21"/>
                      <w:lang w:bidi="ar"/>
                    </w:rPr>
                  </w:pPr>
                  <w:r>
                    <w:rPr>
                      <w:kern w:val="0"/>
                      <w:szCs w:val="21"/>
                      <w:lang w:bidi="ar"/>
                    </w:rPr>
                    <w:t>2次</w:t>
                  </w:r>
                </w:p>
              </w:tc>
              <w:tc>
                <w:tcPr>
                  <w:tcW w:w="1537" w:type="dxa"/>
                  <w:tcBorders>
                    <w:top w:val="nil"/>
                    <w:left w:val="nil"/>
                    <w:bottom w:val="single" w:color="auto" w:sz="4" w:space="0"/>
                    <w:right w:val="single" w:color="auto" w:sz="4" w:space="0"/>
                  </w:tcBorders>
                  <w:noWrap/>
                  <w:vAlign w:val="center"/>
                </w:tcPr>
                <w:p>
                  <w:pPr>
                    <w:widowControl/>
                    <w:jc w:val="center"/>
                    <w:rPr>
                      <w:kern w:val="0"/>
                      <w:szCs w:val="21"/>
                      <w:lang w:bidi="ar"/>
                    </w:rPr>
                  </w:pPr>
                </w:p>
              </w:tc>
            </w:tr>
            <w:tr>
              <w:tblPrEx>
                <w:tblCellMar>
                  <w:top w:w="0" w:type="dxa"/>
                  <w:left w:w="108" w:type="dxa"/>
                  <w:bottom w:w="0" w:type="dxa"/>
                  <w:right w:w="108" w:type="dxa"/>
                </w:tblCellMar>
              </w:tblPrEx>
              <w:trPr>
                <w:trHeight w:val="392" w:hRule="atLeast"/>
              </w:trPr>
              <w:tc>
                <w:tcPr>
                  <w:tcW w:w="628" w:type="dxa"/>
                  <w:tcBorders>
                    <w:top w:val="nil"/>
                    <w:left w:val="single" w:color="auto" w:sz="4" w:space="0"/>
                    <w:bottom w:val="single" w:color="auto" w:sz="4" w:space="0"/>
                    <w:right w:val="single" w:color="auto" w:sz="4" w:space="0"/>
                  </w:tcBorders>
                  <w:noWrap/>
                  <w:vAlign w:val="center"/>
                </w:tcPr>
                <w:p>
                  <w:pPr>
                    <w:widowControl/>
                    <w:numPr>
                      <w:ilvl w:val="0"/>
                      <w:numId w:val="6"/>
                    </w:numPr>
                    <w:jc w:val="center"/>
                    <w:rPr>
                      <w:kern w:val="0"/>
                      <w:szCs w:val="21"/>
                    </w:rPr>
                  </w:pPr>
                </w:p>
              </w:tc>
              <w:tc>
                <w:tcPr>
                  <w:tcW w:w="2579" w:type="dxa"/>
                  <w:vMerge w:val="continue"/>
                  <w:tcBorders>
                    <w:left w:val="single" w:color="auto" w:sz="4" w:space="0"/>
                    <w:bottom w:val="single" w:color="000000" w:sz="4" w:space="0"/>
                    <w:right w:val="single" w:color="auto" w:sz="4" w:space="0"/>
                  </w:tcBorders>
                  <w:vAlign w:val="center"/>
                </w:tcPr>
                <w:p>
                  <w:pPr>
                    <w:widowControl/>
                    <w:jc w:val="left"/>
                    <w:rPr>
                      <w:kern w:val="0"/>
                      <w:szCs w:val="21"/>
                      <w:lang w:bidi="ar"/>
                    </w:rPr>
                  </w:pPr>
                </w:p>
              </w:tc>
              <w:tc>
                <w:tcPr>
                  <w:tcW w:w="2628" w:type="dxa"/>
                  <w:tcBorders>
                    <w:top w:val="nil"/>
                    <w:left w:val="nil"/>
                    <w:bottom w:val="single" w:color="auto" w:sz="4" w:space="0"/>
                    <w:right w:val="single" w:color="auto" w:sz="4" w:space="0"/>
                  </w:tcBorders>
                  <w:noWrap/>
                  <w:vAlign w:val="center"/>
                </w:tcPr>
                <w:p>
                  <w:pPr>
                    <w:widowControl/>
                    <w:jc w:val="center"/>
                    <w:rPr>
                      <w:kern w:val="0"/>
                      <w:szCs w:val="21"/>
                      <w:lang w:bidi="ar"/>
                    </w:rPr>
                  </w:pPr>
                  <w:r>
                    <w:rPr>
                      <w:kern w:val="0"/>
                      <w:szCs w:val="21"/>
                      <w:lang w:bidi="ar"/>
                    </w:rPr>
                    <w:t>跨越10kV线路</w:t>
                  </w:r>
                </w:p>
              </w:tc>
              <w:tc>
                <w:tcPr>
                  <w:tcW w:w="855" w:type="dxa"/>
                  <w:tcBorders>
                    <w:top w:val="nil"/>
                    <w:left w:val="nil"/>
                    <w:bottom w:val="single" w:color="auto" w:sz="4" w:space="0"/>
                    <w:right w:val="single" w:color="auto" w:sz="4" w:space="0"/>
                  </w:tcBorders>
                  <w:noWrap/>
                  <w:vAlign w:val="center"/>
                </w:tcPr>
                <w:p>
                  <w:pPr>
                    <w:widowControl/>
                    <w:jc w:val="center"/>
                    <w:rPr>
                      <w:kern w:val="0"/>
                      <w:szCs w:val="21"/>
                      <w:lang w:bidi="ar"/>
                    </w:rPr>
                  </w:pPr>
                  <w:r>
                    <w:rPr>
                      <w:kern w:val="0"/>
                      <w:szCs w:val="21"/>
                      <w:lang w:bidi="ar"/>
                    </w:rPr>
                    <w:t>11次</w:t>
                  </w:r>
                </w:p>
              </w:tc>
              <w:tc>
                <w:tcPr>
                  <w:tcW w:w="1537" w:type="dxa"/>
                  <w:tcBorders>
                    <w:top w:val="nil"/>
                    <w:left w:val="nil"/>
                    <w:bottom w:val="single" w:color="auto" w:sz="4" w:space="0"/>
                    <w:right w:val="single" w:color="auto" w:sz="4" w:space="0"/>
                  </w:tcBorders>
                  <w:noWrap/>
                  <w:vAlign w:val="center"/>
                </w:tcPr>
                <w:p>
                  <w:pPr>
                    <w:widowControl/>
                    <w:jc w:val="center"/>
                    <w:rPr>
                      <w:kern w:val="0"/>
                      <w:szCs w:val="21"/>
                      <w:lang w:bidi="ar"/>
                    </w:rPr>
                  </w:pPr>
                </w:p>
              </w:tc>
            </w:tr>
            <w:tr>
              <w:trPr>
                <w:trHeight w:val="361" w:hRule="atLeast"/>
              </w:trPr>
              <w:tc>
                <w:tcPr>
                  <w:tcW w:w="628"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6"/>
                    </w:numPr>
                    <w:jc w:val="center"/>
                    <w:rPr>
                      <w:kern w:val="0"/>
                      <w:szCs w:val="21"/>
                    </w:rPr>
                  </w:pPr>
                </w:p>
              </w:tc>
              <w:tc>
                <w:tcPr>
                  <w:tcW w:w="2579"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c>
                <w:tcPr>
                  <w:tcW w:w="2628" w:type="dxa"/>
                  <w:tcBorders>
                    <w:top w:val="single" w:color="auto" w:sz="4" w:space="0"/>
                    <w:left w:val="single" w:color="auto" w:sz="4" w:space="0"/>
                    <w:bottom w:val="single" w:color="auto" w:sz="4" w:space="0"/>
                    <w:right w:val="single" w:color="auto" w:sz="4" w:space="0"/>
                  </w:tcBorders>
                  <w:noWrap/>
                  <w:vAlign w:val="center"/>
                </w:tcPr>
                <w:p>
                  <w:pPr>
                    <w:widowControl/>
                    <w:jc w:val="center"/>
                    <w:rPr>
                      <w:kern w:val="0"/>
                      <w:szCs w:val="21"/>
                      <w:lang w:bidi="ar"/>
                    </w:rPr>
                  </w:pPr>
                  <w:r>
                    <w:rPr>
                      <w:kern w:val="0"/>
                      <w:szCs w:val="21"/>
                      <w:lang w:bidi="ar"/>
                    </w:rPr>
                    <w:t>跨越</w:t>
                  </w:r>
                  <w:r>
                    <w:rPr>
                      <w:rFonts w:hint="eastAsia"/>
                      <w:kern w:val="0"/>
                      <w:szCs w:val="21"/>
                      <w:lang w:bidi="ar"/>
                    </w:rPr>
                    <w:t>高速</w:t>
                  </w:r>
                </w:p>
              </w:tc>
              <w:tc>
                <w:tcPr>
                  <w:tcW w:w="855" w:type="dxa"/>
                  <w:tcBorders>
                    <w:top w:val="single" w:color="auto" w:sz="4" w:space="0"/>
                    <w:left w:val="single" w:color="auto" w:sz="4" w:space="0"/>
                    <w:bottom w:val="single" w:color="auto" w:sz="4" w:space="0"/>
                    <w:right w:val="single" w:color="auto" w:sz="4" w:space="0"/>
                  </w:tcBorders>
                  <w:noWrap/>
                  <w:vAlign w:val="center"/>
                </w:tcPr>
                <w:p>
                  <w:pPr>
                    <w:widowControl/>
                    <w:jc w:val="center"/>
                    <w:rPr>
                      <w:kern w:val="0"/>
                      <w:szCs w:val="21"/>
                      <w:lang w:bidi="ar"/>
                    </w:rPr>
                  </w:pPr>
                  <w:r>
                    <w:rPr>
                      <w:kern w:val="0"/>
                      <w:szCs w:val="21"/>
                      <w:lang w:bidi="ar"/>
                    </w:rPr>
                    <w:t>2次</w:t>
                  </w:r>
                </w:p>
              </w:tc>
              <w:tc>
                <w:tcPr>
                  <w:tcW w:w="1537" w:type="dxa"/>
                  <w:tcBorders>
                    <w:top w:val="single" w:color="auto" w:sz="4" w:space="0"/>
                    <w:left w:val="single" w:color="auto" w:sz="4" w:space="0"/>
                    <w:bottom w:val="single" w:color="auto" w:sz="4" w:space="0"/>
                    <w:right w:val="single" w:color="auto" w:sz="4" w:space="0"/>
                  </w:tcBorders>
                  <w:noWrap/>
                  <w:vAlign w:val="center"/>
                </w:tcPr>
                <w:p>
                  <w:pPr>
                    <w:widowControl/>
                    <w:jc w:val="center"/>
                    <w:rPr>
                      <w:kern w:val="0"/>
                      <w:szCs w:val="21"/>
                      <w:lang w:bidi="ar"/>
                    </w:rPr>
                  </w:pPr>
                  <w:r>
                    <w:rPr>
                      <w:rFonts w:hint="eastAsia"/>
                      <w:kern w:val="0"/>
                      <w:szCs w:val="21"/>
                      <w:lang w:bidi="ar"/>
                    </w:rPr>
                    <w:t>G</w:t>
                  </w:r>
                  <w:r>
                    <w:rPr>
                      <w:kern w:val="0"/>
                      <w:szCs w:val="21"/>
                      <w:lang w:bidi="ar"/>
                    </w:rPr>
                    <w:t>30连霍高速</w:t>
                  </w:r>
                </w:p>
              </w:tc>
            </w:tr>
          </w:tbl>
          <w:p>
            <w:pPr>
              <w:pStyle w:val="5"/>
              <w:numPr>
                <w:ilvl w:val="0"/>
                <w:numId w:val="5"/>
              </w:numPr>
              <w:spacing w:beforeLines="50" w:after="0" w:line="360" w:lineRule="auto"/>
              <w:rPr>
                <w:rFonts w:eastAsia="宋体"/>
                <w:sz w:val="24"/>
                <w:szCs w:val="24"/>
              </w:rPr>
            </w:pPr>
            <w:bookmarkStart w:id="98" w:name="_Toc12173"/>
            <w:r>
              <w:rPr>
                <w:rFonts w:eastAsia="宋体"/>
                <w:sz w:val="24"/>
                <w:szCs w:val="24"/>
              </w:rPr>
              <w:t>工程占地及土石方</w:t>
            </w:r>
            <w:bookmarkEnd w:id="97"/>
            <w:bookmarkEnd w:id="98"/>
          </w:p>
          <w:p>
            <w:pPr>
              <w:pStyle w:val="5"/>
              <w:numPr>
                <w:ilvl w:val="1"/>
                <w:numId w:val="5"/>
              </w:numPr>
              <w:spacing w:before="0" w:after="0" w:line="360" w:lineRule="auto"/>
              <w:rPr>
                <w:rFonts w:eastAsia="宋体"/>
                <w:color w:val="auto"/>
                <w:sz w:val="24"/>
                <w:szCs w:val="24"/>
              </w:rPr>
            </w:pPr>
            <w:bookmarkStart w:id="99" w:name="_Toc391"/>
            <w:bookmarkStart w:id="100" w:name="_Toc11142"/>
            <w:r>
              <w:rPr>
                <w:rFonts w:hint="eastAsia" w:eastAsia="宋体"/>
                <w:color w:val="auto"/>
                <w:sz w:val="24"/>
                <w:szCs w:val="24"/>
              </w:rPr>
              <w:t>土石方</w:t>
            </w:r>
            <w:bookmarkEnd w:id="99"/>
            <w:bookmarkEnd w:id="100"/>
          </w:p>
          <w:p>
            <w:pPr>
              <w:autoSpaceDE w:val="0"/>
              <w:autoSpaceDN w:val="0"/>
              <w:adjustRightInd w:val="0"/>
              <w:snapToGrid w:val="0"/>
              <w:spacing w:line="360" w:lineRule="auto"/>
              <w:ind w:firstLine="480" w:firstLineChars="200"/>
              <w:rPr>
                <w:kern w:val="0"/>
                <w:sz w:val="24"/>
                <w:shd w:val="clear" w:color="auto" w:fill="FFFFFF"/>
              </w:rPr>
            </w:pPr>
            <w:r>
              <w:rPr>
                <w:rFonts w:hint="eastAsia"/>
                <w:sz w:val="24"/>
                <w:lang w:bidi="ar"/>
              </w:rPr>
              <w:t>本工程土石方量主要为变电站新建基础开挖和新建线路铁塔基础开挖产生，开挖土方量</w:t>
            </w:r>
            <w:r>
              <w:rPr>
                <w:sz w:val="24"/>
                <w:lang w:bidi="ar"/>
              </w:rPr>
              <w:t>4.8</w:t>
            </w:r>
            <w:r>
              <w:rPr>
                <w:rFonts w:hint="eastAsia"/>
                <w:sz w:val="24"/>
                <w:lang w:bidi="ar"/>
              </w:rPr>
              <w:t>0</w:t>
            </w:r>
            <w:r>
              <w:rPr>
                <w:rFonts w:hint="eastAsia" w:ascii="宋体" w:hAnsi="宋体"/>
                <w:sz w:val="24"/>
                <w:szCs w:val="21"/>
                <w:lang w:bidi="ar"/>
              </w:rPr>
              <w:t>万</w:t>
            </w:r>
            <w:r>
              <w:rPr>
                <w:sz w:val="24"/>
                <w:lang w:bidi="ar"/>
              </w:rPr>
              <w:t>m³</w:t>
            </w:r>
            <w:r>
              <w:rPr>
                <w:rFonts w:hint="eastAsia"/>
                <w:sz w:val="24"/>
                <w:lang w:bidi="ar"/>
              </w:rPr>
              <w:t>，回填及垫高土方量4.80万</w:t>
            </w:r>
            <w:r>
              <w:rPr>
                <w:sz w:val="24"/>
                <w:lang w:bidi="ar"/>
              </w:rPr>
              <w:t>m³</w:t>
            </w:r>
            <w:r>
              <w:rPr>
                <w:rFonts w:hint="eastAsia"/>
                <w:sz w:val="24"/>
                <w:lang w:bidi="ar"/>
              </w:rPr>
              <w:t>；新建输电线路开挖土方量</w:t>
            </w:r>
            <w:r>
              <w:rPr>
                <w:sz w:val="24"/>
                <w:lang w:bidi="ar"/>
              </w:rPr>
              <w:t>4.60</w:t>
            </w:r>
            <w:r>
              <w:rPr>
                <w:rFonts w:hint="eastAsia"/>
                <w:sz w:val="24"/>
                <w:lang w:bidi="ar"/>
              </w:rPr>
              <w:t>万</w:t>
            </w:r>
            <w:r>
              <w:rPr>
                <w:sz w:val="24"/>
                <w:lang w:bidi="ar"/>
              </w:rPr>
              <w:t>m³</w:t>
            </w:r>
            <w:r>
              <w:rPr>
                <w:rFonts w:hint="eastAsia"/>
                <w:sz w:val="24"/>
                <w:lang w:bidi="ar"/>
              </w:rPr>
              <w:t>，回填及垫高土方量</w:t>
            </w:r>
            <w:r>
              <w:rPr>
                <w:sz w:val="24"/>
                <w:lang w:bidi="ar"/>
              </w:rPr>
              <w:t>4.60</w:t>
            </w:r>
            <w:r>
              <w:rPr>
                <w:rFonts w:hint="eastAsia"/>
                <w:sz w:val="24"/>
                <w:lang w:bidi="ar"/>
              </w:rPr>
              <w:t>万</w:t>
            </w:r>
            <w:r>
              <w:rPr>
                <w:sz w:val="24"/>
                <w:lang w:bidi="ar"/>
              </w:rPr>
              <w:t>m³</w:t>
            </w:r>
            <w:r>
              <w:rPr>
                <w:rFonts w:hint="eastAsia"/>
                <w:kern w:val="0"/>
                <w:sz w:val="24"/>
                <w:shd w:val="clear" w:color="auto" w:fill="FFFFFF"/>
              </w:rPr>
              <w:t>；</w:t>
            </w:r>
            <w:r>
              <w:rPr>
                <w:rFonts w:hint="eastAsia"/>
                <w:sz w:val="24"/>
                <w:lang w:bidi="ar"/>
              </w:rPr>
              <w:t>本工程</w:t>
            </w:r>
            <w:r>
              <w:rPr>
                <w:rFonts w:hint="eastAsia"/>
                <w:kern w:val="0"/>
                <w:sz w:val="24"/>
                <w:shd w:val="clear" w:color="auto" w:fill="FFFFFF"/>
              </w:rPr>
              <w:t>土石方挖填平衡，无弃方及外购土方。</w:t>
            </w:r>
          </w:p>
          <w:p>
            <w:pPr>
              <w:pStyle w:val="5"/>
              <w:numPr>
                <w:ilvl w:val="1"/>
                <w:numId w:val="5"/>
              </w:numPr>
              <w:spacing w:before="0" w:after="0" w:line="360" w:lineRule="auto"/>
              <w:rPr>
                <w:rFonts w:eastAsia="宋体"/>
                <w:color w:val="auto"/>
                <w:sz w:val="24"/>
                <w:szCs w:val="24"/>
              </w:rPr>
            </w:pPr>
            <w:bookmarkStart w:id="101" w:name="_Toc22647"/>
            <w:bookmarkStart w:id="102" w:name="_Toc23949"/>
            <w:r>
              <w:rPr>
                <w:rFonts w:eastAsia="宋体"/>
                <w:color w:val="auto"/>
                <w:sz w:val="24"/>
                <w:szCs w:val="24"/>
              </w:rPr>
              <w:t>工程占地</w:t>
            </w:r>
            <w:bookmarkEnd w:id="101"/>
            <w:bookmarkEnd w:id="102"/>
          </w:p>
          <w:p>
            <w:pPr>
              <w:autoSpaceDE w:val="0"/>
              <w:autoSpaceDN w:val="0"/>
              <w:adjustRightInd w:val="0"/>
              <w:snapToGrid w:val="0"/>
              <w:spacing w:line="360" w:lineRule="auto"/>
              <w:ind w:firstLine="480" w:firstLineChars="200"/>
              <w:rPr>
                <w:color w:val="000000"/>
                <w:sz w:val="24"/>
              </w:rPr>
            </w:pPr>
            <w:r>
              <w:rPr>
                <w:rFonts w:hint="eastAsia"/>
                <w:color w:val="000000"/>
                <w:sz w:val="24"/>
              </w:rPr>
              <w:t>本工程变电站新建工程永久占地包括变电站区和进站道路区，临时占地包括站外供水管线区、临时施工电源区和施工生产生活区。本工程输电线路建设区占地包括永久占地和临时占地，永久占地为输电线路塔基区永久占地，临时占地包括塔基施工场地区、拆除塔基区、牵张场地区、跨越施工场地区、施工道路区。</w:t>
            </w:r>
          </w:p>
          <w:p>
            <w:pPr>
              <w:autoSpaceDE w:val="0"/>
              <w:autoSpaceDN w:val="0"/>
              <w:adjustRightInd w:val="0"/>
              <w:snapToGrid w:val="0"/>
              <w:spacing w:line="360" w:lineRule="auto"/>
              <w:ind w:firstLine="480" w:firstLineChars="200"/>
              <w:rPr>
                <w:color w:val="000000"/>
                <w:sz w:val="24"/>
              </w:rPr>
            </w:pPr>
            <w:r>
              <w:rPr>
                <w:rFonts w:hint="eastAsia"/>
                <w:color w:val="000000"/>
                <w:sz w:val="24"/>
              </w:rPr>
              <w:t>根据现场调查和占地核查，参照《土地利用现状分类标准》（GB/T21010-2017），本工程占地类型为裸岩砾地、灌木林地和其他草地。本工程总占地面积9.6</w:t>
            </w:r>
            <w:r>
              <w:rPr>
                <w:color w:val="000000"/>
                <w:sz w:val="24"/>
              </w:rPr>
              <w:t>7</w:t>
            </w:r>
            <w:r>
              <w:rPr>
                <w:rFonts w:hint="eastAsia"/>
                <w:color w:val="000000"/>
                <w:sz w:val="24"/>
              </w:rPr>
              <w:t>hm²，永久占地1.13hm²，其中永久占用裸岩砾地0.97hm²，灌木林地0.12hm²，其他草地0.04hm²；临时占</w:t>
            </w:r>
            <w:r>
              <w:rPr>
                <w:rFonts w:hint="eastAsia"/>
                <w:sz w:val="24"/>
                <w:szCs w:val="20"/>
              </w:rPr>
              <w:t>地8.</w:t>
            </w:r>
            <w:r>
              <w:rPr>
                <w:sz w:val="24"/>
                <w:szCs w:val="20"/>
              </w:rPr>
              <w:t>54</w:t>
            </w:r>
            <w:r>
              <w:rPr>
                <w:rFonts w:hint="eastAsia"/>
                <w:sz w:val="24"/>
                <w:szCs w:val="20"/>
              </w:rPr>
              <w:t>hm²，其中临时占用裸岩砾地5.9</w:t>
            </w:r>
            <w:r>
              <w:rPr>
                <w:sz w:val="24"/>
                <w:szCs w:val="20"/>
              </w:rPr>
              <w:t>8</w:t>
            </w:r>
            <w:r>
              <w:rPr>
                <w:rFonts w:hint="eastAsia"/>
                <w:sz w:val="24"/>
                <w:szCs w:val="20"/>
              </w:rPr>
              <w:t>hm²，灌木林地2.00hm²，其他草地0.56hm²，详见</w:t>
            </w:r>
            <w:r>
              <w:rPr>
                <w:rFonts w:hint="eastAsia"/>
                <w:sz w:val="24"/>
                <w:szCs w:val="20"/>
              </w:rPr>
              <w:fldChar w:fldCharType="begin"/>
            </w:r>
            <w:r>
              <w:rPr>
                <w:rFonts w:hint="eastAsia"/>
                <w:sz w:val="24"/>
                <w:szCs w:val="20"/>
              </w:rPr>
              <w:instrText xml:space="preserve"> REF _Ref11913 \h </w:instrText>
            </w:r>
            <w:r>
              <w:rPr>
                <w:sz w:val="24"/>
                <w:szCs w:val="20"/>
              </w:rPr>
              <w:instrText xml:space="preserve"> \* MERGEFORMAT </w:instrText>
            </w:r>
            <w:r>
              <w:rPr>
                <w:rFonts w:hint="eastAsia"/>
                <w:sz w:val="24"/>
                <w:szCs w:val="20"/>
              </w:rPr>
              <w:fldChar w:fldCharType="separate"/>
            </w:r>
            <w:r>
              <w:rPr>
                <w:rFonts w:hint="eastAsia"/>
                <w:sz w:val="24"/>
                <w:szCs w:val="20"/>
              </w:rPr>
              <w:t xml:space="preserve">表 </w:t>
            </w:r>
            <w:r>
              <w:rPr>
                <w:sz w:val="24"/>
                <w:szCs w:val="20"/>
              </w:rPr>
              <w:t>5</w:t>
            </w:r>
            <w:r>
              <w:rPr>
                <w:rFonts w:hint="eastAsia"/>
                <w:sz w:val="24"/>
                <w:szCs w:val="20"/>
              </w:rPr>
              <w:fldChar w:fldCharType="end"/>
            </w:r>
            <w:r>
              <w:rPr>
                <w:rFonts w:hint="eastAsia"/>
                <w:sz w:val="24"/>
                <w:szCs w:val="20"/>
              </w:rPr>
              <w:t>。</w:t>
            </w:r>
          </w:p>
          <w:p>
            <w:pPr>
              <w:rPr>
                <w:rFonts w:eastAsia="黑体"/>
                <w:b/>
                <w:bCs/>
                <w:szCs w:val="21"/>
                <w:vertAlign w:val="superscript"/>
              </w:rPr>
            </w:pPr>
            <w:bookmarkStart w:id="103" w:name="_Ref11913"/>
            <w:r>
              <w:rPr>
                <w:rFonts w:hint="eastAsia" w:eastAsia="黑体"/>
                <w:b/>
                <w:bCs/>
                <w:szCs w:val="21"/>
              </w:rPr>
              <w:t xml:space="preserve">表 </w:t>
            </w:r>
            <w:r>
              <w:rPr>
                <w:rFonts w:eastAsia="黑体"/>
                <w:b/>
                <w:bCs/>
                <w:szCs w:val="21"/>
              </w:rPr>
              <w:fldChar w:fldCharType="begin"/>
            </w:r>
            <w:r>
              <w:rPr>
                <w:rFonts w:eastAsia="黑体"/>
                <w:b/>
                <w:bCs/>
                <w:szCs w:val="21"/>
              </w:rPr>
              <w:instrText xml:space="preserve"> </w:instrText>
            </w:r>
            <w:r>
              <w:rPr>
                <w:rFonts w:hint="eastAsia" w:eastAsia="黑体"/>
                <w:b/>
                <w:bCs/>
                <w:szCs w:val="21"/>
              </w:rPr>
              <w:instrText xml:space="preserve">SEQ 表 \* ARABIC</w:instrText>
            </w:r>
            <w:r>
              <w:rPr>
                <w:rFonts w:eastAsia="黑体"/>
                <w:b/>
                <w:bCs/>
                <w:szCs w:val="21"/>
              </w:rPr>
              <w:instrText xml:space="preserve"> </w:instrText>
            </w:r>
            <w:r>
              <w:rPr>
                <w:rFonts w:eastAsia="黑体"/>
                <w:b/>
                <w:bCs/>
                <w:szCs w:val="21"/>
              </w:rPr>
              <w:fldChar w:fldCharType="separate"/>
            </w:r>
            <w:r>
              <w:rPr>
                <w:rFonts w:eastAsia="黑体"/>
                <w:b/>
                <w:bCs/>
                <w:szCs w:val="21"/>
              </w:rPr>
              <w:t>5</w:t>
            </w:r>
            <w:r>
              <w:rPr>
                <w:rFonts w:eastAsia="黑体"/>
                <w:b/>
                <w:bCs/>
                <w:szCs w:val="21"/>
              </w:rPr>
              <w:fldChar w:fldCharType="end"/>
            </w:r>
            <w:bookmarkEnd w:id="103"/>
            <w:r>
              <w:rPr>
                <w:rFonts w:eastAsia="黑体"/>
                <w:b/>
                <w:bCs/>
                <w:szCs w:val="21"/>
              </w:rPr>
              <w:t xml:space="preserve">            </w:t>
            </w:r>
            <w:r>
              <w:rPr>
                <w:rFonts w:hint="eastAsia" w:eastAsia="黑体"/>
                <w:b/>
                <w:bCs/>
                <w:szCs w:val="21"/>
              </w:rPr>
              <w:t xml:space="preserve">          </w:t>
            </w:r>
            <w:r>
              <w:rPr>
                <w:rFonts w:eastAsia="黑体"/>
                <w:b/>
                <w:bCs/>
                <w:szCs w:val="21"/>
              </w:rPr>
              <w:t>本工程</w:t>
            </w:r>
            <w:r>
              <w:rPr>
                <w:rFonts w:hint="eastAsia" w:eastAsia="黑体"/>
                <w:b/>
                <w:bCs/>
                <w:szCs w:val="21"/>
              </w:rPr>
              <w:t>占用</w:t>
            </w:r>
            <w:r>
              <w:rPr>
                <w:rFonts w:eastAsia="黑体"/>
                <w:b/>
                <w:bCs/>
                <w:szCs w:val="21"/>
              </w:rPr>
              <w:t xml:space="preserve">土地类型一览表           </w:t>
            </w:r>
            <w:r>
              <w:rPr>
                <w:rFonts w:hint="eastAsia" w:eastAsia="黑体"/>
                <w:b/>
                <w:bCs/>
                <w:szCs w:val="21"/>
              </w:rPr>
              <w:t xml:space="preserve">      </w:t>
            </w:r>
            <w:r>
              <w:rPr>
                <w:rFonts w:eastAsia="黑体"/>
                <w:b/>
                <w:bCs/>
                <w:szCs w:val="21"/>
              </w:rPr>
              <w:t xml:space="preserve">  单位：</w:t>
            </w:r>
            <w:r>
              <w:rPr>
                <w:rFonts w:hint="eastAsia" w:eastAsia="黑体"/>
                <w:b/>
                <w:bCs/>
                <w:szCs w:val="21"/>
              </w:rPr>
              <w:t>h</w:t>
            </w:r>
            <w:r>
              <w:rPr>
                <w:rFonts w:eastAsia="黑体"/>
                <w:b/>
                <w:bCs/>
                <w:szCs w:val="21"/>
              </w:rPr>
              <w:t>m</w:t>
            </w:r>
            <w:r>
              <w:rPr>
                <w:rFonts w:eastAsia="黑体"/>
                <w:b/>
                <w:bCs/>
                <w:szCs w:val="21"/>
                <w:vertAlign w:val="superscript"/>
              </w:rPr>
              <w:t>2</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2139"/>
              <w:gridCol w:w="706"/>
              <w:gridCol w:w="706"/>
              <w:gridCol w:w="722"/>
              <w:gridCol w:w="705"/>
              <w:gridCol w:w="706"/>
              <w:gridCol w:w="721"/>
              <w:gridCol w:w="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425"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cs="宋体"/>
                      <w:szCs w:val="21"/>
                      <w:lang w:bidi="ar"/>
                    </w:rPr>
                    <w:t>项目类型</w:t>
                  </w:r>
                </w:p>
              </w:tc>
              <w:tc>
                <w:tcPr>
                  <w:tcW w:w="4284" w:type="dxa"/>
                  <w:gridSpan w:val="6"/>
                  <w:tcBorders>
                    <w:top w:val="single" w:color="auto" w:sz="4" w:space="0"/>
                    <w:left w:val="single" w:color="auto" w:sz="4" w:space="0"/>
                    <w:bottom w:val="single" w:color="auto" w:sz="4" w:space="0"/>
                    <w:right w:val="single" w:color="auto" w:sz="4" w:space="0"/>
                  </w:tcBorders>
                </w:tcPr>
                <w:p>
                  <w:pPr>
                    <w:jc w:val="center"/>
                    <w:rPr>
                      <w:szCs w:val="21"/>
                    </w:rPr>
                  </w:pPr>
                  <w:r>
                    <w:rPr>
                      <w:rFonts w:hint="eastAsia" w:cs="宋体"/>
                      <w:szCs w:val="21"/>
                      <w:lang w:bidi="ar"/>
                    </w:rPr>
                    <w:t>占地性质</w:t>
                  </w:r>
                </w:p>
              </w:tc>
              <w:tc>
                <w:tcPr>
                  <w:tcW w:w="651"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rFonts w:hint="eastAsia" w:cs="宋体"/>
                      <w:szCs w:val="21"/>
                      <w:lang w:bidi="ar"/>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425" w:type="dxa"/>
                  <w:gridSpan w:val="2"/>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c>
                <w:tcPr>
                  <w:tcW w:w="2143" w:type="dxa"/>
                  <w:gridSpan w:val="3"/>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cs="宋体"/>
                      <w:szCs w:val="21"/>
                      <w:lang w:bidi="ar"/>
                    </w:rPr>
                    <w:t>永久占地</w:t>
                  </w:r>
                </w:p>
              </w:tc>
              <w:tc>
                <w:tcPr>
                  <w:tcW w:w="2141" w:type="dxa"/>
                  <w:gridSpan w:val="3"/>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cs="宋体"/>
                      <w:szCs w:val="21"/>
                      <w:lang w:bidi="ar"/>
                    </w:rPr>
                    <w:t>临时占地</w:t>
                  </w:r>
                </w:p>
              </w:tc>
              <w:tc>
                <w:tcPr>
                  <w:tcW w:w="651"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425" w:type="dxa"/>
                  <w:gridSpan w:val="2"/>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cs="宋体"/>
                      <w:lang w:bidi="ar"/>
                    </w:rPr>
                    <w:t>裸岩砾地</w:t>
                  </w:r>
                </w:p>
              </w:tc>
              <w:tc>
                <w:tcPr>
                  <w:tcW w:w="709" w:type="dxa"/>
                  <w:tcBorders>
                    <w:top w:val="single" w:color="auto" w:sz="4" w:space="0"/>
                    <w:left w:val="single" w:color="auto" w:sz="4" w:space="0"/>
                    <w:bottom w:val="single" w:color="auto" w:sz="4" w:space="0"/>
                    <w:right w:val="single" w:color="auto" w:sz="4" w:space="0"/>
                  </w:tcBorders>
                </w:tcPr>
                <w:p>
                  <w:pPr>
                    <w:jc w:val="center"/>
                  </w:pPr>
                  <w:r>
                    <w:rPr>
                      <w:rFonts w:hint="eastAsia" w:cs="宋体"/>
                      <w:lang w:bidi="ar"/>
                    </w:rPr>
                    <w:t>灌木林地</w:t>
                  </w:r>
                </w:p>
              </w:tc>
              <w:tc>
                <w:tcPr>
                  <w:tcW w:w="709" w:type="dxa"/>
                  <w:tcBorders>
                    <w:top w:val="single" w:color="auto" w:sz="4" w:space="0"/>
                    <w:left w:val="single" w:color="auto" w:sz="4" w:space="0"/>
                    <w:bottom w:val="single" w:color="auto" w:sz="4" w:space="0"/>
                    <w:right w:val="single" w:color="auto" w:sz="4" w:space="0"/>
                  </w:tcBorders>
                </w:tcPr>
                <w:p>
                  <w:pPr>
                    <w:jc w:val="center"/>
                  </w:pPr>
                  <w:r>
                    <w:rPr>
                      <w:rFonts w:hint="eastAsia" w:cs="宋体"/>
                      <w:lang w:bidi="ar"/>
                    </w:rPr>
                    <w:t>其他草地</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cs="宋体"/>
                      <w:lang w:bidi="ar"/>
                    </w:rPr>
                    <w:t>裸岩砾地</w:t>
                  </w:r>
                </w:p>
              </w:tc>
              <w:tc>
                <w:tcPr>
                  <w:tcW w:w="709" w:type="dxa"/>
                  <w:tcBorders>
                    <w:top w:val="single" w:color="auto" w:sz="4" w:space="0"/>
                    <w:left w:val="single" w:color="auto" w:sz="4" w:space="0"/>
                    <w:bottom w:val="single" w:color="auto" w:sz="4" w:space="0"/>
                    <w:right w:val="single" w:color="auto" w:sz="4" w:space="0"/>
                  </w:tcBorders>
                </w:tcPr>
                <w:p>
                  <w:pPr>
                    <w:jc w:val="center"/>
                  </w:pPr>
                  <w:r>
                    <w:rPr>
                      <w:rFonts w:hint="eastAsia" w:cs="宋体"/>
                      <w:lang w:bidi="ar"/>
                    </w:rPr>
                    <w:t>灌木林地</w:t>
                  </w:r>
                </w:p>
              </w:tc>
              <w:tc>
                <w:tcPr>
                  <w:tcW w:w="709" w:type="dxa"/>
                  <w:tcBorders>
                    <w:top w:val="single" w:color="auto" w:sz="4" w:space="0"/>
                    <w:left w:val="single" w:color="auto" w:sz="4" w:space="0"/>
                    <w:bottom w:val="single" w:color="auto" w:sz="4" w:space="0"/>
                    <w:right w:val="single" w:color="auto" w:sz="4" w:space="0"/>
                  </w:tcBorders>
                </w:tcPr>
                <w:p>
                  <w:pPr>
                    <w:jc w:val="center"/>
                  </w:pPr>
                  <w:r>
                    <w:rPr>
                      <w:rFonts w:hint="eastAsia" w:cs="宋体"/>
                      <w:lang w:bidi="ar"/>
                    </w:rPr>
                    <w:t>其他草地</w:t>
                  </w:r>
                </w:p>
              </w:tc>
              <w:tc>
                <w:tcPr>
                  <w:tcW w:w="651"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rFonts w:hint="eastAsia" w:cs="宋体"/>
                      <w:szCs w:val="21"/>
                      <w:lang w:bidi="ar"/>
                    </w:rPr>
                    <w:t>变电站</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rFonts w:hint="eastAsia" w:cs="宋体"/>
                      <w:color w:val="000000"/>
                      <w:szCs w:val="21"/>
                      <w:lang w:bidi="ar"/>
                    </w:rPr>
                    <w:t>站区</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color w:val="000000"/>
                      <w:szCs w:val="21"/>
                      <w:lang w:bidi="ar"/>
                    </w:rPr>
                    <w:t>0.5</w:t>
                  </w:r>
                  <w:r>
                    <w:rPr>
                      <w:rFonts w:hint="eastAsia"/>
                      <w:color w:val="000000"/>
                      <w:szCs w:val="21"/>
                      <w:lang w:bidi="ar"/>
                    </w:rPr>
                    <w:t>0</w:t>
                  </w:r>
                </w:p>
              </w:tc>
              <w:tc>
                <w:tcPr>
                  <w:tcW w:w="709" w:type="dxa"/>
                  <w:tcBorders>
                    <w:top w:val="single" w:color="auto" w:sz="4" w:space="0"/>
                    <w:left w:val="single" w:color="auto" w:sz="4" w:space="0"/>
                    <w:bottom w:val="single" w:color="auto" w:sz="4" w:space="0"/>
                    <w:right w:val="single" w:color="auto" w:sz="4" w:space="0"/>
                  </w:tcBorders>
                </w:tcPr>
                <w:p>
                  <w:pPr>
                    <w:jc w:val="center"/>
                  </w:pPr>
                  <w:r>
                    <w:rPr>
                      <w:color w:val="000000"/>
                      <w:szCs w:val="21"/>
                      <w:lang w:bidi="ar"/>
                    </w:rPr>
                    <w:t>\</w:t>
                  </w:r>
                </w:p>
              </w:tc>
              <w:tc>
                <w:tcPr>
                  <w:tcW w:w="709" w:type="dxa"/>
                  <w:tcBorders>
                    <w:top w:val="single" w:color="auto" w:sz="4" w:space="0"/>
                    <w:left w:val="single" w:color="auto" w:sz="4" w:space="0"/>
                    <w:bottom w:val="single" w:color="auto" w:sz="4" w:space="0"/>
                    <w:right w:val="single" w:color="auto" w:sz="4" w:space="0"/>
                  </w:tcBorders>
                </w:tcPr>
                <w:p>
                  <w:pPr>
                    <w:jc w:val="center"/>
                  </w:pPr>
                  <w:r>
                    <w:rPr>
                      <w:color w:val="000000"/>
                      <w:szCs w:val="21"/>
                      <w:lang w:bidi="ar"/>
                    </w:rPr>
                    <w:t>\</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color w:val="000000"/>
                      <w:szCs w:val="21"/>
                      <w:lang w:bidi="ar"/>
                    </w:rPr>
                    <w:t>\</w:t>
                  </w:r>
                </w:p>
              </w:tc>
              <w:tc>
                <w:tcPr>
                  <w:tcW w:w="709" w:type="dxa"/>
                  <w:tcBorders>
                    <w:top w:val="single" w:color="auto" w:sz="4" w:space="0"/>
                    <w:left w:val="single" w:color="auto" w:sz="4" w:space="0"/>
                    <w:bottom w:val="single" w:color="auto" w:sz="4" w:space="0"/>
                    <w:right w:val="single" w:color="auto" w:sz="4" w:space="0"/>
                  </w:tcBorders>
                </w:tcPr>
                <w:p>
                  <w:pPr>
                    <w:jc w:val="center"/>
                  </w:pPr>
                  <w:r>
                    <w:rPr>
                      <w:color w:val="000000"/>
                      <w:szCs w:val="21"/>
                      <w:lang w:bidi="ar"/>
                    </w:rPr>
                    <w:t>\</w:t>
                  </w:r>
                </w:p>
              </w:tc>
              <w:tc>
                <w:tcPr>
                  <w:tcW w:w="709" w:type="dxa"/>
                  <w:tcBorders>
                    <w:top w:val="single" w:color="auto" w:sz="4" w:space="0"/>
                    <w:left w:val="single" w:color="auto" w:sz="4" w:space="0"/>
                    <w:bottom w:val="single" w:color="auto" w:sz="4" w:space="0"/>
                    <w:right w:val="single" w:color="auto" w:sz="4" w:space="0"/>
                  </w:tcBorders>
                </w:tcPr>
                <w:p>
                  <w:pPr>
                    <w:jc w:val="center"/>
                  </w:pPr>
                  <w:r>
                    <w:rPr>
                      <w:color w:val="000000"/>
                      <w:szCs w:val="21"/>
                      <w:lang w:bidi="ar"/>
                    </w:rPr>
                    <w:t>\</w:t>
                  </w:r>
                </w:p>
              </w:tc>
              <w:tc>
                <w:tcPr>
                  <w:tcW w:w="646"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color w:val="000000"/>
                      <w:szCs w:val="21"/>
                      <w:lang w:bidi="ar"/>
                    </w:rPr>
                    <w:t>0.5</w:t>
                  </w:r>
                  <w:r>
                    <w:rPr>
                      <w:rFonts w:hint="eastAsia"/>
                      <w:color w:val="000000"/>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c>
                <w:tcPr>
                  <w:tcW w:w="2126"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rFonts w:hint="eastAsia" w:cs="宋体"/>
                      <w:color w:val="000000"/>
                      <w:szCs w:val="21"/>
                      <w:lang w:bidi="ar"/>
                    </w:rPr>
                    <w:t>进站道路区</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color w:val="000000"/>
                      <w:szCs w:val="21"/>
                      <w:lang w:bidi="ar"/>
                    </w:rPr>
                    <w:t>0.07</w:t>
                  </w:r>
                </w:p>
              </w:tc>
              <w:tc>
                <w:tcPr>
                  <w:tcW w:w="709" w:type="dxa"/>
                  <w:tcBorders>
                    <w:top w:val="single" w:color="auto" w:sz="4" w:space="0"/>
                    <w:left w:val="single" w:color="auto" w:sz="4" w:space="0"/>
                    <w:bottom w:val="single" w:color="auto" w:sz="4" w:space="0"/>
                    <w:right w:val="single" w:color="auto" w:sz="4" w:space="0"/>
                  </w:tcBorders>
                </w:tcPr>
                <w:p>
                  <w:pPr>
                    <w:jc w:val="center"/>
                  </w:pPr>
                  <w:r>
                    <w:rPr>
                      <w:color w:val="000000"/>
                      <w:szCs w:val="21"/>
                      <w:lang w:bidi="ar"/>
                    </w:rPr>
                    <w:t>\</w:t>
                  </w:r>
                </w:p>
              </w:tc>
              <w:tc>
                <w:tcPr>
                  <w:tcW w:w="709" w:type="dxa"/>
                  <w:tcBorders>
                    <w:top w:val="single" w:color="auto" w:sz="4" w:space="0"/>
                    <w:left w:val="single" w:color="auto" w:sz="4" w:space="0"/>
                    <w:bottom w:val="single" w:color="auto" w:sz="4" w:space="0"/>
                    <w:right w:val="single" w:color="auto" w:sz="4" w:space="0"/>
                  </w:tcBorders>
                </w:tcPr>
                <w:p>
                  <w:pPr>
                    <w:jc w:val="center"/>
                  </w:pPr>
                  <w:r>
                    <w:rPr>
                      <w:color w:val="000000"/>
                      <w:szCs w:val="21"/>
                      <w:lang w:bidi="ar"/>
                    </w:rPr>
                    <w:t>\</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color w:val="000000"/>
                      <w:szCs w:val="21"/>
                      <w:lang w:bidi="ar"/>
                    </w:rPr>
                    <w:t>\</w:t>
                  </w:r>
                </w:p>
              </w:tc>
              <w:tc>
                <w:tcPr>
                  <w:tcW w:w="709" w:type="dxa"/>
                  <w:tcBorders>
                    <w:top w:val="single" w:color="auto" w:sz="4" w:space="0"/>
                    <w:left w:val="single" w:color="auto" w:sz="4" w:space="0"/>
                    <w:bottom w:val="single" w:color="auto" w:sz="4" w:space="0"/>
                    <w:right w:val="single" w:color="auto" w:sz="4" w:space="0"/>
                  </w:tcBorders>
                </w:tcPr>
                <w:p>
                  <w:pPr>
                    <w:jc w:val="center"/>
                  </w:pPr>
                  <w:r>
                    <w:rPr>
                      <w:color w:val="000000"/>
                      <w:szCs w:val="21"/>
                      <w:lang w:bidi="ar"/>
                    </w:rPr>
                    <w:t>\</w:t>
                  </w:r>
                </w:p>
              </w:tc>
              <w:tc>
                <w:tcPr>
                  <w:tcW w:w="709" w:type="dxa"/>
                  <w:tcBorders>
                    <w:top w:val="single" w:color="auto" w:sz="4" w:space="0"/>
                    <w:left w:val="single" w:color="auto" w:sz="4" w:space="0"/>
                    <w:bottom w:val="single" w:color="auto" w:sz="4" w:space="0"/>
                    <w:right w:val="single" w:color="auto" w:sz="4" w:space="0"/>
                  </w:tcBorders>
                </w:tcPr>
                <w:p>
                  <w:pPr>
                    <w:jc w:val="center"/>
                  </w:pPr>
                  <w:r>
                    <w:rPr>
                      <w:color w:val="000000"/>
                      <w:szCs w:val="21"/>
                      <w:lang w:bidi="ar"/>
                    </w:rPr>
                    <w:t>\</w:t>
                  </w:r>
                </w:p>
              </w:tc>
              <w:tc>
                <w:tcPr>
                  <w:tcW w:w="646"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color w:val="000000"/>
                      <w:szCs w:val="21"/>
                      <w:lang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c>
                <w:tcPr>
                  <w:tcW w:w="2126"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rFonts w:hint="eastAsia" w:cs="宋体"/>
                      <w:color w:val="000000"/>
                      <w:szCs w:val="21"/>
                      <w:lang w:bidi="ar"/>
                    </w:rPr>
                    <w:t>站外供水管线区</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color w:val="000000"/>
                      <w:szCs w:val="21"/>
                      <w:lang w:bidi="ar"/>
                    </w:rPr>
                    <w:t>\</w:t>
                  </w:r>
                </w:p>
              </w:tc>
              <w:tc>
                <w:tcPr>
                  <w:tcW w:w="709" w:type="dxa"/>
                  <w:tcBorders>
                    <w:top w:val="single" w:color="auto" w:sz="4" w:space="0"/>
                    <w:left w:val="single" w:color="auto" w:sz="4" w:space="0"/>
                    <w:bottom w:val="single" w:color="auto" w:sz="4" w:space="0"/>
                    <w:right w:val="single" w:color="auto" w:sz="4" w:space="0"/>
                  </w:tcBorders>
                </w:tcPr>
                <w:p>
                  <w:pPr>
                    <w:jc w:val="center"/>
                  </w:pPr>
                  <w:r>
                    <w:rPr>
                      <w:color w:val="000000"/>
                      <w:szCs w:val="21"/>
                      <w:lang w:bidi="ar"/>
                    </w:rPr>
                    <w:t>\</w:t>
                  </w:r>
                </w:p>
              </w:tc>
              <w:tc>
                <w:tcPr>
                  <w:tcW w:w="709" w:type="dxa"/>
                  <w:tcBorders>
                    <w:top w:val="single" w:color="auto" w:sz="4" w:space="0"/>
                    <w:left w:val="single" w:color="auto" w:sz="4" w:space="0"/>
                    <w:bottom w:val="single" w:color="auto" w:sz="4" w:space="0"/>
                    <w:right w:val="single" w:color="auto" w:sz="4" w:space="0"/>
                  </w:tcBorders>
                </w:tcPr>
                <w:p>
                  <w:pPr>
                    <w:jc w:val="center"/>
                  </w:pPr>
                  <w:r>
                    <w:rPr>
                      <w:color w:val="000000"/>
                      <w:szCs w:val="21"/>
                      <w:lang w:bidi="ar"/>
                    </w:rPr>
                    <w:t>\</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color w:val="000000"/>
                      <w:szCs w:val="21"/>
                      <w:lang w:bidi="ar"/>
                    </w:rPr>
                    <w:t>0.40</w:t>
                  </w:r>
                </w:p>
              </w:tc>
              <w:tc>
                <w:tcPr>
                  <w:tcW w:w="709" w:type="dxa"/>
                  <w:tcBorders>
                    <w:top w:val="single" w:color="auto" w:sz="4" w:space="0"/>
                    <w:left w:val="single" w:color="auto" w:sz="4" w:space="0"/>
                    <w:bottom w:val="single" w:color="auto" w:sz="4" w:space="0"/>
                    <w:right w:val="single" w:color="auto" w:sz="4" w:space="0"/>
                  </w:tcBorders>
                </w:tcPr>
                <w:p>
                  <w:pPr>
                    <w:jc w:val="center"/>
                  </w:pPr>
                  <w:r>
                    <w:rPr>
                      <w:color w:val="000000"/>
                      <w:szCs w:val="21"/>
                      <w:lang w:bidi="ar"/>
                    </w:rPr>
                    <w:t>\</w:t>
                  </w:r>
                </w:p>
              </w:tc>
              <w:tc>
                <w:tcPr>
                  <w:tcW w:w="709" w:type="dxa"/>
                  <w:tcBorders>
                    <w:top w:val="single" w:color="auto" w:sz="4" w:space="0"/>
                    <w:left w:val="single" w:color="auto" w:sz="4" w:space="0"/>
                    <w:bottom w:val="single" w:color="auto" w:sz="4" w:space="0"/>
                    <w:right w:val="single" w:color="auto" w:sz="4" w:space="0"/>
                  </w:tcBorders>
                </w:tcPr>
                <w:p>
                  <w:pPr>
                    <w:jc w:val="center"/>
                  </w:pPr>
                  <w:r>
                    <w:rPr>
                      <w:color w:val="000000"/>
                      <w:szCs w:val="21"/>
                      <w:lang w:bidi="ar"/>
                    </w:rPr>
                    <w:t>\</w:t>
                  </w:r>
                </w:p>
              </w:tc>
              <w:tc>
                <w:tcPr>
                  <w:tcW w:w="646"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color w:val="000000"/>
                      <w:szCs w:val="21"/>
                      <w:lang w:bidi="ar"/>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c>
                <w:tcPr>
                  <w:tcW w:w="2126"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rFonts w:hint="eastAsia" w:cs="宋体"/>
                      <w:color w:val="000000"/>
                      <w:szCs w:val="21"/>
                      <w:lang w:bidi="ar"/>
                    </w:rPr>
                    <w:t>临时施工电源区</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color w:val="000000"/>
                      <w:szCs w:val="21"/>
                      <w:lang w:bidi="ar"/>
                    </w:rPr>
                    <w:t>\</w:t>
                  </w:r>
                </w:p>
              </w:tc>
              <w:tc>
                <w:tcPr>
                  <w:tcW w:w="709" w:type="dxa"/>
                  <w:tcBorders>
                    <w:top w:val="single" w:color="auto" w:sz="4" w:space="0"/>
                    <w:left w:val="single" w:color="auto" w:sz="4" w:space="0"/>
                    <w:bottom w:val="single" w:color="auto" w:sz="4" w:space="0"/>
                    <w:right w:val="single" w:color="auto" w:sz="4" w:space="0"/>
                  </w:tcBorders>
                </w:tcPr>
                <w:p>
                  <w:pPr>
                    <w:jc w:val="center"/>
                  </w:pPr>
                  <w:r>
                    <w:rPr>
                      <w:color w:val="000000"/>
                      <w:szCs w:val="21"/>
                      <w:lang w:bidi="ar"/>
                    </w:rPr>
                    <w:t>\</w:t>
                  </w:r>
                </w:p>
              </w:tc>
              <w:tc>
                <w:tcPr>
                  <w:tcW w:w="709" w:type="dxa"/>
                  <w:tcBorders>
                    <w:top w:val="single" w:color="auto" w:sz="4" w:space="0"/>
                    <w:left w:val="single" w:color="auto" w:sz="4" w:space="0"/>
                    <w:bottom w:val="single" w:color="auto" w:sz="4" w:space="0"/>
                    <w:right w:val="single" w:color="auto" w:sz="4" w:space="0"/>
                  </w:tcBorders>
                </w:tcPr>
                <w:p>
                  <w:pPr>
                    <w:jc w:val="center"/>
                  </w:pPr>
                  <w:r>
                    <w:rPr>
                      <w:color w:val="000000"/>
                      <w:szCs w:val="21"/>
                      <w:lang w:bidi="ar"/>
                    </w:rPr>
                    <w:t>\</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color w:val="000000"/>
                      <w:szCs w:val="21"/>
                      <w:lang w:bidi="ar"/>
                    </w:rPr>
                    <w:t>0.07</w:t>
                  </w:r>
                </w:p>
              </w:tc>
              <w:tc>
                <w:tcPr>
                  <w:tcW w:w="709" w:type="dxa"/>
                  <w:tcBorders>
                    <w:top w:val="single" w:color="auto" w:sz="4" w:space="0"/>
                    <w:left w:val="single" w:color="auto" w:sz="4" w:space="0"/>
                    <w:bottom w:val="single" w:color="auto" w:sz="4" w:space="0"/>
                    <w:right w:val="single" w:color="auto" w:sz="4" w:space="0"/>
                  </w:tcBorders>
                </w:tcPr>
                <w:p>
                  <w:pPr>
                    <w:jc w:val="center"/>
                  </w:pPr>
                  <w:r>
                    <w:rPr>
                      <w:color w:val="000000"/>
                      <w:szCs w:val="21"/>
                      <w:lang w:bidi="ar"/>
                    </w:rPr>
                    <w:t>\</w:t>
                  </w:r>
                </w:p>
              </w:tc>
              <w:tc>
                <w:tcPr>
                  <w:tcW w:w="709" w:type="dxa"/>
                  <w:tcBorders>
                    <w:top w:val="single" w:color="auto" w:sz="4" w:space="0"/>
                    <w:left w:val="single" w:color="auto" w:sz="4" w:space="0"/>
                    <w:bottom w:val="single" w:color="auto" w:sz="4" w:space="0"/>
                    <w:right w:val="single" w:color="auto" w:sz="4" w:space="0"/>
                  </w:tcBorders>
                </w:tcPr>
                <w:p>
                  <w:pPr>
                    <w:jc w:val="center"/>
                  </w:pPr>
                  <w:r>
                    <w:rPr>
                      <w:color w:val="000000"/>
                      <w:szCs w:val="21"/>
                      <w:lang w:bidi="ar"/>
                    </w:rPr>
                    <w:t>\</w:t>
                  </w:r>
                </w:p>
              </w:tc>
              <w:tc>
                <w:tcPr>
                  <w:tcW w:w="646"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color w:val="000000"/>
                      <w:szCs w:val="21"/>
                      <w:lang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c>
                <w:tcPr>
                  <w:tcW w:w="2126"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rFonts w:hint="eastAsia" w:cs="宋体"/>
                      <w:color w:val="000000"/>
                      <w:szCs w:val="21"/>
                      <w:lang w:bidi="ar"/>
                    </w:rPr>
                    <w:t>施工生产生活区</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color w:val="000000"/>
                      <w:szCs w:val="21"/>
                      <w:lang w:bidi="ar"/>
                    </w:rPr>
                    <w:t>\</w:t>
                  </w:r>
                </w:p>
              </w:tc>
              <w:tc>
                <w:tcPr>
                  <w:tcW w:w="709" w:type="dxa"/>
                  <w:tcBorders>
                    <w:top w:val="single" w:color="auto" w:sz="4" w:space="0"/>
                    <w:left w:val="single" w:color="auto" w:sz="4" w:space="0"/>
                    <w:bottom w:val="single" w:color="auto" w:sz="4" w:space="0"/>
                    <w:right w:val="single" w:color="auto" w:sz="4" w:space="0"/>
                  </w:tcBorders>
                </w:tcPr>
                <w:p>
                  <w:pPr>
                    <w:jc w:val="center"/>
                  </w:pPr>
                  <w:r>
                    <w:rPr>
                      <w:color w:val="000000"/>
                      <w:szCs w:val="21"/>
                      <w:lang w:bidi="ar"/>
                    </w:rPr>
                    <w:t>\</w:t>
                  </w:r>
                </w:p>
              </w:tc>
              <w:tc>
                <w:tcPr>
                  <w:tcW w:w="709" w:type="dxa"/>
                  <w:tcBorders>
                    <w:top w:val="single" w:color="auto" w:sz="4" w:space="0"/>
                    <w:left w:val="single" w:color="auto" w:sz="4" w:space="0"/>
                    <w:bottom w:val="single" w:color="auto" w:sz="4" w:space="0"/>
                    <w:right w:val="single" w:color="auto" w:sz="4" w:space="0"/>
                  </w:tcBorders>
                </w:tcPr>
                <w:p>
                  <w:pPr>
                    <w:jc w:val="center"/>
                  </w:pPr>
                  <w:r>
                    <w:rPr>
                      <w:color w:val="000000"/>
                      <w:szCs w:val="21"/>
                      <w:lang w:bidi="ar"/>
                    </w:rPr>
                    <w:t>\</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color w:val="000000"/>
                      <w:szCs w:val="21"/>
                      <w:lang w:bidi="ar"/>
                    </w:rPr>
                    <w:t>0.50</w:t>
                  </w:r>
                </w:p>
              </w:tc>
              <w:tc>
                <w:tcPr>
                  <w:tcW w:w="709" w:type="dxa"/>
                  <w:tcBorders>
                    <w:top w:val="single" w:color="auto" w:sz="4" w:space="0"/>
                    <w:left w:val="single" w:color="auto" w:sz="4" w:space="0"/>
                    <w:bottom w:val="single" w:color="auto" w:sz="4" w:space="0"/>
                    <w:right w:val="single" w:color="auto" w:sz="4" w:space="0"/>
                  </w:tcBorders>
                </w:tcPr>
                <w:p>
                  <w:pPr>
                    <w:jc w:val="center"/>
                  </w:pPr>
                  <w:r>
                    <w:rPr>
                      <w:color w:val="000000"/>
                      <w:szCs w:val="21"/>
                      <w:lang w:bidi="ar"/>
                    </w:rPr>
                    <w:t>\</w:t>
                  </w:r>
                </w:p>
              </w:tc>
              <w:tc>
                <w:tcPr>
                  <w:tcW w:w="709" w:type="dxa"/>
                  <w:tcBorders>
                    <w:top w:val="single" w:color="auto" w:sz="4" w:space="0"/>
                    <w:left w:val="single" w:color="auto" w:sz="4" w:space="0"/>
                    <w:bottom w:val="single" w:color="auto" w:sz="4" w:space="0"/>
                    <w:right w:val="single" w:color="auto" w:sz="4" w:space="0"/>
                  </w:tcBorders>
                </w:tcPr>
                <w:p>
                  <w:pPr>
                    <w:jc w:val="center"/>
                  </w:pPr>
                  <w:r>
                    <w:rPr>
                      <w:color w:val="000000"/>
                      <w:szCs w:val="21"/>
                      <w:lang w:bidi="ar"/>
                    </w:rPr>
                    <w:t>\</w:t>
                  </w:r>
                </w:p>
              </w:tc>
              <w:tc>
                <w:tcPr>
                  <w:tcW w:w="646"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color w:val="000000"/>
                      <w:szCs w:val="21"/>
                      <w:lang w:bidi="ar"/>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c>
                <w:tcPr>
                  <w:tcW w:w="2126" w:type="dxa"/>
                  <w:tcBorders>
                    <w:top w:val="single" w:color="auto" w:sz="4" w:space="0"/>
                    <w:left w:val="single" w:color="auto" w:sz="4" w:space="0"/>
                    <w:bottom w:val="single" w:color="auto" w:sz="4" w:space="0"/>
                    <w:right w:val="single" w:color="auto" w:sz="4" w:space="0"/>
                  </w:tcBorders>
                  <w:vAlign w:val="center"/>
                </w:tcPr>
                <w:p>
                  <w:pPr>
                    <w:jc w:val="center"/>
                    <w:textAlignment w:val="center"/>
                    <w:rPr>
                      <w:b/>
                      <w:color w:val="000000"/>
                      <w:szCs w:val="21"/>
                      <w:lang w:bidi="ar"/>
                    </w:rPr>
                  </w:pPr>
                  <w:r>
                    <w:rPr>
                      <w:rFonts w:hint="eastAsia" w:cs="宋体"/>
                      <w:b/>
                      <w:color w:val="000000"/>
                      <w:szCs w:val="21"/>
                      <w:lang w:bidi="ar"/>
                    </w:rPr>
                    <w:t>小计</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textAlignment w:val="center"/>
                    <w:rPr>
                      <w:b/>
                      <w:color w:val="000000"/>
                      <w:szCs w:val="21"/>
                      <w:lang w:bidi="ar"/>
                    </w:rPr>
                  </w:pPr>
                  <w:r>
                    <w:rPr>
                      <w:b/>
                      <w:color w:val="000000"/>
                      <w:szCs w:val="21"/>
                      <w:lang w:bidi="ar"/>
                    </w:rPr>
                    <w:t>0.5</w:t>
                  </w:r>
                  <w:r>
                    <w:rPr>
                      <w:rFonts w:hint="eastAsia"/>
                      <w:b/>
                      <w:color w:val="000000"/>
                      <w:szCs w:val="21"/>
                      <w:lang w:bidi="ar"/>
                    </w:rPr>
                    <w:t>7</w:t>
                  </w:r>
                </w:p>
              </w:tc>
              <w:tc>
                <w:tcPr>
                  <w:tcW w:w="709" w:type="dxa"/>
                  <w:tcBorders>
                    <w:top w:val="single" w:color="auto" w:sz="4" w:space="0"/>
                    <w:left w:val="single" w:color="auto" w:sz="4" w:space="0"/>
                    <w:bottom w:val="single" w:color="auto" w:sz="4" w:space="0"/>
                    <w:right w:val="single" w:color="auto" w:sz="4" w:space="0"/>
                  </w:tcBorders>
                </w:tcPr>
                <w:p>
                  <w:pPr>
                    <w:jc w:val="center"/>
                  </w:pPr>
                  <w:r>
                    <w:rPr>
                      <w:color w:val="000000"/>
                      <w:szCs w:val="21"/>
                      <w:lang w:bidi="ar"/>
                    </w:rPr>
                    <w:t>\</w:t>
                  </w:r>
                </w:p>
              </w:tc>
              <w:tc>
                <w:tcPr>
                  <w:tcW w:w="709" w:type="dxa"/>
                  <w:tcBorders>
                    <w:top w:val="single" w:color="auto" w:sz="4" w:space="0"/>
                    <w:left w:val="single" w:color="auto" w:sz="4" w:space="0"/>
                    <w:bottom w:val="single" w:color="auto" w:sz="4" w:space="0"/>
                    <w:right w:val="single" w:color="auto" w:sz="4" w:space="0"/>
                  </w:tcBorders>
                </w:tcPr>
                <w:p>
                  <w:pPr>
                    <w:jc w:val="center"/>
                  </w:pPr>
                  <w:r>
                    <w:rPr>
                      <w:color w:val="000000"/>
                      <w:szCs w:val="21"/>
                      <w:lang w:bidi="ar"/>
                    </w:rPr>
                    <w:t>\</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textAlignment w:val="center"/>
                    <w:rPr>
                      <w:b/>
                      <w:color w:val="000000"/>
                      <w:szCs w:val="21"/>
                      <w:lang w:bidi="ar"/>
                    </w:rPr>
                  </w:pPr>
                  <w:r>
                    <w:rPr>
                      <w:b/>
                      <w:color w:val="000000"/>
                      <w:szCs w:val="21"/>
                      <w:lang w:bidi="ar"/>
                    </w:rPr>
                    <w:t>0.97</w:t>
                  </w:r>
                </w:p>
              </w:tc>
              <w:tc>
                <w:tcPr>
                  <w:tcW w:w="709" w:type="dxa"/>
                  <w:tcBorders>
                    <w:top w:val="single" w:color="auto" w:sz="4" w:space="0"/>
                    <w:left w:val="single" w:color="auto" w:sz="4" w:space="0"/>
                    <w:bottom w:val="single" w:color="auto" w:sz="4" w:space="0"/>
                    <w:right w:val="single" w:color="auto" w:sz="4" w:space="0"/>
                  </w:tcBorders>
                </w:tcPr>
                <w:p>
                  <w:pPr>
                    <w:jc w:val="center"/>
                  </w:pPr>
                  <w:r>
                    <w:rPr>
                      <w:color w:val="000000"/>
                      <w:szCs w:val="21"/>
                      <w:lang w:bidi="ar"/>
                    </w:rPr>
                    <w:t>\</w:t>
                  </w:r>
                </w:p>
              </w:tc>
              <w:tc>
                <w:tcPr>
                  <w:tcW w:w="709" w:type="dxa"/>
                  <w:tcBorders>
                    <w:top w:val="single" w:color="auto" w:sz="4" w:space="0"/>
                    <w:left w:val="single" w:color="auto" w:sz="4" w:space="0"/>
                    <w:bottom w:val="single" w:color="auto" w:sz="4" w:space="0"/>
                    <w:right w:val="single" w:color="auto" w:sz="4" w:space="0"/>
                  </w:tcBorders>
                </w:tcPr>
                <w:p>
                  <w:pPr>
                    <w:jc w:val="center"/>
                  </w:pPr>
                  <w:r>
                    <w:rPr>
                      <w:color w:val="000000"/>
                      <w:szCs w:val="21"/>
                      <w:lang w:bidi="ar"/>
                    </w:rPr>
                    <w:t>\</w:t>
                  </w:r>
                </w:p>
              </w:tc>
              <w:tc>
                <w:tcPr>
                  <w:tcW w:w="646" w:type="dxa"/>
                  <w:tcBorders>
                    <w:top w:val="single" w:color="auto" w:sz="4" w:space="0"/>
                    <w:left w:val="single" w:color="auto" w:sz="4" w:space="0"/>
                    <w:bottom w:val="single" w:color="auto" w:sz="4" w:space="0"/>
                    <w:right w:val="single" w:color="auto" w:sz="4" w:space="0"/>
                  </w:tcBorders>
                  <w:vAlign w:val="center"/>
                </w:tcPr>
                <w:p>
                  <w:pPr>
                    <w:jc w:val="center"/>
                    <w:textAlignment w:val="center"/>
                    <w:rPr>
                      <w:b/>
                      <w:color w:val="000000"/>
                      <w:szCs w:val="21"/>
                      <w:lang w:bidi="ar"/>
                    </w:rPr>
                  </w:pPr>
                  <w:r>
                    <w:rPr>
                      <w:b/>
                      <w:color w:val="000000"/>
                      <w:szCs w:val="21"/>
                      <w:lang w:bidi="ar"/>
                    </w:rPr>
                    <w:t>1.5</w:t>
                  </w:r>
                  <w:r>
                    <w:rPr>
                      <w:rFonts w:hint="eastAsia"/>
                      <w:b/>
                      <w:color w:val="000000"/>
                      <w:szCs w:val="21"/>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rFonts w:hint="eastAsia" w:cs="宋体"/>
                      <w:szCs w:val="21"/>
                      <w:lang w:bidi="ar"/>
                    </w:rPr>
                    <w:t>输电线路</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rFonts w:hint="eastAsia" w:cs="宋体"/>
                      <w:color w:val="000000"/>
                      <w:szCs w:val="21"/>
                      <w:lang w:bidi="ar"/>
                    </w:rPr>
                    <w:t>塔基区</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kern w:val="0"/>
                      <w:sz w:val="20"/>
                      <w:szCs w:val="21"/>
                      <w:lang w:bidi="ar"/>
                    </w:rPr>
                  </w:pPr>
                  <w:r>
                    <w:rPr>
                      <w:color w:val="000000"/>
                      <w:kern w:val="0"/>
                      <w:sz w:val="20"/>
                      <w:szCs w:val="21"/>
                      <w:lang w:bidi="ar"/>
                    </w:rPr>
                    <w:t>0.</w:t>
                  </w:r>
                  <w:r>
                    <w:rPr>
                      <w:rFonts w:hint="eastAsia"/>
                      <w:color w:val="000000"/>
                      <w:szCs w:val="21"/>
                      <w:lang w:bidi="ar"/>
                    </w:rPr>
                    <w:t>40</w:t>
                  </w:r>
                </w:p>
              </w:tc>
              <w:tc>
                <w:tcPr>
                  <w:tcW w:w="709" w:type="dxa"/>
                  <w:tcBorders>
                    <w:top w:val="single" w:color="auto" w:sz="4" w:space="0"/>
                    <w:left w:val="single" w:color="auto" w:sz="4" w:space="0"/>
                    <w:bottom w:val="single" w:color="auto" w:sz="4" w:space="0"/>
                    <w:right w:val="single" w:color="auto" w:sz="4" w:space="0"/>
                  </w:tcBorders>
                </w:tcPr>
                <w:p>
                  <w:pPr>
                    <w:jc w:val="center"/>
                    <w:textAlignment w:val="center"/>
                    <w:rPr>
                      <w:color w:val="000000"/>
                      <w:szCs w:val="21"/>
                      <w:lang w:bidi="ar"/>
                    </w:rPr>
                  </w:pPr>
                  <w:r>
                    <w:rPr>
                      <w:color w:val="000000"/>
                      <w:szCs w:val="21"/>
                      <w:lang w:bidi="ar"/>
                    </w:rPr>
                    <w:t>0.</w:t>
                  </w:r>
                  <w:r>
                    <w:rPr>
                      <w:rFonts w:hint="eastAsia"/>
                      <w:color w:val="000000"/>
                      <w:szCs w:val="21"/>
                      <w:lang w:bidi="ar"/>
                    </w:rPr>
                    <w:t>12</w:t>
                  </w:r>
                </w:p>
              </w:tc>
              <w:tc>
                <w:tcPr>
                  <w:tcW w:w="709" w:type="dxa"/>
                  <w:tcBorders>
                    <w:top w:val="single" w:color="auto" w:sz="4" w:space="0"/>
                    <w:left w:val="single" w:color="auto" w:sz="4" w:space="0"/>
                    <w:bottom w:val="single" w:color="auto" w:sz="4" w:space="0"/>
                    <w:right w:val="single" w:color="auto" w:sz="4" w:space="0"/>
                  </w:tcBorders>
                </w:tcPr>
                <w:p>
                  <w:pPr>
                    <w:jc w:val="center"/>
                    <w:textAlignment w:val="center"/>
                    <w:rPr>
                      <w:color w:val="000000"/>
                      <w:szCs w:val="21"/>
                      <w:lang w:bidi="ar"/>
                    </w:rPr>
                  </w:pPr>
                  <w:r>
                    <w:rPr>
                      <w:color w:val="000000"/>
                      <w:szCs w:val="21"/>
                      <w:lang w:bidi="ar"/>
                    </w:rPr>
                    <w:t>0.04</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color w:val="000000"/>
                      <w:szCs w:val="21"/>
                      <w:lang w:bidi="ar"/>
                    </w:rPr>
                    <w:t>\</w:t>
                  </w:r>
                </w:p>
              </w:tc>
              <w:tc>
                <w:tcPr>
                  <w:tcW w:w="709" w:type="dxa"/>
                  <w:tcBorders>
                    <w:top w:val="single" w:color="auto" w:sz="4" w:space="0"/>
                    <w:left w:val="single" w:color="auto" w:sz="4" w:space="0"/>
                    <w:bottom w:val="single" w:color="auto" w:sz="4" w:space="0"/>
                    <w:right w:val="single" w:color="auto" w:sz="4" w:space="0"/>
                  </w:tcBorders>
                </w:tcPr>
                <w:p>
                  <w:pPr>
                    <w:jc w:val="center"/>
                    <w:textAlignment w:val="center"/>
                    <w:rPr>
                      <w:color w:val="000000"/>
                      <w:szCs w:val="21"/>
                      <w:lang w:bidi="ar"/>
                    </w:rPr>
                  </w:pPr>
                  <w:r>
                    <w:rPr>
                      <w:color w:val="000000"/>
                      <w:szCs w:val="21"/>
                      <w:lang w:bidi="ar"/>
                    </w:rPr>
                    <w:t>\</w:t>
                  </w:r>
                </w:p>
              </w:tc>
              <w:tc>
                <w:tcPr>
                  <w:tcW w:w="709" w:type="dxa"/>
                  <w:tcBorders>
                    <w:top w:val="single" w:color="auto" w:sz="4" w:space="0"/>
                    <w:left w:val="single" w:color="auto" w:sz="4" w:space="0"/>
                    <w:bottom w:val="single" w:color="auto" w:sz="4" w:space="0"/>
                    <w:right w:val="single" w:color="auto" w:sz="4" w:space="0"/>
                  </w:tcBorders>
                </w:tcPr>
                <w:p>
                  <w:pPr>
                    <w:jc w:val="center"/>
                    <w:textAlignment w:val="center"/>
                    <w:rPr>
                      <w:color w:val="000000"/>
                      <w:szCs w:val="21"/>
                      <w:lang w:bidi="ar"/>
                    </w:rPr>
                  </w:pPr>
                  <w:r>
                    <w:rPr>
                      <w:color w:val="000000"/>
                      <w:szCs w:val="21"/>
                      <w:lang w:bidi="ar"/>
                    </w:rPr>
                    <w:t>\</w:t>
                  </w:r>
                </w:p>
              </w:tc>
              <w:tc>
                <w:tcPr>
                  <w:tcW w:w="646"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color w:val="000000"/>
                      <w:szCs w:val="21"/>
                      <w:lang w:bidi="ar"/>
                    </w:rPr>
                    <w:t>0.</w:t>
                  </w:r>
                  <w:r>
                    <w:rPr>
                      <w:rFonts w:hint="eastAsia"/>
                      <w:color w:val="000000"/>
                      <w:szCs w:val="21"/>
                      <w:lang w:bidi="ar"/>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c>
                <w:tcPr>
                  <w:tcW w:w="2126"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rFonts w:hint="eastAsia" w:cs="宋体"/>
                      <w:color w:val="000000"/>
                      <w:szCs w:val="21"/>
                      <w:lang w:bidi="ar"/>
                    </w:rPr>
                    <w:t>塔基施工场地区</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kern w:val="0"/>
                      <w:sz w:val="20"/>
                      <w:szCs w:val="21"/>
                      <w:lang w:bidi="ar"/>
                    </w:rPr>
                  </w:pPr>
                  <w:r>
                    <w:rPr>
                      <w:color w:val="000000"/>
                      <w:szCs w:val="21"/>
                      <w:lang w:bidi="ar"/>
                    </w:rPr>
                    <w:t>\</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kern w:val="0"/>
                      <w:sz w:val="20"/>
                      <w:szCs w:val="21"/>
                      <w:lang w:bidi="ar"/>
                    </w:rPr>
                  </w:pPr>
                  <w:r>
                    <w:rPr>
                      <w:color w:val="000000"/>
                      <w:szCs w:val="21"/>
                      <w:lang w:bidi="ar"/>
                    </w:rPr>
                    <w:t>\</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kern w:val="0"/>
                      <w:sz w:val="20"/>
                      <w:szCs w:val="21"/>
                      <w:lang w:bidi="ar"/>
                    </w:rPr>
                  </w:pPr>
                  <w:r>
                    <w:rPr>
                      <w:color w:val="000000"/>
                      <w:szCs w:val="21"/>
                      <w:lang w:bidi="ar"/>
                    </w:rPr>
                    <w:t>\</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kern w:val="0"/>
                      <w:sz w:val="20"/>
                      <w:szCs w:val="21"/>
                      <w:lang w:bidi="ar"/>
                    </w:rPr>
                  </w:pPr>
                  <w:r>
                    <w:rPr>
                      <w:rFonts w:hint="eastAsia"/>
                      <w:color w:val="000000"/>
                      <w:szCs w:val="21"/>
                      <w:lang w:bidi="ar"/>
                    </w:rPr>
                    <w:t>2.71</w:t>
                  </w:r>
                </w:p>
              </w:tc>
              <w:tc>
                <w:tcPr>
                  <w:tcW w:w="709" w:type="dxa"/>
                  <w:tcBorders>
                    <w:top w:val="single" w:color="auto" w:sz="4" w:space="0"/>
                    <w:left w:val="single" w:color="auto" w:sz="4" w:space="0"/>
                    <w:bottom w:val="single" w:color="auto" w:sz="4" w:space="0"/>
                    <w:right w:val="single" w:color="auto" w:sz="4" w:space="0"/>
                  </w:tcBorders>
                </w:tcPr>
                <w:p>
                  <w:pPr>
                    <w:jc w:val="center"/>
                    <w:textAlignment w:val="center"/>
                    <w:rPr>
                      <w:color w:val="000000"/>
                      <w:kern w:val="0"/>
                      <w:sz w:val="20"/>
                      <w:szCs w:val="21"/>
                      <w:lang w:bidi="ar"/>
                    </w:rPr>
                  </w:pPr>
                  <w:r>
                    <w:rPr>
                      <w:rFonts w:hint="eastAsia"/>
                      <w:color w:val="000000"/>
                      <w:szCs w:val="21"/>
                      <w:lang w:bidi="ar"/>
                    </w:rPr>
                    <w:t>1.26</w:t>
                  </w:r>
                </w:p>
              </w:tc>
              <w:tc>
                <w:tcPr>
                  <w:tcW w:w="709" w:type="dxa"/>
                  <w:tcBorders>
                    <w:top w:val="single" w:color="auto" w:sz="4" w:space="0"/>
                    <w:left w:val="single" w:color="auto" w:sz="4" w:space="0"/>
                    <w:bottom w:val="single" w:color="auto" w:sz="4" w:space="0"/>
                    <w:right w:val="single" w:color="auto" w:sz="4" w:space="0"/>
                  </w:tcBorders>
                </w:tcPr>
                <w:p>
                  <w:pPr>
                    <w:jc w:val="center"/>
                    <w:textAlignment w:val="center"/>
                    <w:rPr>
                      <w:color w:val="000000"/>
                      <w:kern w:val="0"/>
                      <w:sz w:val="20"/>
                      <w:szCs w:val="21"/>
                      <w:lang w:bidi="ar"/>
                    </w:rPr>
                  </w:pPr>
                  <w:r>
                    <w:rPr>
                      <w:color w:val="000000"/>
                      <w:szCs w:val="21"/>
                      <w:lang w:bidi="ar"/>
                    </w:rPr>
                    <w:t>0.44</w:t>
                  </w:r>
                </w:p>
              </w:tc>
              <w:tc>
                <w:tcPr>
                  <w:tcW w:w="646"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kern w:val="0"/>
                      <w:sz w:val="20"/>
                      <w:szCs w:val="21"/>
                      <w:lang w:bidi="ar"/>
                    </w:rPr>
                  </w:pPr>
                  <w:r>
                    <w:rPr>
                      <w:rFonts w:hint="eastAsia"/>
                      <w:color w:val="000000"/>
                      <w:kern w:val="0"/>
                      <w:sz w:val="20"/>
                      <w:szCs w:val="21"/>
                      <w:lang w:bidi="ar"/>
                    </w:rPr>
                    <w:t>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c>
                <w:tcPr>
                  <w:tcW w:w="2126"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rFonts w:hint="eastAsia" w:cs="宋体"/>
                      <w:color w:val="000000"/>
                      <w:szCs w:val="21"/>
                      <w:lang w:bidi="ar"/>
                    </w:rPr>
                    <w:t>拆除塔基区</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color w:val="000000"/>
                      <w:szCs w:val="21"/>
                      <w:lang w:bidi="ar"/>
                    </w:rPr>
                    <w:t>\</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color w:val="000000"/>
                      <w:szCs w:val="21"/>
                      <w:lang w:bidi="ar"/>
                    </w:rPr>
                    <w:t>\</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color w:val="000000"/>
                      <w:szCs w:val="21"/>
                      <w:lang w:bidi="ar"/>
                    </w:rPr>
                    <w:t>\</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kern w:val="0"/>
                      <w:sz w:val="20"/>
                      <w:szCs w:val="21"/>
                      <w:lang w:bidi="ar"/>
                    </w:rPr>
                  </w:pPr>
                  <w:r>
                    <w:rPr>
                      <w:color w:val="000000"/>
                      <w:kern w:val="0"/>
                      <w:sz w:val="20"/>
                      <w:szCs w:val="21"/>
                      <w:lang w:bidi="ar"/>
                    </w:rPr>
                    <w:t>0.18</w:t>
                  </w:r>
                </w:p>
              </w:tc>
              <w:tc>
                <w:tcPr>
                  <w:tcW w:w="709" w:type="dxa"/>
                  <w:tcBorders>
                    <w:top w:val="single" w:color="auto" w:sz="4" w:space="0"/>
                    <w:left w:val="single" w:color="auto" w:sz="4" w:space="0"/>
                    <w:bottom w:val="single" w:color="auto" w:sz="4" w:space="0"/>
                    <w:right w:val="single" w:color="auto" w:sz="4" w:space="0"/>
                  </w:tcBorders>
                </w:tcPr>
                <w:p>
                  <w:pPr>
                    <w:jc w:val="center"/>
                    <w:textAlignment w:val="center"/>
                    <w:rPr>
                      <w:color w:val="000000"/>
                      <w:kern w:val="0"/>
                      <w:sz w:val="20"/>
                      <w:szCs w:val="21"/>
                      <w:lang w:bidi="ar"/>
                    </w:rPr>
                  </w:pPr>
                  <w:r>
                    <w:rPr>
                      <w:color w:val="000000"/>
                      <w:szCs w:val="21"/>
                      <w:lang w:bidi="ar"/>
                    </w:rPr>
                    <w:t>\</w:t>
                  </w:r>
                </w:p>
              </w:tc>
              <w:tc>
                <w:tcPr>
                  <w:tcW w:w="709" w:type="dxa"/>
                  <w:tcBorders>
                    <w:top w:val="single" w:color="auto" w:sz="4" w:space="0"/>
                    <w:left w:val="single" w:color="auto" w:sz="4" w:space="0"/>
                    <w:bottom w:val="single" w:color="auto" w:sz="4" w:space="0"/>
                    <w:right w:val="single" w:color="auto" w:sz="4" w:space="0"/>
                  </w:tcBorders>
                </w:tcPr>
                <w:p>
                  <w:pPr>
                    <w:jc w:val="center"/>
                    <w:textAlignment w:val="center"/>
                    <w:rPr>
                      <w:color w:val="000000"/>
                      <w:kern w:val="0"/>
                      <w:sz w:val="20"/>
                      <w:szCs w:val="21"/>
                      <w:lang w:bidi="ar"/>
                    </w:rPr>
                  </w:pPr>
                  <w:r>
                    <w:rPr>
                      <w:color w:val="000000"/>
                      <w:szCs w:val="21"/>
                      <w:lang w:bidi="ar"/>
                    </w:rPr>
                    <w:t>\</w:t>
                  </w:r>
                </w:p>
              </w:tc>
              <w:tc>
                <w:tcPr>
                  <w:tcW w:w="646"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kern w:val="0"/>
                      <w:sz w:val="20"/>
                      <w:szCs w:val="21"/>
                      <w:lang w:bidi="ar"/>
                    </w:rPr>
                  </w:pPr>
                  <w:r>
                    <w:rPr>
                      <w:color w:val="000000"/>
                      <w:kern w:val="0"/>
                      <w:sz w:val="20"/>
                      <w:szCs w:val="21"/>
                      <w:lang w:bidi="ar"/>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c>
                <w:tcPr>
                  <w:tcW w:w="2126"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rFonts w:hint="eastAsia" w:cs="宋体"/>
                      <w:color w:val="000000"/>
                      <w:szCs w:val="21"/>
                      <w:lang w:bidi="ar"/>
                    </w:rPr>
                    <w:t>牵张场</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pPr>
                  <w:r>
                    <w:rPr>
                      <w:color w:val="000000"/>
                      <w:szCs w:val="21"/>
                      <w:lang w:bidi="ar"/>
                    </w:rPr>
                    <w:t>\</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pPr>
                  <w:r>
                    <w:rPr>
                      <w:color w:val="000000"/>
                      <w:szCs w:val="21"/>
                      <w:lang w:bidi="ar"/>
                    </w:rPr>
                    <w:t>\</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pPr>
                  <w:r>
                    <w:rPr>
                      <w:color w:val="000000"/>
                      <w:szCs w:val="21"/>
                      <w:lang w:bidi="ar"/>
                    </w:rPr>
                    <w:t>\</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color w:val="000000"/>
                      <w:szCs w:val="21"/>
                      <w:lang w:bidi="ar"/>
                    </w:rPr>
                    <w:t>0.</w:t>
                  </w:r>
                  <w:r>
                    <w:rPr>
                      <w:rFonts w:hint="eastAsia"/>
                      <w:color w:val="000000"/>
                      <w:szCs w:val="21"/>
                      <w:lang w:bidi="ar"/>
                    </w:rPr>
                    <w:t>36</w:t>
                  </w:r>
                </w:p>
              </w:tc>
              <w:tc>
                <w:tcPr>
                  <w:tcW w:w="709" w:type="dxa"/>
                  <w:tcBorders>
                    <w:top w:val="single" w:color="auto" w:sz="4" w:space="0"/>
                    <w:left w:val="single" w:color="auto" w:sz="4" w:space="0"/>
                    <w:bottom w:val="single" w:color="auto" w:sz="4" w:space="0"/>
                    <w:right w:val="single" w:color="auto" w:sz="4" w:space="0"/>
                  </w:tcBorders>
                </w:tcPr>
                <w:p>
                  <w:pPr>
                    <w:jc w:val="center"/>
                    <w:textAlignment w:val="center"/>
                    <w:rPr>
                      <w:color w:val="000000"/>
                      <w:szCs w:val="21"/>
                      <w:lang w:bidi="ar"/>
                    </w:rPr>
                  </w:pPr>
                  <w:r>
                    <w:rPr>
                      <w:color w:val="000000"/>
                      <w:szCs w:val="21"/>
                      <w:lang w:bidi="ar"/>
                    </w:rPr>
                    <w:t>\</w:t>
                  </w:r>
                </w:p>
              </w:tc>
              <w:tc>
                <w:tcPr>
                  <w:tcW w:w="709" w:type="dxa"/>
                  <w:tcBorders>
                    <w:top w:val="single" w:color="auto" w:sz="4" w:space="0"/>
                    <w:left w:val="single" w:color="auto" w:sz="4" w:space="0"/>
                    <w:bottom w:val="single" w:color="auto" w:sz="4" w:space="0"/>
                    <w:right w:val="single" w:color="auto" w:sz="4" w:space="0"/>
                  </w:tcBorders>
                </w:tcPr>
                <w:p>
                  <w:pPr>
                    <w:jc w:val="center"/>
                    <w:textAlignment w:val="center"/>
                    <w:rPr>
                      <w:color w:val="000000"/>
                      <w:szCs w:val="21"/>
                      <w:lang w:bidi="ar"/>
                    </w:rPr>
                  </w:pPr>
                  <w:r>
                    <w:rPr>
                      <w:color w:val="000000"/>
                      <w:szCs w:val="21"/>
                      <w:lang w:bidi="ar"/>
                    </w:rPr>
                    <w:t>\</w:t>
                  </w:r>
                </w:p>
              </w:tc>
              <w:tc>
                <w:tcPr>
                  <w:tcW w:w="646"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color w:val="000000"/>
                      <w:szCs w:val="21"/>
                      <w:lang w:bidi="ar"/>
                    </w:rPr>
                    <w:t>0.</w:t>
                  </w:r>
                  <w:r>
                    <w:rPr>
                      <w:rFonts w:hint="eastAsia"/>
                      <w:color w:val="000000"/>
                      <w:szCs w:val="21"/>
                      <w:lang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c>
                <w:tcPr>
                  <w:tcW w:w="2126"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rFonts w:hint="eastAsia" w:cs="宋体"/>
                      <w:color w:val="000000"/>
                      <w:szCs w:val="21"/>
                      <w:lang w:bidi="ar"/>
                    </w:rPr>
                    <w:t>跨越施工场地</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pPr>
                  <w:r>
                    <w:rPr>
                      <w:color w:val="000000"/>
                      <w:szCs w:val="21"/>
                      <w:lang w:bidi="ar"/>
                    </w:rPr>
                    <w:t>\</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pPr>
                  <w:r>
                    <w:rPr>
                      <w:color w:val="000000"/>
                      <w:szCs w:val="21"/>
                      <w:lang w:bidi="ar"/>
                    </w:rPr>
                    <w:t>\</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pPr>
                  <w:r>
                    <w:rPr>
                      <w:color w:val="000000"/>
                      <w:szCs w:val="21"/>
                      <w:lang w:bidi="ar"/>
                    </w:rPr>
                    <w:t>\</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color w:val="000000"/>
                      <w:szCs w:val="21"/>
                      <w:lang w:bidi="ar"/>
                    </w:rPr>
                    <w:t>0.</w:t>
                  </w:r>
                  <w:r>
                    <w:rPr>
                      <w:rFonts w:hint="eastAsia"/>
                      <w:color w:val="000000"/>
                      <w:szCs w:val="21"/>
                      <w:lang w:bidi="ar"/>
                    </w:rPr>
                    <w:t>44</w:t>
                  </w:r>
                </w:p>
              </w:tc>
              <w:tc>
                <w:tcPr>
                  <w:tcW w:w="709" w:type="dxa"/>
                  <w:tcBorders>
                    <w:top w:val="single" w:color="auto" w:sz="4" w:space="0"/>
                    <w:left w:val="single" w:color="auto" w:sz="4" w:space="0"/>
                    <w:bottom w:val="single" w:color="auto" w:sz="4" w:space="0"/>
                    <w:right w:val="single" w:color="auto" w:sz="4" w:space="0"/>
                  </w:tcBorders>
                </w:tcPr>
                <w:p>
                  <w:pPr>
                    <w:jc w:val="center"/>
                    <w:textAlignment w:val="center"/>
                    <w:rPr>
                      <w:color w:val="000000"/>
                      <w:szCs w:val="21"/>
                      <w:lang w:bidi="ar"/>
                    </w:rPr>
                  </w:pPr>
                  <w:r>
                    <w:rPr>
                      <w:color w:val="000000"/>
                      <w:szCs w:val="21"/>
                      <w:lang w:bidi="ar"/>
                    </w:rPr>
                    <w:t>0.</w:t>
                  </w:r>
                  <w:r>
                    <w:rPr>
                      <w:rFonts w:hint="eastAsia"/>
                      <w:color w:val="000000"/>
                      <w:szCs w:val="21"/>
                      <w:lang w:bidi="ar"/>
                    </w:rPr>
                    <w:t>08</w:t>
                  </w:r>
                </w:p>
              </w:tc>
              <w:tc>
                <w:tcPr>
                  <w:tcW w:w="709" w:type="dxa"/>
                  <w:tcBorders>
                    <w:top w:val="single" w:color="auto" w:sz="4" w:space="0"/>
                    <w:left w:val="single" w:color="auto" w:sz="4" w:space="0"/>
                    <w:bottom w:val="single" w:color="auto" w:sz="4" w:space="0"/>
                    <w:right w:val="single" w:color="auto" w:sz="4" w:space="0"/>
                  </w:tcBorders>
                </w:tcPr>
                <w:p>
                  <w:pPr>
                    <w:jc w:val="center"/>
                    <w:textAlignment w:val="center"/>
                    <w:rPr>
                      <w:color w:val="000000"/>
                      <w:szCs w:val="21"/>
                      <w:lang w:bidi="ar"/>
                    </w:rPr>
                  </w:pPr>
                  <w:r>
                    <w:rPr>
                      <w:color w:val="000000"/>
                      <w:szCs w:val="21"/>
                      <w:lang w:bidi="ar"/>
                    </w:rPr>
                    <w:t>\</w:t>
                  </w:r>
                </w:p>
              </w:tc>
              <w:tc>
                <w:tcPr>
                  <w:tcW w:w="646"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color w:val="000000"/>
                      <w:szCs w:val="21"/>
                      <w:lang w:bidi="ar"/>
                    </w:rPr>
                    <w:t>0.</w:t>
                  </w:r>
                  <w:r>
                    <w:rPr>
                      <w:rFonts w:hint="eastAsia"/>
                      <w:color w:val="000000"/>
                      <w:szCs w:val="21"/>
                      <w:lang w:bidi="ar"/>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c>
                <w:tcPr>
                  <w:tcW w:w="2126"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rFonts w:hint="eastAsia" w:cs="宋体"/>
                      <w:color w:val="000000"/>
                      <w:szCs w:val="21"/>
                      <w:lang w:bidi="ar"/>
                    </w:rPr>
                    <w:t>施工道路</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pPr>
                  <w:r>
                    <w:rPr>
                      <w:color w:val="000000"/>
                      <w:szCs w:val="21"/>
                      <w:lang w:bidi="ar"/>
                    </w:rPr>
                    <w:t>\</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pPr>
                  <w:r>
                    <w:rPr>
                      <w:color w:val="000000"/>
                      <w:szCs w:val="21"/>
                      <w:lang w:bidi="ar"/>
                    </w:rPr>
                    <w:t>\</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pPr>
                  <w:r>
                    <w:rPr>
                      <w:color w:val="000000"/>
                      <w:szCs w:val="21"/>
                      <w:lang w:bidi="ar"/>
                    </w:rPr>
                    <w:t>\</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color w:val="000000"/>
                      <w:szCs w:val="21"/>
                      <w:lang w:bidi="ar"/>
                    </w:rPr>
                    <w:t>1.</w:t>
                  </w:r>
                  <w:r>
                    <w:rPr>
                      <w:rFonts w:hint="eastAsia"/>
                      <w:color w:val="000000"/>
                      <w:szCs w:val="21"/>
                      <w:lang w:bidi="ar"/>
                    </w:rPr>
                    <w:t>3</w:t>
                  </w:r>
                  <w:r>
                    <w:rPr>
                      <w:color w:val="000000"/>
                      <w:szCs w:val="21"/>
                      <w:lang w:bidi="ar"/>
                    </w:rPr>
                    <w:t>2</w:t>
                  </w:r>
                </w:p>
              </w:tc>
              <w:tc>
                <w:tcPr>
                  <w:tcW w:w="709" w:type="dxa"/>
                  <w:tcBorders>
                    <w:top w:val="single" w:color="auto" w:sz="4" w:space="0"/>
                    <w:left w:val="single" w:color="auto" w:sz="4" w:space="0"/>
                    <w:bottom w:val="single" w:color="auto" w:sz="4" w:space="0"/>
                    <w:right w:val="single" w:color="auto" w:sz="4" w:space="0"/>
                  </w:tcBorders>
                </w:tcPr>
                <w:p>
                  <w:pPr>
                    <w:jc w:val="center"/>
                    <w:textAlignment w:val="center"/>
                    <w:rPr>
                      <w:color w:val="000000"/>
                      <w:szCs w:val="21"/>
                      <w:lang w:bidi="ar"/>
                    </w:rPr>
                  </w:pPr>
                  <w:r>
                    <w:rPr>
                      <w:color w:val="000000"/>
                      <w:szCs w:val="21"/>
                      <w:lang w:bidi="ar"/>
                    </w:rPr>
                    <w:t>0.66</w:t>
                  </w:r>
                </w:p>
              </w:tc>
              <w:tc>
                <w:tcPr>
                  <w:tcW w:w="709" w:type="dxa"/>
                  <w:tcBorders>
                    <w:top w:val="single" w:color="auto" w:sz="4" w:space="0"/>
                    <w:left w:val="single" w:color="auto" w:sz="4" w:space="0"/>
                    <w:bottom w:val="single" w:color="auto" w:sz="4" w:space="0"/>
                    <w:right w:val="single" w:color="auto" w:sz="4" w:space="0"/>
                  </w:tcBorders>
                </w:tcPr>
                <w:p>
                  <w:pPr>
                    <w:jc w:val="center"/>
                    <w:textAlignment w:val="center"/>
                    <w:rPr>
                      <w:color w:val="000000"/>
                      <w:szCs w:val="21"/>
                      <w:lang w:bidi="ar"/>
                    </w:rPr>
                  </w:pPr>
                  <w:r>
                    <w:rPr>
                      <w:color w:val="000000"/>
                      <w:szCs w:val="21"/>
                      <w:lang w:bidi="ar"/>
                    </w:rPr>
                    <w:t>0.</w:t>
                  </w:r>
                  <w:r>
                    <w:rPr>
                      <w:rFonts w:hint="eastAsia"/>
                      <w:color w:val="000000"/>
                      <w:szCs w:val="21"/>
                      <w:lang w:bidi="ar"/>
                    </w:rPr>
                    <w:t>1</w:t>
                  </w:r>
                  <w:r>
                    <w:rPr>
                      <w:color w:val="000000"/>
                      <w:szCs w:val="21"/>
                      <w:lang w:bidi="ar"/>
                    </w:rPr>
                    <w:t>2</w:t>
                  </w:r>
                </w:p>
              </w:tc>
              <w:tc>
                <w:tcPr>
                  <w:tcW w:w="646"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color w:val="000000"/>
                      <w:szCs w:val="21"/>
                      <w:lang w:bidi="ar"/>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c>
                <w:tcPr>
                  <w:tcW w:w="2126"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rFonts w:hint="eastAsia" w:cs="宋体"/>
                      <w:color w:val="000000"/>
                      <w:szCs w:val="21"/>
                      <w:lang w:bidi="ar"/>
                    </w:rPr>
                    <w:t>小计</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b/>
                      <w:color w:val="000000"/>
                      <w:szCs w:val="21"/>
                      <w:lang w:bidi="ar"/>
                    </w:rPr>
                  </w:pPr>
                  <w:r>
                    <w:rPr>
                      <w:b/>
                      <w:color w:val="000000"/>
                      <w:szCs w:val="21"/>
                      <w:lang w:bidi="ar"/>
                    </w:rPr>
                    <w:t>0.</w:t>
                  </w:r>
                  <w:r>
                    <w:rPr>
                      <w:rFonts w:hint="eastAsia"/>
                      <w:b/>
                      <w:color w:val="000000"/>
                      <w:szCs w:val="21"/>
                      <w:lang w:bidi="ar"/>
                    </w:rPr>
                    <w:t>40</w:t>
                  </w:r>
                </w:p>
              </w:tc>
              <w:tc>
                <w:tcPr>
                  <w:tcW w:w="709" w:type="dxa"/>
                  <w:tcBorders>
                    <w:top w:val="single" w:color="auto" w:sz="4" w:space="0"/>
                    <w:left w:val="single" w:color="auto" w:sz="4" w:space="0"/>
                    <w:bottom w:val="single" w:color="auto" w:sz="4" w:space="0"/>
                    <w:right w:val="single" w:color="auto" w:sz="4" w:space="0"/>
                  </w:tcBorders>
                </w:tcPr>
                <w:p>
                  <w:pPr>
                    <w:jc w:val="center"/>
                    <w:textAlignment w:val="center"/>
                    <w:rPr>
                      <w:b/>
                      <w:color w:val="000000"/>
                      <w:szCs w:val="21"/>
                      <w:lang w:bidi="ar"/>
                    </w:rPr>
                  </w:pPr>
                  <w:r>
                    <w:rPr>
                      <w:b/>
                      <w:color w:val="000000"/>
                      <w:szCs w:val="21"/>
                      <w:lang w:bidi="ar"/>
                    </w:rPr>
                    <w:t>0.</w:t>
                  </w:r>
                  <w:r>
                    <w:rPr>
                      <w:rFonts w:hint="eastAsia"/>
                      <w:b/>
                      <w:color w:val="000000"/>
                      <w:szCs w:val="21"/>
                      <w:lang w:bidi="ar"/>
                    </w:rPr>
                    <w:t>12</w:t>
                  </w:r>
                </w:p>
              </w:tc>
              <w:tc>
                <w:tcPr>
                  <w:tcW w:w="709" w:type="dxa"/>
                  <w:tcBorders>
                    <w:top w:val="single" w:color="auto" w:sz="4" w:space="0"/>
                    <w:left w:val="single" w:color="auto" w:sz="4" w:space="0"/>
                    <w:bottom w:val="single" w:color="auto" w:sz="4" w:space="0"/>
                    <w:right w:val="single" w:color="auto" w:sz="4" w:space="0"/>
                  </w:tcBorders>
                </w:tcPr>
                <w:p>
                  <w:pPr>
                    <w:jc w:val="center"/>
                    <w:textAlignment w:val="center"/>
                    <w:rPr>
                      <w:b/>
                      <w:color w:val="000000"/>
                      <w:szCs w:val="21"/>
                      <w:lang w:bidi="ar"/>
                    </w:rPr>
                  </w:pPr>
                  <w:r>
                    <w:rPr>
                      <w:b/>
                      <w:color w:val="000000"/>
                      <w:szCs w:val="21"/>
                      <w:lang w:bidi="ar"/>
                    </w:rPr>
                    <w:t>0.04</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textAlignment w:val="center"/>
                    <w:rPr>
                      <w:b/>
                      <w:color w:val="000000"/>
                      <w:szCs w:val="21"/>
                      <w:lang w:bidi="ar"/>
                    </w:rPr>
                  </w:pPr>
                  <w:r>
                    <w:rPr>
                      <w:b/>
                      <w:color w:val="000000"/>
                      <w:szCs w:val="21"/>
                      <w:lang w:bidi="ar"/>
                    </w:rPr>
                    <w:t>5.01</w:t>
                  </w:r>
                </w:p>
              </w:tc>
              <w:tc>
                <w:tcPr>
                  <w:tcW w:w="709" w:type="dxa"/>
                  <w:tcBorders>
                    <w:top w:val="single" w:color="auto" w:sz="4" w:space="0"/>
                    <w:left w:val="single" w:color="auto" w:sz="4" w:space="0"/>
                    <w:bottom w:val="single" w:color="auto" w:sz="4" w:space="0"/>
                    <w:right w:val="single" w:color="auto" w:sz="4" w:space="0"/>
                  </w:tcBorders>
                </w:tcPr>
                <w:p>
                  <w:pPr>
                    <w:jc w:val="center"/>
                    <w:textAlignment w:val="center"/>
                    <w:rPr>
                      <w:b/>
                      <w:color w:val="000000"/>
                      <w:szCs w:val="21"/>
                      <w:lang w:bidi="ar"/>
                    </w:rPr>
                  </w:pPr>
                  <w:r>
                    <w:rPr>
                      <w:rFonts w:hint="eastAsia"/>
                      <w:b/>
                      <w:color w:val="000000"/>
                      <w:szCs w:val="21"/>
                      <w:lang w:bidi="ar"/>
                    </w:rPr>
                    <w:t>2.00</w:t>
                  </w:r>
                </w:p>
              </w:tc>
              <w:tc>
                <w:tcPr>
                  <w:tcW w:w="709" w:type="dxa"/>
                  <w:tcBorders>
                    <w:top w:val="single" w:color="auto" w:sz="4" w:space="0"/>
                    <w:left w:val="single" w:color="auto" w:sz="4" w:space="0"/>
                    <w:bottom w:val="single" w:color="auto" w:sz="4" w:space="0"/>
                    <w:right w:val="single" w:color="auto" w:sz="4" w:space="0"/>
                  </w:tcBorders>
                </w:tcPr>
                <w:p>
                  <w:pPr>
                    <w:jc w:val="center"/>
                    <w:textAlignment w:val="center"/>
                    <w:rPr>
                      <w:b/>
                      <w:color w:val="000000"/>
                      <w:szCs w:val="21"/>
                      <w:lang w:bidi="ar"/>
                    </w:rPr>
                  </w:pPr>
                  <w:r>
                    <w:rPr>
                      <w:b/>
                      <w:color w:val="000000"/>
                      <w:szCs w:val="21"/>
                      <w:lang w:bidi="ar"/>
                    </w:rPr>
                    <w:t>0.</w:t>
                  </w:r>
                  <w:r>
                    <w:rPr>
                      <w:rFonts w:hint="eastAsia"/>
                      <w:b/>
                      <w:color w:val="000000"/>
                      <w:szCs w:val="21"/>
                      <w:lang w:bidi="ar"/>
                    </w:rPr>
                    <w:t>56</w:t>
                  </w:r>
                </w:p>
              </w:tc>
              <w:tc>
                <w:tcPr>
                  <w:tcW w:w="646" w:type="dxa"/>
                  <w:tcBorders>
                    <w:top w:val="single" w:color="auto" w:sz="4" w:space="0"/>
                    <w:left w:val="single" w:color="auto" w:sz="4" w:space="0"/>
                    <w:bottom w:val="single" w:color="auto" w:sz="4" w:space="0"/>
                    <w:right w:val="single" w:color="auto" w:sz="4" w:space="0"/>
                  </w:tcBorders>
                  <w:vAlign w:val="center"/>
                </w:tcPr>
                <w:p>
                  <w:pPr>
                    <w:jc w:val="center"/>
                    <w:textAlignment w:val="center"/>
                    <w:rPr>
                      <w:b/>
                      <w:color w:val="000000"/>
                      <w:szCs w:val="21"/>
                      <w:lang w:bidi="ar"/>
                    </w:rPr>
                  </w:pPr>
                  <w:r>
                    <w:rPr>
                      <w:rFonts w:hint="eastAsia"/>
                      <w:b/>
                      <w:color w:val="000000"/>
                      <w:szCs w:val="21"/>
                      <w:lang w:bidi="ar"/>
                    </w:rPr>
                    <w:t>8.</w:t>
                  </w:r>
                  <w:r>
                    <w:rPr>
                      <w:b/>
                      <w:color w:val="000000"/>
                      <w:szCs w:val="21"/>
                      <w:lang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3397"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rFonts w:hint="eastAsia" w:cs="宋体"/>
                      <w:color w:val="000000"/>
                      <w:szCs w:val="21"/>
                      <w:lang w:bidi="ar"/>
                    </w:rPr>
                    <w:t>小计</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textAlignment w:val="center"/>
                    <w:rPr>
                      <w:b/>
                      <w:color w:val="000000"/>
                      <w:szCs w:val="21"/>
                      <w:lang w:bidi="ar"/>
                    </w:rPr>
                  </w:pPr>
                  <w:r>
                    <w:rPr>
                      <w:b/>
                      <w:color w:val="000000"/>
                      <w:szCs w:val="21"/>
                      <w:lang w:bidi="ar"/>
                    </w:rPr>
                    <w:t>0.</w:t>
                  </w:r>
                  <w:r>
                    <w:rPr>
                      <w:rFonts w:hint="eastAsia"/>
                      <w:b/>
                      <w:color w:val="000000"/>
                      <w:szCs w:val="21"/>
                      <w:lang w:bidi="ar"/>
                    </w:rPr>
                    <w:t>97</w:t>
                  </w:r>
                </w:p>
              </w:tc>
              <w:tc>
                <w:tcPr>
                  <w:tcW w:w="709" w:type="dxa"/>
                  <w:tcBorders>
                    <w:top w:val="single" w:color="auto" w:sz="4" w:space="0"/>
                    <w:left w:val="single" w:color="auto" w:sz="4" w:space="0"/>
                    <w:bottom w:val="single" w:color="auto" w:sz="4" w:space="0"/>
                    <w:right w:val="single" w:color="auto" w:sz="4" w:space="0"/>
                  </w:tcBorders>
                </w:tcPr>
                <w:p>
                  <w:pPr>
                    <w:jc w:val="center"/>
                    <w:textAlignment w:val="center"/>
                    <w:rPr>
                      <w:b/>
                      <w:color w:val="000000"/>
                      <w:szCs w:val="21"/>
                      <w:lang w:bidi="ar"/>
                    </w:rPr>
                  </w:pPr>
                  <w:r>
                    <w:rPr>
                      <w:b/>
                      <w:color w:val="000000"/>
                      <w:szCs w:val="21"/>
                      <w:lang w:bidi="ar"/>
                    </w:rPr>
                    <w:t>0.</w:t>
                  </w:r>
                  <w:r>
                    <w:rPr>
                      <w:rFonts w:hint="eastAsia"/>
                      <w:b/>
                      <w:color w:val="000000"/>
                      <w:szCs w:val="21"/>
                      <w:lang w:bidi="ar"/>
                    </w:rPr>
                    <w:t>12</w:t>
                  </w:r>
                </w:p>
              </w:tc>
              <w:tc>
                <w:tcPr>
                  <w:tcW w:w="709" w:type="dxa"/>
                  <w:tcBorders>
                    <w:top w:val="single" w:color="auto" w:sz="4" w:space="0"/>
                    <w:left w:val="single" w:color="auto" w:sz="4" w:space="0"/>
                    <w:bottom w:val="single" w:color="auto" w:sz="4" w:space="0"/>
                    <w:right w:val="single" w:color="auto" w:sz="4" w:space="0"/>
                  </w:tcBorders>
                </w:tcPr>
                <w:p>
                  <w:pPr>
                    <w:jc w:val="center"/>
                    <w:textAlignment w:val="center"/>
                    <w:rPr>
                      <w:b/>
                      <w:color w:val="000000"/>
                      <w:szCs w:val="21"/>
                      <w:lang w:bidi="ar"/>
                    </w:rPr>
                  </w:pPr>
                  <w:r>
                    <w:rPr>
                      <w:b/>
                      <w:color w:val="000000"/>
                      <w:szCs w:val="21"/>
                      <w:lang w:bidi="ar"/>
                    </w:rPr>
                    <w:t>0.04</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textAlignment w:val="center"/>
                    <w:rPr>
                      <w:b/>
                      <w:color w:val="000000"/>
                      <w:szCs w:val="21"/>
                      <w:lang w:bidi="ar"/>
                    </w:rPr>
                  </w:pPr>
                  <w:r>
                    <w:rPr>
                      <w:rFonts w:hint="eastAsia"/>
                      <w:b/>
                      <w:color w:val="000000"/>
                      <w:szCs w:val="21"/>
                      <w:lang w:bidi="ar"/>
                    </w:rPr>
                    <w:t>5.9</w:t>
                  </w:r>
                  <w:r>
                    <w:rPr>
                      <w:b/>
                      <w:color w:val="000000"/>
                      <w:szCs w:val="21"/>
                      <w:lang w:bidi="ar"/>
                    </w:rPr>
                    <w:t>8</w:t>
                  </w:r>
                </w:p>
              </w:tc>
              <w:tc>
                <w:tcPr>
                  <w:tcW w:w="709" w:type="dxa"/>
                  <w:tcBorders>
                    <w:top w:val="single" w:color="auto" w:sz="4" w:space="0"/>
                    <w:left w:val="single" w:color="auto" w:sz="4" w:space="0"/>
                    <w:bottom w:val="single" w:color="auto" w:sz="4" w:space="0"/>
                    <w:right w:val="single" w:color="auto" w:sz="4" w:space="0"/>
                  </w:tcBorders>
                </w:tcPr>
                <w:p>
                  <w:pPr>
                    <w:jc w:val="center"/>
                    <w:textAlignment w:val="center"/>
                    <w:rPr>
                      <w:b/>
                      <w:color w:val="000000"/>
                      <w:szCs w:val="21"/>
                      <w:lang w:bidi="ar"/>
                    </w:rPr>
                  </w:pPr>
                  <w:r>
                    <w:rPr>
                      <w:rFonts w:hint="eastAsia"/>
                      <w:b/>
                      <w:color w:val="000000"/>
                      <w:szCs w:val="21"/>
                      <w:lang w:bidi="ar"/>
                    </w:rPr>
                    <w:t>2.00</w:t>
                  </w:r>
                </w:p>
              </w:tc>
              <w:tc>
                <w:tcPr>
                  <w:tcW w:w="709" w:type="dxa"/>
                  <w:tcBorders>
                    <w:top w:val="single" w:color="auto" w:sz="4" w:space="0"/>
                    <w:left w:val="single" w:color="auto" w:sz="4" w:space="0"/>
                    <w:bottom w:val="single" w:color="auto" w:sz="4" w:space="0"/>
                    <w:right w:val="single" w:color="auto" w:sz="4" w:space="0"/>
                  </w:tcBorders>
                </w:tcPr>
                <w:p>
                  <w:pPr>
                    <w:jc w:val="center"/>
                    <w:textAlignment w:val="center"/>
                    <w:rPr>
                      <w:b/>
                      <w:color w:val="000000"/>
                      <w:szCs w:val="21"/>
                      <w:lang w:bidi="ar"/>
                    </w:rPr>
                  </w:pPr>
                  <w:r>
                    <w:rPr>
                      <w:b/>
                      <w:color w:val="000000"/>
                      <w:szCs w:val="21"/>
                      <w:lang w:bidi="ar"/>
                    </w:rPr>
                    <w:t>0.</w:t>
                  </w:r>
                  <w:r>
                    <w:rPr>
                      <w:rFonts w:hint="eastAsia"/>
                      <w:b/>
                      <w:color w:val="000000"/>
                      <w:szCs w:val="21"/>
                      <w:lang w:bidi="ar"/>
                    </w:rPr>
                    <w:t>56</w:t>
                  </w:r>
                </w:p>
              </w:tc>
              <w:tc>
                <w:tcPr>
                  <w:tcW w:w="646" w:type="dxa"/>
                  <w:tcBorders>
                    <w:top w:val="single" w:color="auto" w:sz="4" w:space="0"/>
                    <w:left w:val="single" w:color="auto" w:sz="4" w:space="0"/>
                    <w:bottom w:val="single" w:color="auto" w:sz="4" w:space="0"/>
                    <w:right w:val="single" w:color="auto" w:sz="4" w:space="0"/>
                  </w:tcBorders>
                  <w:vAlign w:val="center"/>
                </w:tcPr>
                <w:p>
                  <w:pPr>
                    <w:jc w:val="center"/>
                    <w:textAlignment w:val="center"/>
                    <w:rPr>
                      <w:b/>
                      <w:color w:val="000000"/>
                      <w:szCs w:val="21"/>
                      <w:lang w:bidi="ar"/>
                    </w:rPr>
                  </w:pPr>
                  <w:r>
                    <w:rPr>
                      <w:rFonts w:hint="eastAsia"/>
                      <w:b/>
                      <w:color w:val="000000"/>
                      <w:szCs w:val="21"/>
                      <w:lang w:bidi="ar"/>
                    </w:rPr>
                    <w:t>9.6</w:t>
                  </w:r>
                  <w:r>
                    <w:rPr>
                      <w:b/>
                      <w:color w:val="000000"/>
                      <w:szCs w:val="21"/>
                      <w:lang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3397"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Cs w:val="21"/>
                      <w:lang w:bidi="ar"/>
                    </w:rPr>
                  </w:pPr>
                  <w:r>
                    <w:rPr>
                      <w:rFonts w:hint="eastAsia" w:cs="宋体"/>
                      <w:color w:val="000000"/>
                      <w:szCs w:val="21"/>
                      <w:lang w:bidi="ar"/>
                    </w:rPr>
                    <w:t>总计</w:t>
                  </w:r>
                </w:p>
              </w:tc>
              <w:tc>
                <w:tcPr>
                  <w:tcW w:w="2143" w:type="dxa"/>
                  <w:gridSpan w:val="3"/>
                  <w:tcBorders>
                    <w:top w:val="single" w:color="auto" w:sz="4" w:space="0"/>
                    <w:left w:val="single" w:color="auto" w:sz="4" w:space="0"/>
                    <w:bottom w:val="single" w:color="auto" w:sz="4" w:space="0"/>
                    <w:right w:val="single" w:color="auto" w:sz="4" w:space="0"/>
                  </w:tcBorders>
                  <w:vAlign w:val="center"/>
                </w:tcPr>
                <w:p>
                  <w:pPr>
                    <w:jc w:val="center"/>
                    <w:textAlignment w:val="center"/>
                    <w:rPr>
                      <w:b/>
                      <w:color w:val="000000"/>
                      <w:szCs w:val="21"/>
                      <w:lang w:bidi="ar"/>
                    </w:rPr>
                  </w:pPr>
                  <w:r>
                    <w:rPr>
                      <w:b/>
                      <w:color w:val="000000"/>
                      <w:szCs w:val="21"/>
                      <w:lang w:bidi="ar"/>
                    </w:rPr>
                    <w:t>1.</w:t>
                  </w:r>
                  <w:r>
                    <w:rPr>
                      <w:rFonts w:hint="eastAsia"/>
                      <w:b/>
                      <w:color w:val="000000"/>
                      <w:szCs w:val="21"/>
                      <w:lang w:bidi="ar"/>
                    </w:rPr>
                    <w:t>13</w:t>
                  </w:r>
                </w:p>
              </w:tc>
              <w:tc>
                <w:tcPr>
                  <w:tcW w:w="2141" w:type="dxa"/>
                  <w:gridSpan w:val="3"/>
                  <w:tcBorders>
                    <w:top w:val="single" w:color="auto" w:sz="4" w:space="0"/>
                    <w:left w:val="single" w:color="auto" w:sz="4" w:space="0"/>
                    <w:bottom w:val="single" w:color="auto" w:sz="4" w:space="0"/>
                    <w:right w:val="single" w:color="auto" w:sz="4" w:space="0"/>
                  </w:tcBorders>
                  <w:vAlign w:val="center"/>
                </w:tcPr>
                <w:p>
                  <w:pPr>
                    <w:jc w:val="center"/>
                    <w:textAlignment w:val="center"/>
                    <w:rPr>
                      <w:b/>
                      <w:color w:val="000000"/>
                      <w:szCs w:val="21"/>
                      <w:lang w:bidi="ar"/>
                    </w:rPr>
                  </w:pPr>
                  <w:r>
                    <w:rPr>
                      <w:rFonts w:hint="eastAsia"/>
                      <w:b/>
                      <w:color w:val="000000"/>
                      <w:szCs w:val="21"/>
                      <w:lang w:bidi="ar"/>
                    </w:rPr>
                    <w:t>8.</w:t>
                  </w:r>
                  <w:r>
                    <w:rPr>
                      <w:b/>
                      <w:color w:val="000000"/>
                      <w:szCs w:val="21"/>
                      <w:lang w:bidi="ar"/>
                    </w:rPr>
                    <w:t>54</w:t>
                  </w:r>
                </w:p>
              </w:tc>
              <w:tc>
                <w:tcPr>
                  <w:tcW w:w="646" w:type="dxa"/>
                  <w:tcBorders>
                    <w:top w:val="single" w:color="auto" w:sz="4" w:space="0"/>
                    <w:left w:val="single" w:color="auto" w:sz="4" w:space="0"/>
                    <w:bottom w:val="single" w:color="auto" w:sz="4" w:space="0"/>
                    <w:right w:val="single" w:color="auto" w:sz="4" w:space="0"/>
                  </w:tcBorders>
                  <w:vAlign w:val="center"/>
                </w:tcPr>
                <w:p>
                  <w:pPr>
                    <w:jc w:val="center"/>
                    <w:textAlignment w:val="center"/>
                    <w:rPr>
                      <w:b/>
                      <w:color w:val="000000"/>
                      <w:szCs w:val="21"/>
                      <w:lang w:bidi="ar"/>
                    </w:rPr>
                  </w:pPr>
                  <w:r>
                    <w:rPr>
                      <w:rFonts w:hint="eastAsia"/>
                      <w:b/>
                      <w:color w:val="000000"/>
                      <w:szCs w:val="21"/>
                      <w:lang w:bidi="ar"/>
                    </w:rPr>
                    <w:t>9.6</w:t>
                  </w:r>
                  <w:r>
                    <w:rPr>
                      <w:b/>
                      <w:color w:val="000000"/>
                      <w:szCs w:val="21"/>
                      <w:lang w:bidi="ar"/>
                    </w:rPr>
                    <w:t>7</w:t>
                  </w:r>
                </w:p>
              </w:tc>
            </w:tr>
          </w:tbl>
          <w:p>
            <w:pPr>
              <w:autoSpaceDE w:val="0"/>
              <w:autoSpaceDN w:val="0"/>
              <w:adjustRightInd w:val="0"/>
              <w:snapToGrid w:val="0"/>
              <w:rPr>
                <w:color w:val="000000"/>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8"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b/>
                <w:color w:val="000000"/>
                <w:kern w:val="0"/>
                <w:sz w:val="24"/>
              </w:rPr>
            </w:pPr>
            <w:r>
              <w:rPr>
                <w:b/>
                <w:color w:val="000000"/>
                <w:kern w:val="0"/>
                <w:sz w:val="24"/>
              </w:rPr>
              <w:t>总平面及现场布置</w:t>
            </w:r>
          </w:p>
        </w:tc>
        <w:tc>
          <w:tcPr>
            <w:tcW w:w="8542" w:type="dxa"/>
            <w:tcBorders>
              <w:top w:val="single" w:color="auto" w:sz="4" w:space="0"/>
              <w:left w:val="single" w:color="auto" w:sz="4" w:space="0"/>
              <w:bottom w:val="single" w:color="auto" w:sz="4" w:space="0"/>
              <w:right w:val="single" w:color="auto" w:sz="8" w:space="0"/>
            </w:tcBorders>
            <w:vAlign w:val="center"/>
          </w:tcPr>
          <w:p>
            <w:pPr>
              <w:pStyle w:val="5"/>
              <w:numPr>
                <w:ilvl w:val="0"/>
                <w:numId w:val="7"/>
              </w:numPr>
              <w:spacing w:before="0" w:after="0" w:line="360" w:lineRule="auto"/>
              <w:rPr>
                <w:rFonts w:eastAsia="宋体"/>
                <w:sz w:val="24"/>
                <w:szCs w:val="24"/>
              </w:rPr>
            </w:pPr>
            <w:bookmarkStart w:id="104" w:name="_Toc28497"/>
            <w:bookmarkStart w:id="105" w:name="_Toc27347"/>
            <w:r>
              <w:rPr>
                <w:rFonts w:hint="eastAsia" w:eastAsia="宋体"/>
                <w:sz w:val="24"/>
                <w:szCs w:val="24"/>
              </w:rPr>
              <w:t>东环110kV变电站总平面布置图</w:t>
            </w:r>
            <w:bookmarkEnd w:id="104"/>
            <w:bookmarkEnd w:id="105"/>
          </w:p>
          <w:p>
            <w:pPr>
              <w:widowControl/>
              <w:spacing w:line="360" w:lineRule="auto"/>
              <w:ind w:firstLine="480" w:firstLineChars="200"/>
              <w:jc w:val="left"/>
              <w:rPr>
                <w:color w:val="000000"/>
                <w:sz w:val="24"/>
              </w:rPr>
            </w:pPr>
            <w:r>
              <w:rPr>
                <w:rFonts w:hint="eastAsia"/>
                <w:color w:val="000000"/>
                <w:sz w:val="24"/>
              </w:rPr>
              <w:t>东环1</w:t>
            </w:r>
            <w:r>
              <w:rPr>
                <w:color w:val="000000"/>
                <w:sz w:val="24"/>
              </w:rPr>
              <w:t>10kV变电站为户外站，</w:t>
            </w:r>
            <w:r>
              <w:rPr>
                <w:rFonts w:hint="eastAsia"/>
                <w:color w:val="000000"/>
                <w:sz w:val="24"/>
              </w:rPr>
              <w:t>主变位于站区中部，110kV配电装置采用户外HGIS布置，布置在变电站南侧，向南架空出线；配电装置楼位于站区北侧，35kV及10kV配电装置在配电装置楼中，向北电缆出线；无功补偿装置布置在配电装置室西侧，辅助用房位于变电站东部，进站大门位于站区东侧；事故油池位于主变区东侧；化粪池位于辅助用房南侧，110kV配电装置区东侧。</w:t>
            </w:r>
          </w:p>
          <w:p>
            <w:pPr>
              <w:pStyle w:val="5"/>
              <w:numPr>
                <w:ilvl w:val="0"/>
                <w:numId w:val="7"/>
              </w:numPr>
              <w:spacing w:beforeLines="50" w:after="0" w:line="360" w:lineRule="auto"/>
              <w:rPr>
                <w:rFonts w:eastAsia="宋体"/>
                <w:sz w:val="24"/>
                <w:szCs w:val="24"/>
              </w:rPr>
            </w:pPr>
            <w:bookmarkStart w:id="106" w:name="_Toc13681"/>
            <w:bookmarkStart w:id="107" w:name="_Toc31009"/>
            <w:r>
              <w:rPr>
                <w:rFonts w:hint="eastAsia" w:eastAsia="宋体"/>
                <w:sz w:val="24"/>
                <w:szCs w:val="24"/>
              </w:rPr>
              <w:t>七泉湖~红旗π入番南变110千伏线路工程路径走向</w:t>
            </w:r>
            <w:bookmarkEnd w:id="106"/>
            <w:bookmarkEnd w:id="107"/>
          </w:p>
          <w:p>
            <w:pPr>
              <w:autoSpaceDE w:val="0"/>
              <w:autoSpaceDN w:val="0"/>
              <w:adjustRightInd w:val="0"/>
              <w:snapToGrid w:val="0"/>
              <w:spacing w:line="360" w:lineRule="auto"/>
              <w:ind w:firstLine="480" w:firstLineChars="200"/>
              <w:rPr>
                <w:color w:val="000000"/>
                <w:sz w:val="24"/>
              </w:rPr>
            </w:pPr>
            <w:r>
              <w:rPr>
                <w:rFonts w:hint="eastAsia"/>
                <w:color w:val="000000"/>
                <w:sz w:val="24"/>
              </w:rPr>
              <w:t>2条单回线路由原七旗I线</w:t>
            </w:r>
            <w:r>
              <w:rPr>
                <w:color w:val="000000"/>
                <w:sz w:val="24"/>
              </w:rPr>
              <w:t>135</w:t>
            </w:r>
            <w:r>
              <w:rPr>
                <w:rFonts w:hint="eastAsia"/>
                <w:color w:val="000000"/>
                <w:sz w:val="24"/>
              </w:rPr>
              <w:t>号π接点向东架设，转向南大致沿 220千伏吐番南</w:t>
            </w:r>
            <w:r>
              <w:rPr>
                <w:color w:val="000000"/>
                <w:sz w:val="24"/>
              </w:rPr>
              <w:t>Ⅱ</w:t>
            </w:r>
            <w:r>
              <w:rPr>
                <w:rFonts w:hint="eastAsia"/>
                <w:color w:val="000000"/>
                <w:sz w:val="24"/>
              </w:rPr>
              <w:t>线走线，避让基本农田，后转向西南大致沿110k</w:t>
            </w:r>
            <w:r>
              <w:rPr>
                <w:color w:val="000000"/>
                <w:sz w:val="24"/>
              </w:rPr>
              <w:t>V</w:t>
            </w:r>
            <w:r>
              <w:rPr>
                <w:rFonts w:hint="eastAsia"/>
                <w:color w:val="000000"/>
                <w:sz w:val="24"/>
              </w:rPr>
              <w:t>番城线架设至番南变。2条单回线路在番南变进线侧利用</w:t>
            </w:r>
            <w:r>
              <w:rPr>
                <w:color w:val="000000"/>
                <w:sz w:val="24"/>
              </w:rPr>
              <w:t>1</w:t>
            </w:r>
            <w:r>
              <w:rPr>
                <w:rFonts w:hint="eastAsia"/>
                <w:color w:val="000000"/>
                <w:sz w:val="24"/>
              </w:rPr>
              <w:t>基双回终端塔进入站内，本期利用番南变前期已建两个备用间隔。</w:t>
            </w:r>
          </w:p>
          <w:p>
            <w:pPr>
              <w:pStyle w:val="5"/>
              <w:numPr>
                <w:ilvl w:val="0"/>
                <w:numId w:val="7"/>
              </w:numPr>
              <w:spacing w:beforeLines="50" w:after="0" w:line="360" w:lineRule="auto"/>
              <w:rPr>
                <w:rFonts w:eastAsia="宋体"/>
                <w:sz w:val="24"/>
                <w:szCs w:val="24"/>
              </w:rPr>
            </w:pPr>
            <w:bookmarkStart w:id="108" w:name="_Toc27130"/>
            <w:r>
              <w:rPr>
                <w:rFonts w:hint="eastAsia" w:eastAsia="宋体"/>
                <w:sz w:val="24"/>
                <w:szCs w:val="24"/>
              </w:rPr>
              <w:t>七泉湖~番南改接入沙河子变110千伏线路工程路径走向</w:t>
            </w:r>
            <w:bookmarkEnd w:id="108"/>
          </w:p>
          <w:p>
            <w:pPr>
              <w:autoSpaceDE w:val="0"/>
              <w:autoSpaceDN w:val="0"/>
              <w:adjustRightInd w:val="0"/>
              <w:snapToGrid w:val="0"/>
              <w:spacing w:line="360" w:lineRule="auto"/>
              <w:ind w:firstLine="480" w:firstLineChars="200"/>
              <w:rPr>
                <w:color w:val="000000"/>
                <w:sz w:val="24"/>
              </w:rPr>
            </w:pPr>
            <w:r>
              <w:rPr>
                <w:color w:val="000000"/>
                <w:sz w:val="24"/>
              </w:rPr>
              <w:t>1</w:t>
            </w:r>
            <w:r>
              <w:rPr>
                <w:rFonts w:hint="eastAsia"/>
                <w:color w:val="000000"/>
                <w:sz w:val="24"/>
              </w:rPr>
              <w:t>条单回线路由原七旗I线75号改接点向西北架设约1k</w:t>
            </w:r>
            <w:r>
              <w:rPr>
                <w:color w:val="000000"/>
                <w:sz w:val="24"/>
              </w:rPr>
              <w:t>m</w:t>
            </w:r>
            <w:r>
              <w:rPr>
                <w:rFonts w:hint="eastAsia"/>
                <w:color w:val="000000"/>
                <w:sz w:val="24"/>
              </w:rPr>
              <w:t>，利用110千伏交沙</w:t>
            </w:r>
            <w:r>
              <w:rPr>
                <w:color w:val="000000"/>
                <w:sz w:val="24"/>
              </w:rPr>
              <w:t>Ⅱ</w:t>
            </w:r>
            <w:r>
              <w:rPr>
                <w:rFonts w:hint="eastAsia"/>
                <w:color w:val="000000"/>
                <w:sz w:val="24"/>
              </w:rPr>
              <w:t>线接至沙河子变。</w:t>
            </w:r>
          </w:p>
          <w:p>
            <w:pPr>
              <w:pStyle w:val="5"/>
              <w:numPr>
                <w:ilvl w:val="0"/>
                <w:numId w:val="7"/>
              </w:numPr>
              <w:spacing w:beforeLines="50" w:after="0" w:line="360" w:lineRule="auto"/>
              <w:rPr>
                <w:rFonts w:eastAsia="宋体"/>
                <w:sz w:val="24"/>
                <w:szCs w:val="24"/>
              </w:rPr>
            </w:pPr>
            <w:bookmarkStart w:id="109" w:name="_Toc3089"/>
            <w:r>
              <w:rPr>
                <w:rFonts w:hint="eastAsia" w:eastAsia="宋体"/>
                <w:sz w:val="24"/>
                <w:szCs w:val="24"/>
              </w:rPr>
              <w:t>七泉湖~番南改接入交河变110千伏线路工程路径走向</w:t>
            </w:r>
            <w:bookmarkEnd w:id="109"/>
          </w:p>
          <w:p>
            <w:pPr>
              <w:autoSpaceDE w:val="0"/>
              <w:autoSpaceDN w:val="0"/>
              <w:adjustRightInd w:val="0"/>
              <w:snapToGrid w:val="0"/>
              <w:spacing w:line="360" w:lineRule="auto"/>
              <w:ind w:firstLine="480" w:firstLineChars="200"/>
              <w:rPr>
                <w:color w:val="000000"/>
                <w:sz w:val="24"/>
              </w:rPr>
            </w:pPr>
            <w:r>
              <w:rPr>
                <w:color w:val="000000"/>
                <w:sz w:val="24"/>
              </w:rPr>
              <w:t>1</w:t>
            </w:r>
            <w:r>
              <w:rPr>
                <w:rFonts w:hint="eastAsia"/>
                <w:color w:val="000000"/>
                <w:sz w:val="24"/>
              </w:rPr>
              <w:t>条单回线路由原七旗I线7</w:t>
            </w:r>
            <w:r>
              <w:rPr>
                <w:color w:val="000000"/>
                <w:sz w:val="24"/>
              </w:rPr>
              <w:t>6</w:t>
            </w:r>
            <w:r>
              <w:rPr>
                <w:rFonts w:hint="eastAsia"/>
                <w:color w:val="000000"/>
                <w:sz w:val="24"/>
              </w:rPr>
              <w:t>号改接点向西北架设约1k</w:t>
            </w:r>
            <w:r>
              <w:rPr>
                <w:color w:val="000000"/>
                <w:sz w:val="24"/>
              </w:rPr>
              <w:t>m</w:t>
            </w:r>
            <w:r>
              <w:rPr>
                <w:rFonts w:hint="eastAsia"/>
                <w:color w:val="000000"/>
                <w:sz w:val="24"/>
              </w:rPr>
              <w:t>，利用110千伏交沙</w:t>
            </w:r>
            <w:r>
              <w:rPr>
                <w:color w:val="000000"/>
                <w:sz w:val="24"/>
              </w:rPr>
              <w:t>Ⅱ</w:t>
            </w:r>
            <w:r>
              <w:rPr>
                <w:rFonts w:hint="eastAsia"/>
                <w:color w:val="000000"/>
                <w:sz w:val="24"/>
              </w:rPr>
              <w:t>线接至交河变。</w:t>
            </w:r>
          </w:p>
          <w:p>
            <w:pPr>
              <w:pStyle w:val="5"/>
              <w:numPr>
                <w:ilvl w:val="0"/>
                <w:numId w:val="7"/>
              </w:numPr>
              <w:spacing w:beforeLines="50" w:after="0" w:line="360" w:lineRule="auto"/>
              <w:rPr>
                <w:rFonts w:eastAsia="宋体"/>
                <w:sz w:val="24"/>
                <w:szCs w:val="24"/>
              </w:rPr>
            </w:pPr>
            <w:bookmarkStart w:id="110" w:name="_Toc10600"/>
            <w:r>
              <w:rPr>
                <w:rFonts w:hint="eastAsia" w:eastAsia="宋体"/>
                <w:sz w:val="24"/>
                <w:szCs w:val="24"/>
              </w:rPr>
              <w:t>交河~番南π入东环变110千伏线路工程路径走向</w:t>
            </w:r>
            <w:bookmarkEnd w:id="110"/>
          </w:p>
          <w:p>
            <w:pPr>
              <w:autoSpaceDE w:val="0"/>
              <w:autoSpaceDN w:val="0"/>
              <w:adjustRightInd w:val="0"/>
              <w:snapToGrid w:val="0"/>
              <w:spacing w:line="360" w:lineRule="auto"/>
              <w:ind w:firstLine="480" w:firstLineChars="200"/>
              <w:rPr>
                <w:color w:val="000000"/>
                <w:sz w:val="24"/>
              </w:rPr>
            </w:pPr>
            <w:r>
              <w:rPr>
                <w:rFonts w:hint="eastAsia"/>
                <w:color w:val="000000"/>
                <w:sz w:val="24"/>
              </w:rPr>
              <w:t>2条单回线路由原七旗I线</w:t>
            </w:r>
            <w:r>
              <w:rPr>
                <w:color w:val="000000"/>
                <w:sz w:val="24"/>
              </w:rPr>
              <w:t>90</w:t>
            </w:r>
            <w:r>
              <w:rPr>
                <w:rFonts w:hint="eastAsia"/>
                <w:color w:val="000000"/>
                <w:sz w:val="24"/>
              </w:rPr>
              <w:t>号π接点向西南架设，跨越G30连霍高速、110千伏番城线，在城市开发边界东南角转向西，钻越750千伏巴吐</w:t>
            </w:r>
            <w:r>
              <w:rPr>
                <w:color w:val="000000"/>
                <w:sz w:val="24"/>
              </w:rPr>
              <w:t>I</w:t>
            </w:r>
            <w:r>
              <w:rPr>
                <w:rFonts w:hint="eastAsia"/>
                <w:color w:val="000000"/>
                <w:sz w:val="24"/>
              </w:rPr>
              <w:t>线，经进线调整由西南侧接至东环变。2条单回线路在东环变进线侧利用2基双回终端塔单边挂线进入站内。</w:t>
            </w:r>
          </w:p>
          <w:p>
            <w:pPr>
              <w:pStyle w:val="5"/>
              <w:numPr>
                <w:ilvl w:val="0"/>
                <w:numId w:val="7"/>
              </w:numPr>
              <w:spacing w:before="0" w:after="0" w:line="360" w:lineRule="auto"/>
              <w:rPr>
                <w:rFonts w:eastAsia="宋体"/>
                <w:sz w:val="24"/>
                <w:szCs w:val="24"/>
              </w:rPr>
            </w:pPr>
            <w:bookmarkStart w:id="111" w:name="_Toc110439065"/>
            <w:bookmarkEnd w:id="111"/>
            <w:bookmarkStart w:id="112" w:name="_Toc109473403"/>
            <w:bookmarkStart w:id="113" w:name="_Toc109473851"/>
            <w:bookmarkStart w:id="114" w:name="_Toc110439067"/>
            <w:bookmarkStart w:id="115" w:name="_Toc15996"/>
            <w:bookmarkStart w:id="116" w:name="_Toc109473772"/>
            <w:bookmarkStart w:id="117" w:name="_Toc111564287"/>
            <w:bookmarkStart w:id="118" w:name="_Toc2883"/>
            <w:bookmarkStart w:id="119" w:name="_Toc109473538"/>
            <w:bookmarkStart w:id="120" w:name="_Toc109472550"/>
            <w:r>
              <w:rPr>
                <w:rFonts w:hint="eastAsia" w:eastAsia="宋体"/>
                <w:sz w:val="24"/>
                <w:szCs w:val="24"/>
              </w:rPr>
              <w:t>现场布置</w:t>
            </w:r>
            <w:bookmarkEnd w:id="112"/>
            <w:bookmarkEnd w:id="113"/>
            <w:bookmarkEnd w:id="114"/>
            <w:bookmarkEnd w:id="115"/>
            <w:bookmarkEnd w:id="116"/>
            <w:bookmarkEnd w:id="117"/>
            <w:bookmarkEnd w:id="118"/>
            <w:bookmarkEnd w:id="119"/>
            <w:bookmarkEnd w:id="120"/>
          </w:p>
          <w:p>
            <w:pPr>
              <w:pStyle w:val="5"/>
              <w:numPr>
                <w:ilvl w:val="1"/>
                <w:numId w:val="7"/>
              </w:numPr>
              <w:spacing w:before="0" w:after="0" w:line="360" w:lineRule="auto"/>
              <w:rPr>
                <w:rFonts w:eastAsia="宋体"/>
                <w:sz w:val="24"/>
                <w:szCs w:val="24"/>
              </w:rPr>
            </w:pPr>
            <w:bookmarkStart w:id="121" w:name="_Toc109472566"/>
            <w:r>
              <w:rPr>
                <w:rFonts w:hint="eastAsia" w:eastAsia="宋体"/>
                <w:sz w:val="24"/>
                <w:szCs w:val="24"/>
              </w:rPr>
              <w:t>变电站施工现场布置</w:t>
            </w:r>
          </w:p>
          <w:bookmarkEnd w:id="121"/>
          <w:p>
            <w:pPr>
              <w:adjustRightInd w:val="0"/>
              <w:snapToGrid w:val="0"/>
              <w:spacing w:line="360" w:lineRule="auto"/>
              <w:ind w:firstLine="480" w:firstLineChars="200"/>
              <w:rPr>
                <w:color w:val="000000"/>
                <w:sz w:val="24"/>
              </w:rPr>
            </w:pPr>
            <w:r>
              <w:rPr>
                <w:rFonts w:hint="eastAsia"/>
                <w:color w:val="000000"/>
                <w:sz w:val="24"/>
              </w:rPr>
              <w:t>（1）施工用水</w:t>
            </w:r>
          </w:p>
          <w:p>
            <w:pPr>
              <w:adjustRightInd w:val="0"/>
              <w:snapToGrid w:val="0"/>
              <w:spacing w:line="360" w:lineRule="auto"/>
              <w:ind w:firstLine="480" w:firstLineChars="200"/>
              <w:rPr>
                <w:color w:val="000000"/>
                <w:sz w:val="24"/>
              </w:rPr>
            </w:pPr>
            <w:r>
              <w:rPr>
                <w:rFonts w:hint="eastAsia"/>
                <w:color w:val="000000"/>
                <w:sz w:val="24"/>
              </w:rPr>
              <w:t>新建东环变电站附近有葡萄镇自来水供水管网，其中距离较近的托河家园居民小区供水设施完备，考虑利用该供水系统予以解决。</w:t>
            </w:r>
          </w:p>
          <w:p>
            <w:pPr>
              <w:adjustRightInd w:val="0"/>
              <w:snapToGrid w:val="0"/>
              <w:spacing w:line="360" w:lineRule="auto"/>
              <w:ind w:firstLine="480" w:firstLineChars="200"/>
              <w:rPr>
                <w:color w:val="000000"/>
                <w:sz w:val="24"/>
              </w:rPr>
            </w:pPr>
            <w:r>
              <w:rPr>
                <w:rFonts w:hint="eastAsia"/>
                <w:color w:val="000000"/>
                <w:sz w:val="24"/>
              </w:rPr>
              <w:t>（2）施工用电</w:t>
            </w:r>
          </w:p>
          <w:p>
            <w:pPr>
              <w:adjustRightInd w:val="0"/>
              <w:snapToGrid w:val="0"/>
              <w:spacing w:line="360" w:lineRule="auto"/>
              <w:ind w:firstLine="480" w:firstLineChars="200"/>
              <w:rPr>
                <w:color w:val="000000"/>
                <w:sz w:val="24"/>
              </w:rPr>
            </w:pPr>
            <w:r>
              <w:rPr>
                <w:rFonts w:hint="eastAsia"/>
                <w:color w:val="000000"/>
                <w:sz w:val="24"/>
              </w:rPr>
              <w:t>施工电源由站址附近10kV大桥线引接，站外设S13-200kVA/15m(租赁)配变台区1台。</w:t>
            </w:r>
          </w:p>
          <w:p>
            <w:pPr>
              <w:adjustRightInd w:val="0"/>
              <w:snapToGrid w:val="0"/>
              <w:spacing w:line="360" w:lineRule="auto"/>
              <w:ind w:firstLine="480" w:firstLineChars="200"/>
              <w:rPr>
                <w:color w:val="000000"/>
                <w:sz w:val="24"/>
              </w:rPr>
            </w:pPr>
            <w:r>
              <w:rPr>
                <w:rFonts w:hint="eastAsia"/>
                <w:color w:val="000000"/>
                <w:sz w:val="24"/>
              </w:rPr>
              <w:t>（3）施工道路</w:t>
            </w:r>
          </w:p>
          <w:p>
            <w:pPr>
              <w:adjustRightInd w:val="0"/>
              <w:snapToGrid w:val="0"/>
              <w:spacing w:line="360" w:lineRule="auto"/>
              <w:ind w:firstLine="480" w:firstLineChars="200"/>
              <w:rPr>
                <w:color w:val="000000"/>
                <w:sz w:val="24"/>
              </w:rPr>
            </w:pPr>
            <w:r>
              <w:rPr>
                <w:rFonts w:hint="eastAsia"/>
                <w:color w:val="000000"/>
                <w:sz w:val="24"/>
              </w:rPr>
              <w:t>站址东侧有公路，柏油路面，路况良好，满足大件设备运输要求。新建进站道路为混凝土道路50m长、4m宽，占地面积约0.02hm</w:t>
            </w:r>
            <w:r>
              <w:rPr>
                <w:rFonts w:hint="eastAsia"/>
                <w:color w:val="000000"/>
                <w:sz w:val="24"/>
                <w:vertAlign w:val="superscript"/>
              </w:rPr>
              <w:t>2</w:t>
            </w:r>
            <w:r>
              <w:rPr>
                <w:rFonts w:hint="eastAsia"/>
                <w:color w:val="000000"/>
                <w:sz w:val="24"/>
              </w:rPr>
              <w:t>。</w:t>
            </w:r>
          </w:p>
          <w:p>
            <w:pPr>
              <w:adjustRightInd w:val="0"/>
              <w:snapToGrid w:val="0"/>
              <w:spacing w:line="360" w:lineRule="auto"/>
              <w:ind w:firstLine="480" w:firstLineChars="200"/>
              <w:rPr>
                <w:color w:val="000000"/>
                <w:sz w:val="24"/>
              </w:rPr>
            </w:pPr>
            <w:r>
              <w:rPr>
                <w:rFonts w:hint="eastAsia"/>
                <w:color w:val="000000"/>
                <w:sz w:val="24"/>
              </w:rPr>
              <w:t>（4）施工生产生活区</w:t>
            </w:r>
          </w:p>
          <w:p>
            <w:pPr>
              <w:adjustRightInd w:val="0"/>
              <w:snapToGrid w:val="0"/>
              <w:spacing w:line="360" w:lineRule="auto"/>
              <w:ind w:firstLine="480" w:firstLineChars="200"/>
              <w:rPr>
                <w:color w:val="000000"/>
                <w:sz w:val="24"/>
              </w:rPr>
            </w:pPr>
            <w:r>
              <w:rPr>
                <w:rFonts w:hint="eastAsia"/>
                <w:color w:val="000000"/>
                <w:sz w:val="24"/>
              </w:rPr>
              <w:t>考虑到站区内电气设备布局紧凑，无法布置露天材料堆放区、材料加工场地、车辆停放场地，</w:t>
            </w:r>
            <w:r>
              <w:rPr>
                <w:rFonts w:hint="eastAsia"/>
                <w:color w:val="000000"/>
                <w:sz w:val="24"/>
                <w:lang w:bidi="ar"/>
              </w:rPr>
              <w:t>需设置</w:t>
            </w:r>
            <w:r>
              <w:rPr>
                <w:color w:val="000000"/>
                <w:sz w:val="24"/>
                <w:lang w:bidi="ar"/>
              </w:rPr>
              <w:t>1</w:t>
            </w:r>
            <w:r>
              <w:rPr>
                <w:rFonts w:hint="eastAsia"/>
                <w:color w:val="000000"/>
                <w:sz w:val="24"/>
                <w:lang w:bidi="ar"/>
              </w:rPr>
              <w:t>处临时施工生活生产区，用于布设施工人员办公、生活场地，暂时停放施工器械、施工车辆及堆存工程材料等。需搭建钢筋加工棚、仓库板房、生活办公板房等临建设施。所需混凝土均采取外购形式，不设置搅拌站。占地面积约为</w:t>
            </w:r>
            <w:r>
              <w:rPr>
                <w:color w:val="000000"/>
                <w:sz w:val="24"/>
                <w:lang w:bidi="ar"/>
              </w:rPr>
              <w:t>0.50hm</w:t>
            </w:r>
            <w:r>
              <w:rPr>
                <w:rFonts w:hint="eastAsia"/>
                <w:color w:val="000000"/>
                <w:sz w:val="24"/>
                <w:lang w:bidi="ar"/>
              </w:rPr>
              <w:t>²，施工结束后对临建建筑进行拆除，对迹地进行清理平整，恢复至原地貌</w:t>
            </w:r>
            <w:r>
              <w:rPr>
                <w:rFonts w:hint="eastAsia"/>
                <w:color w:val="000000"/>
                <w:sz w:val="24"/>
              </w:rPr>
              <w:t>。</w:t>
            </w:r>
          </w:p>
          <w:p>
            <w:pPr>
              <w:adjustRightInd w:val="0"/>
              <w:snapToGrid w:val="0"/>
              <w:spacing w:line="360" w:lineRule="auto"/>
              <w:ind w:firstLine="480" w:firstLineChars="200"/>
              <w:rPr>
                <w:color w:val="000000"/>
                <w:sz w:val="24"/>
              </w:rPr>
            </w:pPr>
            <w:r>
              <w:rPr>
                <w:rFonts w:hint="eastAsia"/>
                <w:color w:val="000000"/>
                <w:sz w:val="24"/>
              </w:rPr>
              <w:t>（5）其他</w:t>
            </w:r>
          </w:p>
          <w:p>
            <w:pPr>
              <w:adjustRightInd w:val="0"/>
              <w:snapToGrid w:val="0"/>
              <w:spacing w:line="360" w:lineRule="auto"/>
              <w:ind w:firstLine="480" w:firstLineChars="200"/>
              <w:rPr>
                <w:color w:val="000000"/>
                <w:sz w:val="24"/>
                <w:vertAlign w:val="superscript"/>
              </w:rPr>
            </w:pPr>
            <w:r>
              <w:rPr>
                <w:rFonts w:hint="eastAsia"/>
                <w:color w:val="000000"/>
                <w:sz w:val="24"/>
              </w:rPr>
              <w:t>本工程基础现浇采用商品混凝土，利用周边混凝土搅拌站商混，施工现场无需设置砂石料堆场，无永久弃方，不设置弃土场</w:t>
            </w:r>
            <w:r>
              <w:rPr>
                <w:color w:val="000000"/>
                <w:sz w:val="24"/>
              </w:rPr>
              <w:t>。</w:t>
            </w:r>
          </w:p>
          <w:p>
            <w:pPr>
              <w:pStyle w:val="5"/>
              <w:numPr>
                <w:ilvl w:val="1"/>
                <w:numId w:val="7"/>
              </w:numPr>
              <w:spacing w:before="0" w:after="0" w:line="360" w:lineRule="auto"/>
              <w:rPr>
                <w:rFonts w:eastAsia="宋体"/>
                <w:sz w:val="24"/>
                <w:szCs w:val="24"/>
              </w:rPr>
            </w:pPr>
            <w:r>
              <w:rPr>
                <w:rFonts w:hint="eastAsia" w:eastAsia="宋体"/>
                <w:sz w:val="24"/>
                <w:szCs w:val="24"/>
              </w:rPr>
              <w:t>输电线路施工现场布置</w:t>
            </w:r>
          </w:p>
          <w:p>
            <w:pPr>
              <w:adjustRightInd w:val="0"/>
              <w:snapToGrid w:val="0"/>
              <w:spacing w:line="360" w:lineRule="auto"/>
              <w:ind w:firstLine="480" w:firstLineChars="200"/>
              <w:rPr>
                <w:color w:val="000000"/>
                <w:sz w:val="24"/>
              </w:rPr>
            </w:pPr>
            <w:r>
              <w:rPr>
                <w:rFonts w:hint="eastAsia"/>
                <w:color w:val="000000"/>
                <w:sz w:val="24"/>
              </w:rPr>
              <w:t>（1）塔基施工场地</w:t>
            </w:r>
          </w:p>
          <w:p>
            <w:pPr>
              <w:adjustRightInd w:val="0"/>
              <w:snapToGrid w:val="0"/>
              <w:spacing w:line="360" w:lineRule="auto"/>
              <w:ind w:firstLine="480" w:firstLineChars="200"/>
              <w:rPr>
                <w:color w:val="000000"/>
                <w:sz w:val="24"/>
              </w:rPr>
            </w:pPr>
            <w:r>
              <w:rPr>
                <w:rFonts w:hint="eastAsia"/>
                <w:color w:val="000000"/>
                <w:sz w:val="24"/>
              </w:rPr>
              <w:t>在塔基施工过程中需在杆塔外围设置施工场地，用于临时堆置土方、砂石料、水、材料和工具等。本工程新建共100基，塔基永久占地面积为0.56hm</w:t>
            </w:r>
            <w:r>
              <w:rPr>
                <w:rFonts w:hint="eastAsia"/>
                <w:color w:val="000000"/>
                <w:sz w:val="24"/>
                <w:vertAlign w:val="superscript"/>
              </w:rPr>
              <w:t>2</w:t>
            </w:r>
            <w:r>
              <w:rPr>
                <w:rFonts w:hint="eastAsia"/>
                <w:color w:val="000000"/>
                <w:sz w:val="24"/>
              </w:rPr>
              <w:t>，塔基施工场地区临时占地面积约为4.41hm</w:t>
            </w:r>
            <w:r>
              <w:rPr>
                <w:rFonts w:hint="eastAsia"/>
                <w:color w:val="000000"/>
                <w:sz w:val="24"/>
                <w:vertAlign w:val="superscript"/>
              </w:rPr>
              <w:t>2</w:t>
            </w:r>
            <w:r>
              <w:rPr>
                <w:rFonts w:hint="eastAsia"/>
                <w:color w:val="000000"/>
                <w:sz w:val="24"/>
              </w:rPr>
              <w:t>。</w:t>
            </w:r>
          </w:p>
          <w:p>
            <w:pPr>
              <w:adjustRightInd w:val="0"/>
              <w:snapToGrid w:val="0"/>
              <w:spacing w:line="360" w:lineRule="auto"/>
              <w:ind w:firstLine="480" w:firstLineChars="200"/>
              <w:rPr>
                <w:color w:val="000000"/>
                <w:sz w:val="24"/>
              </w:rPr>
            </w:pPr>
            <w:r>
              <w:rPr>
                <w:rFonts w:hint="eastAsia"/>
                <w:color w:val="000000"/>
                <w:sz w:val="24"/>
              </w:rPr>
              <w:t>（2）牵张场地</w:t>
            </w:r>
          </w:p>
          <w:p>
            <w:pPr>
              <w:adjustRightInd w:val="0"/>
              <w:snapToGrid w:val="0"/>
              <w:spacing w:line="360" w:lineRule="auto"/>
              <w:ind w:firstLine="480" w:firstLineChars="200"/>
              <w:rPr>
                <w:color w:val="000000"/>
                <w:sz w:val="24"/>
              </w:rPr>
            </w:pPr>
            <w:r>
              <w:rPr>
                <w:rFonts w:hint="eastAsia"/>
                <w:color w:val="000000"/>
                <w:sz w:val="24"/>
              </w:rPr>
              <w:t>本工程全线共设置牵张场地4处，平均每处占地约0.09hm</w:t>
            </w:r>
            <w:r>
              <w:rPr>
                <w:rFonts w:hint="eastAsia"/>
                <w:color w:val="000000"/>
                <w:sz w:val="24"/>
                <w:vertAlign w:val="superscript"/>
              </w:rPr>
              <w:t>2</w:t>
            </w:r>
            <w:r>
              <w:rPr>
                <w:rFonts w:hint="eastAsia"/>
                <w:color w:val="000000"/>
                <w:sz w:val="24"/>
              </w:rPr>
              <w:t>，共计占地0.36hm</w:t>
            </w:r>
            <w:r>
              <w:rPr>
                <w:rFonts w:hint="eastAsia"/>
                <w:color w:val="000000"/>
                <w:sz w:val="24"/>
                <w:vertAlign w:val="superscript"/>
              </w:rPr>
              <w:t>2</w:t>
            </w:r>
            <w:r>
              <w:rPr>
                <w:rFonts w:hint="eastAsia"/>
                <w:color w:val="000000"/>
                <w:sz w:val="24"/>
              </w:rPr>
              <w:t>。</w:t>
            </w:r>
          </w:p>
          <w:p>
            <w:pPr>
              <w:adjustRightInd w:val="0"/>
              <w:snapToGrid w:val="0"/>
              <w:spacing w:line="360" w:lineRule="auto"/>
              <w:ind w:firstLine="480" w:firstLineChars="200"/>
              <w:rPr>
                <w:color w:val="000000"/>
                <w:sz w:val="24"/>
              </w:rPr>
            </w:pPr>
            <w:r>
              <w:rPr>
                <w:rFonts w:hint="eastAsia"/>
                <w:color w:val="000000"/>
                <w:sz w:val="24"/>
              </w:rPr>
              <w:t>（3）跨越施工场地</w:t>
            </w:r>
          </w:p>
          <w:p>
            <w:pPr>
              <w:adjustRightInd w:val="0"/>
              <w:snapToGrid w:val="0"/>
              <w:spacing w:line="360" w:lineRule="auto"/>
              <w:ind w:firstLine="480" w:firstLineChars="200"/>
              <w:rPr>
                <w:color w:val="000000"/>
                <w:sz w:val="24"/>
              </w:rPr>
            </w:pPr>
            <w:r>
              <w:rPr>
                <w:rFonts w:hint="eastAsia"/>
                <w:color w:val="000000"/>
                <w:sz w:val="24"/>
              </w:rPr>
              <w:t>本工程全线共设置跨越施工场地26处，每处占地面积约0.02hm</w:t>
            </w:r>
            <w:r>
              <w:rPr>
                <w:rFonts w:hint="eastAsia"/>
                <w:color w:val="000000"/>
                <w:sz w:val="24"/>
                <w:vertAlign w:val="superscript"/>
              </w:rPr>
              <w:t>2</w:t>
            </w:r>
            <w:r>
              <w:rPr>
                <w:rFonts w:hint="eastAsia"/>
                <w:color w:val="000000"/>
                <w:sz w:val="24"/>
              </w:rPr>
              <w:t>，共计占地0.52hm</w:t>
            </w:r>
            <w:r>
              <w:rPr>
                <w:rFonts w:hint="eastAsia"/>
                <w:color w:val="000000"/>
                <w:sz w:val="24"/>
                <w:vertAlign w:val="superscript"/>
              </w:rPr>
              <w:t>2</w:t>
            </w:r>
            <w:r>
              <w:rPr>
                <w:rFonts w:hint="eastAsia"/>
                <w:color w:val="000000"/>
                <w:sz w:val="24"/>
              </w:rPr>
              <w:t>。</w:t>
            </w:r>
          </w:p>
          <w:p>
            <w:pPr>
              <w:adjustRightInd w:val="0"/>
              <w:snapToGrid w:val="0"/>
              <w:spacing w:line="360" w:lineRule="auto"/>
              <w:ind w:firstLine="480" w:firstLineChars="200"/>
              <w:rPr>
                <w:color w:val="000000"/>
                <w:sz w:val="24"/>
              </w:rPr>
            </w:pPr>
            <w:r>
              <w:rPr>
                <w:rFonts w:hint="eastAsia"/>
                <w:color w:val="000000"/>
                <w:sz w:val="24"/>
              </w:rPr>
              <w:t>（4）施工便道</w:t>
            </w:r>
          </w:p>
          <w:p>
            <w:pPr>
              <w:adjustRightInd w:val="0"/>
              <w:snapToGrid w:val="0"/>
              <w:spacing w:line="360" w:lineRule="auto"/>
              <w:ind w:firstLine="480" w:firstLineChars="200"/>
              <w:rPr>
                <w:color w:val="000000"/>
                <w:sz w:val="24"/>
              </w:rPr>
            </w:pPr>
            <w:r>
              <w:rPr>
                <w:rFonts w:hint="eastAsia"/>
                <w:color w:val="000000"/>
                <w:sz w:val="24"/>
              </w:rPr>
              <w:t>本工程全线需修建临时施工道路约6km，宽3.5m，施工道路占地面积约2.10hm</w:t>
            </w:r>
            <w:r>
              <w:rPr>
                <w:rFonts w:hint="eastAsia"/>
                <w:color w:val="000000"/>
                <w:sz w:val="24"/>
                <w:vertAlign w:val="superscript"/>
              </w:rPr>
              <w:t>2</w:t>
            </w:r>
            <w:r>
              <w:rPr>
                <w:rFonts w:hint="eastAsia"/>
                <w:color w:val="000000"/>
                <w:sz w:val="24"/>
              </w:rPr>
              <w:t>。</w:t>
            </w:r>
          </w:p>
          <w:p>
            <w:pPr>
              <w:adjustRightInd w:val="0"/>
              <w:snapToGrid w:val="0"/>
              <w:spacing w:line="360" w:lineRule="auto"/>
              <w:ind w:firstLine="480" w:firstLineChars="200"/>
              <w:rPr>
                <w:color w:val="000000"/>
                <w:sz w:val="24"/>
              </w:rPr>
            </w:pPr>
            <w:r>
              <w:rPr>
                <w:rFonts w:hint="eastAsia"/>
                <w:color w:val="000000"/>
                <w:sz w:val="24"/>
              </w:rPr>
              <w:t>（5）拆除塔基区</w:t>
            </w:r>
          </w:p>
          <w:p>
            <w:pPr>
              <w:adjustRightInd w:val="0"/>
              <w:snapToGrid w:val="0"/>
              <w:spacing w:line="360" w:lineRule="auto"/>
              <w:ind w:firstLine="480" w:firstLineChars="200"/>
              <w:rPr>
                <w:color w:val="000000"/>
                <w:sz w:val="24"/>
              </w:rPr>
            </w:pPr>
            <w:r>
              <w:rPr>
                <w:rFonts w:hint="eastAsia"/>
                <w:color w:val="000000"/>
                <w:sz w:val="24"/>
              </w:rPr>
              <w:t>本工程拆除杆塔共8基，全线共设置拆除塔基区6处，每处占地面积约0.02hm</w:t>
            </w:r>
            <w:r>
              <w:rPr>
                <w:rFonts w:hint="eastAsia"/>
                <w:color w:val="000000"/>
                <w:sz w:val="24"/>
                <w:vertAlign w:val="superscript"/>
              </w:rPr>
              <w:t>2</w:t>
            </w:r>
            <w:r>
              <w:rPr>
                <w:rFonts w:hint="eastAsia"/>
                <w:color w:val="000000"/>
                <w:sz w:val="24"/>
              </w:rPr>
              <w:t>，共计占地0.52hm</w:t>
            </w:r>
            <w:r>
              <w:rPr>
                <w:rFonts w:hint="eastAsia"/>
                <w:color w:val="000000"/>
                <w:sz w:val="24"/>
                <w:vertAlign w:val="superscript"/>
              </w:rPr>
              <w:t>2</w:t>
            </w:r>
            <w:r>
              <w:rPr>
                <w:rFonts w:hint="eastAsia"/>
                <w:color w:val="000000"/>
                <w:sz w:val="24"/>
              </w:rPr>
              <w:t>。其中拆除110kV七旗Ⅰ线75#杆塔与110kV交沙Ⅱ线67#杆塔共用1处拆除塔基区；拆除110kV七旗Ⅰ线7</w:t>
            </w:r>
            <w:r>
              <w:rPr>
                <w:color w:val="000000"/>
                <w:sz w:val="24"/>
              </w:rPr>
              <w:t>6</w:t>
            </w:r>
            <w:r>
              <w:rPr>
                <w:rFonts w:hint="eastAsia"/>
                <w:color w:val="000000"/>
                <w:sz w:val="24"/>
              </w:rPr>
              <w:t>#杆塔与110kV交沙Ⅱ线6</w:t>
            </w:r>
            <w:r>
              <w:rPr>
                <w:color w:val="000000"/>
                <w:sz w:val="24"/>
              </w:rPr>
              <w:t>6</w:t>
            </w:r>
            <w:r>
              <w:rPr>
                <w:rFonts w:hint="eastAsia"/>
                <w:color w:val="000000"/>
                <w:sz w:val="24"/>
              </w:rPr>
              <w:t>#杆塔共用1处拆除塔基区。</w:t>
            </w:r>
          </w:p>
          <w:p>
            <w:pPr>
              <w:adjustRightInd w:val="0"/>
              <w:snapToGrid w:val="0"/>
              <w:spacing w:line="360" w:lineRule="auto"/>
              <w:ind w:firstLine="480" w:firstLineChars="200"/>
              <w:rPr>
                <w:color w:val="000000"/>
                <w:sz w:val="24"/>
              </w:rPr>
            </w:pPr>
            <w:r>
              <w:rPr>
                <w:rFonts w:hint="eastAsia"/>
                <w:color w:val="000000"/>
                <w:sz w:val="24"/>
              </w:rPr>
              <w:t>（5）施工生产生活区</w:t>
            </w:r>
          </w:p>
          <w:p>
            <w:pPr>
              <w:adjustRightInd w:val="0"/>
              <w:snapToGrid w:val="0"/>
              <w:spacing w:line="360" w:lineRule="auto"/>
              <w:ind w:firstLine="480" w:firstLineChars="200"/>
              <w:rPr>
                <w:color w:val="000000"/>
                <w:sz w:val="24"/>
              </w:rPr>
            </w:pPr>
            <w:r>
              <w:rPr>
                <w:rFonts w:hint="eastAsia"/>
                <w:color w:val="000000"/>
                <w:sz w:val="24"/>
              </w:rPr>
              <w:t>输电线路沿线不设置施工生产生活区，施工人员就近租用民房。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8" w:type="dxa"/>
            <w:tcBorders>
              <w:top w:val="single" w:color="auto" w:sz="4" w:space="0"/>
              <w:left w:val="single" w:color="auto" w:sz="8" w:space="0"/>
              <w:bottom w:val="single" w:color="auto" w:sz="8" w:space="0"/>
              <w:right w:val="single" w:color="auto" w:sz="4" w:space="0"/>
            </w:tcBorders>
            <w:vAlign w:val="center"/>
          </w:tcPr>
          <w:p>
            <w:pPr>
              <w:adjustRightInd w:val="0"/>
              <w:snapToGrid w:val="0"/>
              <w:jc w:val="center"/>
              <w:rPr>
                <w:b/>
                <w:color w:val="000000"/>
                <w:kern w:val="0"/>
                <w:sz w:val="24"/>
                <w:highlight w:val="yellow"/>
              </w:rPr>
            </w:pPr>
            <w:r>
              <w:rPr>
                <w:b/>
                <w:color w:val="000000"/>
                <w:kern w:val="0"/>
                <w:sz w:val="24"/>
              </w:rPr>
              <w:t>其他</w:t>
            </w:r>
          </w:p>
        </w:tc>
        <w:tc>
          <w:tcPr>
            <w:tcW w:w="8542" w:type="dxa"/>
            <w:tcBorders>
              <w:top w:val="single" w:color="auto" w:sz="4" w:space="0"/>
              <w:left w:val="single" w:color="auto" w:sz="4" w:space="0"/>
              <w:bottom w:val="single" w:color="auto" w:sz="8" w:space="0"/>
              <w:right w:val="single" w:color="auto" w:sz="8" w:space="0"/>
            </w:tcBorders>
            <w:vAlign w:val="center"/>
          </w:tcPr>
          <w:p>
            <w:pPr>
              <w:pStyle w:val="5"/>
              <w:numPr>
                <w:ilvl w:val="0"/>
                <w:numId w:val="8"/>
              </w:numPr>
              <w:spacing w:before="0" w:after="0" w:line="360" w:lineRule="auto"/>
              <w:rPr>
                <w:rFonts w:eastAsia="宋体"/>
                <w:sz w:val="24"/>
                <w:szCs w:val="24"/>
              </w:rPr>
            </w:pPr>
            <w:bookmarkStart w:id="122" w:name="_Toc85036862"/>
            <w:bookmarkStart w:id="123" w:name="_Toc96031274"/>
            <w:bookmarkStart w:id="124" w:name="_Toc95464648"/>
            <w:bookmarkStart w:id="125" w:name="_Toc109473411"/>
            <w:bookmarkStart w:id="126" w:name="_Toc111564297"/>
            <w:bookmarkStart w:id="127" w:name="_Toc109473546"/>
            <w:bookmarkStart w:id="128" w:name="_Toc9096"/>
            <w:bookmarkStart w:id="129" w:name="_Toc96935394"/>
            <w:bookmarkStart w:id="130" w:name="_Toc91493246"/>
            <w:bookmarkStart w:id="131" w:name="_Toc96031357"/>
            <w:bookmarkStart w:id="132" w:name="_Toc109473859"/>
            <w:bookmarkStart w:id="133" w:name="_Toc109473780"/>
            <w:bookmarkStart w:id="134" w:name="_Toc81308132"/>
            <w:bookmarkStart w:id="135" w:name="_Toc81415604"/>
            <w:bookmarkStart w:id="136" w:name="_Toc85037196"/>
            <w:bookmarkStart w:id="137" w:name="_Toc97290430"/>
            <w:bookmarkStart w:id="138" w:name="_Toc91532153"/>
            <w:bookmarkStart w:id="139" w:name="_Toc110439081"/>
            <w:bookmarkStart w:id="140" w:name="_Toc88558502"/>
            <w:bookmarkStart w:id="141" w:name="_Toc97290564"/>
            <w:bookmarkStart w:id="142" w:name="_Toc109472594"/>
            <w:bookmarkStart w:id="143" w:name="_Toc32244"/>
            <w:r>
              <w:rPr>
                <w:rFonts w:eastAsia="宋体"/>
                <w:sz w:val="24"/>
                <w:szCs w:val="24"/>
              </w:rPr>
              <w:t>方案比选</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pPr>
              <w:autoSpaceDE w:val="0"/>
              <w:autoSpaceDN w:val="0"/>
              <w:adjustRightInd w:val="0"/>
              <w:snapToGrid w:val="0"/>
              <w:spacing w:line="360" w:lineRule="auto"/>
              <w:ind w:firstLine="480" w:firstLineChars="200"/>
              <w:rPr>
                <w:color w:val="000000"/>
              </w:rPr>
            </w:pPr>
            <w:r>
              <w:rPr>
                <w:rFonts w:hint="eastAsia"/>
                <w:color w:val="000000"/>
                <w:sz w:val="24"/>
              </w:rPr>
              <w:t>本工程不涉及《建设项目环境影响评价分类管理名录》中规定的环境敏感区，也不涉及《环境影响评价技术导则 生态影响》中3.3生态敏感区，因此本环评不增加选址、选线方案比选的内容。</w:t>
            </w:r>
          </w:p>
          <w:p>
            <w:pPr>
              <w:pStyle w:val="5"/>
              <w:numPr>
                <w:ilvl w:val="0"/>
                <w:numId w:val="8"/>
              </w:numPr>
              <w:spacing w:before="0" w:after="0" w:line="360" w:lineRule="auto"/>
              <w:rPr>
                <w:rFonts w:eastAsia="宋体"/>
                <w:sz w:val="24"/>
                <w:szCs w:val="24"/>
              </w:rPr>
            </w:pPr>
            <w:bookmarkStart w:id="144" w:name="_Toc110439111"/>
            <w:bookmarkEnd w:id="144"/>
            <w:bookmarkStart w:id="145" w:name="_Toc110439110"/>
            <w:bookmarkEnd w:id="145"/>
            <w:bookmarkStart w:id="146" w:name="_Toc110439109"/>
            <w:bookmarkEnd w:id="146"/>
            <w:bookmarkStart w:id="147" w:name="_Toc91493249"/>
            <w:bookmarkStart w:id="148" w:name="_Toc81415605"/>
            <w:bookmarkStart w:id="149" w:name="_Toc85037197"/>
            <w:bookmarkStart w:id="150" w:name="_Toc111564301"/>
            <w:bookmarkStart w:id="151" w:name="_Toc110439134"/>
            <w:bookmarkStart w:id="152" w:name="_Toc97290433"/>
            <w:bookmarkStart w:id="153" w:name="_Toc5433"/>
            <w:bookmarkStart w:id="154" w:name="_Toc96031277"/>
            <w:bookmarkStart w:id="155" w:name="_Toc109473549"/>
            <w:bookmarkStart w:id="156" w:name="_Toc88558503"/>
            <w:bookmarkStart w:id="157" w:name="_Toc96935397"/>
            <w:bookmarkStart w:id="158" w:name="_Toc97290567"/>
            <w:bookmarkStart w:id="159" w:name="_Toc91532156"/>
            <w:bookmarkStart w:id="160" w:name="_Toc95464651"/>
            <w:bookmarkStart w:id="161" w:name="_Toc85036863"/>
            <w:bookmarkStart w:id="162" w:name="_Toc22116"/>
            <w:bookmarkStart w:id="163" w:name="_Toc96031360"/>
            <w:bookmarkStart w:id="164" w:name="_Toc109472608"/>
            <w:bookmarkStart w:id="165" w:name="_Toc81308133"/>
            <w:bookmarkStart w:id="166" w:name="_Toc109473862"/>
            <w:bookmarkStart w:id="167" w:name="_Toc109473783"/>
            <w:r>
              <w:rPr>
                <w:rFonts w:eastAsia="宋体"/>
                <w:sz w:val="24"/>
                <w:szCs w:val="24"/>
              </w:rPr>
              <w:t>项目进展情况及环评工作过程</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pPr>
              <w:keepNext/>
              <w:autoSpaceDE w:val="0"/>
              <w:autoSpaceDN w:val="0"/>
              <w:adjustRightInd w:val="0"/>
              <w:spacing w:line="360" w:lineRule="auto"/>
              <w:ind w:firstLine="480" w:firstLineChars="200"/>
              <w:rPr>
                <w:kern w:val="0"/>
                <w:sz w:val="24"/>
              </w:rPr>
            </w:pPr>
            <w:r>
              <w:rPr>
                <w:rFonts w:hint="eastAsia"/>
                <w:kern w:val="0"/>
                <w:sz w:val="24"/>
              </w:rPr>
              <w:t>南瑞工程技术有限公司于2025年</w:t>
            </w:r>
            <w:r>
              <w:rPr>
                <w:kern w:val="0"/>
                <w:sz w:val="24"/>
              </w:rPr>
              <w:t>8</w:t>
            </w:r>
            <w:r>
              <w:rPr>
                <w:rFonts w:hint="eastAsia"/>
                <w:kern w:val="0"/>
                <w:sz w:val="24"/>
              </w:rPr>
              <w:t>月完成了《吐鲁番东环110千伏输变电工程可行性研究报告》（收口版）。</w:t>
            </w:r>
            <w:r>
              <w:rPr>
                <w:rFonts w:hint="eastAsia"/>
                <w:color w:val="000000"/>
                <w:sz w:val="24"/>
              </w:rPr>
              <w:t>2025年</w:t>
            </w:r>
            <w:r>
              <w:rPr>
                <w:color w:val="000000"/>
                <w:sz w:val="24"/>
              </w:rPr>
              <w:t>9</w:t>
            </w:r>
            <w:r>
              <w:rPr>
                <w:rFonts w:hint="eastAsia"/>
                <w:color w:val="000000"/>
                <w:sz w:val="24"/>
              </w:rPr>
              <w:t>月，国网新疆经研院以《国网新疆经研院关于吐鲁番东环110千伏输变电工程可行性研究评审的意见》（新电经研评审〔2025〕</w:t>
            </w:r>
            <w:r>
              <w:rPr>
                <w:color w:val="000000"/>
                <w:sz w:val="24"/>
              </w:rPr>
              <w:t>454</w:t>
            </w:r>
            <w:r>
              <w:rPr>
                <w:rFonts w:hint="eastAsia"/>
                <w:color w:val="000000"/>
                <w:sz w:val="24"/>
              </w:rPr>
              <w:t>号</w:t>
            </w:r>
            <w:r>
              <w:rPr>
                <w:color w:val="000000"/>
                <w:sz w:val="24"/>
              </w:rPr>
              <w:t>）</w:t>
            </w:r>
            <w:r>
              <w:rPr>
                <w:rFonts w:hint="eastAsia"/>
                <w:color w:val="000000"/>
                <w:sz w:val="24"/>
              </w:rPr>
              <w:t>对本工程可行性研究报告予以评审意见。</w:t>
            </w:r>
            <w:r>
              <w:rPr>
                <w:rFonts w:hint="eastAsia"/>
                <w:kern w:val="0"/>
                <w:sz w:val="24"/>
              </w:rPr>
              <w:t>本次环境影响评价依据该可行性研究报告开展工作。</w:t>
            </w:r>
          </w:p>
          <w:p>
            <w:pPr>
              <w:autoSpaceDE w:val="0"/>
              <w:autoSpaceDN w:val="0"/>
              <w:adjustRightInd w:val="0"/>
              <w:snapToGrid w:val="0"/>
              <w:spacing w:line="360" w:lineRule="auto"/>
              <w:ind w:firstLine="480" w:firstLineChars="200"/>
              <w:rPr>
                <w:color w:val="000000"/>
                <w:sz w:val="24"/>
              </w:rPr>
            </w:pPr>
            <w:r>
              <w:rPr>
                <w:color w:val="000000"/>
                <w:sz w:val="24"/>
              </w:rPr>
              <w:t>受</w:t>
            </w:r>
            <w:r>
              <w:rPr>
                <w:rFonts w:hint="eastAsia"/>
                <w:color w:val="000000"/>
                <w:sz w:val="24"/>
              </w:rPr>
              <w:t>国网新疆电力有限公司吐鲁番供电公司</w:t>
            </w:r>
            <w:r>
              <w:rPr>
                <w:color w:val="000000"/>
                <w:sz w:val="24"/>
              </w:rPr>
              <w:t>委托，中国电力工程顾问集团中南电力设计院有限公司（以下称</w:t>
            </w:r>
            <w:r>
              <w:rPr>
                <w:rFonts w:hint="eastAsia"/>
                <w:color w:val="000000"/>
                <w:sz w:val="24"/>
              </w:rPr>
              <w:t>“</w:t>
            </w:r>
            <w:r>
              <w:rPr>
                <w:color w:val="000000"/>
                <w:sz w:val="24"/>
              </w:rPr>
              <w:t>我公司</w:t>
            </w:r>
            <w:r>
              <w:rPr>
                <w:rFonts w:hint="eastAsia"/>
                <w:color w:val="000000"/>
                <w:sz w:val="24"/>
              </w:rPr>
              <w:t>”</w:t>
            </w:r>
            <w:r>
              <w:rPr>
                <w:color w:val="000000"/>
                <w:sz w:val="24"/>
              </w:rPr>
              <w:t>）承担本工程的环境影响评价工作。接受委托后，我公司对工程所在区域进行了实地踏勘、调查，收集了自然环境有关资料，并委托武汉中电工程检测有限公司进行了电磁环境及声环境的现状监测。在现场踏勘、调查和现状监测的基础上，结合本工程特点及实际情况，根据相关的技术导则要求，进行了环境影响预测及评价，制定了环境保护措施。在上述工作的基础上，</w:t>
            </w:r>
            <w:r>
              <w:rPr>
                <w:rFonts w:hint="eastAsia"/>
                <w:color w:val="000000"/>
                <w:sz w:val="24"/>
              </w:rPr>
              <w:t>我公司</w:t>
            </w:r>
            <w:r>
              <w:rPr>
                <w:color w:val="000000"/>
                <w:sz w:val="24"/>
              </w:rPr>
              <w:t>编制了《</w:t>
            </w:r>
            <w:r>
              <w:rPr>
                <w:rFonts w:hint="eastAsia"/>
                <w:kern w:val="0"/>
                <w:sz w:val="24"/>
              </w:rPr>
              <w:t>吐鲁番东环110千伏输变电工程</w:t>
            </w:r>
            <w:r>
              <w:rPr>
                <w:color w:val="000000"/>
                <w:sz w:val="24"/>
              </w:rPr>
              <w:t>环境影响报告表》。</w:t>
            </w:r>
          </w:p>
        </w:tc>
      </w:tr>
    </w:tbl>
    <w:p>
      <w:pPr>
        <w:pStyle w:val="39"/>
        <w:jc w:val="center"/>
        <w:outlineLvl w:val="0"/>
        <w:rPr>
          <w:rFonts w:ascii="Times New Roman" w:hAnsi="Times New Roman"/>
          <w:b/>
          <w:bCs/>
          <w:snapToGrid w:val="0"/>
          <w:color w:val="000000"/>
          <w:sz w:val="32"/>
          <w:szCs w:val="32"/>
          <w:highlight w:val="yellow"/>
        </w:rPr>
      </w:pPr>
      <w:r>
        <w:rPr>
          <w:rFonts w:ascii="Times New Roman" w:hAnsi="Times New Roman"/>
          <w:b/>
          <w:bCs/>
          <w:color w:val="000000"/>
          <w:highlight w:val="yellow"/>
        </w:rPr>
        <w:br w:type="page"/>
      </w:r>
      <w:bookmarkStart w:id="168" w:name="_Toc111564302"/>
      <w:bookmarkStart w:id="169" w:name="_Toc10507"/>
      <w:bookmarkStart w:id="170" w:name="_Toc23938"/>
      <w:bookmarkStart w:id="171" w:name="_Toc97290434"/>
      <w:r>
        <w:rPr>
          <w:rFonts w:ascii="Times New Roman" w:hAnsi="Times New Roman"/>
          <w:b/>
          <w:bCs/>
          <w:snapToGrid w:val="0"/>
          <w:color w:val="000000"/>
          <w:sz w:val="32"/>
          <w:szCs w:val="32"/>
        </w:rPr>
        <w:t>三、</w:t>
      </w:r>
      <w:r>
        <w:rPr>
          <w:rFonts w:hint="eastAsia" w:ascii="Times New Roman" w:hAnsi="Times New Roman"/>
          <w:b/>
          <w:bCs/>
          <w:snapToGrid w:val="0"/>
          <w:color w:val="000000"/>
          <w:sz w:val="32"/>
          <w:szCs w:val="32"/>
        </w:rPr>
        <w:t>生态现状</w:t>
      </w:r>
      <w:r>
        <w:rPr>
          <w:rFonts w:ascii="Times New Roman" w:hAnsi="Times New Roman"/>
          <w:b/>
          <w:bCs/>
          <w:snapToGrid w:val="0"/>
          <w:color w:val="000000"/>
          <w:sz w:val="32"/>
          <w:szCs w:val="32"/>
        </w:rPr>
        <w:t>、保护目标及评价标准</w:t>
      </w:r>
      <w:bookmarkEnd w:id="168"/>
      <w:bookmarkEnd w:id="169"/>
      <w:bookmarkEnd w:id="170"/>
      <w:bookmarkEnd w:id="171"/>
    </w:p>
    <w:tbl>
      <w:tblPr>
        <w:tblStyle w:val="43"/>
        <w:tblW w:w="87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3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57" w:type="dxa"/>
            <w:vAlign w:val="center"/>
          </w:tcPr>
          <w:p>
            <w:pPr>
              <w:adjustRightInd w:val="0"/>
              <w:snapToGrid w:val="0"/>
              <w:jc w:val="center"/>
              <w:rPr>
                <w:b/>
                <w:color w:val="000000"/>
                <w:kern w:val="0"/>
                <w:szCs w:val="21"/>
                <w:highlight w:val="yellow"/>
              </w:rPr>
            </w:pPr>
            <w:r>
              <w:rPr>
                <w:rFonts w:hint="eastAsia"/>
                <w:b/>
                <w:color w:val="000000"/>
                <w:kern w:val="0"/>
                <w:sz w:val="24"/>
              </w:rPr>
              <w:t>生态现状</w:t>
            </w:r>
          </w:p>
        </w:tc>
        <w:tc>
          <w:tcPr>
            <w:tcW w:w="8316" w:type="dxa"/>
            <w:vAlign w:val="center"/>
          </w:tcPr>
          <w:p>
            <w:pPr>
              <w:pStyle w:val="5"/>
              <w:numPr>
                <w:ilvl w:val="0"/>
                <w:numId w:val="9"/>
              </w:numPr>
              <w:spacing w:before="0" w:after="0" w:line="360" w:lineRule="auto"/>
              <w:rPr>
                <w:rFonts w:eastAsia="宋体"/>
                <w:sz w:val="24"/>
                <w:szCs w:val="24"/>
              </w:rPr>
            </w:pPr>
            <w:bookmarkStart w:id="172" w:name="_Toc85036865"/>
            <w:bookmarkStart w:id="173" w:name="_Toc96935399"/>
            <w:bookmarkStart w:id="174" w:name="_Toc85037199"/>
            <w:bookmarkStart w:id="175" w:name="_Toc96031279"/>
            <w:bookmarkStart w:id="176" w:name="_Toc95464653"/>
            <w:bookmarkStart w:id="177" w:name="_Toc109473864"/>
            <w:bookmarkStart w:id="178" w:name="_Toc16578"/>
            <w:bookmarkStart w:id="179" w:name="_Toc81308135"/>
            <w:bookmarkStart w:id="180" w:name="_Toc96031362"/>
            <w:bookmarkStart w:id="181" w:name="_Toc26743"/>
            <w:bookmarkStart w:id="182" w:name="_Toc109473785"/>
            <w:bookmarkStart w:id="183" w:name="_Toc81415607"/>
            <w:bookmarkStart w:id="184" w:name="_Toc109472612"/>
            <w:bookmarkStart w:id="185" w:name="_Toc109473551"/>
            <w:bookmarkStart w:id="186" w:name="_Toc97290569"/>
            <w:bookmarkStart w:id="187" w:name="_Toc91493251"/>
            <w:bookmarkStart w:id="188" w:name="_Toc91532158"/>
            <w:bookmarkStart w:id="189" w:name="_Toc12066"/>
            <w:bookmarkStart w:id="190" w:name="_Toc111564303"/>
            <w:bookmarkStart w:id="191" w:name="_Toc110439136"/>
            <w:bookmarkStart w:id="192" w:name="_Toc97290435"/>
            <w:bookmarkStart w:id="193" w:name="_Toc88558505"/>
            <w:r>
              <w:rPr>
                <w:rFonts w:eastAsia="宋体"/>
                <w:sz w:val="24"/>
                <w:szCs w:val="24"/>
              </w:rPr>
              <w:t>主体功能区规划和生态功能区划情况</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pPr>
              <w:pStyle w:val="11"/>
              <w:numPr>
                <w:ilvl w:val="0"/>
                <w:numId w:val="10"/>
              </w:numPr>
              <w:spacing w:before="50" w:after="50"/>
              <w:ind w:firstLineChars="0"/>
              <w:rPr>
                <w:b/>
                <w:color w:val="000000"/>
                <w:szCs w:val="24"/>
              </w:rPr>
            </w:pPr>
            <w:r>
              <w:rPr>
                <w:b/>
                <w:color w:val="000000"/>
                <w:szCs w:val="24"/>
              </w:rPr>
              <w:t>主体功能区规划</w:t>
            </w:r>
          </w:p>
          <w:p>
            <w:pPr>
              <w:autoSpaceDE w:val="0"/>
              <w:autoSpaceDN w:val="0"/>
              <w:adjustRightInd w:val="0"/>
              <w:snapToGrid w:val="0"/>
              <w:spacing w:line="360" w:lineRule="auto"/>
              <w:ind w:firstLine="480" w:firstLineChars="200"/>
              <w:rPr>
                <w:color w:val="000000"/>
                <w:sz w:val="24"/>
              </w:rPr>
            </w:pPr>
            <w:r>
              <w:rPr>
                <w:rFonts w:hint="eastAsia"/>
                <w:color w:val="000000"/>
                <w:sz w:val="24"/>
              </w:rPr>
              <w:t>根据</w:t>
            </w:r>
            <w:bookmarkStart w:id="194" w:name="OLE_LINK1"/>
            <w:r>
              <w:rPr>
                <w:rFonts w:hint="eastAsia"/>
                <w:color w:val="000000"/>
                <w:sz w:val="24"/>
              </w:rPr>
              <w:t>《新疆维吾尔自治区主体功能区规划》</w:t>
            </w:r>
            <w:bookmarkEnd w:id="194"/>
            <w:r>
              <w:rPr>
                <w:rFonts w:hint="eastAsia"/>
                <w:color w:val="000000"/>
                <w:sz w:val="24"/>
              </w:rPr>
              <w:t>，新疆国土空间划分为重点开发、限制开发和禁止开发区域；按开发内容，分为城市化地区、农产品主产区和重点生态功能区；按层级，分为国家级和自治区两个层面。本工程位于吐鲁番市高昌区，所在区域不属于国家级、自治区级禁止开发区域，属于《新疆维吾尔自治区主体功能区规划》中划定的国家级农产品主产区，为限制开发区域。</w:t>
            </w:r>
            <w:r>
              <w:rPr>
                <w:sz w:val="24"/>
              </w:rPr>
              <w:t>本工程与主体功能区规划</w:t>
            </w:r>
            <w:r>
              <w:rPr>
                <w:rFonts w:hint="eastAsia"/>
                <w:sz w:val="24"/>
              </w:rPr>
              <w:t>相对位置关系见附图</w:t>
            </w:r>
            <w:r>
              <w:rPr>
                <w:sz w:val="24"/>
              </w:rPr>
              <w:t>3</w:t>
            </w:r>
            <w:r>
              <w:rPr>
                <w:rFonts w:hint="eastAsia"/>
                <w:sz w:val="24"/>
              </w:rPr>
              <w:t>，</w:t>
            </w:r>
            <w:r>
              <w:rPr>
                <w:color w:val="000000"/>
                <w:sz w:val="24"/>
              </w:rPr>
              <w:t>本工程与主体功能区规划相符性分析见</w:t>
            </w:r>
            <w:r>
              <w:rPr>
                <w:color w:val="000000"/>
                <w:sz w:val="24"/>
              </w:rPr>
              <w:fldChar w:fldCharType="begin"/>
            </w:r>
            <w:r>
              <w:rPr>
                <w:color w:val="000000"/>
                <w:sz w:val="24"/>
              </w:rPr>
              <w:instrText xml:space="preserve"> REF _Ref183092076 \h  \* MERGEFORMAT </w:instrText>
            </w:r>
            <w:r>
              <w:rPr>
                <w:color w:val="000000"/>
                <w:sz w:val="24"/>
              </w:rPr>
              <w:fldChar w:fldCharType="separate"/>
            </w:r>
            <w:r>
              <w:rPr>
                <w:rFonts w:hint="eastAsia"/>
                <w:color w:val="000000"/>
                <w:sz w:val="24"/>
              </w:rPr>
              <w:t xml:space="preserve">表 </w:t>
            </w:r>
            <w:r>
              <w:rPr>
                <w:color w:val="000000"/>
                <w:sz w:val="24"/>
              </w:rPr>
              <w:t>6</w:t>
            </w:r>
            <w:r>
              <w:rPr>
                <w:color w:val="000000"/>
                <w:sz w:val="24"/>
              </w:rPr>
              <w:fldChar w:fldCharType="end"/>
            </w:r>
            <w:r>
              <w:rPr>
                <w:color w:val="000000"/>
                <w:sz w:val="24"/>
              </w:rPr>
              <w:t>。</w:t>
            </w:r>
          </w:p>
          <w:p>
            <w:pPr>
              <w:pStyle w:val="18"/>
              <w:rPr>
                <w:color w:val="000000"/>
                <w:sz w:val="24"/>
              </w:rPr>
            </w:pPr>
            <w:bookmarkStart w:id="195" w:name="_Ref183092076"/>
            <w:r>
              <w:rPr>
                <w:rFonts w:hint="eastAsia"/>
                <w:b/>
                <w:bCs/>
                <w:color w:val="000000"/>
                <w:szCs w:val="16"/>
              </w:rPr>
              <w:t xml:space="preserve">表 </w:t>
            </w:r>
            <w:r>
              <w:rPr>
                <w:rFonts w:ascii="Times New Roman" w:hAnsi="Times New Roman"/>
                <w:b/>
                <w:bCs/>
                <w:color w:val="000000"/>
                <w:szCs w:val="16"/>
              </w:rPr>
              <w:fldChar w:fldCharType="begin"/>
            </w:r>
            <w:r>
              <w:rPr>
                <w:rFonts w:ascii="Times New Roman" w:hAnsi="Times New Roman"/>
                <w:b/>
                <w:bCs/>
                <w:color w:val="000000"/>
                <w:szCs w:val="16"/>
              </w:rPr>
              <w:instrText xml:space="preserve"> SEQ 表 \* ARABIC </w:instrText>
            </w:r>
            <w:r>
              <w:rPr>
                <w:rFonts w:ascii="Times New Roman" w:hAnsi="Times New Roman"/>
                <w:b/>
                <w:bCs/>
                <w:color w:val="000000"/>
                <w:szCs w:val="16"/>
              </w:rPr>
              <w:fldChar w:fldCharType="separate"/>
            </w:r>
            <w:r>
              <w:rPr>
                <w:rFonts w:ascii="Times New Roman" w:hAnsi="Times New Roman"/>
                <w:b/>
                <w:bCs/>
                <w:color w:val="000000"/>
                <w:szCs w:val="16"/>
              </w:rPr>
              <w:t>6</w:t>
            </w:r>
            <w:r>
              <w:rPr>
                <w:rFonts w:ascii="Times New Roman" w:hAnsi="Times New Roman"/>
                <w:b/>
                <w:bCs/>
                <w:color w:val="000000"/>
                <w:szCs w:val="16"/>
              </w:rPr>
              <w:fldChar w:fldCharType="end"/>
            </w:r>
            <w:bookmarkEnd w:id="195"/>
            <w:r>
              <w:rPr>
                <w:rFonts w:hint="eastAsia"/>
                <w:b/>
                <w:bCs/>
                <w:color w:val="000000"/>
                <w:szCs w:val="16"/>
              </w:rPr>
              <w:t xml:space="preserve">                   </w:t>
            </w:r>
            <w:r>
              <w:rPr>
                <w:b/>
                <w:bCs/>
                <w:color w:val="000000"/>
                <w:szCs w:val="16"/>
              </w:rPr>
              <w:t>本工程与主体功能区规划相符性分析</w:t>
            </w:r>
          </w:p>
          <w:tbl>
            <w:tblPr>
              <w:tblStyle w:val="43"/>
              <w:tblW w:w="8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8"/>
              <w:gridCol w:w="2208"/>
              <w:gridCol w:w="1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5" w:hRule="atLeast"/>
                <w:jc w:val="center"/>
              </w:trPr>
              <w:tc>
                <w:tcPr>
                  <w:tcW w:w="2834" w:type="pct"/>
                  <w:vAlign w:val="center"/>
                </w:tcPr>
                <w:p>
                  <w:pPr>
                    <w:pStyle w:val="11"/>
                    <w:spacing w:line="240" w:lineRule="auto"/>
                    <w:ind w:firstLine="0" w:firstLineChars="0"/>
                    <w:jc w:val="center"/>
                    <w:rPr>
                      <w:b/>
                      <w:color w:val="000000"/>
                      <w:sz w:val="21"/>
                      <w:szCs w:val="21"/>
                    </w:rPr>
                  </w:pPr>
                  <w:r>
                    <w:rPr>
                      <w:b/>
                      <w:color w:val="000000"/>
                      <w:sz w:val="21"/>
                      <w:szCs w:val="21"/>
                    </w:rPr>
                    <w:t>限制开发区域（</w:t>
                  </w:r>
                  <w:r>
                    <w:rPr>
                      <w:rFonts w:hint="eastAsia"/>
                      <w:b/>
                      <w:color w:val="000000"/>
                      <w:sz w:val="21"/>
                      <w:szCs w:val="21"/>
                    </w:rPr>
                    <w:t>农产品主产区</w:t>
                  </w:r>
                  <w:r>
                    <w:rPr>
                      <w:b/>
                      <w:color w:val="000000"/>
                      <w:sz w:val="21"/>
                      <w:szCs w:val="21"/>
                    </w:rPr>
                    <w:t>）开发原则</w:t>
                  </w:r>
                </w:p>
              </w:tc>
              <w:tc>
                <w:tcPr>
                  <w:tcW w:w="1358" w:type="pct"/>
                  <w:vAlign w:val="center"/>
                </w:tcPr>
                <w:p>
                  <w:pPr>
                    <w:pStyle w:val="11"/>
                    <w:spacing w:line="240" w:lineRule="auto"/>
                    <w:ind w:firstLine="0" w:firstLineChars="0"/>
                    <w:jc w:val="center"/>
                    <w:rPr>
                      <w:b/>
                      <w:color w:val="000000"/>
                      <w:sz w:val="21"/>
                      <w:szCs w:val="21"/>
                    </w:rPr>
                  </w:pPr>
                  <w:r>
                    <w:rPr>
                      <w:b/>
                      <w:color w:val="000000"/>
                      <w:sz w:val="21"/>
                      <w:szCs w:val="21"/>
                    </w:rPr>
                    <w:t>本工程建设情况</w:t>
                  </w:r>
                </w:p>
              </w:tc>
              <w:tc>
                <w:tcPr>
                  <w:tcW w:w="807" w:type="pct"/>
                  <w:vAlign w:val="center"/>
                </w:tcPr>
                <w:p>
                  <w:pPr>
                    <w:pStyle w:val="11"/>
                    <w:spacing w:line="240" w:lineRule="auto"/>
                    <w:ind w:firstLine="0" w:firstLineChars="0"/>
                    <w:jc w:val="center"/>
                    <w:rPr>
                      <w:b/>
                      <w:color w:val="000000"/>
                      <w:sz w:val="21"/>
                      <w:szCs w:val="21"/>
                    </w:rPr>
                  </w:pPr>
                  <w:r>
                    <w:rPr>
                      <w:b/>
                      <w:color w:val="000000"/>
                      <w:sz w:val="21"/>
                      <w:szCs w:val="21"/>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34" w:type="pct"/>
                  <w:vAlign w:val="center"/>
                </w:tcPr>
                <w:p>
                  <w:pPr>
                    <w:pStyle w:val="11"/>
                    <w:spacing w:line="240" w:lineRule="auto"/>
                    <w:ind w:firstLine="0" w:firstLineChars="0"/>
                    <w:rPr>
                      <w:color w:val="000000"/>
                      <w:sz w:val="21"/>
                      <w:szCs w:val="21"/>
                    </w:rPr>
                  </w:pPr>
                  <w:r>
                    <w:rPr>
                      <w:rFonts w:hint="eastAsia"/>
                      <w:color w:val="000000"/>
                      <w:sz w:val="21"/>
                      <w:szCs w:val="21"/>
                    </w:rPr>
                    <w:t>加强土地整治，搞好规划，统筹安排、连片推进，加快中低产田改造，鼓励农民开展土壤改良。</w:t>
                  </w:r>
                </w:p>
              </w:tc>
              <w:tc>
                <w:tcPr>
                  <w:tcW w:w="1358" w:type="pct"/>
                  <w:vAlign w:val="center"/>
                </w:tcPr>
                <w:p>
                  <w:pPr>
                    <w:pStyle w:val="11"/>
                    <w:spacing w:line="240" w:lineRule="auto"/>
                    <w:ind w:firstLine="0" w:firstLineChars="0"/>
                    <w:jc w:val="center"/>
                    <w:rPr>
                      <w:color w:val="000000"/>
                      <w:sz w:val="21"/>
                      <w:szCs w:val="21"/>
                    </w:rPr>
                  </w:pPr>
                  <w:r>
                    <w:rPr>
                      <w:color w:val="000000"/>
                      <w:sz w:val="21"/>
                      <w:szCs w:val="21"/>
                    </w:rPr>
                    <w:t>不涉及</w:t>
                  </w:r>
                </w:p>
              </w:tc>
              <w:tc>
                <w:tcPr>
                  <w:tcW w:w="807" w:type="pct"/>
                  <w:vAlign w:val="center"/>
                </w:tcPr>
                <w:p>
                  <w:pPr>
                    <w:pStyle w:val="11"/>
                    <w:spacing w:line="240" w:lineRule="auto"/>
                    <w:ind w:firstLine="0" w:firstLineChars="0"/>
                    <w:jc w:val="center"/>
                    <w:rPr>
                      <w:color w:val="000000"/>
                      <w:sz w:val="21"/>
                      <w:szCs w:val="21"/>
                    </w:rPr>
                  </w:pPr>
                  <w:r>
                    <w:rPr>
                      <w:rFonts w:hint="eastAsia"/>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34" w:type="pct"/>
                  <w:vAlign w:val="center"/>
                </w:tcPr>
                <w:p>
                  <w:pPr>
                    <w:pStyle w:val="11"/>
                    <w:spacing w:line="240" w:lineRule="auto"/>
                    <w:ind w:firstLine="0" w:firstLineChars="0"/>
                    <w:rPr>
                      <w:color w:val="000000"/>
                      <w:sz w:val="21"/>
                      <w:szCs w:val="21"/>
                    </w:rPr>
                  </w:pPr>
                  <w:r>
                    <w:rPr>
                      <w:rFonts w:hint="eastAsia"/>
                      <w:color w:val="000000"/>
                      <w:sz w:val="21"/>
                      <w:szCs w:val="21"/>
                    </w:rPr>
                    <w:t>加强水利设施建设，加快水源工程、大中型灌区配套和节水改造工程建设。</w:t>
                  </w:r>
                </w:p>
              </w:tc>
              <w:tc>
                <w:tcPr>
                  <w:tcW w:w="1358" w:type="pct"/>
                  <w:vAlign w:val="center"/>
                </w:tcPr>
                <w:p>
                  <w:pPr>
                    <w:pStyle w:val="11"/>
                    <w:spacing w:line="240" w:lineRule="auto"/>
                    <w:ind w:firstLine="0" w:firstLineChars="0"/>
                    <w:jc w:val="center"/>
                    <w:rPr>
                      <w:color w:val="000000"/>
                      <w:sz w:val="21"/>
                      <w:szCs w:val="21"/>
                    </w:rPr>
                  </w:pPr>
                  <w:r>
                    <w:rPr>
                      <w:color w:val="000000"/>
                      <w:sz w:val="21"/>
                      <w:szCs w:val="21"/>
                    </w:rPr>
                    <w:t>不涉及</w:t>
                  </w:r>
                </w:p>
              </w:tc>
              <w:tc>
                <w:tcPr>
                  <w:tcW w:w="807" w:type="pct"/>
                  <w:vAlign w:val="center"/>
                </w:tcPr>
                <w:p>
                  <w:pPr>
                    <w:pStyle w:val="11"/>
                    <w:spacing w:line="240" w:lineRule="auto"/>
                    <w:ind w:firstLine="0" w:firstLineChars="0"/>
                    <w:jc w:val="center"/>
                    <w:rPr>
                      <w:color w:val="000000"/>
                      <w:sz w:val="21"/>
                      <w:szCs w:val="21"/>
                    </w:rPr>
                  </w:pPr>
                  <w:r>
                    <w:rPr>
                      <w:rFonts w:hint="eastAsia"/>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834" w:type="pct"/>
                  <w:vAlign w:val="center"/>
                </w:tcPr>
                <w:p>
                  <w:pPr>
                    <w:pStyle w:val="11"/>
                    <w:spacing w:line="240" w:lineRule="auto"/>
                    <w:ind w:firstLine="0" w:firstLineChars="0"/>
                    <w:jc w:val="center"/>
                    <w:rPr>
                      <w:color w:val="000000"/>
                      <w:sz w:val="21"/>
                      <w:szCs w:val="21"/>
                    </w:rPr>
                  </w:pPr>
                  <w:r>
                    <w:rPr>
                      <w:rFonts w:hint="eastAsia"/>
                      <w:color w:val="000000"/>
                      <w:sz w:val="21"/>
                      <w:szCs w:val="21"/>
                    </w:rPr>
                    <w:t>加强人工影响天气能力建设。</w:t>
                  </w:r>
                </w:p>
              </w:tc>
              <w:tc>
                <w:tcPr>
                  <w:tcW w:w="1358" w:type="pct"/>
                  <w:vAlign w:val="center"/>
                </w:tcPr>
                <w:p>
                  <w:pPr>
                    <w:pStyle w:val="11"/>
                    <w:spacing w:line="240" w:lineRule="auto"/>
                    <w:ind w:firstLine="0" w:firstLineChars="0"/>
                    <w:jc w:val="center"/>
                    <w:rPr>
                      <w:color w:val="000000"/>
                      <w:sz w:val="21"/>
                      <w:szCs w:val="21"/>
                    </w:rPr>
                  </w:pPr>
                  <w:r>
                    <w:rPr>
                      <w:color w:val="000000"/>
                      <w:sz w:val="21"/>
                      <w:szCs w:val="21"/>
                    </w:rPr>
                    <w:t>不涉及</w:t>
                  </w:r>
                </w:p>
              </w:tc>
              <w:tc>
                <w:tcPr>
                  <w:tcW w:w="807" w:type="pct"/>
                  <w:vAlign w:val="center"/>
                </w:tcPr>
                <w:p>
                  <w:pPr>
                    <w:pStyle w:val="11"/>
                    <w:spacing w:line="240" w:lineRule="auto"/>
                    <w:ind w:firstLine="0" w:firstLineChars="0"/>
                    <w:jc w:val="center"/>
                    <w:rPr>
                      <w:color w:val="000000"/>
                      <w:sz w:val="21"/>
                      <w:szCs w:val="21"/>
                    </w:rPr>
                  </w:pPr>
                  <w:r>
                    <w:rPr>
                      <w:rFonts w:hint="eastAsia"/>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34" w:type="pct"/>
                  <w:vAlign w:val="center"/>
                </w:tcPr>
                <w:p>
                  <w:pPr>
                    <w:pStyle w:val="11"/>
                    <w:spacing w:line="240" w:lineRule="auto"/>
                    <w:ind w:firstLine="0" w:firstLineChars="0"/>
                    <w:rPr>
                      <w:color w:val="000000"/>
                      <w:sz w:val="21"/>
                      <w:szCs w:val="21"/>
                    </w:rPr>
                  </w:pPr>
                  <w:r>
                    <w:rPr>
                      <w:rFonts w:hint="eastAsia"/>
                      <w:color w:val="000000"/>
                      <w:sz w:val="21"/>
                      <w:szCs w:val="21"/>
                    </w:rPr>
                    <w:t>优化农牧业生产布局和品种结构，搞好农牧业布局规划，科学确定各区域农牧业发展重点，形成优势突出和特色鲜明的农牧业产业带和生产区。</w:t>
                  </w:r>
                </w:p>
              </w:tc>
              <w:tc>
                <w:tcPr>
                  <w:tcW w:w="1358" w:type="pct"/>
                  <w:vAlign w:val="center"/>
                </w:tcPr>
                <w:p>
                  <w:pPr>
                    <w:pStyle w:val="11"/>
                    <w:spacing w:line="240" w:lineRule="auto"/>
                    <w:ind w:firstLine="0" w:firstLineChars="0"/>
                    <w:jc w:val="center"/>
                    <w:rPr>
                      <w:color w:val="000000"/>
                      <w:sz w:val="21"/>
                      <w:szCs w:val="21"/>
                    </w:rPr>
                  </w:pPr>
                  <w:r>
                    <w:rPr>
                      <w:color w:val="000000"/>
                      <w:sz w:val="21"/>
                      <w:szCs w:val="21"/>
                    </w:rPr>
                    <w:t>不涉及</w:t>
                  </w:r>
                </w:p>
              </w:tc>
              <w:tc>
                <w:tcPr>
                  <w:tcW w:w="807" w:type="pct"/>
                  <w:vAlign w:val="center"/>
                </w:tcPr>
                <w:p>
                  <w:pPr>
                    <w:pStyle w:val="11"/>
                    <w:spacing w:line="240" w:lineRule="auto"/>
                    <w:ind w:firstLine="0" w:firstLineChars="0"/>
                    <w:jc w:val="center"/>
                    <w:rPr>
                      <w:color w:val="000000"/>
                      <w:sz w:val="21"/>
                      <w:szCs w:val="21"/>
                    </w:rPr>
                  </w:pPr>
                  <w:r>
                    <w:rPr>
                      <w:rFonts w:hint="eastAsia"/>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34" w:type="pct"/>
                  <w:vAlign w:val="center"/>
                </w:tcPr>
                <w:p>
                  <w:pPr>
                    <w:pStyle w:val="11"/>
                    <w:spacing w:line="240" w:lineRule="auto"/>
                    <w:ind w:firstLine="0" w:firstLineChars="0"/>
                    <w:rPr>
                      <w:color w:val="000000"/>
                      <w:sz w:val="21"/>
                      <w:szCs w:val="21"/>
                    </w:rPr>
                  </w:pPr>
                  <w:r>
                    <w:rPr>
                      <w:rFonts w:hint="eastAsia"/>
                      <w:color w:val="000000"/>
                      <w:sz w:val="21"/>
                      <w:szCs w:val="21"/>
                    </w:rPr>
                    <w:t>支持优势农产品主产区农产品加工、流通、储运设施的建设，引导农牧产品加工、流通、储运企业向优势产区聚集。</w:t>
                  </w:r>
                </w:p>
              </w:tc>
              <w:tc>
                <w:tcPr>
                  <w:tcW w:w="1358" w:type="pct"/>
                  <w:vAlign w:val="center"/>
                </w:tcPr>
                <w:p>
                  <w:pPr>
                    <w:pStyle w:val="11"/>
                    <w:spacing w:line="240" w:lineRule="auto"/>
                    <w:ind w:firstLine="0" w:firstLineChars="0"/>
                    <w:jc w:val="center"/>
                    <w:rPr>
                      <w:color w:val="000000"/>
                      <w:sz w:val="21"/>
                      <w:szCs w:val="21"/>
                    </w:rPr>
                  </w:pPr>
                  <w:r>
                    <w:rPr>
                      <w:color w:val="000000"/>
                      <w:sz w:val="21"/>
                      <w:szCs w:val="21"/>
                    </w:rPr>
                    <w:t>不涉及</w:t>
                  </w:r>
                </w:p>
              </w:tc>
              <w:tc>
                <w:tcPr>
                  <w:tcW w:w="807" w:type="pct"/>
                  <w:vAlign w:val="center"/>
                </w:tcPr>
                <w:p>
                  <w:pPr>
                    <w:pStyle w:val="11"/>
                    <w:spacing w:line="240" w:lineRule="auto"/>
                    <w:ind w:firstLine="0" w:firstLineChars="0"/>
                    <w:jc w:val="center"/>
                    <w:rPr>
                      <w:color w:val="000000"/>
                      <w:sz w:val="21"/>
                      <w:szCs w:val="21"/>
                    </w:rPr>
                  </w:pPr>
                  <w:r>
                    <w:rPr>
                      <w:rFonts w:hint="eastAsia"/>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34" w:type="pct"/>
                  <w:vAlign w:val="center"/>
                </w:tcPr>
                <w:p>
                  <w:pPr>
                    <w:pStyle w:val="11"/>
                    <w:spacing w:line="240" w:lineRule="auto"/>
                    <w:ind w:firstLine="0" w:firstLineChars="0"/>
                    <w:rPr>
                      <w:color w:val="000000"/>
                      <w:sz w:val="21"/>
                      <w:szCs w:val="21"/>
                    </w:rPr>
                  </w:pPr>
                  <w:r>
                    <w:rPr>
                      <w:rFonts w:hint="eastAsia"/>
                      <w:color w:val="000000"/>
                      <w:sz w:val="21"/>
                      <w:szCs w:val="21"/>
                    </w:rPr>
                    <w:t>粮食主产区要进一步提高粮食生产能力，在保护生态前提下，集中力量在基础条件好的地区加大标准化粮田建设力度，形成稳定的粮食生产供应能力，建设国家粮食安全后备基地。</w:t>
                  </w:r>
                </w:p>
              </w:tc>
              <w:tc>
                <w:tcPr>
                  <w:tcW w:w="1358" w:type="pct"/>
                  <w:vAlign w:val="center"/>
                </w:tcPr>
                <w:p>
                  <w:pPr>
                    <w:pStyle w:val="11"/>
                    <w:spacing w:line="240" w:lineRule="auto"/>
                    <w:ind w:firstLine="0" w:firstLineChars="0"/>
                    <w:jc w:val="center"/>
                    <w:rPr>
                      <w:color w:val="000000"/>
                      <w:sz w:val="21"/>
                      <w:szCs w:val="21"/>
                    </w:rPr>
                  </w:pPr>
                  <w:r>
                    <w:rPr>
                      <w:color w:val="000000"/>
                      <w:sz w:val="21"/>
                      <w:szCs w:val="21"/>
                    </w:rPr>
                    <w:t>不涉及</w:t>
                  </w:r>
                </w:p>
              </w:tc>
              <w:tc>
                <w:tcPr>
                  <w:tcW w:w="807" w:type="pct"/>
                  <w:vAlign w:val="center"/>
                </w:tcPr>
                <w:p>
                  <w:pPr>
                    <w:pStyle w:val="11"/>
                    <w:spacing w:line="240" w:lineRule="auto"/>
                    <w:ind w:firstLine="0" w:firstLineChars="0"/>
                    <w:jc w:val="center"/>
                    <w:rPr>
                      <w:color w:val="000000"/>
                      <w:sz w:val="21"/>
                      <w:szCs w:val="21"/>
                    </w:rPr>
                  </w:pPr>
                  <w:r>
                    <w:rPr>
                      <w:rFonts w:hint="eastAsia"/>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34" w:type="pct"/>
                  <w:vAlign w:val="center"/>
                </w:tcPr>
                <w:p>
                  <w:pPr>
                    <w:pStyle w:val="11"/>
                    <w:spacing w:line="240" w:lineRule="auto"/>
                    <w:ind w:firstLine="0" w:firstLineChars="0"/>
                    <w:rPr>
                      <w:color w:val="000000"/>
                      <w:sz w:val="21"/>
                      <w:szCs w:val="21"/>
                    </w:rPr>
                  </w:pPr>
                  <w:r>
                    <w:rPr>
                      <w:rFonts w:hint="eastAsia"/>
                      <w:color w:val="000000"/>
                      <w:sz w:val="21"/>
                      <w:szCs w:val="21"/>
                    </w:rPr>
                    <w:t>大力发展棉花、油料和糖类生产，鼓励发挥优势，着力提高品质和单产，积极开展高标准节水灌溉、全机械化等工程建设。</w:t>
                  </w:r>
                </w:p>
              </w:tc>
              <w:tc>
                <w:tcPr>
                  <w:tcW w:w="1358" w:type="pct"/>
                  <w:vAlign w:val="center"/>
                </w:tcPr>
                <w:p>
                  <w:pPr>
                    <w:pStyle w:val="11"/>
                    <w:spacing w:line="240" w:lineRule="auto"/>
                    <w:ind w:firstLine="0" w:firstLineChars="0"/>
                    <w:jc w:val="center"/>
                    <w:rPr>
                      <w:color w:val="000000"/>
                      <w:sz w:val="21"/>
                      <w:szCs w:val="21"/>
                    </w:rPr>
                  </w:pPr>
                  <w:r>
                    <w:rPr>
                      <w:color w:val="000000"/>
                      <w:sz w:val="21"/>
                      <w:szCs w:val="21"/>
                    </w:rPr>
                    <w:t>不涉及</w:t>
                  </w:r>
                </w:p>
              </w:tc>
              <w:tc>
                <w:tcPr>
                  <w:tcW w:w="807" w:type="pct"/>
                  <w:vAlign w:val="center"/>
                </w:tcPr>
                <w:p>
                  <w:pPr>
                    <w:pStyle w:val="11"/>
                    <w:spacing w:line="240" w:lineRule="auto"/>
                    <w:ind w:firstLine="0" w:firstLineChars="0"/>
                    <w:jc w:val="center"/>
                    <w:rPr>
                      <w:color w:val="000000"/>
                      <w:sz w:val="21"/>
                      <w:szCs w:val="21"/>
                    </w:rPr>
                  </w:pPr>
                  <w:r>
                    <w:rPr>
                      <w:rFonts w:hint="eastAsia"/>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34" w:type="pct"/>
                  <w:vAlign w:val="center"/>
                </w:tcPr>
                <w:p>
                  <w:pPr>
                    <w:pStyle w:val="11"/>
                    <w:spacing w:line="240" w:lineRule="auto"/>
                    <w:ind w:firstLine="0" w:firstLineChars="0"/>
                    <w:rPr>
                      <w:color w:val="000000"/>
                      <w:sz w:val="21"/>
                      <w:szCs w:val="21"/>
                    </w:rPr>
                  </w:pPr>
                  <w:r>
                    <w:rPr>
                      <w:rFonts w:hint="eastAsia"/>
                      <w:color w:val="000000"/>
                      <w:sz w:val="21"/>
                      <w:szCs w:val="21"/>
                    </w:rPr>
                    <w:t>加强草原保护与建设，建立和完善草原保护制度，提高草原生产能力，转变草原畜牧业经营方式，强化草原监督管理和监测预警工作。</w:t>
                  </w:r>
                </w:p>
              </w:tc>
              <w:tc>
                <w:tcPr>
                  <w:tcW w:w="1358" w:type="pct"/>
                  <w:vAlign w:val="center"/>
                </w:tcPr>
                <w:p>
                  <w:pPr>
                    <w:pStyle w:val="11"/>
                    <w:spacing w:line="240" w:lineRule="auto"/>
                    <w:ind w:firstLine="0" w:firstLineChars="0"/>
                    <w:jc w:val="center"/>
                    <w:rPr>
                      <w:color w:val="000000"/>
                      <w:sz w:val="21"/>
                      <w:szCs w:val="21"/>
                    </w:rPr>
                  </w:pPr>
                  <w:r>
                    <w:rPr>
                      <w:color w:val="000000"/>
                      <w:sz w:val="21"/>
                      <w:szCs w:val="21"/>
                    </w:rPr>
                    <w:t>不涉及</w:t>
                  </w:r>
                </w:p>
              </w:tc>
              <w:tc>
                <w:tcPr>
                  <w:tcW w:w="807" w:type="pct"/>
                  <w:vAlign w:val="center"/>
                </w:tcPr>
                <w:p>
                  <w:pPr>
                    <w:pStyle w:val="11"/>
                    <w:spacing w:line="240" w:lineRule="auto"/>
                    <w:ind w:firstLine="0" w:firstLineChars="0"/>
                    <w:jc w:val="center"/>
                    <w:rPr>
                      <w:color w:val="000000"/>
                      <w:sz w:val="21"/>
                      <w:szCs w:val="21"/>
                    </w:rPr>
                  </w:pPr>
                  <w:r>
                    <w:rPr>
                      <w:rFonts w:hint="eastAsia"/>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34" w:type="pct"/>
                  <w:vAlign w:val="center"/>
                </w:tcPr>
                <w:p>
                  <w:pPr>
                    <w:pStyle w:val="11"/>
                    <w:spacing w:line="240" w:lineRule="auto"/>
                    <w:ind w:firstLine="0" w:firstLineChars="0"/>
                    <w:rPr>
                      <w:color w:val="000000"/>
                      <w:sz w:val="21"/>
                      <w:szCs w:val="21"/>
                    </w:rPr>
                  </w:pPr>
                  <w:r>
                    <w:rPr>
                      <w:rFonts w:hint="eastAsia"/>
                      <w:color w:val="000000"/>
                      <w:sz w:val="21"/>
                      <w:szCs w:val="21"/>
                    </w:rPr>
                    <w:t>优化开发方式，发展循环农业，促进农业资源的永续利用，鼓励和支持农牧产品加工副产物的综合利用，加强农业面源污染防治。</w:t>
                  </w:r>
                </w:p>
              </w:tc>
              <w:tc>
                <w:tcPr>
                  <w:tcW w:w="1358" w:type="pct"/>
                  <w:vAlign w:val="center"/>
                </w:tcPr>
                <w:p>
                  <w:pPr>
                    <w:pStyle w:val="11"/>
                    <w:spacing w:line="240" w:lineRule="auto"/>
                    <w:ind w:firstLine="0" w:firstLineChars="0"/>
                    <w:jc w:val="center"/>
                    <w:rPr>
                      <w:color w:val="000000"/>
                      <w:sz w:val="21"/>
                      <w:szCs w:val="21"/>
                    </w:rPr>
                  </w:pPr>
                  <w:r>
                    <w:rPr>
                      <w:color w:val="000000"/>
                      <w:sz w:val="21"/>
                      <w:szCs w:val="21"/>
                    </w:rPr>
                    <w:t>不涉及</w:t>
                  </w:r>
                </w:p>
              </w:tc>
              <w:tc>
                <w:tcPr>
                  <w:tcW w:w="807" w:type="pct"/>
                  <w:vAlign w:val="center"/>
                </w:tcPr>
                <w:p>
                  <w:pPr>
                    <w:pStyle w:val="11"/>
                    <w:spacing w:line="240" w:lineRule="auto"/>
                    <w:ind w:firstLine="0" w:firstLineChars="0"/>
                    <w:jc w:val="center"/>
                    <w:rPr>
                      <w:color w:val="000000"/>
                      <w:sz w:val="21"/>
                      <w:szCs w:val="21"/>
                    </w:rPr>
                  </w:pPr>
                  <w:r>
                    <w:rPr>
                      <w:rFonts w:hint="eastAsia"/>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34" w:type="pct"/>
                  <w:vAlign w:val="center"/>
                </w:tcPr>
                <w:p>
                  <w:pPr>
                    <w:pStyle w:val="11"/>
                    <w:spacing w:line="240" w:lineRule="auto"/>
                    <w:ind w:firstLine="0" w:firstLineChars="0"/>
                    <w:jc w:val="center"/>
                    <w:rPr>
                      <w:color w:val="000000"/>
                      <w:sz w:val="21"/>
                      <w:szCs w:val="21"/>
                    </w:rPr>
                  </w:pPr>
                  <w:r>
                    <w:rPr>
                      <w:rFonts w:hint="eastAsia"/>
                      <w:color w:val="000000"/>
                      <w:sz w:val="21"/>
                      <w:szCs w:val="21"/>
                    </w:rPr>
                    <w:t>加强农业基础设施建设，改善农业生产条件。</w:t>
                  </w:r>
                </w:p>
              </w:tc>
              <w:tc>
                <w:tcPr>
                  <w:tcW w:w="1358" w:type="pct"/>
                  <w:vAlign w:val="center"/>
                </w:tcPr>
                <w:p>
                  <w:pPr>
                    <w:pStyle w:val="11"/>
                    <w:spacing w:line="240" w:lineRule="auto"/>
                    <w:ind w:firstLine="0" w:firstLineChars="0"/>
                    <w:jc w:val="center"/>
                    <w:rPr>
                      <w:color w:val="000000"/>
                      <w:sz w:val="21"/>
                      <w:szCs w:val="21"/>
                    </w:rPr>
                  </w:pPr>
                  <w:r>
                    <w:rPr>
                      <w:color w:val="000000"/>
                      <w:sz w:val="21"/>
                      <w:szCs w:val="21"/>
                    </w:rPr>
                    <w:t>不涉及</w:t>
                  </w:r>
                </w:p>
              </w:tc>
              <w:tc>
                <w:tcPr>
                  <w:tcW w:w="807" w:type="pct"/>
                  <w:vAlign w:val="center"/>
                </w:tcPr>
                <w:p>
                  <w:pPr>
                    <w:pStyle w:val="11"/>
                    <w:spacing w:line="240" w:lineRule="auto"/>
                    <w:ind w:firstLine="0" w:firstLineChars="0"/>
                    <w:jc w:val="center"/>
                    <w:rPr>
                      <w:color w:val="000000"/>
                      <w:sz w:val="21"/>
                      <w:szCs w:val="21"/>
                    </w:rPr>
                  </w:pPr>
                  <w:r>
                    <w:rPr>
                      <w:rFonts w:hint="eastAsia"/>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34" w:type="pct"/>
                  <w:vAlign w:val="center"/>
                </w:tcPr>
                <w:p>
                  <w:pPr>
                    <w:pStyle w:val="11"/>
                    <w:spacing w:line="240" w:lineRule="auto"/>
                    <w:ind w:firstLine="0" w:firstLineChars="0"/>
                    <w:rPr>
                      <w:color w:val="000000"/>
                      <w:sz w:val="21"/>
                      <w:szCs w:val="21"/>
                    </w:rPr>
                  </w:pPr>
                  <w:r>
                    <w:rPr>
                      <w:rFonts w:hint="eastAsia"/>
                      <w:color w:val="000000"/>
                      <w:sz w:val="21"/>
                      <w:szCs w:val="21"/>
                    </w:rPr>
                    <w:t>积极推进农业的规模化、产业化经营，发展农产品深加工，拓展农村就业和增收领域。</w:t>
                  </w:r>
                </w:p>
              </w:tc>
              <w:tc>
                <w:tcPr>
                  <w:tcW w:w="1358" w:type="pct"/>
                  <w:vAlign w:val="center"/>
                </w:tcPr>
                <w:p>
                  <w:pPr>
                    <w:pStyle w:val="11"/>
                    <w:spacing w:line="240" w:lineRule="auto"/>
                    <w:ind w:firstLine="0" w:firstLineChars="0"/>
                    <w:jc w:val="center"/>
                    <w:rPr>
                      <w:color w:val="000000"/>
                      <w:sz w:val="21"/>
                      <w:szCs w:val="21"/>
                    </w:rPr>
                  </w:pPr>
                  <w:r>
                    <w:rPr>
                      <w:color w:val="000000"/>
                      <w:sz w:val="21"/>
                      <w:szCs w:val="21"/>
                    </w:rPr>
                    <w:t>不涉及</w:t>
                  </w:r>
                </w:p>
              </w:tc>
              <w:tc>
                <w:tcPr>
                  <w:tcW w:w="807" w:type="pct"/>
                  <w:vAlign w:val="center"/>
                </w:tcPr>
                <w:p>
                  <w:pPr>
                    <w:pStyle w:val="11"/>
                    <w:spacing w:line="240" w:lineRule="auto"/>
                    <w:ind w:firstLine="0" w:firstLineChars="0"/>
                    <w:jc w:val="center"/>
                    <w:rPr>
                      <w:color w:val="000000"/>
                      <w:sz w:val="21"/>
                      <w:szCs w:val="21"/>
                    </w:rPr>
                  </w:pPr>
                  <w:r>
                    <w:rPr>
                      <w:rFonts w:hint="eastAsia"/>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34" w:type="pct"/>
                  <w:vAlign w:val="center"/>
                </w:tcPr>
                <w:p>
                  <w:pPr>
                    <w:pStyle w:val="11"/>
                    <w:spacing w:line="240" w:lineRule="auto"/>
                    <w:ind w:firstLine="0" w:firstLineChars="0"/>
                    <w:rPr>
                      <w:color w:val="000000"/>
                      <w:sz w:val="21"/>
                      <w:szCs w:val="21"/>
                    </w:rPr>
                  </w:pPr>
                  <w:r>
                    <w:rPr>
                      <w:rFonts w:hint="eastAsia"/>
                      <w:color w:val="000000"/>
                      <w:sz w:val="21"/>
                      <w:szCs w:val="21"/>
                    </w:rPr>
                    <w:t>以县域为重点推进城镇建设和非农产业发展，加强县城和乡镇公共服务设施建设，完善小城镇公共服务和居住功能。</w:t>
                  </w:r>
                </w:p>
              </w:tc>
              <w:tc>
                <w:tcPr>
                  <w:tcW w:w="1358" w:type="pct"/>
                  <w:vAlign w:val="center"/>
                </w:tcPr>
                <w:p>
                  <w:pPr>
                    <w:pStyle w:val="11"/>
                    <w:spacing w:line="240" w:lineRule="auto"/>
                    <w:ind w:firstLine="0" w:firstLineChars="0"/>
                    <w:rPr>
                      <w:color w:val="000000"/>
                      <w:sz w:val="21"/>
                      <w:szCs w:val="21"/>
                    </w:rPr>
                  </w:pPr>
                  <w:r>
                    <w:rPr>
                      <w:rFonts w:hint="eastAsia"/>
                      <w:color w:val="000000"/>
                      <w:sz w:val="21"/>
                      <w:szCs w:val="21"/>
                    </w:rPr>
                    <w:t>本工程为输变电建设项目，为基础设施项目，</w:t>
                  </w:r>
                  <w:r>
                    <w:rPr>
                      <w:color w:val="000000"/>
                      <w:sz w:val="21"/>
                      <w:szCs w:val="21"/>
                    </w:rPr>
                    <w:t>项目实施后可以提高区域电网供应能力</w:t>
                  </w:r>
                  <w:r>
                    <w:rPr>
                      <w:rFonts w:hint="eastAsia"/>
                      <w:color w:val="000000"/>
                      <w:sz w:val="21"/>
                      <w:szCs w:val="21"/>
                    </w:rPr>
                    <w:t>，</w:t>
                  </w:r>
                  <w:r>
                    <w:rPr>
                      <w:color w:val="000000"/>
                      <w:sz w:val="21"/>
                      <w:szCs w:val="21"/>
                    </w:rPr>
                    <w:t>保障供电可靠性和稳定性</w:t>
                  </w:r>
                  <w:r>
                    <w:rPr>
                      <w:rFonts w:hint="eastAsia"/>
                      <w:color w:val="000000"/>
                      <w:sz w:val="21"/>
                      <w:szCs w:val="21"/>
                    </w:rPr>
                    <w:t>，</w:t>
                  </w:r>
                  <w:r>
                    <w:rPr>
                      <w:color w:val="000000"/>
                      <w:sz w:val="21"/>
                      <w:szCs w:val="21"/>
                    </w:rPr>
                    <w:t>提高公共服务供给能力。</w:t>
                  </w:r>
                </w:p>
              </w:tc>
              <w:tc>
                <w:tcPr>
                  <w:tcW w:w="807" w:type="pct"/>
                  <w:vAlign w:val="center"/>
                </w:tcPr>
                <w:p>
                  <w:pPr>
                    <w:pStyle w:val="11"/>
                    <w:spacing w:line="240" w:lineRule="auto"/>
                    <w:ind w:firstLine="0" w:firstLineChars="0"/>
                    <w:jc w:val="center"/>
                    <w:rPr>
                      <w:color w:val="000000"/>
                      <w:sz w:val="21"/>
                      <w:szCs w:val="21"/>
                    </w:rPr>
                  </w:pPr>
                  <w:r>
                    <w:rPr>
                      <w:color w:val="000000"/>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34" w:type="pct"/>
                  <w:vAlign w:val="center"/>
                </w:tcPr>
                <w:p>
                  <w:pPr>
                    <w:pStyle w:val="11"/>
                    <w:spacing w:line="240" w:lineRule="auto"/>
                    <w:ind w:firstLine="0" w:firstLineChars="0"/>
                    <w:rPr>
                      <w:color w:val="000000"/>
                      <w:sz w:val="21"/>
                      <w:szCs w:val="21"/>
                    </w:rPr>
                  </w:pPr>
                  <w:r>
                    <w:rPr>
                      <w:rFonts w:hint="eastAsia"/>
                      <w:color w:val="000000"/>
                      <w:sz w:val="21"/>
                      <w:szCs w:val="21"/>
                    </w:rPr>
                    <w:t>农村居民点以及农村基础设施和公共服务设施的建设，要统筹考虑人口迁移等因素，适度集中、集约布局。</w:t>
                  </w:r>
                </w:p>
              </w:tc>
              <w:tc>
                <w:tcPr>
                  <w:tcW w:w="1358" w:type="pct"/>
                  <w:vAlign w:val="center"/>
                </w:tcPr>
                <w:p>
                  <w:pPr>
                    <w:pStyle w:val="11"/>
                    <w:spacing w:line="240" w:lineRule="auto"/>
                    <w:ind w:firstLine="0" w:firstLineChars="0"/>
                    <w:jc w:val="center"/>
                    <w:rPr>
                      <w:color w:val="000000"/>
                      <w:sz w:val="21"/>
                      <w:szCs w:val="21"/>
                    </w:rPr>
                  </w:pPr>
                  <w:r>
                    <w:rPr>
                      <w:rFonts w:hint="eastAsia"/>
                      <w:color w:val="000000"/>
                      <w:sz w:val="21"/>
                      <w:szCs w:val="21"/>
                    </w:rPr>
                    <w:t>不涉及。</w:t>
                  </w:r>
                </w:p>
              </w:tc>
              <w:tc>
                <w:tcPr>
                  <w:tcW w:w="807" w:type="pct"/>
                  <w:vAlign w:val="center"/>
                </w:tcPr>
                <w:p>
                  <w:pPr>
                    <w:pStyle w:val="11"/>
                    <w:spacing w:line="240" w:lineRule="auto"/>
                    <w:ind w:firstLine="0" w:firstLineChars="0"/>
                    <w:jc w:val="center"/>
                    <w:rPr>
                      <w:color w:val="000000"/>
                      <w:sz w:val="21"/>
                      <w:szCs w:val="21"/>
                    </w:rPr>
                  </w:pPr>
                  <w:r>
                    <w:rPr>
                      <w:rFonts w:hint="eastAsia"/>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34" w:type="pct"/>
                  <w:vAlign w:val="center"/>
                </w:tcPr>
                <w:p>
                  <w:pPr>
                    <w:pStyle w:val="11"/>
                    <w:spacing w:line="240" w:lineRule="auto"/>
                    <w:ind w:firstLine="0" w:firstLineChars="0"/>
                    <w:rPr>
                      <w:color w:val="000000"/>
                      <w:sz w:val="21"/>
                      <w:szCs w:val="21"/>
                    </w:rPr>
                  </w:pPr>
                  <w:r>
                    <w:rPr>
                      <w:rFonts w:hint="eastAsia"/>
                      <w:color w:val="000000"/>
                      <w:sz w:val="21"/>
                      <w:szCs w:val="21"/>
                    </w:rPr>
                    <w:t>重视农产品主产区土壤环境的保护，避免在农产品主产区内以及周边布局易造成农产品污染的产业。</w:t>
                  </w:r>
                </w:p>
              </w:tc>
              <w:tc>
                <w:tcPr>
                  <w:tcW w:w="1358" w:type="pct"/>
                  <w:vAlign w:val="center"/>
                </w:tcPr>
                <w:p>
                  <w:pPr>
                    <w:pStyle w:val="11"/>
                    <w:spacing w:line="240" w:lineRule="auto"/>
                    <w:ind w:firstLine="0" w:firstLineChars="0"/>
                    <w:jc w:val="center"/>
                    <w:rPr>
                      <w:color w:val="000000"/>
                      <w:sz w:val="21"/>
                      <w:szCs w:val="21"/>
                    </w:rPr>
                  </w:pPr>
                  <w:r>
                    <w:rPr>
                      <w:rFonts w:hint="eastAsia"/>
                      <w:color w:val="000000"/>
                      <w:sz w:val="21"/>
                      <w:szCs w:val="21"/>
                    </w:rPr>
                    <w:t>不涉及。</w:t>
                  </w:r>
                </w:p>
              </w:tc>
              <w:tc>
                <w:tcPr>
                  <w:tcW w:w="807" w:type="pct"/>
                  <w:vAlign w:val="center"/>
                </w:tcPr>
                <w:p>
                  <w:pPr>
                    <w:pStyle w:val="11"/>
                    <w:spacing w:line="240" w:lineRule="auto"/>
                    <w:ind w:firstLine="0" w:firstLineChars="0"/>
                    <w:jc w:val="center"/>
                    <w:rPr>
                      <w:color w:val="000000"/>
                      <w:sz w:val="21"/>
                      <w:szCs w:val="21"/>
                    </w:rPr>
                  </w:pPr>
                  <w:r>
                    <w:rPr>
                      <w:rFonts w:hint="eastAsia"/>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34" w:type="pct"/>
                  <w:vAlign w:val="center"/>
                </w:tcPr>
                <w:p>
                  <w:pPr>
                    <w:pStyle w:val="11"/>
                    <w:spacing w:line="240" w:lineRule="auto"/>
                    <w:ind w:firstLine="0" w:firstLineChars="0"/>
                    <w:rPr>
                      <w:color w:val="000000"/>
                      <w:sz w:val="21"/>
                      <w:szCs w:val="21"/>
                    </w:rPr>
                  </w:pPr>
                  <w:r>
                    <w:rPr>
                      <w:rFonts w:hint="eastAsia"/>
                      <w:color w:val="000000"/>
                      <w:sz w:val="21"/>
                      <w:szCs w:val="21"/>
                    </w:rPr>
                    <w:t>位于农产品主产区的点状能源和矿产资源基地建设，必须进行生态环境影响评估，并尽可能减少对生态空间与农业空间的占用，同步修复生态环境。</w:t>
                  </w:r>
                </w:p>
              </w:tc>
              <w:tc>
                <w:tcPr>
                  <w:tcW w:w="1358" w:type="pct"/>
                  <w:vAlign w:val="center"/>
                </w:tcPr>
                <w:p>
                  <w:pPr>
                    <w:pStyle w:val="11"/>
                    <w:spacing w:line="240" w:lineRule="auto"/>
                    <w:ind w:firstLine="0" w:firstLineChars="0"/>
                    <w:rPr>
                      <w:color w:val="000000"/>
                      <w:sz w:val="21"/>
                      <w:szCs w:val="21"/>
                    </w:rPr>
                  </w:pPr>
                  <w:r>
                    <w:rPr>
                      <w:color w:val="000000"/>
                      <w:sz w:val="21"/>
                      <w:szCs w:val="21"/>
                    </w:rPr>
                    <w:t>本工程</w:t>
                  </w:r>
                  <w:r>
                    <w:rPr>
                      <w:rFonts w:hint="eastAsia"/>
                      <w:color w:val="000000"/>
                      <w:sz w:val="21"/>
                      <w:szCs w:val="21"/>
                    </w:rPr>
                    <w:t>将按照法律法规要求开展环境影响评价工作。</w:t>
                  </w:r>
                </w:p>
              </w:tc>
              <w:tc>
                <w:tcPr>
                  <w:tcW w:w="807" w:type="pct"/>
                  <w:vAlign w:val="center"/>
                </w:tcPr>
                <w:p>
                  <w:pPr>
                    <w:pStyle w:val="11"/>
                    <w:spacing w:line="240" w:lineRule="auto"/>
                    <w:ind w:firstLine="0" w:firstLineChars="0"/>
                    <w:jc w:val="center"/>
                    <w:rPr>
                      <w:color w:val="000000"/>
                      <w:sz w:val="21"/>
                      <w:szCs w:val="21"/>
                    </w:rPr>
                  </w:pPr>
                  <w:r>
                    <w:rPr>
                      <w:color w:val="000000"/>
                      <w:sz w:val="21"/>
                      <w:szCs w:val="21"/>
                    </w:rPr>
                    <w:t>相符</w:t>
                  </w:r>
                </w:p>
              </w:tc>
            </w:tr>
          </w:tbl>
          <w:p>
            <w:pPr>
              <w:pStyle w:val="11"/>
              <w:spacing w:before="120" w:beforeLines="50"/>
              <w:rPr>
                <w:color w:val="000000"/>
              </w:rPr>
            </w:pPr>
            <w:r>
              <w:rPr>
                <w:rFonts w:hint="eastAsia"/>
                <w:color w:val="000000"/>
              </w:rPr>
              <w:t>综上所述，本工程建设与《新疆维吾尔自治区主体功能区规划》相符。</w:t>
            </w:r>
          </w:p>
          <w:p>
            <w:pPr>
              <w:pStyle w:val="11"/>
              <w:rPr>
                <w:color w:val="000000"/>
              </w:rPr>
            </w:pPr>
            <w:r>
              <w:rPr>
                <w:rFonts w:hint="eastAsia"/>
                <w:color w:val="000000"/>
              </w:rPr>
              <w:t>根据《新疆维吾尔自治区吐鲁番国土空间规划（2021</w:t>
            </w:r>
            <w:r>
              <w:rPr>
                <w:color w:val="000000"/>
              </w:rPr>
              <w:t>-</w:t>
            </w:r>
            <w:r>
              <w:rPr>
                <w:rFonts w:hint="eastAsia"/>
                <w:color w:val="000000"/>
              </w:rPr>
              <w:t>2035 年）》，吐鲁番地区生态保护总格局为“一屏、多脉、五片、多点”的生态保护总格局，即天山山脉生态屏障；4条重要水系生态廊道，10条主要水系生态廊道及坎儿井生态系统、千里葡萄生态长廊；南部绿洲生态保护片、北部绿洲生态保护片、火焰山保护片、库木塔格沙漠保护片、罗布泊野骆驼保护片；水库、水源地等保护点。针对生态保护红线，将科学划定生态保护红线，严格管控，树立生态底线思维，建立严格的生态保护红线保护和监督体系。</w:t>
            </w:r>
          </w:p>
          <w:p>
            <w:pPr>
              <w:pStyle w:val="11"/>
              <w:rPr>
                <w:color w:val="000000"/>
              </w:rPr>
            </w:pPr>
            <w:r>
              <w:rPr>
                <w:rFonts w:hint="eastAsia"/>
                <w:color w:val="000000"/>
              </w:rPr>
              <w:t>本工程生态影响评价范围内不涉及生态保护红线，无自然保护区及自然公园，工程建设对工程所在区域生态影响较小；本工程为电力基础设施建设工程，有利于提升供电稳定性，构建城镇空间结构，促进经济社会发展，符合《新疆维吾尔自治区吐鲁番国土空间规划（2021</w:t>
            </w:r>
            <w:r>
              <w:rPr>
                <w:color w:val="000000"/>
              </w:rPr>
              <w:t>-</w:t>
            </w:r>
            <w:r>
              <w:rPr>
                <w:rFonts w:hint="eastAsia"/>
                <w:color w:val="000000"/>
              </w:rPr>
              <w:t>2035 年）》。</w:t>
            </w:r>
          </w:p>
          <w:p>
            <w:pPr>
              <w:pStyle w:val="11"/>
              <w:numPr>
                <w:ilvl w:val="0"/>
                <w:numId w:val="10"/>
              </w:numPr>
              <w:spacing w:before="50" w:after="50"/>
              <w:ind w:firstLineChars="0"/>
              <w:rPr>
                <w:b/>
                <w:color w:val="000000"/>
                <w:szCs w:val="24"/>
              </w:rPr>
            </w:pPr>
            <w:r>
              <w:rPr>
                <w:b/>
                <w:color w:val="000000"/>
                <w:szCs w:val="24"/>
              </w:rPr>
              <w:t>生态功能区划</w:t>
            </w:r>
          </w:p>
          <w:p>
            <w:pPr>
              <w:pStyle w:val="11"/>
              <w:ind w:firstLineChars="0"/>
              <w:rPr>
                <w:color w:val="000000"/>
                <w:szCs w:val="24"/>
              </w:rPr>
            </w:pPr>
            <w:r>
              <w:rPr>
                <w:rFonts w:hint="eastAsia"/>
                <w:color w:val="000000"/>
                <w:szCs w:val="24"/>
              </w:rPr>
              <w:t>根据《新疆生态功能区划》，全区生态功能分区共分为一级区划（5个生态区）、二级区划（18个生态亚区）、三级区划（76个生态功能区）。</w:t>
            </w:r>
          </w:p>
          <w:p>
            <w:pPr>
              <w:pStyle w:val="11"/>
              <w:rPr>
                <w:color w:val="000000"/>
                <w:szCs w:val="24"/>
              </w:rPr>
            </w:pPr>
            <w:r>
              <w:rPr>
                <w:rFonts w:hint="eastAsia"/>
                <w:szCs w:val="24"/>
              </w:rPr>
              <w:t>本工程与新疆生态功能区划相对位置关系见附图</w:t>
            </w:r>
            <w:r>
              <w:rPr>
                <w:szCs w:val="24"/>
              </w:rPr>
              <w:t>4</w:t>
            </w:r>
            <w:r>
              <w:rPr>
                <w:rFonts w:hint="eastAsia"/>
                <w:szCs w:val="24"/>
              </w:rPr>
              <w:t>，项目</w:t>
            </w:r>
            <w:r>
              <w:rPr>
                <w:rFonts w:hint="eastAsia"/>
                <w:color w:val="000000"/>
                <w:szCs w:val="24"/>
              </w:rPr>
              <w:t>区域属于</w:t>
            </w:r>
            <w:r>
              <w:rPr>
                <w:rFonts w:hint="eastAsia"/>
                <w:szCs w:val="24"/>
              </w:rPr>
              <w:t>Ⅲ天山山地温性草原、森林生态区—Ⅲ4天山南坡吐鲁番—哈密盆地戈壁荒漠、绿洲农业生态亚区—51.吐鲁番盆地绿洲外围防风固沙、油气开发生态功能区。</w:t>
            </w:r>
          </w:p>
          <w:p>
            <w:pPr>
              <w:pStyle w:val="11"/>
              <w:rPr>
                <w:color w:val="000000"/>
                <w:szCs w:val="24"/>
              </w:rPr>
            </w:pPr>
            <w:r>
              <w:rPr>
                <w:rFonts w:hint="eastAsia"/>
                <w:color w:val="000000"/>
                <w:szCs w:val="24"/>
              </w:rPr>
              <w:t>该生态功能区主要生态服务功能为油气资源、荒漠化控制；主要生态环境问题为油气污染、风沙危害、土壤风蚀；主要生态敏感因子、敏感程度为土壤侵蚀极度敏感，土地沙漠化轻度敏感；主要保护目标为保护地下水、保护荒漠植被和砾幕；针对这些问题，应实行规范油气勘探开采作业、废弃物无害化处理铁路公路沿线采用机械和生物措施防风防洪、节约用水等保护措施；适宜发展方向为发展特色种植业，建设农业生态示范区，合理发展煤炭产业。</w:t>
            </w:r>
          </w:p>
          <w:p>
            <w:pPr>
              <w:pStyle w:val="11"/>
              <w:rPr>
                <w:color w:val="000000"/>
                <w:szCs w:val="24"/>
              </w:rPr>
            </w:pPr>
            <w:r>
              <w:rPr>
                <w:rFonts w:hint="eastAsia"/>
                <w:color w:val="000000"/>
                <w:szCs w:val="24"/>
              </w:rPr>
              <w:t>本工程为输变电建设项目，施工期工程建设对周围生态环境造成的影响较小，在采取相关环境保护措施后，不利影响可以得到有效减缓，且施工结束后，影响即消失。运行期主要污染因子为工频电场、工频磁场、噪声，不会造成工程所在区域生态功能区中主要的人为干扰范围扩大，符合《新疆维吾尔自治区生态功能区划》。</w:t>
            </w:r>
          </w:p>
          <w:p>
            <w:pPr>
              <w:pStyle w:val="5"/>
              <w:numPr>
                <w:ilvl w:val="0"/>
                <w:numId w:val="9"/>
              </w:numPr>
              <w:spacing w:before="0" w:after="0" w:line="360" w:lineRule="auto"/>
              <w:rPr>
                <w:rFonts w:eastAsia="宋体"/>
                <w:sz w:val="24"/>
                <w:szCs w:val="24"/>
              </w:rPr>
            </w:pPr>
            <w:bookmarkStart w:id="196" w:name="_Toc96031280"/>
            <w:bookmarkStart w:id="197" w:name="_Toc85036866"/>
            <w:bookmarkStart w:id="198" w:name="_Toc81308136"/>
            <w:bookmarkStart w:id="199" w:name="_Toc97290436"/>
            <w:bookmarkStart w:id="200" w:name="_Toc95464654"/>
            <w:bookmarkStart w:id="201" w:name="_Toc88558506"/>
            <w:bookmarkStart w:id="202" w:name="_Toc26151"/>
            <w:bookmarkStart w:id="203" w:name="_Toc96031363"/>
            <w:bookmarkStart w:id="204" w:name="_Toc11494"/>
            <w:bookmarkStart w:id="205" w:name="_Toc81415608"/>
            <w:bookmarkStart w:id="206" w:name="_Toc28592"/>
            <w:bookmarkStart w:id="207" w:name="_Toc91532159"/>
            <w:bookmarkStart w:id="208" w:name="_Toc109473865"/>
            <w:bookmarkStart w:id="209" w:name="_Toc91493252"/>
            <w:bookmarkStart w:id="210" w:name="_Toc109473786"/>
            <w:bookmarkStart w:id="211" w:name="_Toc111564304"/>
            <w:bookmarkStart w:id="212" w:name="_Toc110439137"/>
            <w:bookmarkStart w:id="213" w:name="_Toc97290570"/>
            <w:bookmarkStart w:id="214" w:name="_Toc109472613"/>
            <w:bookmarkStart w:id="215" w:name="_Toc109473552"/>
            <w:bookmarkStart w:id="216" w:name="_Toc96935400"/>
            <w:bookmarkStart w:id="217" w:name="_Toc85037200"/>
            <w:r>
              <w:rPr>
                <w:rFonts w:eastAsia="宋体"/>
                <w:sz w:val="24"/>
                <w:szCs w:val="24"/>
              </w:rPr>
              <w:t>自然环境概况</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pPr>
              <w:pStyle w:val="5"/>
              <w:numPr>
                <w:ilvl w:val="1"/>
                <w:numId w:val="9"/>
              </w:numPr>
              <w:spacing w:before="0" w:after="0" w:line="360" w:lineRule="auto"/>
              <w:rPr>
                <w:rFonts w:eastAsia="宋体"/>
                <w:sz w:val="24"/>
                <w:szCs w:val="24"/>
              </w:rPr>
            </w:pPr>
            <w:bookmarkStart w:id="218" w:name="_Toc96031364"/>
            <w:bookmarkStart w:id="219" w:name="_Toc110439138"/>
            <w:bookmarkStart w:id="220" w:name="_Toc85036867"/>
            <w:bookmarkStart w:id="221" w:name="_Toc96935401"/>
            <w:bookmarkStart w:id="222" w:name="_Toc95464655"/>
            <w:bookmarkStart w:id="223" w:name="_Toc109473787"/>
            <w:bookmarkStart w:id="224" w:name="_Toc97290437"/>
            <w:bookmarkStart w:id="225" w:name="_Toc109472614"/>
            <w:bookmarkStart w:id="226" w:name="_Toc97290571"/>
            <w:bookmarkStart w:id="227" w:name="_Toc81308137"/>
            <w:bookmarkStart w:id="228" w:name="_Toc7613"/>
            <w:bookmarkStart w:id="229" w:name="_Toc12021"/>
            <w:bookmarkStart w:id="230" w:name="_Toc91532160"/>
            <w:bookmarkStart w:id="231" w:name="_Toc91493253"/>
            <w:bookmarkStart w:id="232" w:name="_Toc85037201"/>
            <w:bookmarkStart w:id="233" w:name="_Toc109473553"/>
            <w:bookmarkStart w:id="234" w:name="_Toc17778"/>
            <w:bookmarkStart w:id="235" w:name="_Toc111564305"/>
            <w:bookmarkStart w:id="236" w:name="_Toc81415609"/>
            <w:bookmarkStart w:id="237" w:name="_Toc96031281"/>
            <w:bookmarkStart w:id="238" w:name="_Toc109473866"/>
            <w:bookmarkStart w:id="239" w:name="_Toc88558507"/>
            <w:r>
              <w:rPr>
                <w:rFonts w:eastAsia="宋体"/>
                <w:sz w:val="24"/>
                <w:szCs w:val="24"/>
              </w:rPr>
              <w:t>地形、地貌</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pPr>
              <w:pStyle w:val="11"/>
              <w:rPr>
                <w:color w:val="000000"/>
                <w:szCs w:val="24"/>
              </w:rPr>
            </w:pPr>
            <w:r>
              <w:rPr>
                <w:rFonts w:hint="eastAsia"/>
                <w:color w:val="000000"/>
                <w:szCs w:val="24"/>
              </w:rPr>
              <w:t>本工程所在区域地貌为山前冲洪积平原，目前呈戈壁荒滩景观，场地地形平坦开阔。</w:t>
            </w:r>
          </w:p>
          <w:p>
            <w:pPr>
              <w:pStyle w:val="5"/>
              <w:numPr>
                <w:ilvl w:val="1"/>
                <w:numId w:val="9"/>
              </w:numPr>
              <w:spacing w:before="0" w:after="0" w:line="360" w:lineRule="auto"/>
              <w:rPr>
                <w:rFonts w:eastAsia="宋体"/>
                <w:color w:val="auto"/>
                <w:sz w:val="24"/>
                <w:szCs w:val="24"/>
              </w:rPr>
            </w:pPr>
            <w:bookmarkStart w:id="240" w:name="_Toc96942089"/>
            <w:bookmarkStart w:id="241" w:name="_Toc97714327"/>
            <w:bookmarkStart w:id="242" w:name="_Toc85037202"/>
            <w:bookmarkStart w:id="243" w:name="_Toc81308138"/>
            <w:bookmarkStart w:id="244" w:name="_Toc81415610"/>
            <w:bookmarkStart w:id="245" w:name="_Toc85036868"/>
            <w:bookmarkStart w:id="246" w:name="_Toc16499"/>
            <w:bookmarkStart w:id="247" w:name="_Toc96941964"/>
            <w:bookmarkStart w:id="248" w:name="_Toc97128331"/>
            <w:bookmarkStart w:id="249" w:name="_Toc88558508"/>
            <w:bookmarkStart w:id="250" w:name="_Toc91493254"/>
            <w:bookmarkStart w:id="251" w:name="_Toc91532161"/>
            <w:bookmarkStart w:id="252" w:name="_Toc27"/>
            <w:r>
              <w:rPr>
                <w:rFonts w:eastAsia="宋体"/>
                <w:color w:val="auto"/>
                <w:sz w:val="24"/>
                <w:szCs w:val="24"/>
              </w:rPr>
              <w:t>地质、地震</w:t>
            </w:r>
            <w:bookmarkEnd w:id="240"/>
            <w:bookmarkEnd w:id="241"/>
            <w:bookmarkEnd w:id="242"/>
            <w:bookmarkEnd w:id="243"/>
            <w:bookmarkEnd w:id="244"/>
            <w:bookmarkEnd w:id="245"/>
            <w:bookmarkEnd w:id="246"/>
            <w:bookmarkEnd w:id="247"/>
            <w:bookmarkEnd w:id="248"/>
            <w:bookmarkEnd w:id="249"/>
            <w:bookmarkEnd w:id="250"/>
            <w:bookmarkEnd w:id="251"/>
            <w:bookmarkEnd w:id="252"/>
          </w:p>
          <w:p>
            <w:pPr>
              <w:spacing w:line="360" w:lineRule="auto"/>
              <w:ind w:firstLine="480" w:firstLineChars="200"/>
              <w:rPr>
                <w:rFonts w:cs="宋体"/>
                <w:sz w:val="24"/>
              </w:rPr>
            </w:pPr>
            <w:r>
              <w:rPr>
                <w:rFonts w:hint="eastAsia" w:cs="宋体"/>
                <w:sz w:val="24"/>
              </w:rPr>
              <w:t>变电站站址及线路路径所经地段未发现有影响场地稳定性的活动断裂、滑坡、沉陷等不良地质现象；地质环境相对稳定。</w:t>
            </w:r>
          </w:p>
          <w:p>
            <w:pPr>
              <w:spacing w:line="360" w:lineRule="auto"/>
              <w:ind w:firstLine="480" w:firstLineChars="200"/>
              <w:rPr>
                <w:rFonts w:cs="宋体"/>
                <w:sz w:val="24"/>
              </w:rPr>
            </w:pPr>
            <w:r>
              <w:rPr>
                <w:rFonts w:hint="eastAsia" w:cs="宋体"/>
                <w:sz w:val="24"/>
              </w:rPr>
              <w:t>根据《建筑抗震设计规范》（GB50011-2010）及《中国地震动参数区划图》（GB18306-2015），本工程所在区域</w:t>
            </w:r>
            <w:bookmarkStart w:id="253" w:name="OLE_LINK4"/>
            <w:bookmarkStart w:id="254" w:name="OLE_LINK5"/>
            <w:r>
              <w:rPr>
                <w:rFonts w:hint="eastAsia" w:cs="宋体"/>
                <w:sz w:val="24"/>
              </w:rPr>
              <w:t>设计地震基本烈度为</w:t>
            </w:r>
            <w:r>
              <w:rPr>
                <w:sz w:val="24"/>
              </w:rPr>
              <w:t>Ⅶ</w:t>
            </w:r>
            <w:r>
              <w:rPr>
                <w:rFonts w:hint="eastAsia" w:cs="宋体"/>
                <w:sz w:val="24"/>
              </w:rPr>
              <w:t>度，基本地震加速度值为0.1</w:t>
            </w:r>
            <w:r>
              <w:rPr>
                <w:rFonts w:cs="宋体"/>
                <w:sz w:val="24"/>
              </w:rPr>
              <w:t>0</w:t>
            </w:r>
            <w:r>
              <w:rPr>
                <w:rFonts w:hint="eastAsia" w:cs="宋体"/>
                <w:sz w:val="24"/>
              </w:rPr>
              <w:t>g，抗震设防分组为第二组，设计特征周期值</w:t>
            </w:r>
            <w:bookmarkEnd w:id="253"/>
            <w:bookmarkEnd w:id="254"/>
            <w:r>
              <w:rPr>
                <w:rFonts w:hint="eastAsia" w:cs="宋体"/>
                <w:sz w:val="24"/>
              </w:rPr>
              <w:t>0.40s。</w:t>
            </w:r>
          </w:p>
          <w:p>
            <w:pPr>
              <w:pStyle w:val="5"/>
              <w:numPr>
                <w:ilvl w:val="1"/>
                <w:numId w:val="9"/>
              </w:numPr>
              <w:spacing w:before="0" w:after="0" w:line="360" w:lineRule="auto"/>
              <w:rPr>
                <w:rFonts w:eastAsia="宋体"/>
                <w:color w:val="auto"/>
                <w:sz w:val="24"/>
                <w:szCs w:val="24"/>
              </w:rPr>
            </w:pPr>
            <w:bookmarkStart w:id="255" w:name="_Toc21232"/>
            <w:bookmarkStart w:id="256" w:name="_Toc31826"/>
            <w:r>
              <w:rPr>
                <w:rFonts w:hint="eastAsia" w:eastAsia="宋体"/>
                <w:color w:val="auto"/>
                <w:sz w:val="24"/>
                <w:szCs w:val="24"/>
              </w:rPr>
              <w:t>水文</w:t>
            </w:r>
            <w:bookmarkEnd w:id="255"/>
            <w:bookmarkEnd w:id="256"/>
          </w:p>
          <w:p>
            <w:pPr>
              <w:spacing w:line="360" w:lineRule="auto"/>
              <w:ind w:firstLine="480" w:firstLineChars="200"/>
              <w:rPr>
                <w:rFonts w:cs="宋体"/>
                <w:sz w:val="24"/>
              </w:rPr>
            </w:pPr>
            <w:r>
              <w:rPr>
                <w:rFonts w:hint="eastAsia" w:cs="宋体"/>
                <w:sz w:val="24"/>
              </w:rPr>
              <w:t>经现场踏勘，本工程新建线路未跨越河流，可不考虑河流影响，且沿线无水利规划。沿线地势平坦排水较为通畅，无大范围内涝积水区。线路不受河流洪水的影响，水文条件良好。</w:t>
            </w:r>
          </w:p>
          <w:p>
            <w:pPr>
              <w:pStyle w:val="5"/>
              <w:numPr>
                <w:ilvl w:val="1"/>
                <w:numId w:val="9"/>
              </w:numPr>
              <w:spacing w:before="0" w:after="0" w:line="360" w:lineRule="auto"/>
              <w:rPr>
                <w:rFonts w:eastAsia="宋体"/>
                <w:sz w:val="24"/>
                <w:szCs w:val="24"/>
              </w:rPr>
            </w:pPr>
            <w:bookmarkStart w:id="257" w:name="_Toc110439141"/>
            <w:bookmarkEnd w:id="257"/>
            <w:bookmarkStart w:id="258" w:name="_Toc110439140"/>
            <w:bookmarkEnd w:id="258"/>
            <w:bookmarkStart w:id="259" w:name="_Toc109473556"/>
            <w:bookmarkStart w:id="260" w:name="_Toc109472617"/>
            <w:bookmarkStart w:id="261" w:name="_Toc81415612"/>
            <w:bookmarkStart w:id="262" w:name="_Toc23723"/>
            <w:bookmarkStart w:id="263" w:name="_Toc97290440"/>
            <w:bookmarkStart w:id="264" w:name="_Toc91532163"/>
            <w:bookmarkStart w:id="265" w:name="_Toc96031367"/>
            <w:bookmarkStart w:id="266" w:name="_Toc88558510"/>
            <w:bookmarkStart w:id="267" w:name="_Toc23311"/>
            <w:bookmarkStart w:id="268" w:name="_Toc111564308"/>
            <w:bookmarkStart w:id="269" w:name="_Toc96031284"/>
            <w:bookmarkStart w:id="270" w:name="_Toc96935404"/>
            <w:bookmarkStart w:id="271" w:name="_Toc95464658"/>
            <w:bookmarkStart w:id="272" w:name="_Toc85037204"/>
            <w:bookmarkStart w:id="273" w:name="_Toc109473869"/>
            <w:bookmarkStart w:id="274" w:name="_Toc91493256"/>
            <w:bookmarkStart w:id="275" w:name="_Toc85036870"/>
            <w:bookmarkStart w:id="276" w:name="_Toc81308140"/>
            <w:bookmarkStart w:id="277" w:name="_Toc8620"/>
            <w:bookmarkStart w:id="278" w:name="_Toc109473790"/>
            <w:bookmarkStart w:id="279" w:name="_Toc110439143"/>
            <w:bookmarkStart w:id="280" w:name="_Toc97290574"/>
            <w:r>
              <w:rPr>
                <w:rFonts w:eastAsia="宋体"/>
                <w:sz w:val="24"/>
                <w:szCs w:val="24"/>
              </w:rPr>
              <w:t>气候特征</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pPr>
              <w:pStyle w:val="11"/>
              <w:rPr>
                <w:rFonts w:cs="宋体"/>
                <w:szCs w:val="24"/>
              </w:rPr>
            </w:pPr>
            <w:r>
              <w:rPr>
                <w:rFonts w:hint="eastAsia" w:cs="宋体"/>
                <w:szCs w:val="24"/>
              </w:rPr>
              <w:t>本工程所在区域属于温带大陆性干旱气候，其主要特点是：日照充足，热量丰富但又极端干燥，降雨稀少且大风频繁。</w:t>
            </w:r>
            <w:bookmarkStart w:id="281" w:name="_Ref169981085"/>
          </w:p>
          <w:bookmarkEnd w:id="281"/>
          <w:p>
            <w:pPr>
              <w:pStyle w:val="5"/>
              <w:numPr>
                <w:ilvl w:val="1"/>
                <w:numId w:val="9"/>
              </w:numPr>
              <w:spacing w:after="0" w:line="360" w:lineRule="auto"/>
              <w:rPr>
                <w:rFonts w:eastAsia="宋体"/>
                <w:sz w:val="24"/>
                <w:szCs w:val="24"/>
              </w:rPr>
            </w:pPr>
            <w:bookmarkStart w:id="282" w:name="_Toc22740"/>
            <w:bookmarkStart w:id="283" w:name="_Toc85036871"/>
            <w:bookmarkStart w:id="284" w:name="_Toc91493257"/>
            <w:bookmarkStart w:id="285" w:name="_Toc109472618"/>
            <w:bookmarkStart w:id="286" w:name="_Toc88558511"/>
            <w:bookmarkStart w:id="287" w:name="_Toc91532164"/>
            <w:bookmarkStart w:id="288" w:name="_Toc110439145"/>
            <w:bookmarkStart w:id="289" w:name="_Toc6095"/>
            <w:bookmarkStart w:id="290" w:name="_Toc81415613"/>
            <w:bookmarkStart w:id="291" w:name="_Toc95464659"/>
            <w:bookmarkStart w:id="292" w:name="_Toc96935405"/>
            <w:bookmarkStart w:id="293" w:name="_Toc96031368"/>
            <w:bookmarkStart w:id="294" w:name="_Toc109473870"/>
            <w:bookmarkStart w:id="295" w:name="_Toc85037205"/>
            <w:bookmarkStart w:id="296" w:name="_Toc109473791"/>
            <w:bookmarkStart w:id="297" w:name="_Toc81308141"/>
            <w:bookmarkStart w:id="298" w:name="_Toc96031285"/>
            <w:bookmarkStart w:id="299" w:name="_Toc3944"/>
            <w:bookmarkStart w:id="300" w:name="_Toc111564309"/>
            <w:bookmarkStart w:id="301" w:name="_Toc109473557"/>
            <w:bookmarkStart w:id="302" w:name="_Toc97290575"/>
            <w:r>
              <w:rPr>
                <w:rFonts w:eastAsia="宋体"/>
                <w:sz w:val="24"/>
                <w:szCs w:val="24"/>
              </w:rPr>
              <w:t>植被</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pPr>
              <w:pStyle w:val="11"/>
              <w:rPr>
                <w:color w:val="000000"/>
                <w:szCs w:val="24"/>
              </w:rPr>
            </w:pPr>
            <w:r>
              <w:rPr>
                <w:rFonts w:hint="eastAsia"/>
                <w:color w:val="000000"/>
                <w:szCs w:val="24"/>
              </w:rPr>
              <w:t>本工程区位于荒漠植被类型区，原生植被为温带丛生禾草草原植被、少量灌木林地，自然植被长势一般，草本植被以蒿类为主，灌木以梭梭为主。林地区域主要为人工栽植乔木。项目沿线林草覆盖率5%~20%。</w:t>
            </w:r>
          </w:p>
          <w:p>
            <w:pPr>
              <w:pStyle w:val="11"/>
              <w:rPr>
                <w:color w:val="000000"/>
                <w:szCs w:val="24"/>
              </w:rPr>
            </w:pPr>
            <w:r>
              <w:rPr>
                <w:rFonts w:hint="eastAsia"/>
                <w:szCs w:val="24"/>
              </w:rPr>
              <w:t>对照《国家重点保护野生植物名录》（国家林业和草原局农业农村部公告，2021年第15号）和《新疆维吾尔自治区重点保护野生植物名录》（新政发〔2023〕63号），工程生态影响评价区内未发现国家及自治区重点保护野生植物。</w:t>
            </w:r>
          </w:p>
          <w:p>
            <w:pPr>
              <w:pStyle w:val="5"/>
              <w:numPr>
                <w:ilvl w:val="1"/>
                <w:numId w:val="9"/>
              </w:numPr>
              <w:spacing w:before="0" w:after="0" w:line="360" w:lineRule="auto"/>
              <w:rPr>
                <w:rFonts w:eastAsia="宋体"/>
                <w:sz w:val="24"/>
                <w:szCs w:val="24"/>
              </w:rPr>
            </w:pPr>
            <w:bookmarkStart w:id="303" w:name="_Toc96031286"/>
            <w:bookmarkStart w:id="304" w:name="_Toc91493258"/>
            <w:bookmarkStart w:id="305" w:name="_Toc20887"/>
            <w:bookmarkStart w:id="306" w:name="_Toc97290576"/>
            <w:bookmarkStart w:id="307" w:name="_Toc109473792"/>
            <w:bookmarkStart w:id="308" w:name="_Toc111564310"/>
            <w:bookmarkStart w:id="309" w:name="_Toc85037206"/>
            <w:bookmarkStart w:id="310" w:name="_Toc88558512"/>
            <w:bookmarkStart w:id="311" w:name="_Toc81308142"/>
            <w:bookmarkStart w:id="312" w:name="_Toc95464660"/>
            <w:bookmarkStart w:id="313" w:name="_Toc96935406"/>
            <w:bookmarkStart w:id="314" w:name="_Toc109473558"/>
            <w:bookmarkStart w:id="315" w:name="_Toc109473871"/>
            <w:bookmarkStart w:id="316" w:name="_Toc96031369"/>
            <w:bookmarkStart w:id="317" w:name="_Toc9791"/>
            <w:bookmarkStart w:id="318" w:name="_Toc110439146"/>
            <w:bookmarkStart w:id="319" w:name="_Toc81415614"/>
            <w:bookmarkStart w:id="320" w:name="_Toc109472619"/>
            <w:bookmarkStart w:id="321" w:name="_Toc85036872"/>
            <w:bookmarkStart w:id="322" w:name="_Toc16767"/>
            <w:bookmarkStart w:id="323" w:name="_Toc91532165"/>
            <w:r>
              <w:rPr>
                <w:rFonts w:eastAsia="宋体"/>
                <w:sz w:val="24"/>
                <w:szCs w:val="24"/>
              </w:rPr>
              <w:t>动物</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pPr>
              <w:pStyle w:val="11"/>
              <w:rPr>
                <w:color w:val="000000"/>
                <w:szCs w:val="24"/>
              </w:rPr>
            </w:pPr>
            <w:r>
              <w:rPr>
                <w:color w:val="000000"/>
                <w:szCs w:val="24"/>
              </w:rPr>
              <w:t>根据现场踏勘及有关资料，</w:t>
            </w:r>
            <w:r>
              <w:rPr>
                <w:rFonts w:hint="eastAsia"/>
                <w:color w:val="000000"/>
                <w:szCs w:val="24"/>
              </w:rPr>
              <w:t>本工程所在区域野生动物分布较少，主要为爬行类的蜥蜴和哺乳类的啮齿动物。</w:t>
            </w:r>
          </w:p>
          <w:p>
            <w:pPr>
              <w:pStyle w:val="11"/>
              <w:rPr>
                <w:szCs w:val="24"/>
              </w:rPr>
            </w:pPr>
            <w:r>
              <w:rPr>
                <w:rFonts w:hint="eastAsia"/>
                <w:szCs w:val="24"/>
              </w:rPr>
              <w:t>对照《国家重点保护野生动物名录》（国家林业和草原局 农业农村部公告2021年第3号）和《新疆维吾尔自治区重点保护野生动物名录（修订）》（新政发〔2022〕75号），本工程评价区内未发现国家及自治区重点保护野生动物分布。</w:t>
            </w:r>
          </w:p>
          <w:p>
            <w:pPr>
              <w:pStyle w:val="5"/>
              <w:numPr>
                <w:ilvl w:val="1"/>
                <w:numId w:val="9"/>
              </w:numPr>
              <w:spacing w:before="0" w:after="0" w:line="360" w:lineRule="auto"/>
              <w:rPr>
                <w:rFonts w:eastAsia="宋体"/>
                <w:sz w:val="24"/>
                <w:szCs w:val="24"/>
                <w:u w:val="single"/>
              </w:rPr>
            </w:pPr>
            <w:bookmarkStart w:id="324" w:name="_Toc32274"/>
            <w:bookmarkStart w:id="325" w:name="_Toc13434"/>
            <w:r>
              <w:rPr>
                <w:rFonts w:hint="eastAsia" w:eastAsia="宋体"/>
                <w:sz w:val="24"/>
                <w:szCs w:val="24"/>
              </w:rPr>
              <w:t>土地沙化现状</w:t>
            </w:r>
            <w:bookmarkEnd w:id="324"/>
            <w:bookmarkEnd w:id="325"/>
          </w:p>
          <w:p>
            <w:pPr>
              <w:pStyle w:val="11"/>
              <w:rPr>
                <w:szCs w:val="24"/>
              </w:rPr>
            </w:pPr>
            <w:r>
              <w:rPr>
                <w:rFonts w:hint="eastAsia"/>
                <w:szCs w:val="24"/>
              </w:rPr>
              <w:t>根据现场踏勘，地貌主要为山前冲洪积平原。根据《新疆第六次沙化土地监测报告》，本工程所在区域为非沙化土地。</w:t>
            </w:r>
          </w:p>
          <w:p>
            <w:pPr>
              <w:pStyle w:val="5"/>
              <w:numPr>
                <w:ilvl w:val="0"/>
                <w:numId w:val="9"/>
              </w:numPr>
              <w:spacing w:before="0" w:after="0" w:line="360" w:lineRule="auto"/>
              <w:rPr>
                <w:rFonts w:eastAsia="宋体"/>
                <w:sz w:val="24"/>
                <w:szCs w:val="24"/>
              </w:rPr>
            </w:pPr>
            <w:bookmarkStart w:id="326" w:name="_Toc85036873"/>
            <w:bookmarkStart w:id="327" w:name="_Toc109473559"/>
            <w:bookmarkStart w:id="328" w:name="_Toc91532166"/>
            <w:bookmarkStart w:id="329" w:name="_Toc96935407"/>
            <w:bookmarkStart w:id="330" w:name="_Toc97290577"/>
            <w:bookmarkStart w:id="331" w:name="_Toc18243"/>
            <w:bookmarkStart w:id="332" w:name="_Toc91493259"/>
            <w:bookmarkStart w:id="333" w:name="_Toc96031370"/>
            <w:bookmarkStart w:id="334" w:name="_Toc81415615"/>
            <w:bookmarkStart w:id="335" w:name="_Toc109473872"/>
            <w:bookmarkStart w:id="336" w:name="_Toc19851"/>
            <w:bookmarkStart w:id="337" w:name="_Toc109473793"/>
            <w:bookmarkStart w:id="338" w:name="_Toc81308143"/>
            <w:bookmarkStart w:id="339" w:name="_Toc88558513"/>
            <w:bookmarkStart w:id="340" w:name="_Toc11297"/>
            <w:bookmarkStart w:id="341" w:name="_Toc109472620"/>
            <w:bookmarkStart w:id="342" w:name="_Toc110439147"/>
            <w:bookmarkStart w:id="343" w:name="_Toc85037207"/>
            <w:bookmarkStart w:id="344" w:name="_Toc111564311"/>
            <w:bookmarkStart w:id="345" w:name="_Toc96031287"/>
            <w:bookmarkStart w:id="346" w:name="_Toc95464661"/>
            <w:r>
              <w:rPr>
                <w:rFonts w:eastAsia="宋体"/>
                <w:sz w:val="24"/>
                <w:szCs w:val="24"/>
              </w:rPr>
              <w:t>声环境质量现状</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pPr>
              <w:pStyle w:val="5"/>
              <w:numPr>
                <w:ilvl w:val="1"/>
                <w:numId w:val="9"/>
              </w:numPr>
              <w:spacing w:before="0" w:after="0" w:line="360" w:lineRule="auto"/>
              <w:rPr>
                <w:rFonts w:eastAsia="宋体"/>
                <w:sz w:val="24"/>
                <w:szCs w:val="24"/>
              </w:rPr>
            </w:pPr>
            <w:bookmarkStart w:id="347" w:name="_Toc109473794"/>
            <w:bookmarkStart w:id="348" w:name="_Toc12700"/>
            <w:bookmarkStart w:id="349" w:name="_Toc1167"/>
            <w:bookmarkStart w:id="350" w:name="_Toc13228"/>
            <w:bookmarkStart w:id="351" w:name="_Toc81415616"/>
            <w:bookmarkStart w:id="352" w:name="_Toc81308144"/>
            <w:bookmarkStart w:id="353" w:name="_Toc91493260"/>
            <w:bookmarkStart w:id="354" w:name="_Toc111564312"/>
            <w:bookmarkStart w:id="355" w:name="_Toc95464662"/>
            <w:bookmarkStart w:id="356" w:name="_Toc91532167"/>
            <w:bookmarkStart w:id="357" w:name="_Toc97290578"/>
            <w:bookmarkStart w:id="358" w:name="_Toc96031288"/>
            <w:bookmarkStart w:id="359" w:name="_Toc88558514"/>
            <w:bookmarkStart w:id="360" w:name="_Toc96935408"/>
            <w:bookmarkStart w:id="361" w:name="_Toc109473560"/>
            <w:bookmarkStart w:id="362" w:name="_Toc109472621"/>
            <w:bookmarkStart w:id="363" w:name="_Toc110439148"/>
            <w:bookmarkStart w:id="364" w:name="_Toc96031371"/>
            <w:bookmarkStart w:id="365" w:name="_Toc85037208"/>
            <w:bookmarkStart w:id="366" w:name="_Toc85036874"/>
            <w:bookmarkStart w:id="367" w:name="_Toc109473873"/>
            <w:r>
              <w:rPr>
                <w:rFonts w:eastAsia="宋体"/>
                <w:sz w:val="24"/>
                <w:szCs w:val="24"/>
              </w:rPr>
              <w:t>监测布点</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pPr>
              <w:pStyle w:val="5"/>
              <w:numPr>
                <w:ilvl w:val="2"/>
                <w:numId w:val="9"/>
              </w:numPr>
              <w:spacing w:before="0" w:after="0" w:line="360" w:lineRule="auto"/>
              <w:rPr>
                <w:rFonts w:eastAsia="宋体"/>
                <w:sz w:val="24"/>
                <w:szCs w:val="24"/>
              </w:rPr>
            </w:pPr>
            <w:bookmarkStart w:id="368" w:name="_Toc109473795"/>
            <w:bookmarkStart w:id="369" w:name="_Toc96935409"/>
            <w:bookmarkStart w:id="370" w:name="_Toc109473561"/>
            <w:bookmarkStart w:id="371" w:name="_Toc96031372"/>
            <w:bookmarkStart w:id="372" w:name="_Toc95464663"/>
            <w:bookmarkStart w:id="373" w:name="_Toc85037209"/>
            <w:bookmarkStart w:id="374" w:name="_Toc85036875"/>
            <w:bookmarkStart w:id="375" w:name="_Toc111564313"/>
            <w:bookmarkStart w:id="376" w:name="_Toc81415617"/>
            <w:bookmarkStart w:id="377" w:name="_Toc88558515"/>
            <w:bookmarkStart w:id="378" w:name="_Toc81308145"/>
            <w:bookmarkStart w:id="379" w:name="_Toc91532168"/>
            <w:bookmarkStart w:id="380" w:name="_Toc109473874"/>
            <w:bookmarkStart w:id="381" w:name="_Toc97290579"/>
            <w:bookmarkStart w:id="382" w:name="_Toc91493261"/>
            <w:bookmarkStart w:id="383" w:name="_Toc96031289"/>
            <w:bookmarkStart w:id="384" w:name="_Toc24402"/>
            <w:bookmarkStart w:id="385" w:name="_Toc110439149"/>
            <w:bookmarkStart w:id="386" w:name="_Toc2131"/>
            <w:bookmarkStart w:id="387" w:name="_Toc2531"/>
            <w:bookmarkStart w:id="388" w:name="_Toc109472622"/>
            <w:r>
              <w:rPr>
                <w:rFonts w:eastAsia="宋体"/>
                <w:sz w:val="24"/>
                <w:szCs w:val="24"/>
              </w:rPr>
              <w:t>监测布点原则</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pPr>
              <w:pStyle w:val="11"/>
            </w:pPr>
            <w:r>
              <w:rPr>
                <w:rFonts w:hint="eastAsia"/>
              </w:rPr>
              <w:t>变电站厂界：对东环110kV变电站拟建站址四周及中心进行布点监测，对变电站周边声环境保护目标布点监测。当声环境保护目标高于（含）三层建筑时，选取有代表性的声环境保护目标的代表性楼层设置测点。</w:t>
            </w:r>
          </w:p>
          <w:p>
            <w:pPr>
              <w:pStyle w:val="11"/>
              <w:rPr>
                <w:color w:val="000000"/>
                <w:szCs w:val="24"/>
              </w:rPr>
            </w:pPr>
            <w:r>
              <w:rPr>
                <w:rFonts w:hint="eastAsia"/>
              </w:rPr>
              <w:t>架空线路：对线路沿线各声环境保护目标进行声环境现状监测，声环境保护目标监测点原则上布设在可能既受到前期工程声源影响、又受到本期建设项目声源影响的敏感目标处。测点位于噪声敏感建筑物外，距墙壁或窗户1m处，距地面高度1.2m及以上。</w:t>
            </w:r>
          </w:p>
          <w:p>
            <w:pPr>
              <w:pStyle w:val="5"/>
              <w:numPr>
                <w:ilvl w:val="2"/>
                <w:numId w:val="9"/>
              </w:numPr>
              <w:spacing w:before="0" w:after="0" w:line="360" w:lineRule="auto"/>
              <w:rPr>
                <w:rFonts w:eastAsia="宋体"/>
                <w:sz w:val="24"/>
                <w:szCs w:val="24"/>
              </w:rPr>
            </w:pPr>
            <w:bookmarkStart w:id="389" w:name="_Toc96031290"/>
            <w:bookmarkStart w:id="390" w:name="_Toc85036876"/>
            <w:bookmarkStart w:id="391" w:name="_Toc109472623"/>
            <w:bookmarkStart w:id="392" w:name="_Toc96935410"/>
            <w:bookmarkStart w:id="393" w:name="_Toc81308146"/>
            <w:bookmarkStart w:id="394" w:name="_Toc85037210"/>
            <w:bookmarkStart w:id="395" w:name="_Toc109473796"/>
            <w:bookmarkStart w:id="396" w:name="_Toc91532169"/>
            <w:bookmarkStart w:id="397" w:name="_Toc111564314"/>
            <w:bookmarkStart w:id="398" w:name="_Toc88558516"/>
            <w:bookmarkStart w:id="399" w:name="_Toc95464664"/>
            <w:bookmarkStart w:id="400" w:name="_Toc25638"/>
            <w:bookmarkStart w:id="401" w:name="_Toc27321"/>
            <w:bookmarkStart w:id="402" w:name="_Toc97290580"/>
            <w:bookmarkStart w:id="403" w:name="_Toc110439150"/>
            <w:bookmarkStart w:id="404" w:name="_Toc91493262"/>
            <w:bookmarkStart w:id="405" w:name="_Toc81415618"/>
            <w:bookmarkStart w:id="406" w:name="_Toc25440"/>
            <w:bookmarkStart w:id="407" w:name="_Toc109473875"/>
            <w:bookmarkStart w:id="408" w:name="_Toc96031373"/>
            <w:bookmarkStart w:id="409" w:name="_Toc109473562"/>
            <w:r>
              <w:rPr>
                <w:rFonts w:eastAsia="宋体"/>
                <w:sz w:val="24"/>
                <w:szCs w:val="24"/>
              </w:rPr>
              <w:t>监测布点</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pPr>
              <w:pStyle w:val="11"/>
              <w:rPr>
                <w:color w:val="000000"/>
                <w:szCs w:val="24"/>
              </w:rPr>
            </w:pPr>
            <w:r>
              <w:rPr>
                <w:rFonts w:hint="eastAsia"/>
                <w:color w:val="000000"/>
                <w:szCs w:val="24"/>
              </w:rPr>
              <w:t>（1）</w:t>
            </w:r>
            <w:r>
              <w:rPr>
                <w:rFonts w:hint="eastAsia"/>
                <w:color w:val="000000"/>
                <w:szCs w:val="32"/>
              </w:rPr>
              <w:t>东环110千伏变电站新建工程</w:t>
            </w:r>
            <w:r>
              <w:rPr>
                <w:rFonts w:hint="eastAsia"/>
                <w:color w:val="000000"/>
                <w:szCs w:val="24"/>
              </w:rPr>
              <w:t>：</w:t>
            </w:r>
          </w:p>
          <w:p>
            <w:pPr>
              <w:pStyle w:val="11"/>
              <w:rPr>
                <w:snapToGrid w:val="0"/>
                <w:szCs w:val="24"/>
                <w:shd w:val="clear" w:color="auto" w:fill="FFFFFF"/>
              </w:rPr>
            </w:pPr>
            <w:r>
              <w:rPr>
                <w:rFonts w:hint="eastAsia"/>
                <w:snapToGrid w:val="0"/>
                <w:szCs w:val="24"/>
                <w:shd w:val="clear" w:color="auto" w:fill="FFFFFF"/>
              </w:rPr>
              <w:t>东环110kV变电站拟建站址四周及中心各布设1个测点，共5个测点。现状监测点位于拟建站址四周及中心，距离地面1.2m高度处；变电站评价范围内无声环境保护目标。</w:t>
            </w:r>
          </w:p>
          <w:p>
            <w:pPr>
              <w:pStyle w:val="11"/>
              <w:rPr>
                <w:color w:val="000000"/>
                <w:szCs w:val="24"/>
              </w:rPr>
            </w:pPr>
            <w:r>
              <w:rPr>
                <w:rFonts w:hint="eastAsia"/>
                <w:color w:val="000000"/>
                <w:szCs w:val="24"/>
              </w:rPr>
              <w:t>（2）</w:t>
            </w:r>
            <w:r>
              <w:rPr>
                <w:rFonts w:hint="eastAsia"/>
                <w:color w:val="000000"/>
              </w:rPr>
              <w:t>新建110kV线路工程</w:t>
            </w:r>
            <w:r>
              <w:rPr>
                <w:color w:val="000000"/>
                <w:szCs w:val="24"/>
              </w:rPr>
              <w:t>：</w:t>
            </w:r>
          </w:p>
          <w:p>
            <w:pPr>
              <w:pStyle w:val="11"/>
              <w:rPr>
                <w:color w:val="000000"/>
                <w:szCs w:val="24"/>
              </w:rPr>
            </w:pPr>
            <w:r>
              <w:rPr>
                <w:rFonts w:hint="eastAsia"/>
                <w:color w:val="000000"/>
                <w:szCs w:val="24"/>
              </w:rPr>
              <w:t>新建线路评价范围内有1处声环境保护目标，布设1个测点；同时对线路线下进行了现状监测，布设</w:t>
            </w:r>
            <w:r>
              <w:rPr>
                <w:color w:val="000000"/>
                <w:szCs w:val="24"/>
              </w:rPr>
              <w:t>9</w:t>
            </w:r>
            <w:r>
              <w:rPr>
                <w:rFonts w:hint="eastAsia"/>
                <w:color w:val="000000"/>
                <w:szCs w:val="24"/>
              </w:rPr>
              <w:t>个测点</w:t>
            </w:r>
            <w:r>
              <w:rPr>
                <w:color w:val="000000"/>
                <w:szCs w:val="24"/>
              </w:rPr>
              <w:t>。线路工程共布设</w:t>
            </w:r>
            <w:r>
              <w:rPr>
                <w:rFonts w:hint="eastAsia"/>
                <w:color w:val="000000"/>
                <w:szCs w:val="24"/>
              </w:rPr>
              <w:t>1</w:t>
            </w:r>
            <w:r>
              <w:rPr>
                <w:color w:val="000000"/>
                <w:szCs w:val="24"/>
              </w:rPr>
              <w:t>0个</w:t>
            </w:r>
            <w:r>
              <w:rPr>
                <w:rFonts w:hint="eastAsia"/>
                <w:color w:val="000000"/>
                <w:szCs w:val="24"/>
              </w:rPr>
              <w:t>测点。</w:t>
            </w:r>
          </w:p>
          <w:p>
            <w:pPr>
              <w:pStyle w:val="5"/>
              <w:numPr>
                <w:ilvl w:val="2"/>
                <w:numId w:val="9"/>
              </w:numPr>
              <w:spacing w:before="0" w:after="0" w:line="360" w:lineRule="auto"/>
              <w:rPr>
                <w:rFonts w:eastAsia="宋体"/>
                <w:sz w:val="24"/>
                <w:szCs w:val="24"/>
              </w:rPr>
            </w:pPr>
            <w:bookmarkStart w:id="410" w:name="_Toc88558517"/>
            <w:bookmarkStart w:id="411" w:name="_Toc109473797"/>
            <w:bookmarkStart w:id="412" w:name="_Toc109473876"/>
            <w:bookmarkStart w:id="413" w:name="_Toc111564315"/>
            <w:bookmarkStart w:id="414" w:name="_Toc85037211"/>
            <w:bookmarkStart w:id="415" w:name="_Toc85036877"/>
            <w:bookmarkStart w:id="416" w:name="_Toc81415619"/>
            <w:bookmarkStart w:id="417" w:name="_Toc110439151"/>
            <w:bookmarkStart w:id="418" w:name="_Toc109472624"/>
            <w:bookmarkStart w:id="419" w:name="_Toc109473563"/>
            <w:bookmarkStart w:id="420" w:name="_Toc91493263"/>
            <w:bookmarkStart w:id="421" w:name="_Toc24500"/>
            <w:bookmarkStart w:id="422" w:name="_Toc7888"/>
            <w:bookmarkStart w:id="423" w:name="_Toc96031291"/>
            <w:bookmarkStart w:id="424" w:name="_Toc81308147"/>
            <w:bookmarkStart w:id="425" w:name="_Toc96935411"/>
            <w:bookmarkStart w:id="426" w:name="_Toc96031374"/>
            <w:bookmarkStart w:id="427" w:name="_Toc91532170"/>
            <w:bookmarkStart w:id="428" w:name="_Toc3337"/>
            <w:bookmarkStart w:id="429" w:name="_Toc95464665"/>
            <w:bookmarkStart w:id="430" w:name="_Toc97290581"/>
            <w:r>
              <w:rPr>
                <w:rFonts w:eastAsia="宋体"/>
                <w:sz w:val="24"/>
                <w:szCs w:val="24"/>
              </w:rPr>
              <w:t>监测点位</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pPr>
              <w:pStyle w:val="11"/>
              <w:rPr>
                <w:snapToGrid w:val="0"/>
                <w:szCs w:val="24"/>
                <w:shd w:val="clear" w:color="auto" w:fill="FFFFFF"/>
              </w:rPr>
            </w:pPr>
            <w:r>
              <w:rPr>
                <w:rFonts w:hint="eastAsia"/>
                <w:color w:val="000000"/>
                <w:szCs w:val="24"/>
              </w:rPr>
              <w:t>（1）东环110千伏变电站新建工程：现状监测点位于拟建站址四周及中心，距离地面1.2m高度处</w:t>
            </w:r>
            <w:r>
              <w:rPr>
                <w:rFonts w:hint="eastAsia"/>
                <w:snapToGrid w:val="0"/>
                <w:szCs w:val="24"/>
                <w:shd w:val="clear" w:color="auto" w:fill="FFFFFF"/>
              </w:rPr>
              <w:t>，共5个测点。</w:t>
            </w:r>
          </w:p>
          <w:p>
            <w:pPr>
              <w:pStyle w:val="11"/>
              <w:rPr>
                <w:color w:val="000000"/>
                <w:szCs w:val="24"/>
              </w:rPr>
            </w:pPr>
            <w:r>
              <w:rPr>
                <w:rFonts w:hint="eastAsia"/>
                <w:color w:val="000000"/>
                <w:szCs w:val="24"/>
              </w:rPr>
              <w:t>（2）新建110kV线路工程</w:t>
            </w:r>
            <w:r>
              <w:rPr>
                <w:color w:val="000000"/>
                <w:szCs w:val="24"/>
              </w:rPr>
              <w:t>：</w:t>
            </w:r>
            <w:r>
              <w:rPr>
                <w:rFonts w:hint="eastAsia"/>
              </w:rPr>
              <w:t>在七泉湖~红旗π入番南变110千伏线路工程</w:t>
            </w:r>
            <w:r>
              <w:rPr>
                <w:rFonts w:hint="eastAsia"/>
                <w:szCs w:val="24"/>
              </w:rPr>
              <w:t>新建输电线路评价范围内有1处声环境保护目标，</w:t>
            </w:r>
            <w:r>
              <w:rPr>
                <w:rFonts w:hint="eastAsia"/>
              </w:rPr>
              <w:t>测点位于噪声敏感建筑物外，距墙壁1m，距地面高度1.2m。同时新建线路下方设置</w:t>
            </w:r>
            <w:r>
              <w:t>3</w:t>
            </w:r>
            <w:r>
              <w:rPr>
                <w:rFonts w:hint="eastAsia"/>
              </w:rPr>
              <w:t>个现状监测点位，距离地面1.2m高度处；在七泉湖~番南改接入沙河子变110千伏线路工程新建线路下方设置</w:t>
            </w:r>
            <w:r>
              <w:t>1</w:t>
            </w:r>
            <w:r>
              <w:rPr>
                <w:rFonts w:hint="eastAsia"/>
              </w:rPr>
              <w:t>个现状监测点位，距离地面1.2m高度处；在七泉湖~番南改接入交河变110千伏线路工程新建线路下方设置</w:t>
            </w:r>
            <w:r>
              <w:t>1</w:t>
            </w:r>
            <w:r>
              <w:rPr>
                <w:rFonts w:hint="eastAsia"/>
              </w:rPr>
              <w:t>个现状监测点位，距离地面1.2m高度处；在交河~番南π入东环变110千伏线路工程新建线路下方设置</w:t>
            </w:r>
            <w:r>
              <w:t>4</w:t>
            </w:r>
            <w:r>
              <w:rPr>
                <w:rFonts w:hint="eastAsia"/>
              </w:rPr>
              <w:t>个现状监测点位，距离地面1.2m高度处。</w:t>
            </w:r>
            <w:r>
              <w:rPr>
                <w:color w:val="000000"/>
                <w:szCs w:val="24"/>
              </w:rPr>
              <w:t>线路工程共布设</w:t>
            </w:r>
            <w:r>
              <w:rPr>
                <w:rFonts w:hint="eastAsia"/>
                <w:color w:val="000000"/>
                <w:szCs w:val="24"/>
              </w:rPr>
              <w:t>1</w:t>
            </w:r>
            <w:r>
              <w:rPr>
                <w:color w:val="000000"/>
                <w:szCs w:val="24"/>
              </w:rPr>
              <w:t>0个</w:t>
            </w:r>
            <w:r>
              <w:rPr>
                <w:rFonts w:hint="eastAsia"/>
                <w:color w:val="000000"/>
                <w:szCs w:val="24"/>
              </w:rPr>
              <w:t>测点。</w:t>
            </w:r>
          </w:p>
          <w:p>
            <w:pPr>
              <w:pStyle w:val="11"/>
              <w:rPr>
                <w:color w:val="000000"/>
                <w:szCs w:val="24"/>
              </w:rPr>
            </w:pPr>
            <w:r>
              <w:rPr>
                <w:color w:val="000000"/>
                <w:szCs w:val="24"/>
              </w:rPr>
              <w:t>本工程声环境监测具体点位见</w:t>
            </w:r>
            <w:r>
              <w:rPr>
                <w:color w:val="000000"/>
                <w:szCs w:val="24"/>
              </w:rPr>
              <w:fldChar w:fldCharType="begin"/>
            </w:r>
            <w:r>
              <w:rPr>
                <w:color w:val="000000"/>
                <w:szCs w:val="24"/>
              </w:rPr>
              <w:instrText xml:space="preserve"> REF _Ref157204023 \h  \* MERGEFORMAT </w:instrText>
            </w:r>
            <w:r>
              <w:rPr>
                <w:color w:val="000000"/>
                <w:szCs w:val="24"/>
              </w:rPr>
              <w:fldChar w:fldCharType="separate"/>
            </w:r>
            <w:r>
              <w:rPr>
                <w:color w:val="000000"/>
                <w:szCs w:val="24"/>
              </w:rPr>
              <w:t>表 7</w:t>
            </w:r>
            <w:r>
              <w:rPr>
                <w:color w:val="000000"/>
                <w:szCs w:val="24"/>
              </w:rPr>
              <w:fldChar w:fldCharType="end"/>
            </w:r>
            <w:r>
              <w:rPr>
                <w:color w:val="000000"/>
                <w:szCs w:val="24"/>
              </w:rPr>
              <w:t>。</w:t>
            </w:r>
          </w:p>
          <w:p>
            <w:pPr>
              <w:pStyle w:val="18"/>
              <w:keepNext/>
              <w:rPr>
                <w:rFonts w:hint="eastAsia" w:ascii="黑体" w:hAnsi="黑体"/>
                <w:b/>
              </w:rPr>
            </w:pPr>
            <w:bookmarkStart w:id="431" w:name="_Ref157204023"/>
            <w:r>
              <w:rPr>
                <w:rFonts w:ascii="黑体" w:hAnsi="黑体"/>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7</w:t>
            </w:r>
            <w:r>
              <w:rPr>
                <w:rFonts w:ascii="Times New Roman" w:hAnsi="Times New Roman"/>
                <w:b/>
              </w:rPr>
              <w:fldChar w:fldCharType="end"/>
            </w:r>
            <w:bookmarkEnd w:id="431"/>
            <w:r>
              <w:rPr>
                <w:rFonts w:ascii="Times New Roman" w:hAnsi="Times New Roman"/>
                <w:b/>
              </w:rPr>
              <w:t xml:space="preserve"> </w:t>
            </w:r>
            <w:r>
              <w:rPr>
                <w:rFonts w:ascii="黑体" w:hAnsi="黑体"/>
                <w:b/>
              </w:rPr>
              <w:t xml:space="preserve">                      声环境质量现状监测点位表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1751"/>
              <w:gridCol w:w="150"/>
              <w:gridCol w:w="2344"/>
              <w:gridCol w:w="3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5" w:hRule="atLeast"/>
                <w:jc w:val="center"/>
              </w:trPr>
              <w:tc>
                <w:tcPr>
                  <w:tcW w:w="378" w:type="pct"/>
                  <w:vMerge w:val="restart"/>
                  <w:vAlign w:val="center"/>
                </w:tcPr>
                <w:p>
                  <w:pPr>
                    <w:widowControl/>
                    <w:jc w:val="center"/>
                    <w:rPr>
                      <w:b/>
                      <w:bCs/>
                      <w:color w:val="000000"/>
                      <w:kern w:val="0"/>
                      <w:szCs w:val="21"/>
                    </w:rPr>
                  </w:pPr>
                  <w:bookmarkStart w:id="432" w:name="_Toc91493264"/>
                  <w:bookmarkStart w:id="433" w:name="_Toc111564316"/>
                  <w:bookmarkStart w:id="434" w:name="_Toc109473564"/>
                  <w:bookmarkStart w:id="435" w:name="_Toc96031375"/>
                  <w:bookmarkStart w:id="436" w:name="_Toc96935412"/>
                  <w:bookmarkStart w:id="437" w:name="_Toc110439152"/>
                  <w:bookmarkStart w:id="438" w:name="_Toc109473798"/>
                  <w:bookmarkStart w:id="439" w:name="_Toc2083"/>
                  <w:bookmarkStart w:id="440" w:name="_Toc95464666"/>
                  <w:bookmarkStart w:id="441" w:name="_Toc16444"/>
                  <w:bookmarkStart w:id="442" w:name="_Toc109473877"/>
                  <w:bookmarkStart w:id="443" w:name="_Toc97290582"/>
                  <w:bookmarkStart w:id="444" w:name="_Toc81308148"/>
                  <w:bookmarkStart w:id="445" w:name="_Toc88558518"/>
                  <w:bookmarkStart w:id="446" w:name="_Toc85037212"/>
                  <w:bookmarkStart w:id="447" w:name="_Toc96031292"/>
                  <w:bookmarkStart w:id="448" w:name="_Toc91532171"/>
                  <w:bookmarkStart w:id="449" w:name="_Toc81415620"/>
                  <w:bookmarkStart w:id="450" w:name="_Toc109472625"/>
                  <w:bookmarkStart w:id="451" w:name="_Toc85036878"/>
                  <w:r>
                    <w:rPr>
                      <w:b/>
                      <w:bCs/>
                      <w:color w:val="000000"/>
                      <w:kern w:val="0"/>
                      <w:szCs w:val="21"/>
                    </w:rPr>
                    <w:t>序号</w:t>
                  </w:r>
                </w:p>
              </w:tc>
              <w:tc>
                <w:tcPr>
                  <w:tcW w:w="2624" w:type="pct"/>
                  <w:gridSpan w:val="3"/>
                  <w:vMerge w:val="restart"/>
                  <w:vAlign w:val="center"/>
                </w:tcPr>
                <w:p>
                  <w:pPr>
                    <w:widowControl/>
                    <w:jc w:val="center"/>
                    <w:rPr>
                      <w:b/>
                      <w:bCs/>
                      <w:color w:val="000000"/>
                      <w:kern w:val="0"/>
                      <w:szCs w:val="21"/>
                    </w:rPr>
                  </w:pPr>
                  <w:r>
                    <w:rPr>
                      <w:b/>
                      <w:bCs/>
                      <w:color w:val="000000"/>
                      <w:kern w:val="0"/>
                      <w:szCs w:val="21"/>
                    </w:rPr>
                    <w:t>监测对象</w:t>
                  </w:r>
                </w:p>
              </w:tc>
              <w:tc>
                <w:tcPr>
                  <w:tcW w:w="1998" w:type="pct"/>
                  <w:vMerge w:val="restart"/>
                  <w:vAlign w:val="center"/>
                </w:tcPr>
                <w:p>
                  <w:pPr>
                    <w:widowControl/>
                    <w:jc w:val="center"/>
                    <w:rPr>
                      <w:b/>
                      <w:bCs/>
                      <w:color w:val="000000"/>
                      <w:kern w:val="0"/>
                      <w:szCs w:val="21"/>
                    </w:rPr>
                  </w:pPr>
                  <w:r>
                    <w:rPr>
                      <w:b/>
                      <w:bCs/>
                      <w:color w:val="000000"/>
                      <w:kern w:val="0"/>
                      <w:szCs w:val="21"/>
                    </w:rPr>
                    <w:t>监测点位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78" w:type="pct"/>
                  <w:vMerge w:val="continue"/>
                  <w:vAlign w:val="center"/>
                </w:tcPr>
                <w:p>
                  <w:pPr>
                    <w:widowControl/>
                    <w:jc w:val="center"/>
                    <w:rPr>
                      <w:b/>
                      <w:bCs/>
                      <w:color w:val="000000"/>
                      <w:kern w:val="0"/>
                      <w:szCs w:val="21"/>
                    </w:rPr>
                  </w:pPr>
                </w:p>
              </w:tc>
              <w:tc>
                <w:tcPr>
                  <w:tcW w:w="2624" w:type="pct"/>
                  <w:gridSpan w:val="3"/>
                  <w:vMerge w:val="continue"/>
                  <w:vAlign w:val="center"/>
                </w:tcPr>
                <w:p>
                  <w:pPr>
                    <w:widowControl/>
                    <w:jc w:val="center"/>
                    <w:rPr>
                      <w:b/>
                      <w:bCs/>
                      <w:color w:val="000000"/>
                      <w:kern w:val="0"/>
                      <w:szCs w:val="21"/>
                    </w:rPr>
                  </w:pPr>
                </w:p>
              </w:tc>
              <w:tc>
                <w:tcPr>
                  <w:tcW w:w="1998" w:type="pct"/>
                  <w:vMerge w:val="continue"/>
                  <w:vAlign w:val="center"/>
                </w:tcPr>
                <w:p>
                  <w:pPr>
                    <w:widowControl/>
                    <w:jc w:val="center"/>
                    <w:rPr>
                      <w:b/>
                      <w:bCs/>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1" w:hRule="atLeast"/>
                <w:jc w:val="center"/>
              </w:trPr>
              <w:tc>
                <w:tcPr>
                  <w:tcW w:w="5000" w:type="pct"/>
                  <w:gridSpan w:val="5"/>
                  <w:vAlign w:val="center"/>
                </w:tcPr>
                <w:p>
                  <w:pPr>
                    <w:widowControl/>
                    <w:jc w:val="left"/>
                    <w:rPr>
                      <w:b/>
                      <w:bCs/>
                      <w:color w:val="000000"/>
                      <w:kern w:val="0"/>
                      <w:szCs w:val="21"/>
                    </w:rPr>
                  </w:pPr>
                  <w:r>
                    <w:rPr>
                      <w:rFonts w:hint="eastAsia"/>
                      <w:b/>
                      <w:color w:val="000000"/>
                      <w:szCs w:val="21"/>
                    </w:rPr>
                    <w:t>（一）东环110千伏</w:t>
                  </w:r>
                  <w:r>
                    <w:rPr>
                      <w:b/>
                      <w:color w:val="000000"/>
                      <w:szCs w:val="21"/>
                    </w:rPr>
                    <w:t>变电站</w:t>
                  </w:r>
                  <w:r>
                    <w:rPr>
                      <w:rFonts w:hint="eastAsia"/>
                      <w:b/>
                      <w:color w:val="000000"/>
                      <w:szCs w:val="21"/>
                    </w:rPr>
                    <w:t>新</w:t>
                  </w:r>
                  <w:r>
                    <w:rPr>
                      <w:b/>
                      <w:color w:val="000000"/>
                      <w:szCs w:val="21"/>
                    </w:rPr>
                    <w:t>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78" w:type="pct"/>
                  <w:vAlign w:val="center"/>
                </w:tcPr>
                <w:p>
                  <w:pPr>
                    <w:pStyle w:val="114"/>
                    <w:widowControl/>
                    <w:numPr>
                      <w:ilvl w:val="0"/>
                      <w:numId w:val="11"/>
                    </w:numPr>
                    <w:ind w:firstLineChars="0"/>
                    <w:jc w:val="center"/>
                  </w:pPr>
                </w:p>
              </w:tc>
              <w:tc>
                <w:tcPr>
                  <w:tcW w:w="1175" w:type="pct"/>
                  <w:gridSpan w:val="2"/>
                  <w:vMerge w:val="restart"/>
                  <w:vAlign w:val="center"/>
                </w:tcPr>
                <w:p>
                  <w:pPr>
                    <w:widowControl/>
                    <w:jc w:val="center"/>
                    <w:rPr>
                      <w:color w:val="000000"/>
                      <w:szCs w:val="21"/>
                    </w:rPr>
                  </w:pPr>
                  <w:r>
                    <w:rPr>
                      <w:rFonts w:hint="eastAsia"/>
                      <w:color w:val="000000"/>
                      <w:kern w:val="0"/>
                      <w:szCs w:val="21"/>
                    </w:rPr>
                    <w:t>东环110kV变电站</w:t>
                  </w:r>
                </w:p>
              </w:tc>
              <w:tc>
                <w:tcPr>
                  <w:tcW w:w="1449" w:type="pct"/>
                  <w:vAlign w:val="center"/>
                </w:tcPr>
                <w:p>
                  <w:pPr>
                    <w:widowControl/>
                    <w:jc w:val="center"/>
                    <w:textAlignment w:val="center"/>
                    <w:rPr>
                      <w:rFonts w:hint="eastAsia" w:ascii="宋体" w:hAnsi="宋体"/>
                      <w:color w:val="000000"/>
                      <w:szCs w:val="21"/>
                    </w:rPr>
                  </w:pPr>
                  <w:r>
                    <w:rPr>
                      <w:rFonts w:hint="eastAsia" w:ascii="宋体" w:hAnsi="宋体"/>
                      <w:color w:val="000000"/>
                      <w:szCs w:val="21"/>
                    </w:rPr>
                    <w:t>拟建站址北侧</w:t>
                  </w:r>
                  <w:r>
                    <w:rPr>
                      <w:rFonts w:hint="eastAsia" w:eastAsiaTheme="minorEastAsia"/>
                      <w:color w:val="000000"/>
                      <w:szCs w:val="21"/>
                    </w:rPr>
                    <w:t>1#</w:t>
                  </w:r>
                </w:p>
              </w:tc>
              <w:tc>
                <w:tcPr>
                  <w:tcW w:w="1998" w:type="pct"/>
                  <w:vAlign w:val="center"/>
                </w:tcPr>
                <w:p>
                  <w:pPr>
                    <w:widowControl/>
                    <w:jc w:val="center"/>
                    <w:rPr>
                      <w:color w:val="000000"/>
                      <w:szCs w:val="21"/>
                    </w:rPr>
                  </w:pPr>
                  <w:r>
                    <w:rPr>
                      <w:rFonts w:eastAsiaTheme="minorEastAsia"/>
                      <w:kern w:val="0"/>
                      <w:szCs w:val="21"/>
                    </w:rPr>
                    <w:t>E:89°14'37.890"，N:42°56'00.083"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78" w:type="pct"/>
                  <w:vAlign w:val="center"/>
                </w:tcPr>
                <w:p>
                  <w:pPr>
                    <w:pStyle w:val="114"/>
                    <w:widowControl/>
                    <w:numPr>
                      <w:ilvl w:val="0"/>
                      <w:numId w:val="11"/>
                    </w:numPr>
                    <w:ind w:firstLineChars="0"/>
                    <w:jc w:val="center"/>
                  </w:pPr>
                </w:p>
              </w:tc>
              <w:tc>
                <w:tcPr>
                  <w:tcW w:w="1175" w:type="pct"/>
                  <w:gridSpan w:val="2"/>
                  <w:vMerge w:val="continue"/>
                  <w:vAlign w:val="center"/>
                </w:tcPr>
                <w:p>
                  <w:pPr>
                    <w:widowControl/>
                    <w:jc w:val="center"/>
                    <w:rPr>
                      <w:color w:val="000000"/>
                      <w:szCs w:val="21"/>
                    </w:rPr>
                  </w:pPr>
                </w:p>
              </w:tc>
              <w:tc>
                <w:tcPr>
                  <w:tcW w:w="1449" w:type="pct"/>
                  <w:vAlign w:val="center"/>
                </w:tcPr>
                <w:p>
                  <w:pPr>
                    <w:widowControl/>
                    <w:jc w:val="center"/>
                    <w:textAlignment w:val="center"/>
                    <w:rPr>
                      <w:rFonts w:hint="eastAsia" w:ascii="宋体" w:hAnsi="宋体"/>
                      <w:color w:val="000000"/>
                      <w:szCs w:val="21"/>
                    </w:rPr>
                  </w:pPr>
                  <w:r>
                    <w:rPr>
                      <w:rFonts w:hint="eastAsia" w:ascii="宋体" w:hAnsi="宋体"/>
                      <w:color w:val="000000"/>
                      <w:szCs w:val="21"/>
                    </w:rPr>
                    <w:t>拟建站址东侧</w:t>
                  </w:r>
                  <w:r>
                    <w:rPr>
                      <w:rFonts w:hint="eastAsia" w:eastAsiaTheme="minorEastAsia"/>
                      <w:color w:val="000000"/>
                      <w:szCs w:val="21"/>
                    </w:rPr>
                    <w:t>2#</w:t>
                  </w:r>
                </w:p>
              </w:tc>
              <w:tc>
                <w:tcPr>
                  <w:tcW w:w="1998" w:type="pct"/>
                  <w:vAlign w:val="center"/>
                </w:tcPr>
                <w:p>
                  <w:pPr>
                    <w:widowControl/>
                    <w:jc w:val="center"/>
                    <w:rPr>
                      <w:color w:val="000000"/>
                      <w:szCs w:val="21"/>
                    </w:rPr>
                  </w:pPr>
                  <w:r>
                    <w:rPr>
                      <w:rFonts w:eastAsiaTheme="minorEastAsia"/>
                      <w:kern w:val="0"/>
                      <w:szCs w:val="21"/>
                    </w:rPr>
                    <w:t>E:89°14'38.721"，N:42°55'58.828"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78" w:type="pct"/>
                  <w:vAlign w:val="center"/>
                </w:tcPr>
                <w:p>
                  <w:pPr>
                    <w:pStyle w:val="114"/>
                    <w:widowControl/>
                    <w:numPr>
                      <w:ilvl w:val="0"/>
                      <w:numId w:val="11"/>
                    </w:numPr>
                    <w:ind w:firstLineChars="0"/>
                    <w:jc w:val="center"/>
                  </w:pPr>
                </w:p>
              </w:tc>
              <w:tc>
                <w:tcPr>
                  <w:tcW w:w="1175" w:type="pct"/>
                  <w:gridSpan w:val="2"/>
                  <w:vMerge w:val="continue"/>
                  <w:vAlign w:val="center"/>
                </w:tcPr>
                <w:p>
                  <w:pPr>
                    <w:widowControl/>
                    <w:jc w:val="center"/>
                    <w:rPr>
                      <w:color w:val="000000"/>
                      <w:szCs w:val="21"/>
                    </w:rPr>
                  </w:pPr>
                </w:p>
              </w:tc>
              <w:tc>
                <w:tcPr>
                  <w:tcW w:w="1449" w:type="pct"/>
                  <w:vAlign w:val="center"/>
                </w:tcPr>
                <w:p>
                  <w:pPr>
                    <w:widowControl/>
                    <w:jc w:val="center"/>
                    <w:textAlignment w:val="center"/>
                    <w:rPr>
                      <w:rFonts w:hint="eastAsia" w:ascii="宋体" w:hAnsi="宋体"/>
                      <w:color w:val="000000"/>
                      <w:szCs w:val="21"/>
                    </w:rPr>
                  </w:pPr>
                  <w:r>
                    <w:rPr>
                      <w:rFonts w:hint="eastAsia" w:ascii="宋体" w:hAnsi="宋体"/>
                      <w:color w:val="000000"/>
                      <w:szCs w:val="21"/>
                    </w:rPr>
                    <w:t>拟建站址南侧</w:t>
                  </w:r>
                  <w:r>
                    <w:rPr>
                      <w:rFonts w:hint="eastAsia" w:eastAsiaTheme="minorEastAsia"/>
                      <w:color w:val="000000"/>
                      <w:szCs w:val="21"/>
                    </w:rPr>
                    <w:t>3#</w:t>
                  </w:r>
                </w:p>
              </w:tc>
              <w:tc>
                <w:tcPr>
                  <w:tcW w:w="1998" w:type="pct"/>
                  <w:vAlign w:val="center"/>
                </w:tcPr>
                <w:p>
                  <w:pPr>
                    <w:widowControl/>
                    <w:jc w:val="center"/>
                    <w:rPr>
                      <w:color w:val="000000"/>
                      <w:szCs w:val="21"/>
                    </w:rPr>
                  </w:pPr>
                  <w:r>
                    <w:rPr>
                      <w:rFonts w:eastAsiaTheme="minorEastAsia"/>
                      <w:kern w:val="0"/>
                      <w:szCs w:val="21"/>
                    </w:rPr>
                    <w:t>E:89°14'36.703"，N:42°55'58.684"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78" w:type="pct"/>
                  <w:vAlign w:val="center"/>
                </w:tcPr>
                <w:p>
                  <w:pPr>
                    <w:pStyle w:val="114"/>
                    <w:widowControl/>
                    <w:numPr>
                      <w:ilvl w:val="0"/>
                      <w:numId w:val="11"/>
                    </w:numPr>
                    <w:ind w:firstLineChars="0"/>
                    <w:jc w:val="center"/>
                  </w:pPr>
                </w:p>
              </w:tc>
              <w:tc>
                <w:tcPr>
                  <w:tcW w:w="1175" w:type="pct"/>
                  <w:gridSpan w:val="2"/>
                  <w:vMerge w:val="continue"/>
                  <w:vAlign w:val="center"/>
                </w:tcPr>
                <w:p>
                  <w:pPr>
                    <w:widowControl/>
                    <w:jc w:val="center"/>
                    <w:rPr>
                      <w:color w:val="000000"/>
                      <w:szCs w:val="21"/>
                    </w:rPr>
                  </w:pPr>
                </w:p>
              </w:tc>
              <w:tc>
                <w:tcPr>
                  <w:tcW w:w="1449" w:type="pct"/>
                  <w:vAlign w:val="center"/>
                </w:tcPr>
                <w:p>
                  <w:pPr>
                    <w:widowControl/>
                    <w:jc w:val="center"/>
                    <w:textAlignment w:val="center"/>
                    <w:rPr>
                      <w:rFonts w:hint="eastAsia" w:ascii="宋体" w:hAnsi="宋体"/>
                      <w:color w:val="000000"/>
                      <w:szCs w:val="21"/>
                    </w:rPr>
                  </w:pPr>
                  <w:r>
                    <w:rPr>
                      <w:rFonts w:hint="eastAsia" w:ascii="宋体" w:hAnsi="宋体"/>
                      <w:color w:val="000000"/>
                      <w:szCs w:val="21"/>
                    </w:rPr>
                    <w:t>拟建站址西侧</w:t>
                  </w:r>
                  <w:r>
                    <w:rPr>
                      <w:rFonts w:hint="eastAsia" w:eastAsiaTheme="minorEastAsia"/>
                      <w:color w:val="000000"/>
                      <w:szCs w:val="21"/>
                    </w:rPr>
                    <w:t>4#</w:t>
                  </w:r>
                </w:p>
              </w:tc>
              <w:tc>
                <w:tcPr>
                  <w:tcW w:w="1998" w:type="pct"/>
                  <w:vAlign w:val="center"/>
                </w:tcPr>
                <w:p>
                  <w:pPr>
                    <w:widowControl/>
                    <w:jc w:val="center"/>
                    <w:rPr>
                      <w:color w:val="000000"/>
                      <w:szCs w:val="21"/>
                    </w:rPr>
                  </w:pPr>
                  <w:r>
                    <w:rPr>
                      <w:rFonts w:eastAsiaTheme="minorEastAsia"/>
                      <w:kern w:val="0"/>
                      <w:szCs w:val="21"/>
                    </w:rPr>
                    <w:t>E:89°14'35.699"，N:42°55'59.984"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78" w:type="pct"/>
                  <w:vAlign w:val="center"/>
                </w:tcPr>
                <w:p>
                  <w:pPr>
                    <w:pStyle w:val="114"/>
                    <w:widowControl/>
                    <w:numPr>
                      <w:ilvl w:val="0"/>
                      <w:numId w:val="11"/>
                    </w:numPr>
                    <w:ind w:firstLineChars="0"/>
                    <w:jc w:val="center"/>
                  </w:pPr>
                </w:p>
              </w:tc>
              <w:tc>
                <w:tcPr>
                  <w:tcW w:w="1175" w:type="pct"/>
                  <w:gridSpan w:val="2"/>
                  <w:vMerge w:val="continue"/>
                  <w:vAlign w:val="center"/>
                </w:tcPr>
                <w:p>
                  <w:pPr>
                    <w:widowControl/>
                    <w:jc w:val="center"/>
                    <w:rPr>
                      <w:color w:val="000000"/>
                      <w:szCs w:val="21"/>
                    </w:rPr>
                  </w:pPr>
                </w:p>
              </w:tc>
              <w:tc>
                <w:tcPr>
                  <w:tcW w:w="1449" w:type="pct"/>
                  <w:vAlign w:val="center"/>
                </w:tcPr>
                <w:p>
                  <w:pPr>
                    <w:widowControl/>
                    <w:jc w:val="center"/>
                    <w:textAlignment w:val="center"/>
                    <w:rPr>
                      <w:rFonts w:hint="eastAsia" w:ascii="宋体" w:hAnsi="宋体"/>
                      <w:color w:val="000000"/>
                      <w:szCs w:val="21"/>
                    </w:rPr>
                  </w:pPr>
                  <w:r>
                    <w:rPr>
                      <w:rFonts w:hint="eastAsia" w:ascii="宋体" w:hAnsi="宋体"/>
                      <w:color w:val="000000"/>
                      <w:szCs w:val="21"/>
                    </w:rPr>
                    <w:t>拟建站址中心</w:t>
                  </w:r>
                  <w:r>
                    <w:rPr>
                      <w:rFonts w:hint="eastAsia"/>
                      <w:color w:val="000000"/>
                      <w:szCs w:val="21"/>
                    </w:rPr>
                    <w:t>5#</w:t>
                  </w:r>
                </w:p>
              </w:tc>
              <w:tc>
                <w:tcPr>
                  <w:tcW w:w="1998" w:type="pct"/>
                  <w:vAlign w:val="center"/>
                </w:tcPr>
                <w:p>
                  <w:pPr>
                    <w:widowControl/>
                    <w:jc w:val="center"/>
                    <w:rPr>
                      <w:color w:val="000000"/>
                      <w:szCs w:val="21"/>
                    </w:rPr>
                  </w:pPr>
                  <w:r>
                    <w:rPr>
                      <w:rFonts w:eastAsiaTheme="minorEastAsia"/>
                      <w:kern w:val="0"/>
                      <w:szCs w:val="21"/>
                    </w:rPr>
                    <w:t>E:89°14'37.234"，N:42°55'59.387"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00" w:type="pct"/>
                  <w:gridSpan w:val="5"/>
                  <w:vAlign w:val="center"/>
                </w:tcPr>
                <w:p>
                  <w:pPr>
                    <w:widowControl/>
                    <w:jc w:val="left"/>
                    <w:rPr>
                      <w:color w:val="000000"/>
                      <w:szCs w:val="21"/>
                      <w:highlight w:val="yellow"/>
                    </w:rPr>
                  </w:pPr>
                  <w:r>
                    <w:rPr>
                      <w:rFonts w:hint="eastAsia"/>
                      <w:b/>
                      <w:color w:val="000000"/>
                      <w:szCs w:val="21"/>
                    </w:rPr>
                    <w:t>（二）</w:t>
                  </w:r>
                  <w:r>
                    <w:rPr>
                      <w:rFonts w:hint="eastAsia" w:ascii="FZFSK--GBK1-0" w:hAnsi="FZFSK--GBK1-0"/>
                      <w:b/>
                      <w:color w:val="000000"/>
                    </w:rPr>
                    <w:t>七泉湖~红旗π入番南变110千伏线路工程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78" w:type="pct"/>
                  <w:vAlign w:val="center"/>
                </w:tcPr>
                <w:p>
                  <w:pPr>
                    <w:pStyle w:val="114"/>
                    <w:widowControl/>
                    <w:numPr>
                      <w:ilvl w:val="0"/>
                      <w:numId w:val="12"/>
                    </w:numPr>
                    <w:ind w:firstLineChars="0"/>
                    <w:jc w:val="center"/>
                  </w:pPr>
                </w:p>
              </w:tc>
              <w:tc>
                <w:tcPr>
                  <w:tcW w:w="2624" w:type="pct"/>
                  <w:gridSpan w:val="3"/>
                  <w:vAlign w:val="center"/>
                </w:tcPr>
                <w:p>
                  <w:pPr>
                    <w:widowControl/>
                    <w:jc w:val="center"/>
                    <w:rPr>
                      <w:color w:val="000000"/>
                      <w:szCs w:val="21"/>
                    </w:rPr>
                  </w:pPr>
                  <w:r>
                    <w:rPr>
                      <w:rFonts w:hint="eastAsia"/>
                      <w:color w:val="000000"/>
                      <w:szCs w:val="21"/>
                    </w:rPr>
                    <w:t>吐鲁番市高昌区恰特喀勒乡新光村二组</w:t>
                  </w:r>
                </w:p>
              </w:tc>
              <w:tc>
                <w:tcPr>
                  <w:tcW w:w="1998" w:type="pct"/>
                  <w:vAlign w:val="center"/>
                </w:tcPr>
                <w:p>
                  <w:pPr>
                    <w:widowControl/>
                    <w:jc w:val="center"/>
                    <w:rPr>
                      <w:color w:val="000000"/>
                      <w:szCs w:val="21"/>
                    </w:rPr>
                  </w:pPr>
                  <w:r>
                    <w:rPr>
                      <w:rFonts w:hint="eastAsia"/>
                      <w:color w:val="000000"/>
                      <w:szCs w:val="21"/>
                    </w:rPr>
                    <w:t>406#房屋东侧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78" w:type="pct"/>
                  <w:vAlign w:val="center"/>
                </w:tcPr>
                <w:p>
                  <w:pPr>
                    <w:pStyle w:val="114"/>
                    <w:widowControl/>
                    <w:numPr>
                      <w:ilvl w:val="0"/>
                      <w:numId w:val="12"/>
                    </w:numPr>
                    <w:ind w:firstLineChars="0"/>
                    <w:jc w:val="center"/>
                  </w:pPr>
                </w:p>
              </w:tc>
              <w:tc>
                <w:tcPr>
                  <w:tcW w:w="1082" w:type="pct"/>
                  <w:vMerge w:val="restart"/>
                  <w:vAlign w:val="center"/>
                </w:tcPr>
                <w:p>
                  <w:pPr>
                    <w:jc w:val="center"/>
                    <w:rPr>
                      <w:color w:val="000000"/>
                      <w:szCs w:val="21"/>
                    </w:rPr>
                  </w:pPr>
                  <w:r>
                    <w:rPr>
                      <w:rFonts w:hint="eastAsia"/>
                      <w:color w:val="000000"/>
                      <w:szCs w:val="21"/>
                    </w:rPr>
                    <w:t>吐鲁番市高昌区</w:t>
                  </w:r>
                </w:p>
              </w:tc>
              <w:tc>
                <w:tcPr>
                  <w:tcW w:w="1541" w:type="pct"/>
                  <w:gridSpan w:val="2"/>
                  <w:vAlign w:val="center"/>
                </w:tcPr>
                <w:p>
                  <w:pPr>
                    <w:widowControl/>
                    <w:jc w:val="center"/>
                    <w:rPr>
                      <w:color w:val="000000"/>
                      <w:szCs w:val="21"/>
                    </w:rPr>
                  </w:pPr>
                  <w:r>
                    <w:rPr>
                      <w:rFonts w:hint="eastAsia"/>
                      <w:color w:val="000000"/>
                      <w:szCs w:val="21"/>
                    </w:rPr>
                    <w:t>现状值测点</w:t>
                  </w:r>
                  <w:r>
                    <w:rPr>
                      <w:color w:val="000000"/>
                      <w:szCs w:val="21"/>
                    </w:rPr>
                    <w:t>3#</w:t>
                  </w:r>
                </w:p>
              </w:tc>
              <w:tc>
                <w:tcPr>
                  <w:tcW w:w="1998" w:type="pct"/>
                  <w:vAlign w:val="center"/>
                </w:tcPr>
                <w:p>
                  <w:pPr>
                    <w:widowControl/>
                    <w:jc w:val="center"/>
                    <w:rPr>
                      <w:rFonts w:eastAsiaTheme="minorEastAsia"/>
                      <w:color w:val="000000"/>
                      <w:szCs w:val="21"/>
                    </w:rPr>
                  </w:pPr>
                  <w:r>
                    <w:rPr>
                      <w:rFonts w:hint="eastAsia" w:eastAsiaTheme="minorEastAsia"/>
                      <w:color w:val="000000"/>
                      <w:szCs w:val="21"/>
                    </w:rPr>
                    <w:t>E:89°19'40.981"，N:42°49'57.344"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Align w:val="center"/>
                </w:tcPr>
                <w:p>
                  <w:pPr>
                    <w:pStyle w:val="114"/>
                    <w:widowControl/>
                    <w:numPr>
                      <w:ilvl w:val="0"/>
                      <w:numId w:val="12"/>
                    </w:numPr>
                    <w:ind w:firstLineChars="0"/>
                    <w:jc w:val="center"/>
                  </w:pPr>
                </w:p>
              </w:tc>
              <w:tc>
                <w:tcPr>
                  <w:tcW w:w="1082" w:type="pct"/>
                  <w:vMerge w:val="continue"/>
                  <w:vAlign w:val="center"/>
                </w:tcPr>
                <w:p>
                  <w:pPr>
                    <w:widowControl/>
                    <w:jc w:val="center"/>
                    <w:rPr>
                      <w:color w:val="000000"/>
                      <w:sz w:val="22"/>
                    </w:rPr>
                  </w:pPr>
                </w:p>
              </w:tc>
              <w:tc>
                <w:tcPr>
                  <w:tcW w:w="1541" w:type="pct"/>
                  <w:gridSpan w:val="2"/>
                  <w:vAlign w:val="center"/>
                </w:tcPr>
                <w:p>
                  <w:pPr>
                    <w:widowControl/>
                    <w:jc w:val="center"/>
                    <w:rPr>
                      <w:color w:val="000000"/>
                    </w:rPr>
                  </w:pPr>
                  <w:r>
                    <w:rPr>
                      <w:rFonts w:hint="eastAsia"/>
                      <w:color w:val="000000"/>
                    </w:rPr>
                    <w:t>现状值测点</w:t>
                  </w:r>
                  <w:r>
                    <w:rPr>
                      <w:color w:val="000000"/>
                    </w:rPr>
                    <w:t>4#</w:t>
                  </w:r>
                </w:p>
              </w:tc>
              <w:tc>
                <w:tcPr>
                  <w:tcW w:w="1998" w:type="pct"/>
                  <w:vAlign w:val="center"/>
                </w:tcPr>
                <w:p>
                  <w:pPr>
                    <w:widowControl/>
                    <w:jc w:val="center"/>
                    <w:rPr>
                      <w:rFonts w:eastAsiaTheme="minorEastAsia"/>
                      <w:color w:val="000000"/>
                      <w:szCs w:val="21"/>
                    </w:rPr>
                  </w:pPr>
                  <w:r>
                    <w:rPr>
                      <w:rFonts w:hint="eastAsia" w:eastAsiaTheme="minorEastAsia"/>
                      <w:color w:val="000000"/>
                      <w:szCs w:val="21"/>
                    </w:rPr>
                    <w:t>E:89°19'41.102"，N:42°49'56.318"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78" w:type="pct"/>
                  <w:vAlign w:val="center"/>
                </w:tcPr>
                <w:p>
                  <w:pPr>
                    <w:pStyle w:val="114"/>
                    <w:widowControl/>
                    <w:numPr>
                      <w:ilvl w:val="0"/>
                      <w:numId w:val="12"/>
                    </w:numPr>
                    <w:ind w:firstLineChars="0"/>
                    <w:jc w:val="center"/>
                  </w:pPr>
                </w:p>
              </w:tc>
              <w:tc>
                <w:tcPr>
                  <w:tcW w:w="1082" w:type="pct"/>
                  <w:vMerge w:val="continue"/>
                  <w:vAlign w:val="center"/>
                </w:tcPr>
                <w:p>
                  <w:pPr>
                    <w:widowControl/>
                    <w:jc w:val="center"/>
                    <w:rPr>
                      <w:color w:val="000000"/>
                      <w:sz w:val="22"/>
                    </w:rPr>
                  </w:pPr>
                </w:p>
              </w:tc>
              <w:tc>
                <w:tcPr>
                  <w:tcW w:w="1541" w:type="pct"/>
                  <w:gridSpan w:val="2"/>
                  <w:vAlign w:val="center"/>
                </w:tcPr>
                <w:p>
                  <w:pPr>
                    <w:widowControl/>
                    <w:jc w:val="center"/>
                    <w:rPr>
                      <w:color w:val="000000"/>
                    </w:rPr>
                  </w:pPr>
                  <w:r>
                    <w:rPr>
                      <w:rFonts w:hint="eastAsia"/>
                      <w:color w:val="000000"/>
                    </w:rPr>
                    <w:t>现状值测点</w:t>
                  </w:r>
                  <w:r>
                    <w:rPr>
                      <w:color w:val="000000"/>
                    </w:rPr>
                    <w:t>5#</w:t>
                  </w:r>
                </w:p>
              </w:tc>
              <w:tc>
                <w:tcPr>
                  <w:tcW w:w="1998" w:type="pct"/>
                  <w:vAlign w:val="center"/>
                </w:tcPr>
                <w:p>
                  <w:pPr>
                    <w:widowControl/>
                    <w:jc w:val="center"/>
                    <w:rPr>
                      <w:rFonts w:eastAsiaTheme="minorEastAsia"/>
                      <w:color w:val="000000"/>
                      <w:szCs w:val="21"/>
                    </w:rPr>
                  </w:pPr>
                  <w:r>
                    <w:rPr>
                      <w:rFonts w:hint="eastAsia" w:eastAsiaTheme="minorEastAsia"/>
                      <w:color w:val="000000"/>
                      <w:szCs w:val="21"/>
                    </w:rPr>
                    <w:t>E:89°18'47.531"，N:42°49'36.858"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00" w:type="pct"/>
                  <w:gridSpan w:val="5"/>
                  <w:vAlign w:val="center"/>
                </w:tcPr>
                <w:p>
                  <w:pPr>
                    <w:widowControl/>
                    <w:jc w:val="left"/>
                    <w:rPr>
                      <w:rFonts w:eastAsiaTheme="minorEastAsia"/>
                      <w:color w:val="000000"/>
                      <w:szCs w:val="21"/>
                    </w:rPr>
                  </w:pPr>
                  <w:r>
                    <w:rPr>
                      <w:rFonts w:hint="eastAsia"/>
                      <w:b/>
                      <w:kern w:val="0"/>
                    </w:rPr>
                    <w:t>（三）七泉湖~番南改接入沙河子变110千伏线路工程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78" w:type="pct"/>
                  <w:vAlign w:val="center"/>
                </w:tcPr>
                <w:p>
                  <w:pPr>
                    <w:pStyle w:val="114"/>
                    <w:widowControl/>
                    <w:numPr>
                      <w:ilvl w:val="0"/>
                      <w:numId w:val="12"/>
                    </w:numPr>
                    <w:ind w:firstLineChars="0"/>
                    <w:jc w:val="center"/>
                  </w:pPr>
                </w:p>
              </w:tc>
              <w:tc>
                <w:tcPr>
                  <w:tcW w:w="1082" w:type="pct"/>
                  <w:vAlign w:val="center"/>
                </w:tcPr>
                <w:p>
                  <w:pPr>
                    <w:widowControl/>
                    <w:jc w:val="center"/>
                    <w:rPr>
                      <w:color w:val="000000"/>
                      <w:sz w:val="22"/>
                    </w:rPr>
                  </w:pPr>
                  <w:r>
                    <w:rPr>
                      <w:rFonts w:hint="eastAsia"/>
                      <w:color w:val="000000"/>
                      <w:szCs w:val="21"/>
                    </w:rPr>
                    <w:t>吐鲁番市高昌区</w:t>
                  </w:r>
                </w:p>
              </w:tc>
              <w:tc>
                <w:tcPr>
                  <w:tcW w:w="1541" w:type="pct"/>
                  <w:gridSpan w:val="2"/>
                  <w:vAlign w:val="center"/>
                </w:tcPr>
                <w:p>
                  <w:pPr>
                    <w:widowControl/>
                    <w:jc w:val="center"/>
                    <w:rPr>
                      <w:color w:val="000000"/>
                    </w:rPr>
                  </w:pPr>
                  <w:r>
                    <w:rPr>
                      <w:rFonts w:hint="eastAsia"/>
                      <w:color w:val="000000"/>
                      <w:szCs w:val="21"/>
                    </w:rPr>
                    <w:t>现状值测点</w:t>
                  </w:r>
                  <w:r>
                    <w:rPr>
                      <w:color w:val="000000"/>
                      <w:szCs w:val="21"/>
                    </w:rPr>
                    <w:t>2#</w:t>
                  </w:r>
                </w:p>
              </w:tc>
              <w:tc>
                <w:tcPr>
                  <w:tcW w:w="1998" w:type="pct"/>
                  <w:vAlign w:val="center"/>
                </w:tcPr>
                <w:p>
                  <w:pPr>
                    <w:widowControl/>
                    <w:jc w:val="center"/>
                    <w:rPr>
                      <w:rFonts w:eastAsiaTheme="minorEastAsia"/>
                      <w:color w:val="000000"/>
                      <w:szCs w:val="21"/>
                    </w:rPr>
                  </w:pPr>
                  <w:r>
                    <w:rPr>
                      <w:rFonts w:hint="eastAsia" w:eastAsiaTheme="minorEastAsia"/>
                      <w:color w:val="000000"/>
                      <w:szCs w:val="21"/>
                    </w:rPr>
                    <w:t>E:89°15'59.609"，N:42°58'15.891"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00" w:type="pct"/>
                  <w:gridSpan w:val="5"/>
                  <w:vAlign w:val="center"/>
                </w:tcPr>
                <w:p>
                  <w:pPr>
                    <w:widowControl/>
                    <w:jc w:val="left"/>
                    <w:rPr>
                      <w:rFonts w:eastAsiaTheme="minorEastAsia"/>
                      <w:color w:val="000000"/>
                      <w:szCs w:val="21"/>
                    </w:rPr>
                  </w:pPr>
                  <w:r>
                    <w:rPr>
                      <w:rFonts w:hint="eastAsia"/>
                      <w:b/>
                      <w:kern w:val="0"/>
                    </w:rPr>
                    <w:t>（四）七泉湖~番南改接入交河变110千伏线路工程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78" w:type="pct"/>
                  <w:vAlign w:val="center"/>
                </w:tcPr>
                <w:p>
                  <w:pPr>
                    <w:pStyle w:val="114"/>
                    <w:widowControl/>
                    <w:numPr>
                      <w:ilvl w:val="0"/>
                      <w:numId w:val="12"/>
                    </w:numPr>
                    <w:ind w:firstLineChars="0"/>
                    <w:jc w:val="center"/>
                  </w:pPr>
                </w:p>
              </w:tc>
              <w:tc>
                <w:tcPr>
                  <w:tcW w:w="1082" w:type="pct"/>
                  <w:vAlign w:val="center"/>
                </w:tcPr>
                <w:p>
                  <w:pPr>
                    <w:widowControl/>
                    <w:jc w:val="center"/>
                    <w:rPr>
                      <w:color w:val="000000"/>
                      <w:szCs w:val="21"/>
                    </w:rPr>
                  </w:pPr>
                  <w:r>
                    <w:rPr>
                      <w:rFonts w:hint="eastAsia"/>
                      <w:color w:val="000000"/>
                      <w:szCs w:val="21"/>
                    </w:rPr>
                    <w:t>吐鲁番市高昌区</w:t>
                  </w:r>
                </w:p>
              </w:tc>
              <w:tc>
                <w:tcPr>
                  <w:tcW w:w="1541" w:type="pct"/>
                  <w:gridSpan w:val="2"/>
                  <w:vAlign w:val="center"/>
                </w:tcPr>
                <w:p>
                  <w:pPr>
                    <w:widowControl/>
                    <w:jc w:val="center"/>
                    <w:rPr>
                      <w:color w:val="000000"/>
                    </w:rPr>
                  </w:pPr>
                  <w:r>
                    <w:rPr>
                      <w:rFonts w:hint="eastAsia"/>
                      <w:color w:val="000000"/>
                      <w:szCs w:val="21"/>
                    </w:rPr>
                    <w:t>现状值测点</w:t>
                  </w:r>
                  <w:r>
                    <w:rPr>
                      <w:color w:val="000000"/>
                      <w:szCs w:val="21"/>
                    </w:rPr>
                    <w:t>1#</w:t>
                  </w:r>
                </w:p>
              </w:tc>
              <w:tc>
                <w:tcPr>
                  <w:tcW w:w="1998" w:type="pct"/>
                  <w:vAlign w:val="center"/>
                </w:tcPr>
                <w:p>
                  <w:pPr>
                    <w:widowControl/>
                    <w:jc w:val="center"/>
                    <w:rPr>
                      <w:rFonts w:eastAsiaTheme="minorEastAsia"/>
                      <w:color w:val="000000"/>
                      <w:szCs w:val="21"/>
                    </w:rPr>
                  </w:pPr>
                  <w:r>
                    <w:rPr>
                      <w:rFonts w:hint="eastAsia" w:eastAsiaTheme="minorEastAsia"/>
                      <w:color w:val="000000"/>
                      <w:szCs w:val="21"/>
                    </w:rPr>
                    <w:t>E:89°15'58.725"，N:42°58'14.399"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00" w:type="pct"/>
                  <w:gridSpan w:val="5"/>
                  <w:vAlign w:val="center"/>
                </w:tcPr>
                <w:p>
                  <w:pPr>
                    <w:widowControl/>
                    <w:jc w:val="left"/>
                    <w:rPr>
                      <w:rFonts w:eastAsiaTheme="minorEastAsia"/>
                      <w:color w:val="000000"/>
                      <w:szCs w:val="21"/>
                    </w:rPr>
                  </w:pPr>
                  <w:r>
                    <w:rPr>
                      <w:rFonts w:hint="eastAsia"/>
                      <w:b/>
                      <w:kern w:val="0"/>
                    </w:rPr>
                    <w:t>（五）交河~番南π入东环变110千伏线路工程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78" w:type="pct"/>
                  <w:vAlign w:val="center"/>
                </w:tcPr>
                <w:p>
                  <w:pPr>
                    <w:pStyle w:val="114"/>
                    <w:widowControl/>
                    <w:numPr>
                      <w:ilvl w:val="0"/>
                      <w:numId w:val="12"/>
                    </w:numPr>
                    <w:ind w:firstLineChars="0"/>
                    <w:jc w:val="center"/>
                  </w:pPr>
                </w:p>
              </w:tc>
              <w:tc>
                <w:tcPr>
                  <w:tcW w:w="1082" w:type="pct"/>
                  <w:vMerge w:val="restart"/>
                  <w:vAlign w:val="center"/>
                </w:tcPr>
                <w:p>
                  <w:pPr>
                    <w:widowControl/>
                    <w:jc w:val="center"/>
                    <w:rPr>
                      <w:color w:val="000000"/>
                      <w:szCs w:val="21"/>
                    </w:rPr>
                  </w:pPr>
                  <w:r>
                    <w:rPr>
                      <w:rFonts w:hint="eastAsia"/>
                      <w:color w:val="000000"/>
                      <w:szCs w:val="21"/>
                    </w:rPr>
                    <w:t>吐鲁番市高昌区</w:t>
                  </w:r>
                </w:p>
              </w:tc>
              <w:tc>
                <w:tcPr>
                  <w:tcW w:w="1541" w:type="pct"/>
                  <w:gridSpan w:val="2"/>
                  <w:vAlign w:val="center"/>
                </w:tcPr>
                <w:p>
                  <w:pPr>
                    <w:widowControl/>
                    <w:jc w:val="center"/>
                    <w:rPr>
                      <w:color w:val="000000"/>
                    </w:rPr>
                  </w:pPr>
                  <w:r>
                    <w:rPr>
                      <w:rFonts w:hint="eastAsia"/>
                      <w:color w:val="000000"/>
                      <w:szCs w:val="21"/>
                    </w:rPr>
                    <w:t>现状值测点</w:t>
                  </w:r>
                  <w:r>
                    <w:rPr>
                      <w:color w:val="000000"/>
                      <w:szCs w:val="21"/>
                    </w:rPr>
                    <w:t>6#</w:t>
                  </w:r>
                </w:p>
              </w:tc>
              <w:tc>
                <w:tcPr>
                  <w:tcW w:w="1998" w:type="pct"/>
                  <w:vAlign w:val="center"/>
                </w:tcPr>
                <w:p>
                  <w:pPr>
                    <w:widowControl/>
                    <w:jc w:val="center"/>
                    <w:rPr>
                      <w:rFonts w:eastAsiaTheme="minorEastAsia"/>
                      <w:color w:val="000000"/>
                      <w:szCs w:val="21"/>
                    </w:rPr>
                  </w:pPr>
                  <w:r>
                    <w:rPr>
                      <w:rFonts w:hint="eastAsia" w:eastAsiaTheme="minorEastAsia"/>
                      <w:color w:val="000000"/>
                      <w:szCs w:val="21"/>
                    </w:rPr>
                    <w:t>E:89°14'52.205"，N:42°55'44.858"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78" w:type="pct"/>
                  <w:vAlign w:val="center"/>
                </w:tcPr>
                <w:p>
                  <w:pPr>
                    <w:pStyle w:val="114"/>
                    <w:widowControl/>
                    <w:numPr>
                      <w:ilvl w:val="0"/>
                      <w:numId w:val="12"/>
                    </w:numPr>
                    <w:ind w:firstLineChars="0"/>
                    <w:jc w:val="center"/>
                  </w:pPr>
                </w:p>
              </w:tc>
              <w:tc>
                <w:tcPr>
                  <w:tcW w:w="1082" w:type="pct"/>
                  <w:vMerge w:val="continue"/>
                  <w:vAlign w:val="center"/>
                </w:tcPr>
                <w:p>
                  <w:pPr>
                    <w:widowControl/>
                    <w:jc w:val="center"/>
                    <w:rPr>
                      <w:color w:val="000000"/>
                      <w:szCs w:val="21"/>
                    </w:rPr>
                  </w:pPr>
                </w:p>
              </w:tc>
              <w:tc>
                <w:tcPr>
                  <w:tcW w:w="1541" w:type="pct"/>
                  <w:gridSpan w:val="2"/>
                  <w:vAlign w:val="center"/>
                </w:tcPr>
                <w:p>
                  <w:pPr>
                    <w:widowControl/>
                    <w:jc w:val="center"/>
                    <w:rPr>
                      <w:color w:val="000000"/>
                    </w:rPr>
                  </w:pPr>
                  <w:r>
                    <w:rPr>
                      <w:rFonts w:hint="eastAsia"/>
                      <w:color w:val="000000"/>
                    </w:rPr>
                    <w:t>现状值测点</w:t>
                  </w:r>
                  <w:r>
                    <w:rPr>
                      <w:color w:val="000000"/>
                    </w:rPr>
                    <w:t>7#</w:t>
                  </w:r>
                </w:p>
              </w:tc>
              <w:tc>
                <w:tcPr>
                  <w:tcW w:w="1998" w:type="pct"/>
                  <w:vAlign w:val="center"/>
                </w:tcPr>
                <w:p>
                  <w:pPr>
                    <w:widowControl/>
                    <w:jc w:val="center"/>
                    <w:rPr>
                      <w:rFonts w:eastAsiaTheme="minorEastAsia"/>
                      <w:color w:val="000000"/>
                      <w:szCs w:val="21"/>
                    </w:rPr>
                  </w:pPr>
                  <w:r>
                    <w:rPr>
                      <w:rFonts w:hint="eastAsia" w:eastAsiaTheme="minorEastAsia"/>
                      <w:color w:val="000000"/>
                      <w:szCs w:val="21"/>
                    </w:rPr>
                    <w:t>E:89°14'44.331"，N:42°55'41.323"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78" w:type="pct"/>
                  <w:vAlign w:val="center"/>
                </w:tcPr>
                <w:p>
                  <w:pPr>
                    <w:pStyle w:val="114"/>
                    <w:widowControl/>
                    <w:numPr>
                      <w:ilvl w:val="0"/>
                      <w:numId w:val="12"/>
                    </w:numPr>
                    <w:ind w:firstLineChars="0"/>
                    <w:jc w:val="center"/>
                  </w:pPr>
                </w:p>
              </w:tc>
              <w:tc>
                <w:tcPr>
                  <w:tcW w:w="1082" w:type="pct"/>
                  <w:vMerge w:val="continue"/>
                  <w:vAlign w:val="center"/>
                </w:tcPr>
                <w:p>
                  <w:pPr>
                    <w:widowControl/>
                    <w:jc w:val="center"/>
                    <w:rPr>
                      <w:color w:val="000000"/>
                      <w:szCs w:val="21"/>
                    </w:rPr>
                  </w:pPr>
                </w:p>
              </w:tc>
              <w:tc>
                <w:tcPr>
                  <w:tcW w:w="1541" w:type="pct"/>
                  <w:gridSpan w:val="2"/>
                  <w:vAlign w:val="center"/>
                </w:tcPr>
                <w:p>
                  <w:pPr>
                    <w:widowControl/>
                    <w:jc w:val="center"/>
                    <w:rPr>
                      <w:color w:val="000000"/>
                    </w:rPr>
                  </w:pPr>
                  <w:r>
                    <w:rPr>
                      <w:rFonts w:hint="eastAsia"/>
                      <w:color w:val="000000"/>
                    </w:rPr>
                    <w:t>现状值测点</w:t>
                  </w:r>
                  <w:r>
                    <w:rPr>
                      <w:color w:val="000000"/>
                    </w:rPr>
                    <w:t>8#</w:t>
                  </w:r>
                </w:p>
              </w:tc>
              <w:tc>
                <w:tcPr>
                  <w:tcW w:w="1998" w:type="pct"/>
                  <w:vAlign w:val="center"/>
                </w:tcPr>
                <w:p>
                  <w:pPr>
                    <w:widowControl/>
                    <w:jc w:val="center"/>
                    <w:rPr>
                      <w:rFonts w:eastAsiaTheme="minorEastAsia"/>
                      <w:color w:val="000000"/>
                      <w:szCs w:val="21"/>
                    </w:rPr>
                  </w:pPr>
                  <w:r>
                    <w:rPr>
                      <w:rFonts w:hint="eastAsia" w:eastAsiaTheme="minorEastAsia"/>
                      <w:color w:val="000000"/>
                      <w:szCs w:val="21"/>
                    </w:rPr>
                    <w:t>E:89°16'42.105"，N:42°56'44.338"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78" w:type="pct"/>
                  <w:vAlign w:val="center"/>
                </w:tcPr>
                <w:p>
                  <w:pPr>
                    <w:pStyle w:val="114"/>
                    <w:widowControl/>
                    <w:numPr>
                      <w:ilvl w:val="0"/>
                      <w:numId w:val="12"/>
                    </w:numPr>
                    <w:ind w:firstLineChars="0"/>
                    <w:jc w:val="center"/>
                  </w:pPr>
                </w:p>
              </w:tc>
              <w:tc>
                <w:tcPr>
                  <w:tcW w:w="1082" w:type="pct"/>
                  <w:vMerge w:val="continue"/>
                  <w:vAlign w:val="center"/>
                </w:tcPr>
                <w:p>
                  <w:pPr>
                    <w:widowControl/>
                    <w:jc w:val="center"/>
                    <w:rPr>
                      <w:color w:val="000000"/>
                      <w:szCs w:val="21"/>
                    </w:rPr>
                  </w:pPr>
                </w:p>
              </w:tc>
              <w:tc>
                <w:tcPr>
                  <w:tcW w:w="1541" w:type="pct"/>
                  <w:gridSpan w:val="2"/>
                  <w:vAlign w:val="center"/>
                </w:tcPr>
                <w:p>
                  <w:pPr>
                    <w:widowControl/>
                    <w:jc w:val="center"/>
                    <w:rPr>
                      <w:color w:val="000000"/>
                    </w:rPr>
                  </w:pPr>
                  <w:r>
                    <w:rPr>
                      <w:rFonts w:hint="eastAsia"/>
                      <w:color w:val="000000"/>
                      <w:szCs w:val="21"/>
                    </w:rPr>
                    <w:t>现状值测点</w:t>
                  </w:r>
                  <w:r>
                    <w:rPr>
                      <w:color w:val="000000"/>
                      <w:szCs w:val="21"/>
                    </w:rPr>
                    <w:t>9#</w:t>
                  </w:r>
                </w:p>
              </w:tc>
              <w:tc>
                <w:tcPr>
                  <w:tcW w:w="1998" w:type="pct"/>
                  <w:vAlign w:val="center"/>
                </w:tcPr>
                <w:p>
                  <w:pPr>
                    <w:widowControl/>
                    <w:jc w:val="center"/>
                    <w:rPr>
                      <w:rFonts w:eastAsiaTheme="minorEastAsia"/>
                      <w:color w:val="000000"/>
                      <w:szCs w:val="21"/>
                    </w:rPr>
                  </w:pPr>
                  <w:r>
                    <w:rPr>
                      <w:rFonts w:hint="eastAsia" w:eastAsiaTheme="minorEastAsia"/>
                      <w:color w:val="000000"/>
                      <w:szCs w:val="21"/>
                    </w:rPr>
                    <w:t>E:89°16'44.909"，N:42°56'43.298"</w:t>
                  </w:r>
                </w:p>
              </w:tc>
            </w:tr>
          </w:tbl>
          <w:p>
            <w:pPr>
              <w:pStyle w:val="5"/>
              <w:numPr>
                <w:ilvl w:val="1"/>
                <w:numId w:val="9"/>
              </w:numPr>
              <w:spacing w:before="0" w:after="0" w:line="360" w:lineRule="auto"/>
              <w:rPr>
                <w:rFonts w:eastAsia="宋体"/>
                <w:sz w:val="24"/>
                <w:szCs w:val="24"/>
              </w:rPr>
            </w:pPr>
            <w:bookmarkStart w:id="452" w:name="_Toc15490"/>
            <w:r>
              <w:rPr>
                <w:rFonts w:hint="eastAsia" w:eastAsia="宋体"/>
                <w:sz w:val="24"/>
                <w:szCs w:val="24"/>
              </w:rPr>
              <w:t>监测因子</w:t>
            </w:r>
            <w:bookmarkEnd w:id="452"/>
          </w:p>
          <w:p>
            <w:pPr>
              <w:pStyle w:val="11"/>
              <w:rPr>
                <w:bCs/>
                <w:color w:val="000000"/>
                <w:szCs w:val="24"/>
              </w:rPr>
            </w:pPr>
            <w:r>
              <w:rPr>
                <w:rFonts w:hint="eastAsia"/>
                <w:bCs/>
                <w:color w:val="000000"/>
                <w:szCs w:val="24"/>
              </w:rPr>
              <w:t>噪声。</w:t>
            </w:r>
          </w:p>
          <w:p>
            <w:pPr>
              <w:pStyle w:val="5"/>
              <w:numPr>
                <w:ilvl w:val="1"/>
                <w:numId w:val="9"/>
              </w:numPr>
              <w:spacing w:before="0" w:after="0" w:line="360" w:lineRule="auto"/>
              <w:rPr>
                <w:rFonts w:eastAsia="宋体"/>
                <w:sz w:val="24"/>
                <w:szCs w:val="24"/>
              </w:rPr>
            </w:pPr>
            <w:bookmarkStart w:id="453" w:name="_Toc11338"/>
            <w:r>
              <w:rPr>
                <w:rFonts w:eastAsia="宋体"/>
                <w:sz w:val="24"/>
                <w:szCs w:val="24"/>
              </w:rPr>
              <w:t>监测</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Pr>
                <w:rFonts w:hint="eastAsia" w:eastAsia="宋体"/>
                <w:sz w:val="24"/>
                <w:szCs w:val="24"/>
              </w:rPr>
              <w:t>指标</w:t>
            </w:r>
            <w:bookmarkEnd w:id="453"/>
          </w:p>
          <w:p>
            <w:pPr>
              <w:pStyle w:val="11"/>
              <w:rPr>
                <w:bCs/>
                <w:color w:val="000000"/>
                <w:szCs w:val="24"/>
              </w:rPr>
            </w:pPr>
            <w:r>
              <w:rPr>
                <w:rFonts w:hint="eastAsia"/>
                <w:bCs/>
                <w:color w:val="000000"/>
                <w:szCs w:val="24"/>
              </w:rPr>
              <w:t>昼间、夜间等效声级，Leq，dB(</w:t>
            </w:r>
            <w:r>
              <w:rPr>
                <w:bCs/>
                <w:color w:val="000000"/>
                <w:szCs w:val="24"/>
              </w:rPr>
              <w:t>A</w:t>
            </w:r>
            <w:r>
              <w:rPr>
                <w:rFonts w:hint="eastAsia"/>
                <w:bCs/>
                <w:color w:val="000000"/>
                <w:szCs w:val="24"/>
              </w:rPr>
              <w:t>)</w:t>
            </w:r>
            <w:r>
              <w:rPr>
                <w:bCs/>
                <w:color w:val="000000"/>
                <w:szCs w:val="24"/>
              </w:rPr>
              <w:t>。</w:t>
            </w:r>
          </w:p>
          <w:p>
            <w:pPr>
              <w:pStyle w:val="5"/>
              <w:numPr>
                <w:ilvl w:val="1"/>
                <w:numId w:val="9"/>
              </w:numPr>
              <w:spacing w:before="0" w:after="0" w:line="360" w:lineRule="auto"/>
              <w:rPr>
                <w:rFonts w:eastAsia="宋体"/>
                <w:sz w:val="24"/>
                <w:szCs w:val="24"/>
              </w:rPr>
            </w:pPr>
            <w:bookmarkStart w:id="454" w:name="_Toc109473878"/>
            <w:bookmarkStart w:id="455" w:name="_Toc111564317"/>
            <w:bookmarkStart w:id="456" w:name="_Toc96031376"/>
            <w:bookmarkStart w:id="457" w:name="_Toc95464667"/>
            <w:bookmarkStart w:id="458" w:name="_Toc24078"/>
            <w:bookmarkStart w:id="459" w:name="_Toc109473799"/>
            <w:bookmarkStart w:id="460" w:name="_Toc13373"/>
            <w:bookmarkStart w:id="461" w:name="_Toc81415621"/>
            <w:bookmarkStart w:id="462" w:name="_Toc109472626"/>
            <w:bookmarkStart w:id="463" w:name="_Toc97290583"/>
            <w:bookmarkStart w:id="464" w:name="_Toc85037213"/>
            <w:bookmarkStart w:id="465" w:name="_Toc91532172"/>
            <w:bookmarkStart w:id="466" w:name="_Toc96031293"/>
            <w:bookmarkStart w:id="467" w:name="_Toc96935413"/>
            <w:bookmarkStart w:id="468" w:name="_Toc91493265"/>
            <w:bookmarkStart w:id="469" w:name="_Toc85036879"/>
            <w:bookmarkStart w:id="470" w:name="_Toc25075"/>
            <w:bookmarkStart w:id="471" w:name="_Toc109473565"/>
            <w:bookmarkStart w:id="472" w:name="_Toc88558519"/>
            <w:bookmarkStart w:id="473" w:name="_Toc110439153"/>
            <w:bookmarkStart w:id="474" w:name="_Toc81308149"/>
            <w:r>
              <w:rPr>
                <w:rFonts w:eastAsia="宋体"/>
                <w:sz w:val="24"/>
                <w:szCs w:val="24"/>
              </w:rPr>
              <w:t>监测单位</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pPr>
              <w:pStyle w:val="11"/>
              <w:rPr>
                <w:bCs/>
                <w:color w:val="000000"/>
                <w:szCs w:val="24"/>
              </w:rPr>
            </w:pPr>
            <w:r>
              <w:rPr>
                <w:bCs/>
                <w:color w:val="000000"/>
                <w:szCs w:val="24"/>
              </w:rPr>
              <w:t>武汉中电工程检测有限公司。</w:t>
            </w:r>
          </w:p>
          <w:p>
            <w:pPr>
              <w:pStyle w:val="5"/>
              <w:numPr>
                <w:ilvl w:val="1"/>
                <w:numId w:val="9"/>
              </w:numPr>
              <w:spacing w:before="0" w:after="0" w:line="360" w:lineRule="auto"/>
              <w:rPr>
                <w:rFonts w:eastAsia="宋体"/>
                <w:sz w:val="24"/>
                <w:szCs w:val="24"/>
              </w:rPr>
            </w:pPr>
            <w:bookmarkStart w:id="475" w:name="_Toc85036880"/>
            <w:bookmarkStart w:id="476" w:name="_Toc97290584"/>
            <w:bookmarkStart w:id="477" w:name="_Toc10711"/>
            <w:bookmarkStart w:id="478" w:name="_Toc88558520"/>
            <w:bookmarkStart w:id="479" w:name="_Toc19037"/>
            <w:bookmarkStart w:id="480" w:name="_Toc6426"/>
            <w:bookmarkStart w:id="481" w:name="_Toc81415622"/>
            <w:bookmarkStart w:id="482" w:name="_Toc111564318"/>
            <w:bookmarkStart w:id="483" w:name="_Toc95464668"/>
            <w:bookmarkStart w:id="484" w:name="_Toc91532173"/>
            <w:bookmarkStart w:id="485" w:name="_Toc109473800"/>
            <w:bookmarkStart w:id="486" w:name="_Toc81308150"/>
            <w:bookmarkStart w:id="487" w:name="_Toc109473879"/>
            <w:bookmarkStart w:id="488" w:name="_Toc109472627"/>
            <w:bookmarkStart w:id="489" w:name="_Toc96031377"/>
            <w:bookmarkStart w:id="490" w:name="_Toc109473566"/>
            <w:bookmarkStart w:id="491" w:name="_Toc96031294"/>
            <w:bookmarkStart w:id="492" w:name="_Toc91493266"/>
            <w:bookmarkStart w:id="493" w:name="_Toc110439154"/>
            <w:bookmarkStart w:id="494" w:name="_Toc96935414"/>
            <w:bookmarkStart w:id="495" w:name="_Toc85037214"/>
            <w:r>
              <w:rPr>
                <w:rFonts w:eastAsia="宋体"/>
                <w:sz w:val="24"/>
                <w:szCs w:val="24"/>
              </w:rPr>
              <w:t>监测时间、监测频率、监测环境</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pPr>
              <w:pStyle w:val="11"/>
              <w:rPr>
                <w:color w:val="000000"/>
                <w:szCs w:val="24"/>
              </w:rPr>
            </w:pPr>
            <w:r>
              <w:rPr>
                <w:color w:val="000000"/>
                <w:szCs w:val="24"/>
              </w:rPr>
              <w:t>监测时间：202</w:t>
            </w:r>
            <w:r>
              <w:rPr>
                <w:rFonts w:hint="eastAsia"/>
                <w:color w:val="000000"/>
                <w:szCs w:val="24"/>
              </w:rPr>
              <w:t>5</w:t>
            </w:r>
            <w:r>
              <w:rPr>
                <w:color w:val="000000"/>
                <w:szCs w:val="24"/>
              </w:rPr>
              <w:t>年10月</w:t>
            </w:r>
            <w:r>
              <w:rPr>
                <w:rFonts w:hint="eastAsia"/>
                <w:color w:val="000000"/>
                <w:szCs w:val="24"/>
              </w:rPr>
              <w:t>1</w:t>
            </w:r>
            <w:r>
              <w:rPr>
                <w:color w:val="000000"/>
                <w:szCs w:val="24"/>
              </w:rPr>
              <w:t>9日</w:t>
            </w:r>
            <w:r>
              <w:rPr>
                <w:rFonts w:hint="eastAsia"/>
                <w:color w:val="000000"/>
                <w:szCs w:val="24"/>
              </w:rPr>
              <w:t>~</w:t>
            </w:r>
            <w:r>
              <w:rPr>
                <w:color w:val="000000"/>
                <w:szCs w:val="24"/>
              </w:rPr>
              <w:t>10月20日</w:t>
            </w:r>
            <w:r>
              <w:rPr>
                <w:rFonts w:hint="eastAsia"/>
                <w:color w:val="000000"/>
                <w:szCs w:val="24"/>
              </w:rPr>
              <w:t>；</w:t>
            </w:r>
          </w:p>
          <w:p>
            <w:pPr>
              <w:pStyle w:val="11"/>
              <w:rPr>
                <w:color w:val="000000"/>
                <w:szCs w:val="24"/>
              </w:rPr>
            </w:pPr>
            <w:r>
              <w:rPr>
                <w:color w:val="000000"/>
                <w:szCs w:val="24"/>
              </w:rPr>
              <w:t>监测频率：每个监测点昼、夜各监测一次；</w:t>
            </w:r>
          </w:p>
          <w:p>
            <w:pPr>
              <w:pStyle w:val="11"/>
              <w:rPr>
                <w:bCs/>
                <w:color w:val="000000"/>
                <w:szCs w:val="24"/>
              </w:rPr>
            </w:pPr>
            <w:r>
              <w:rPr>
                <w:bCs/>
                <w:color w:val="000000"/>
                <w:szCs w:val="24"/>
              </w:rPr>
              <w:t>监测环境详见</w:t>
            </w:r>
            <w:r>
              <w:rPr>
                <w:bCs/>
                <w:color w:val="000000"/>
                <w:szCs w:val="24"/>
              </w:rPr>
              <w:fldChar w:fldCharType="begin"/>
            </w:r>
            <w:r>
              <w:rPr>
                <w:bCs/>
                <w:color w:val="000000"/>
                <w:szCs w:val="24"/>
              </w:rPr>
              <w:instrText xml:space="preserve"> REF _Ref157246430 \h  \* MERGEFORMAT </w:instrText>
            </w:r>
            <w:r>
              <w:rPr>
                <w:bCs/>
                <w:color w:val="000000"/>
                <w:szCs w:val="24"/>
              </w:rPr>
              <w:fldChar w:fldCharType="separate"/>
            </w:r>
            <w:r>
              <w:rPr>
                <w:bCs/>
                <w:color w:val="000000"/>
                <w:szCs w:val="24"/>
              </w:rPr>
              <w:t>表 8</w:t>
            </w:r>
            <w:r>
              <w:rPr>
                <w:bCs/>
                <w:color w:val="000000"/>
                <w:szCs w:val="24"/>
              </w:rPr>
              <w:fldChar w:fldCharType="end"/>
            </w:r>
            <w:r>
              <w:rPr>
                <w:bCs/>
                <w:color w:val="000000"/>
                <w:szCs w:val="24"/>
              </w:rPr>
              <w:t>。</w:t>
            </w:r>
          </w:p>
          <w:p>
            <w:pPr>
              <w:pStyle w:val="18"/>
              <w:keepNext/>
              <w:rPr>
                <w:rFonts w:ascii="Times New Roman" w:hAnsi="Times New Roman"/>
                <w:b/>
              </w:rPr>
            </w:pPr>
            <w:bookmarkStart w:id="496" w:name="_Ref157246430"/>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8</w:t>
            </w:r>
            <w:r>
              <w:rPr>
                <w:rFonts w:ascii="Times New Roman" w:hAnsi="Times New Roman"/>
                <w:b/>
              </w:rPr>
              <w:fldChar w:fldCharType="end"/>
            </w:r>
            <w:bookmarkEnd w:id="496"/>
            <w:r>
              <w:rPr>
                <w:rFonts w:ascii="Times New Roman" w:hAnsi="Times New Roman"/>
                <w:b/>
              </w:rPr>
              <w:t xml:space="preserve">                        检测时间及气象条件</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
              <w:gridCol w:w="2306"/>
              <w:gridCol w:w="1275"/>
              <w:gridCol w:w="570"/>
              <w:gridCol w:w="710"/>
              <w:gridCol w:w="566"/>
              <w:gridCol w:w="566"/>
              <w:gridCol w:w="506"/>
              <w:gridCol w:w="625"/>
              <w:gridCol w:w="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 w:type="pct"/>
                  <w:vMerge w:val="restart"/>
                  <w:vAlign w:val="center"/>
                </w:tcPr>
                <w:p>
                  <w:pPr>
                    <w:widowControl/>
                    <w:jc w:val="center"/>
                    <w:rPr>
                      <w:b/>
                      <w:kern w:val="0"/>
                      <w:szCs w:val="21"/>
                    </w:rPr>
                  </w:pPr>
                  <w:bookmarkStart w:id="497" w:name="_Toc96031378"/>
                  <w:bookmarkStart w:id="498" w:name="_Toc88558521"/>
                  <w:bookmarkStart w:id="499" w:name="_Toc81415623"/>
                  <w:bookmarkStart w:id="500" w:name="_Toc21524"/>
                  <w:bookmarkStart w:id="501" w:name="_Toc96935415"/>
                  <w:bookmarkStart w:id="502" w:name="_Toc85037215"/>
                  <w:bookmarkStart w:id="503" w:name="_Toc81308151"/>
                  <w:bookmarkStart w:id="504" w:name="_Toc95464669"/>
                  <w:bookmarkStart w:id="505" w:name="_Toc96031295"/>
                  <w:bookmarkStart w:id="506" w:name="_Toc97290585"/>
                  <w:bookmarkStart w:id="507" w:name="_Toc109473567"/>
                  <w:bookmarkStart w:id="508" w:name="_Toc109473801"/>
                  <w:bookmarkStart w:id="509" w:name="_Toc110439155"/>
                  <w:bookmarkStart w:id="510" w:name="_Toc85036881"/>
                  <w:bookmarkStart w:id="511" w:name="_Toc109472628"/>
                  <w:bookmarkStart w:id="512" w:name="_Toc109473880"/>
                  <w:bookmarkStart w:id="513" w:name="_Toc91532174"/>
                  <w:bookmarkStart w:id="514" w:name="_Toc91493267"/>
                  <w:bookmarkStart w:id="515" w:name="_Toc111564319"/>
                  <w:r>
                    <w:rPr>
                      <w:b/>
                      <w:kern w:val="0"/>
                      <w:szCs w:val="21"/>
                    </w:rPr>
                    <w:t>序号</w:t>
                  </w:r>
                </w:p>
              </w:tc>
              <w:tc>
                <w:tcPr>
                  <w:tcW w:w="1425" w:type="pct"/>
                  <w:vMerge w:val="restart"/>
                  <w:vAlign w:val="center"/>
                </w:tcPr>
                <w:p>
                  <w:pPr>
                    <w:widowControl/>
                    <w:jc w:val="center"/>
                    <w:rPr>
                      <w:b/>
                      <w:bCs/>
                      <w:kern w:val="0"/>
                      <w:szCs w:val="21"/>
                    </w:rPr>
                  </w:pPr>
                  <w:r>
                    <w:rPr>
                      <w:b/>
                      <w:bCs/>
                      <w:kern w:val="0"/>
                      <w:szCs w:val="21"/>
                    </w:rPr>
                    <w:t>检测点位</w:t>
                  </w:r>
                </w:p>
              </w:tc>
              <w:tc>
                <w:tcPr>
                  <w:tcW w:w="788" w:type="pct"/>
                  <w:vMerge w:val="restart"/>
                  <w:vAlign w:val="center"/>
                </w:tcPr>
                <w:p>
                  <w:pPr>
                    <w:widowControl/>
                    <w:jc w:val="center"/>
                    <w:rPr>
                      <w:b/>
                      <w:bCs/>
                      <w:kern w:val="0"/>
                      <w:szCs w:val="21"/>
                    </w:rPr>
                  </w:pPr>
                  <w:r>
                    <w:rPr>
                      <w:b/>
                      <w:kern w:val="0"/>
                      <w:szCs w:val="21"/>
                    </w:rPr>
                    <w:t>检测时间</w:t>
                  </w:r>
                </w:p>
              </w:tc>
              <w:tc>
                <w:tcPr>
                  <w:tcW w:w="352" w:type="pct"/>
                  <w:vMerge w:val="restart"/>
                  <w:vAlign w:val="center"/>
                </w:tcPr>
                <w:p>
                  <w:pPr>
                    <w:jc w:val="center"/>
                    <w:rPr>
                      <w:b/>
                      <w:bCs/>
                      <w:kern w:val="0"/>
                      <w:szCs w:val="21"/>
                    </w:rPr>
                  </w:pPr>
                  <w:r>
                    <w:rPr>
                      <w:b/>
                      <w:bCs/>
                      <w:kern w:val="0"/>
                      <w:szCs w:val="21"/>
                    </w:rPr>
                    <w:t>天气</w:t>
                  </w:r>
                </w:p>
              </w:tc>
              <w:tc>
                <w:tcPr>
                  <w:tcW w:w="2203" w:type="pct"/>
                  <w:gridSpan w:val="6"/>
                  <w:vAlign w:val="center"/>
                </w:tcPr>
                <w:p>
                  <w:pPr>
                    <w:widowControl/>
                    <w:jc w:val="center"/>
                    <w:rPr>
                      <w:b/>
                      <w:bCs/>
                      <w:kern w:val="0"/>
                      <w:szCs w:val="21"/>
                    </w:rPr>
                  </w:pPr>
                  <w:r>
                    <w:rPr>
                      <w:b/>
                      <w:bCs/>
                      <w:kern w:val="0"/>
                      <w:szCs w:val="21"/>
                    </w:rPr>
                    <w:t>气象参数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 w:type="pct"/>
                  <w:vMerge w:val="continue"/>
                  <w:vAlign w:val="center"/>
                </w:tcPr>
                <w:p>
                  <w:pPr>
                    <w:widowControl/>
                    <w:jc w:val="center"/>
                    <w:rPr>
                      <w:b/>
                      <w:kern w:val="0"/>
                      <w:szCs w:val="21"/>
                    </w:rPr>
                  </w:pPr>
                </w:p>
              </w:tc>
              <w:tc>
                <w:tcPr>
                  <w:tcW w:w="1425" w:type="pct"/>
                  <w:vMerge w:val="continue"/>
                  <w:vAlign w:val="center"/>
                </w:tcPr>
                <w:p>
                  <w:pPr>
                    <w:widowControl/>
                    <w:jc w:val="center"/>
                    <w:rPr>
                      <w:b/>
                      <w:bCs/>
                      <w:kern w:val="0"/>
                      <w:szCs w:val="21"/>
                    </w:rPr>
                  </w:pPr>
                </w:p>
              </w:tc>
              <w:tc>
                <w:tcPr>
                  <w:tcW w:w="788" w:type="pct"/>
                  <w:vMerge w:val="continue"/>
                  <w:vAlign w:val="center"/>
                </w:tcPr>
                <w:p>
                  <w:pPr>
                    <w:widowControl/>
                    <w:jc w:val="center"/>
                    <w:rPr>
                      <w:b/>
                      <w:kern w:val="0"/>
                      <w:szCs w:val="21"/>
                    </w:rPr>
                  </w:pPr>
                </w:p>
              </w:tc>
              <w:tc>
                <w:tcPr>
                  <w:tcW w:w="352" w:type="pct"/>
                  <w:vMerge w:val="continue"/>
                  <w:vAlign w:val="center"/>
                </w:tcPr>
                <w:p>
                  <w:pPr>
                    <w:widowControl/>
                    <w:jc w:val="center"/>
                    <w:rPr>
                      <w:b/>
                      <w:bCs/>
                      <w:kern w:val="0"/>
                      <w:szCs w:val="21"/>
                    </w:rPr>
                  </w:pPr>
                </w:p>
              </w:tc>
              <w:tc>
                <w:tcPr>
                  <w:tcW w:w="439" w:type="pct"/>
                  <w:vMerge w:val="restart"/>
                  <w:vAlign w:val="center"/>
                </w:tcPr>
                <w:p>
                  <w:pPr>
                    <w:jc w:val="center"/>
                    <w:rPr>
                      <w:b/>
                      <w:bCs/>
                      <w:kern w:val="0"/>
                      <w:szCs w:val="21"/>
                    </w:rPr>
                  </w:pPr>
                  <w:r>
                    <w:rPr>
                      <w:b/>
                      <w:bCs/>
                      <w:kern w:val="0"/>
                      <w:szCs w:val="21"/>
                    </w:rPr>
                    <w:t>湿度</w:t>
                  </w:r>
                  <w:r>
                    <w:rPr>
                      <w:b/>
                      <w:bCs/>
                      <w:spacing w:val="-20"/>
                      <w:kern w:val="0"/>
                      <w:szCs w:val="21"/>
                    </w:rPr>
                    <w:t>（RH%）</w:t>
                  </w:r>
                </w:p>
              </w:tc>
              <w:tc>
                <w:tcPr>
                  <w:tcW w:w="700" w:type="pct"/>
                  <w:gridSpan w:val="2"/>
                  <w:tcBorders>
                    <w:right w:val="single" w:color="auto" w:sz="2" w:space="0"/>
                  </w:tcBorders>
                  <w:vAlign w:val="center"/>
                </w:tcPr>
                <w:p>
                  <w:pPr>
                    <w:widowControl/>
                    <w:jc w:val="center"/>
                    <w:rPr>
                      <w:b/>
                      <w:bCs/>
                      <w:kern w:val="0"/>
                      <w:szCs w:val="21"/>
                    </w:rPr>
                  </w:pPr>
                  <w:r>
                    <w:rPr>
                      <w:b/>
                      <w:bCs/>
                      <w:kern w:val="0"/>
                      <w:szCs w:val="21"/>
                    </w:rPr>
                    <w:t>温度（℃）</w:t>
                  </w:r>
                </w:p>
              </w:tc>
              <w:tc>
                <w:tcPr>
                  <w:tcW w:w="313" w:type="pct"/>
                  <w:vMerge w:val="restart"/>
                  <w:tcBorders>
                    <w:left w:val="single" w:color="auto" w:sz="2" w:space="0"/>
                  </w:tcBorders>
                  <w:vAlign w:val="center"/>
                </w:tcPr>
                <w:p>
                  <w:pPr>
                    <w:widowControl/>
                    <w:jc w:val="center"/>
                    <w:rPr>
                      <w:b/>
                      <w:bCs/>
                      <w:kern w:val="0"/>
                      <w:szCs w:val="21"/>
                    </w:rPr>
                  </w:pPr>
                  <w:r>
                    <w:rPr>
                      <w:b/>
                      <w:bCs/>
                      <w:kern w:val="0"/>
                      <w:szCs w:val="21"/>
                    </w:rPr>
                    <w:t>风向</w:t>
                  </w:r>
                </w:p>
              </w:tc>
              <w:tc>
                <w:tcPr>
                  <w:tcW w:w="752" w:type="pct"/>
                  <w:gridSpan w:val="2"/>
                  <w:tcBorders>
                    <w:left w:val="single" w:color="auto" w:sz="2" w:space="0"/>
                  </w:tcBorders>
                  <w:vAlign w:val="center"/>
                </w:tcPr>
                <w:p>
                  <w:pPr>
                    <w:widowControl/>
                    <w:jc w:val="center"/>
                    <w:rPr>
                      <w:b/>
                      <w:bCs/>
                      <w:kern w:val="0"/>
                      <w:szCs w:val="21"/>
                    </w:rPr>
                  </w:pPr>
                  <w:r>
                    <w:rPr>
                      <w:b/>
                      <w:bCs/>
                      <w:kern w:val="0"/>
                      <w:szCs w:val="21"/>
                    </w:rPr>
                    <w:t>风速（</w:t>
                  </w:r>
                  <w:r>
                    <w:rPr>
                      <w:b/>
                      <w:szCs w:val="21"/>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 w:type="pct"/>
                  <w:vMerge w:val="continue"/>
                  <w:vAlign w:val="center"/>
                </w:tcPr>
                <w:p>
                  <w:pPr>
                    <w:widowControl/>
                    <w:jc w:val="center"/>
                    <w:rPr>
                      <w:b/>
                      <w:kern w:val="0"/>
                      <w:szCs w:val="21"/>
                    </w:rPr>
                  </w:pPr>
                </w:p>
              </w:tc>
              <w:tc>
                <w:tcPr>
                  <w:tcW w:w="1425" w:type="pct"/>
                  <w:vMerge w:val="continue"/>
                  <w:vAlign w:val="center"/>
                </w:tcPr>
                <w:p>
                  <w:pPr>
                    <w:widowControl/>
                    <w:jc w:val="center"/>
                    <w:rPr>
                      <w:b/>
                      <w:bCs/>
                      <w:kern w:val="0"/>
                      <w:szCs w:val="21"/>
                    </w:rPr>
                  </w:pPr>
                </w:p>
              </w:tc>
              <w:tc>
                <w:tcPr>
                  <w:tcW w:w="788" w:type="pct"/>
                  <w:vMerge w:val="continue"/>
                  <w:vAlign w:val="center"/>
                </w:tcPr>
                <w:p>
                  <w:pPr>
                    <w:widowControl/>
                    <w:jc w:val="center"/>
                    <w:rPr>
                      <w:b/>
                      <w:kern w:val="0"/>
                      <w:szCs w:val="21"/>
                    </w:rPr>
                  </w:pPr>
                </w:p>
              </w:tc>
              <w:tc>
                <w:tcPr>
                  <w:tcW w:w="352" w:type="pct"/>
                  <w:vMerge w:val="continue"/>
                  <w:vAlign w:val="center"/>
                </w:tcPr>
                <w:p>
                  <w:pPr>
                    <w:widowControl/>
                    <w:jc w:val="center"/>
                    <w:rPr>
                      <w:b/>
                      <w:bCs/>
                      <w:kern w:val="0"/>
                      <w:szCs w:val="21"/>
                    </w:rPr>
                  </w:pPr>
                </w:p>
              </w:tc>
              <w:tc>
                <w:tcPr>
                  <w:tcW w:w="439" w:type="pct"/>
                  <w:vMerge w:val="continue"/>
                  <w:vAlign w:val="center"/>
                </w:tcPr>
                <w:p>
                  <w:pPr>
                    <w:widowControl/>
                    <w:jc w:val="center"/>
                    <w:rPr>
                      <w:b/>
                      <w:bCs/>
                      <w:kern w:val="0"/>
                      <w:szCs w:val="21"/>
                    </w:rPr>
                  </w:pPr>
                </w:p>
              </w:tc>
              <w:tc>
                <w:tcPr>
                  <w:tcW w:w="350" w:type="pct"/>
                  <w:tcBorders>
                    <w:right w:val="single" w:color="auto" w:sz="2" w:space="0"/>
                  </w:tcBorders>
                  <w:vAlign w:val="center"/>
                </w:tcPr>
                <w:p>
                  <w:pPr>
                    <w:widowControl/>
                    <w:jc w:val="center"/>
                    <w:rPr>
                      <w:b/>
                      <w:bCs/>
                      <w:kern w:val="0"/>
                      <w:szCs w:val="21"/>
                    </w:rPr>
                  </w:pPr>
                  <w:r>
                    <w:rPr>
                      <w:b/>
                      <w:bCs/>
                      <w:kern w:val="0"/>
                      <w:szCs w:val="21"/>
                    </w:rPr>
                    <w:t>昼间</w:t>
                  </w:r>
                </w:p>
              </w:tc>
              <w:tc>
                <w:tcPr>
                  <w:tcW w:w="350" w:type="pct"/>
                  <w:tcBorders>
                    <w:right w:val="single" w:color="auto" w:sz="2" w:space="0"/>
                  </w:tcBorders>
                  <w:vAlign w:val="center"/>
                </w:tcPr>
                <w:p>
                  <w:pPr>
                    <w:widowControl/>
                    <w:jc w:val="center"/>
                    <w:rPr>
                      <w:b/>
                      <w:bCs/>
                      <w:kern w:val="0"/>
                      <w:szCs w:val="21"/>
                    </w:rPr>
                  </w:pPr>
                  <w:r>
                    <w:rPr>
                      <w:b/>
                      <w:bCs/>
                      <w:kern w:val="0"/>
                      <w:szCs w:val="21"/>
                    </w:rPr>
                    <w:t>夜间</w:t>
                  </w:r>
                </w:p>
              </w:tc>
              <w:tc>
                <w:tcPr>
                  <w:tcW w:w="313" w:type="pct"/>
                  <w:vMerge w:val="continue"/>
                  <w:tcBorders>
                    <w:left w:val="single" w:color="auto" w:sz="2" w:space="0"/>
                  </w:tcBorders>
                  <w:vAlign w:val="center"/>
                </w:tcPr>
                <w:p>
                  <w:pPr>
                    <w:widowControl/>
                    <w:jc w:val="center"/>
                    <w:rPr>
                      <w:b/>
                      <w:bCs/>
                      <w:kern w:val="0"/>
                      <w:szCs w:val="21"/>
                    </w:rPr>
                  </w:pPr>
                </w:p>
              </w:tc>
              <w:tc>
                <w:tcPr>
                  <w:tcW w:w="386" w:type="pct"/>
                  <w:tcBorders>
                    <w:left w:val="single" w:color="auto" w:sz="2" w:space="0"/>
                  </w:tcBorders>
                  <w:vAlign w:val="center"/>
                </w:tcPr>
                <w:p>
                  <w:pPr>
                    <w:widowControl/>
                    <w:jc w:val="center"/>
                    <w:rPr>
                      <w:b/>
                      <w:bCs/>
                      <w:kern w:val="0"/>
                      <w:szCs w:val="21"/>
                    </w:rPr>
                  </w:pPr>
                  <w:r>
                    <w:rPr>
                      <w:b/>
                      <w:bCs/>
                      <w:kern w:val="0"/>
                      <w:szCs w:val="21"/>
                    </w:rPr>
                    <w:t>昼间</w:t>
                  </w:r>
                </w:p>
              </w:tc>
              <w:tc>
                <w:tcPr>
                  <w:tcW w:w="365" w:type="pct"/>
                  <w:tcBorders>
                    <w:left w:val="single" w:color="auto" w:sz="2" w:space="0"/>
                  </w:tcBorders>
                  <w:vAlign w:val="center"/>
                </w:tcPr>
                <w:p>
                  <w:pPr>
                    <w:widowControl/>
                    <w:jc w:val="center"/>
                    <w:rPr>
                      <w:b/>
                      <w:bCs/>
                      <w:kern w:val="0"/>
                      <w:szCs w:val="21"/>
                    </w:rPr>
                  </w:pPr>
                  <w:r>
                    <w:rPr>
                      <w:b/>
                      <w:bCs/>
                      <w:kern w:val="0"/>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00" w:type="pct"/>
                  <w:gridSpan w:val="10"/>
                  <w:vAlign w:val="center"/>
                </w:tcPr>
                <w:p>
                  <w:pPr>
                    <w:widowControl/>
                    <w:jc w:val="center"/>
                    <w:rPr>
                      <w:kern w:val="0"/>
                      <w:szCs w:val="21"/>
                    </w:rPr>
                  </w:pPr>
                  <w:r>
                    <w:rPr>
                      <w:b/>
                      <w:kern w:val="0"/>
                      <w:szCs w:val="21"/>
                    </w:rPr>
                    <w:t>（一）东环110千伏变电站新建工程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jc w:val="center"/>
              </w:trPr>
              <w:tc>
                <w:tcPr>
                  <w:tcW w:w="232" w:type="pct"/>
                  <w:vMerge w:val="restart"/>
                  <w:vAlign w:val="center"/>
                </w:tcPr>
                <w:p>
                  <w:pPr>
                    <w:pStyle w:val="114"/>
                    <w:widowControl/>
                    <w:numPr>
                      <w:ilvl w:val="0"/>
                      <w:numId w:val="13"/>
                    </w:numPr>
                    <w:ind w:left="0" w:firstLine="0" w:firstLineChars="0"/>
                    <w:jc w:val="center"/>
                    <w:rPr>
                      <w:kern w:val="0"/>
                      <w:szCs w:val="21"/>
                    </w:rPr>
                  </w:pPr>
                </w:p>
              </w:tc>
              <w:tc>
                <w:tcPr>
                  <w:tcW w:w="1425" w:type="pct"/>
                  <w:vMerge w:val="restart"/>
                  <w:vAlign w:val="center"/>
                </w:tcPr>
                <w:p>
                  <w:pPr>
                    <w:widowControl/>
                    <w:jc w:val="center"/>
                    <w:rPr>
                      <w:kern w:val="0"/>
                      <w:szCs w:val="21"/>
                    </w:rPr>
                  </w:pPr>
                  <w:r>
                    <w:rPr>
                      <w:kern w:val="0"/>
                      <w:szCs w:val="21"/>
                    </w:rPr>
                    <w:t>东环110kV变电站站址东北侧1#</w:t>
                  </w:r>
                </w:p>
              </w:tc>
              <w:tc>
                <w:tcPr>
                  <w:tcW w:w="788" w:type="pct"/>
                  <w:vAlign w:val="center"/>
                </w:tcPr>
                <w:p>
                  <w:pPr>
                    <w:widowControl/>
                    <w:jc w:val="center"/>
                    <w:rPr>
                      <w:kern w:val="0"/>
                      <w:szCs w:val="21"/>
                    </w:rPr>
                  </w:pPr>
                  <w:r>
                    <w:rPr>
                      <w:kern w:val="0"/>
                      <w:szCs w:val="21"/>
                    </w:rPr>
                    <w:t>2025.10.19</w:t>
                  </w:r>
                </w:p>
              </w:tc>
              <w:tc>
                <w:tcPr>
                  <w:tcW w:w="352" w:type="pct"/>
                  <w:vMerge w:val="restart"/>
                  <w:vAlign w:val="center"/>
                </w:tcPr>
                <w:p>
                  <w:pPr>
                    <w:widowControl/>
                    <w:jc w:val="center"/>
                    <w:rPr>
                      <w:kern w:val="0"/>
                      <w:szCs w:val="21"/>
                    </w:rPr>
                  </w:pPr>
                  <w:r>
                    <w:rPr>
                      <w:kern w:val="0"/>
                      <w:szCs w:val="21"/>
                    </w:rPr>
                    <w:t>晴</w:t>
                  </w:r>
                </w:p>
              </w:tc>
              <w:tc>
                <w:tcPr>
                  <w:tcW w:w="439" w:type="pct"/>
                  <w:vAlign w:val="center"/>
                </w:tcPr>
                <w:p>
                  <w:pPr>
                    <w:widowControl/>
                    <w:jc w:val="center"/>
                    <w:rPr>
                      <w:kern w:val="0"/>
                      <w:szCs w:val="21"/>
                    </w:rPr>
                  </w:pPr>
                  <w:r>
                    <w:rPr>
                      <w:kern w:val="0"/>
                      <w:szCs w:val="21"/>
                    </w:rPr>
                    <w:t>15.4</w:t>
                  </w:r>
                </w:p>
              </w:tc>
              <w:tc>
                <w:tcPr>
                  <w:tcW w:w="350" w:type="pct"/>
                  <w:tcBorders>
                    <w:right w:val="single" w:color="auto" w:sz="2" w:space="0"/>
                  </w:tcBorders>
                  <w:vAlign w:val="center"/>
                </w:tcPr>
                <w:p>
                  <w:pPr>
                    <w:widowControl/>
                    <w:jc w:val="center"/>
                    <w:rPr>
                      <w:kern w:val="0"/>
                      <w:szCs w:val="21"/>
                    </w:rPr>
                  </w:pPr>
                  <w:r>
                    <w:rPr>
                      <w:kern w:val="0"/>
                      <w:szCs w:val="21"/>
                    </w:rPr>
                    <w:t>22.9</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13" w:type="pct"/>
                  <w:vMerge w:val="restart"/>
                  <w:tcBorders>
                    <w:left w:val="single" w:color="auto" w:sz="2" w:space="0"/>
                  </w:tcBorders>
                  <w:vAlign w:val="center"/>
                </w:tcPr>
                <w:p>
                  <w:pPr>
                    <w:widowControl/>
                    <w:jc w:val="center"/>
                    <w:rPr>
                      <w:kern w:val="0"/>
                      <w:szCs w:val="21"/>
                    </w:rPr>
                  </w:pPr>
                  <w:r>
                    <w:rPr>
                      <w:kern w:val="0"/>
                      <w:szCs w:val="21"/>
                    </w:rPr>
                    <w:t>北</w:t>
                  </w:r>
                </w:p>
              </w:tc>
              <w:tc>
                <w:tcPr>
                  <w:tcW w:w="386" w:type="pct"/>
                  <w:tcBorders>
                    <w:left w:val="single" w:color="auto" w:sz="2" w:space="0"/>
                  </w:tcBorders>
                  <w:vAlign w:val="center"/>
                </w:tcPr>
                <w:p>
                  <w:pPr>
                    <w:widowControl/>
                    <w:jc w:val="center"/>
                    <w:rPr>
                      <w:kern w:val="0"/>
                      <w:szCs w:val="21"/>
                    </w:rPr>
                  </w:pPr>
                  <w:r>
                    <w:rPr>
                      <w:kern w:val="0"/>
                      <w:szCs w:val="21"/>
                    </w:rPr>
                    <w:t>0.5</w:t>
                  </w:r>
                </w:p>
              </w:tc>
              <w:tc>
                <w:tcPr>
                  <w:tcW w:w="365" w:type="pct"/>
                  <w:tcBorders>
                    <w:left w:val="single" w:color="auto" w:sz="2" w:space="0"/>
                  </w:tcBorders>
                  <w:vAlign w:val="center"/>
                </w:tcPr>
                <w:p>
                  <w:pPr>
                    <w:widowControl/>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 w:type="pct"/>
                  <w:vMerge w:val="continue"/>
                  <w:vAlign w:val="center"/>
                </w:tcPr>
                <w:p>
                  <w:pPr>
                    <w:pStyle w:val="114"/>
                    <w:widowControl/>
                    <w:numPr>
                      <w:ilvl w:val="0"/>
                      <w:numId w:val="13"/>
                    </w:numPr>
                    <w:ind w:left="3785" w:firstLineChars="0"/>
                    <w:jc w:val="center"/>
                    <w:rPr>
                      <w:kern w:val="0"/>
                      <w:szCs w:val="21"/>
                    </w:rPr>
                  </w:pPr>
                </w:p>
              </w:tc>
              <w:tc>
                <w:tcPr>
                  <w:tcW w:w="1425" w:type="pct"/>
                  <w:vMerge w:val="continue"/>
                  <w:vAlign w:val="center"/>
                </w:tcPr>
                <w:p>
                  <w:pPr>
                    <w:widowControl/>
                    <w:jc w:val="center"/>
                    <w:rPr>
                      <w:kern w:val="0"/>
                      <w:szCs w:val="21"/>
                    </w:rPr>
                  </w:pPr>
                </w:p>
              </w:tc>
              <w:tc>
                <w:tcPr>
                  <w:tcW w:w="788" w:type="pct"/>
                  <w:vAlign w:val="center"/>
                </w:tcPr>
                <w:p>
                  <w:pPr>
                    <w:widowControl/>
                    <w:jc w:val="center"/>
                    <w:rPr>
                      <w:kern w:val="0"/>
                      <w:szCs w:val="21"/>
                    </w:rPr>
                  </w:pPr>
                  <w:r>
                    <w:rPr>
                      <w:kern w:val="0"/>
                      <w:szCs w:val="21"/>
                    </w:rPr>
                    <w:t>2025.10.20</w:t>
                  </w:r>
                </w:p>
              </w:tc>
              <w:tc>
                <w:tcPr>
                  <w:tcW w:w="352" w:type="pct"/>
                  <w:vMerge w:val="continue"/>
                  <w:vAlign w:val="center"/>
                </w:tcPr>
                <w:p>
                  <w:pPr>
                    <w:widowControl/>
                    <w:jc w:val="center"/>
                    <w:rPr>
                      <w:kern w:val="0"/>
                      <w:szCs w:val="21"/>
                    </w:rPr>
                  </w:pPr>
                </w:p>
              </w:tc>
              <w:tc>
                <w:tcPr>
                  <w:tcW w:w="439" w:type="pct"/>
                  <w:vAlign w:val="center"/>
                </w:tcPr>
                <w:p>
                  <w:pPr>
                    <w:widowControl/>
                    <w:jc w:val="center"/>
                    <w:rPr>
                      <w:kern w:val="0"/>
                      <w:szCs w:val="21"/>
                    </w:rPr>
                  </w:pPr>
                  <w:r>
                    <w:rPr>
                      <w:kern w:val="0"/>
                      <w:szCs w:val="21"/>
                    </w:rPr>
                    <w:t>/</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50" w:type="pct"/>
                  <w:tcBorders>
                    <w:right w:val="single" w:color="auto" w:sz="2" w:space="0"/>
                  </w:tcBorders>
                  <w:vAlign w:val="center"/>
                </w:tcPr>
                <w:p>
                  <w:pPr>
                    <w:widowControl/>
                    <w:jc w:val="center"/>
                    <w:rPr>
                      <w:kern w:val="0"/>
                      <w:szCs w:val="21"/>
                    </w:rPr>
                  </w:pPr>
                  <w:r>
                    <w:rPr>
                      <w:kern w:val="0"/>
                      <w:szCs w:val="21"/>
                    </w:rPr>
                    <w:t>11.5</w:t>
                  </w:r>
                </w:p>
              </w:tc>
              <w:tc>
                <w:tcPr>
                  <w:tcW w:w="313" w:type="pct"/>
                  <w:vMerge w:val="continue"/>
                  <w:tcBorders>
                    <w:left w:val="single" w:color="auto" w:sz="2" w:space="0"/>
                  </w:tcBorders>
                  <w:vAlign w:val="center"/>
                </w:tcPr>
                <w:p>
                  <w:pPr>
                    <w:widowControl/>
                    <w:jc w:val="center"/>
                    <w:rPr>
                      <w:kern w:val="0"/>
                      <w:szCs w:val="21"/>
                    </w:rPr>
                  </w:pPr>
                </w:p>
              </w:tc>
              <w:tc>
                <w:tcPr>
                  <w:tcW w:w="386" w:type="pct"/>
                  <w:tcBorders>
                    <w:left w:val="single" w:color="auto" w:sz="2" w:space="0"/>
                  </w:tcBorders>
                  <w:vAlign w:val="center"/>
                </w:tcPr>
                <w:p>
                  <w:pPr>
                    <w:widowControl/>
                    <w:jc w:val="center"/>
                    <w:rPr>
                      <w:kern w:val="0"/>
                      <w:szCs w:val="21"/>
                    </w:rPr>
                  </w:pPr>
                  <w:r>
                    <w:rPr>
                      <w:kern w:val="0"/>
                      <w:szCs w:val="21"/>
                    </w:rPr>
                    <w:t>/</w:t>
                  </w:r>
                </w:p>
              </w:tc>
              <w:tc>
                <w:tcPr>
                  <w:tcW w:w="365" w:type="pct"/>
                  <w:tcBorders>
                    <w:left w:val="single" w:color="auto" w:sz="2" w:space="0"/>
                  </w:tcBorders>
                  <w:vAlign w:val="center"/>
                </w:tcPr>
                <w:p>
                  <w:pPr>
                    <w:widowControl/>
                    <w:jc w:val="center"/>
                    <w:rPr>
                      <w:kern w:val="0"/>
                      <w:szCs w:val="21"/>
                    </w:rPr>
                  </w:pPr>
                  <w:r>
                    <w:rPr>
                      <w:kern w:val="0"/>
                      <w:szCs w:val="21"/>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1" w:hRule="atLeast"/>
                <w:jc w:val="center"/>
              </w:trPr>
              <w:tc>
                <w:tcPr>
                  <w:tcW w:w="232" w:type="pct"/>
                  <w:vMerge w:val="restart"/>
                  <w:vAlign w:val="center"/>
                </w:tcPr>
                <w:p>
                  <w:pPr>
                    <w:pStyle w:val="114"/>
                    <w:widowControl/>
                    <w:numPr>
                      <w:ilvl w:val="0"/>
                      <w:numId w:val="13"/>
                    </w:numPr>
                    <w:ind w:left="0" w:firstLine="0" w:firstLineChars="0"/>
                    <w:jc w:val="center"/>
                    <w:rPr>
                      <w:kern w:val="0"/>
                      <w:szCs w:val="21"/>
                    </w:rPr>
                  </w:pPr>
                </w:p>
              </w:tc>
              <w:tc>
                <w:tcPr>
                  <w:tcW w:w="1425" w:type="pct"/>
                  <w:vMerge w:val="restart"/>
                  <w:vAlign w:val="center"/>
                </w:tcPr>
                <w:p>
                  <w:pPr>
                    <w:widowControl/>
                    <w:jc w:val="center"/>
                    <w:rPr>
                      <w:kern w:val="0"/>
                      <w:szCs w:val="21"/>
                    </w:rPr>
                  </w:pPr>
                  <w:r>
                    <w:rPr>
                      <w:kern w:val="0"/>
                      <w:szCs w:val="21"/>
                    </w:rPr>
                    <w:t>东环110kV变电站站址东南侧2#</w:t>
                  </w:r>
                </w:p>
              </w:tc>
              <w:tc>
                <w:tcPr>
                  <w:tcW w:w="788" w:type="pct"/>
                  <w:vAlign w:val="center"/>
                </w:tcPr>
                <w:p>
                  <w:pPr>
                    <w:widowControl/>
                    <w:jc w:val="center"/>
                    <w:rPr>
                      <w:kern w:val="0"/>
                      <w:szCs w:val="21"/>
                    </w:rPr>
                  </w:pPr>
                  <w:r>
                    <w:rPr>
                      <w:kern w:val="0"/>
                      <w:szCs w:val="21"/>
                    </w:rPr>
                    <w:t>2025.10.19</w:t>
                  </w:r>
                </w:p>
              </w:tc>
              <w:tc>
                <w:tcPr>
                  <w:tcW w:w="352" w:type="pct"/>
                  <w:vMerge w:val="restart"/>
                  <w:vAlign w:val="center"/>
                </w:tcPr>
                <w:p>
                  <w:pPr>
                    <w:widowControl/>
                    <w:jc w:val="center"/>
                    <w:rPr>
                      <w:kern w:val="0"/>
                      <w:szCs w:val="21"/>
                    </w:rPr>
                  </w:pPr>
                  <w:r>
                    <w:rPr>
                      <w:kern w:val="0"/>
                      <w:szCs w:val="21"/>
                    </w:rPr>
                    <w:t>晴</w:t>
                  </w:r>
                </w:p>
              </w:tc>
              <w:tc>
                <w:tcPr>
                  <w:tcW w:w="439" w:type="pct"/>
                  <w:vAlign w:val="center"/>
                </w:tcPr>
                <w:p>
                  <w:pPr>
                    <w:widowControl/>
                    <w:jc w:val="center"/>
                    <w:rPr>
                      <w:kern w:val="0"/>
                      <w:szCs w:val="21"/>
                    </w:rPr>
                  </w:pPr>
                  <w:r>
                    <w:rPr>
                      <w:kern w:val="0"/>
                      <w:szCs w:val="21"/>
                    </w:rPr>
                    <w:t>15.3</w:t>
                  </w:r>
                </w:p>
              </w:tc>
              <w:tc>
                <w:tcPr>
                  <w:tcW w:w="350" w:type="pct"/>
                  <w:tcBorders>
                    <w:right w:val="single" w:color="auto" w:sz="2" w:space="0"/>
                  </w:tcBorders>
                  <w:vAlign w:val="center"/>
                </w:tcPr>
                <w:p>
                  <w:pPr>
                    <w:widowControl/>
                    <w:jc w:val="center"/>
                    <w:rPr>
                      <w:kern w:val="0"/>
                      <w:szCs w:val="21"/>
                    </w:rPr>
                  </w:pPr>
                  <w:r>
                    <w:rPr>
                      <w:kern w:val="0"/>
                      <w:szCs w:val="21"/>
                    </w:rPr>
                    <w:t>22.9</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13" w:type="pct"/>
                  <w:vMerge w:val="restart"/>
                  <w:tcBorders>
                    <w:left w:val="single" w:color="auto" w:sz="2" w:space="0"/>
                  </w:tcBorders>
                  <w:vAlign w:val="center"/>
                </w:tcPr>
                <w:p>
                  <w:pPr>
                    <w:widowControl/>
                    <w:jc w:val="center"/>
                    <w:rPr>
                      <w:kern w:val="0"/>
                      <w:szCs w:val="21"/>
                    </w:rPr>
                  </w:pPr>
                  <w:r>
                    <w:rPr>
                      <w:kern w:val="0"/>
                      <w:szCs w:val="21"/>
                    </w:rPr>
                    <w:t>北</w:t>
                  </w:r>
                </w:p>
              </w:tc>
              <w:tc>
                <w:tcPr>
                  <w:tcW w:w="386" w:type="pct"/>
                  <w:tcBorders>
                    <w:left w:val="single" w:color="auto" w:sz="2" w:space="0"/>
                  </w:tcBorders>
                  <w:vAlign w:val="center"/>
                </w:tcPr>
                <w:p>
                  <w:pPr>
                    <w:widowControl/>
                    <w:jc w:val="center"/>
                    <w:rPr>
                      <w:kern w:val="0"/>
                      <w:szCs w:val="21"/>
                    </w:rPr>
                  </w:pPr>
                  <w:r>
                    <w:rPr>
                      <w:kern w:val="0"/>
                      <w:szCs w:val="21"/>
                    </w:rPr>
                    <w:t>0.6</w:t>
                  </w:r>
                </w:p>
              </w:tc>
              <w:tc>
                <w:tcPr>
                  <w:tcW w:w="365" w:type="pct"/>
                  <w:tcBorders>
                    <w:left w:val="single" w:color="auto" w:sz="2" w:space="0"/>
                  </w:tcBorders>
                  <w:vAlign w:val="center"/>
                </w:tcPr>
                <w:p>
                  <w:pPr>
                    <w:widowControl/>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 w:type="pct"/>
                  <w:vMerge w:val="continue"/>
                  <w:vAlign w:val="center"/>
                </w:tcPr>
                <w:p>
                  <w:pPr>
                    <w:pStyle w:val="114"/>
                    <w:widowControl/>
                    <w:numPr>
                      <w:ilvl w:val="0"/>
                      <w:numId w:val="13"/>
                    </w:numPr>
                    <w:ind w:left="3785" w:firstLineChars="0"/>
                    <w:jc w:val="center"/>
                    <w:rPr>
                      <w:kern w:val="0"/>
                      <w:szCs w:val="21"/>
                    </w:rPr>
                  </w:pPr>
                </w:p>
              </w:tc>
              <w:tc>
                <w:tcPr>
                  <w:tcW w:w="1425" w:type="pct"/>
                  <w:vMerge w:val="continue"/>
                  <w:vAlign w:val="center"/>
                </w:tcPr>
                <w:p>
                  <w:pPr>
                    <w:widowControl/>
                    <w:jc w:val="center"/>
                    <w:rPr>
                      <w:kern w:val="0"/>
                      <w:szCs w:val="21"/>
                    </w:rPr>
                  </w:pPr>
                </w:p>
              </w:tc>
              <w:tc>
                <w:tcPr>
                  <w:tcW w:w="788" w:type="pct"/>
                  <w:vAlign w:val="center"/>
                </w:tcPr>
                <w:p>
                  <w:pPr>
                    <w:widowControl/>
                    <w:jc w:val="center"/>
                    <w:rPr>
                      <w:kern w:val="0"/>
                      <w:szCs w:val="21"/>
                    </w:rPr>
                  </w:pPr>
                  <w:r>
                    <w:rPr>
                      <w:kern w:val="0"/>
                      <w:szCs w:val="21"/>
                    </w:rPr>
                    <w:t>2025.10.20</w:t>
                  </w:r>
                </w:p>
              </w:tc>
              <w:tc>
                <w:tcPr>
                  <w:tcW w:w="352" w:type="pct"/>
                  <w:vMerge w:val="continue"/>
                  <w:vAlign w:val="center"/>
                </w:tcPr>
                <w:p>
                  <w:pPr>
                    <w:widowControl/>
                    <w:jc w:val="center"/>
                    <w:rPr>
                      <w:kern w:val="0"/>
                      <w:szCs w:val="21"/>
                    </w:rPr>
                  </w:pPr>
                </w:p>
              </w:tc>
              <w:tc>
                <w:tcPr>
                  <w:tcW w:w="439" w:type="pct"/>
                  <w:vAlign w:val="center"/>
                </w:tcPr>
                <w:p>
                  <w:pPr>
                    <w:widowControl/>
                    <w:jc w:val="center"/>
                    <w:rPr>
                      <w:kern w:val="0"/>
                      <w:szCs w:val="21"/>
                    </w:rPr>
                  </w:pPr>
                  <w:r>
                    <w:rPr>
                      <w:kern w:val="0"/>
                      <w:szCs w:val="21"/>
                    </w:rPr>
                    <w:t>/</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50" w:type="pct"/>
                  <w:tcBorders>
                    <w:right w:val="single" w:color="auto" w:sz="2" w:space="0"/>
                  </w:tcBorders>
                  <w:vAlign w:val="center"/>
                </w:tcPr>
                <w:p>
                  <w:pPr>
                    <w:widowControl/>
                    <w:jc w:val="center"/>
                    <w:rPr>
                      <w:kern w:val="0"/>
                      <w:szCs w:val="21"/>
                    </w:rPr>
                  </w:pPr>
                  <w:r>
                    <w:rPr>
                      <w:kern w:val="0"/>
                      <w:szCs w:val="21"/>
                    </w:rPr>
                    <w:t>11.4</w:t>
                  </w:r>
                </w:p>
              </w:tc>
              <w:tc>
                <w:tcPr>
                  <w:tcW w:w="313" w:type="pct"/>
                  <w:vMerge w:val="continue"/>
                  <w:tcBorders>
                    <w:left w:val="single" w:color="auto" w:sz="2" w:space="0"/>
                  </w:tcBorders>
                  <w:vAlign w:val="center"/>
                </w:tcPr>
                <w:p>
                  <w:pPr>
                    <w:widowControl/>
                    <w:jc w:val="center"/>
                    <w:rPr>
                      <w:kern w:val="0"/>
                      <w:szCs w:val="21"/>
                    </w:rPr>
                  </w:pPr>
                </w:p>
              </w:tc>
              <w:tc>
                <w:tcPr>
                  <w:tcW w:w="386" w:type="pct"/>
                  <w:tcBorders>
                    <w:left w:val="single" w:color="auto" w:sz="2" w:space="0"/>
                  </w:tcBorders>
                  <w:vAlign w:val="center"/>
                </w:tcPr>
                <w:p>
                  <w:pPr>
                    <w:widowControl/>
                    <w:jc w:val="center"/>
                    <w:rPr>
                      <w:kern w:val="0"/>
                      <w:szCs w:val="21"/>
                    </w:rPr>
                  </w:pPr>
                  <w:r>
                    <w:rPr>
                      <w:kern w:val="0"/>
                      <w:szCs w:val="21"/>
                    </w:rPr>
                    <w:t>/</w:t>
                  </w:r>
                </w:p>
              </w:tc>
              <w:tc>
                <w:tcPr>
                  <w:tcW w:w="365" w:type="pct"/>
                  <w:tcBorders>
                    <w:left w:val="single" w:color="auto" w:sz="2" w:space="0"/>
                  </w:tcBorders>
                  <w:vAlign w:val="center"/>
                </w:tcPr>
                <w:p>
                  <w:pPr>
                    <w:widowControl/>
                    <w:jc w:val="center"/>
                    <w:rPr>
                      <w:kern w:val="0"/>
                      <w:szCs w:val="21"/>
                    </w:rPr>
                  </w:pPr>
                  <w:r>
                    <w:rPr>
                      <w:kern w:val="0"/>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5" w:hRule="atLeast"/>
                <w:jc w:val="center"/>
              </w:trPr>
              <w:tc>
                <w:tcPr>
                  <w:tcW w:w="232" w:type="pct"/>
                  <w:vMerge w:val="restart"/>
                  <w:vAlign w:val="center"/>
                </w:tcPr>
                <w:p>
                  <w:pPr>
                    <w:pStyle w:val="114"/>
                    <w:widowControl/>
                    <w:numPr>
                      <w:ilvl w:val="0"/>
                      <w:numId w:val="13"/>
                    </w:numPr>
                    <w:ind w:left="0" w:firstLine="0" w:firstLineChars="0"/>
                    <w:jc w:val="center"/>
                    <w:rPr>
                      <w:kern w:val="0"/>
                      <w:szCs w:val="21"/>
                    </w:rPr>
                  </w:pPr>
                </w:p>
              </w:tc>
              <w:tc>
                <w:tcPr>
                  <w:tcW w:w="1425" w:type="pct"/>
                  <w:vMerge w:val="restart"/>
                  <w:vAlign w:val="center"/>
                </w:tcPr>
                <w:p>
                  <w:pPr>
                    <w:widowControl/>
                    <w:jc w:val="center"/>
                    <w:rPr>
                      <w:kern w:val="0"/>
                      <w:szCs w:val="21"/>
                    </w:rPr>
                  </w:pPr>
                  <w:r>
                    <w:rPr>
                      <w:kern w:val="0"/>
                      <w:szCs w:val="21"/>
                    </w:rPr>
                    <w:t>东环110kV变电站站址西南侧3#</w:t>
                  </w:r>
                </w:p>
              </w:tc>
              <w:tc>
                <w:tcPr>
                  <w:tcW w:w="788" w:type="pct"/>
                  <w:vAlign w:val="center"/>
                </w:tcPr>
                <w:p>
                  <w:pPr>
                    <w:widowControl/>
                    <w:jc w:val="center"/>
                    <w:rPr>
                      <w:kern w:val="0"/>
                      <w:szCs w:val="21"/>
                    </w:rPr>
                  </w:pPr>
                  <w:r>
                    <w:rPr>
                      <w:kern w:val="0"/>
                      <w:szCs w:val="21"/>
                    </w:rPr>
                    <w:t>2025.10.19</w:t>
                  </w:r>
                </w:p>
              </w:tc>
              <w:tc>
                <w:tcPr>
                  <w:tcW w:w="352" w:type="pct"/>
                  <w:vMerge w:val="restart"/>
                  <w:vAlign w:val="center"/>
                </w:tcPr>
                <w:p>
                  <w:pPr>
                    <w:widowControl/>
                    <w:jc w:val="center"/>
                    <w:rPr>
                      <w:kern w:val="0"/>
                      <w:szCs w:val="21"/>
                    </w:rPr>
                  </w:pPr>
                  <w:r>
                    <w:rPr>
                      <w:kern w:val="0"/>
                      <w:szCs w:val="21"/>
                    </w:rPr>
                    <w:t>晴</w:t>
                  </w:r>
                </w:p>
              </w:tc>
              <w:tc>
                <w:tcPr>
                  <w:tcW w:w="439" w:type="pct"/>
                  <w:vAlign w:val="center"/>
                </w:tcPr>
                <w:p>
                  <w:pPr>
                    <w:widowControl/>
                    <w:jc w:val="center"/>
                    <w:rPr>
                      <w:kern w:val="0"/>
                      <w:szCs w:val="21"/>
                    </w:rPr>
                  </w:pPr>
                  <w:r>
                    <w:rPr>
                      <w:kern w:val="0"/>
                      <w:szCs w:val="21"/>
                    </w:rPr>
                    <w:t>15.4</w:t>
                  </w:r>
                </w:p>
              </w:tc>
              <w:tc>
                <w:tcPr>
                  <w:tcW w:w="350" w:type="pct"/>
                  <w:tcBorders>
                    <w:right w:val="single" w:color="auto" w:sz="2" w:space="0"/>
                  </w:tcBorders>
                  <w:vAlign w:val="center"/>
                </w:tcPr>
                <w:p>
                  <w:pPr>
                    <w:widowControl/>
                    <w:jc w:val="center"/>
                    <w:rPr>
                      <w:kern w:val="0"/>
                      <w:szCs w:val="21"/>
                    </w:rPr>
                  </w:pPr>
                  <w:r>
                    <w:rPr>
                      <w:kern w:val="0"/>
                      <w:szCs w:val="21"/>
                    </w:rPr>
                    <w:t>22.8</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13" w:type="pct"/>
                  <w:vMerge w:val="restart"/>
                  <w:tcBorders>
                    <w:left w:val="single" w:color="auto" w:sz="2" w:space="0"/>
                  </w:tcBorders>
                  <w:vAlign w:val="center"/>
                </w:tcPr>
                <w:p>
                  <w:pPr>
                    <w:widowControl/>
                    <w:jc w:val="center"/>
                    <w:rPr>
                      <w:kern w:val="0"/>
                      <w:szCs w:val="21"/>
                    </w:rPr>
                  </w:pPr>
                  <w:r>
                    <w:rPr>
                      <w:kern w:val="0"/>
                      <w:szCs w:val="21"/>
                    </w:rPr>
                    <w:t>北</w:t>
                  </w:r>
                </w:p>
              </w:tc>
              <w:tc>
                <w:tcPr>
                  <w:tcW w:w="386" w:type="pct"/>
                  <w:tcBorders>
                    <w:left w:val="single" w:color="auto" w:sz="2" w:space="0"/>
                  </w:tcBorders>
                  <w:vAlign w:val="center"/>
                </w:tcPr>
                <w:p>
                  <w:pPr>
                    <w:widowControl/>
                    <w:jc w:val="center"/>
                    <w:rPr>
                      <w:kern w:val="0"/>
                      <w:szCs w:val="21"/>
                    </w:rPr>
                  </w:pPr>
                  <w:r>
                    <w:rPr>
                      <w:kern w:val="0"/>
                      <w:szCs w:val="21"/>
                    </w:rPr>
                    <w:t>0.7</w:t>
                  </w:r>
                </w:p>
              </w:tc>
              <w:tc>
                <w:tcPr>
                  <w:tcW w:w="365" w:type="pct"/>
                  <w:tcBorders>
                    <w:left w:val="single" w:color="auto" w:sz="2" w:space="0"/>
                  </w:tcBorders>
                  <w:vAlign w:val="center"/>
                </w:tcPr>
                <w:p>
                  <w:pPr>
                    <w:widowControl/>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 w:type="pct"/>
                  <w:vMerge w:val="continue"/>
                  <w:vAlign w:val="center"/>
                </w:tcPr>
                <w:p>
                  <w:pPr>
                    <w:pStyle w:val="114"/>
                    <w:widowControl/>
                    <w:numPr>
                      <w:ilvl w:val="0"/>
                      <w:numId w:val="13"/>
                    </w:numPr>
                    <w:ind w:left="0" w:firstLine="0" w:firstLineChars="0"/>
                    <w:jc w:val="center"/>
                    <w:rPr>
                      <w:kern w:val="0"/>
                      <w:szCs w:val="21"/>
                    </w:rPr>
                  </w:pPr>
                </w:p>
              </w:tc>
              <w:tc>
                <w:tcPr>
                  <w:tcW w:w="1425" w:type="pct"/>
                  <w:vMerge w:val="continue"/>
                  <w:vAlign w:val="center"/>
                </w:tcPr>
                <w:p>
                  <w:pPr>
                    <w:widowControl/>
                    <w:jc w:val="center"/>
                    <w:rPr>
                      <w:kern w:val="0"/>
                      <w:szCs w:val="21"/>
                    </w:rPr>
                  </w:pPr>
                </w:p>
              </w:tc>
              <w:tc>
                <w:tcPr>
                  <w:tcW w:w="788" w:type="pct"/>
                  <w:vAlign w:val="center"/>
                </w:tcPr>
                <w:p>
                  <w:pPr>
                    <w:widowControl/>
                    <w:jc w:val="center"/>
                    <w:rPr>
                      <w:kern w:val="0"/>
                      <w:szCs w:val="21"/>
                    </w:rPr>
                  </w:pPr>
                  <w:r>
                    <w:rPr>
                      <w:kern w:val="0"/>
                      <w:szCs w:val="21"/>
                    </w:rPr>
                    <w:t>2025.10.20</w:t>
                  </w:r>
                </w:p>
              </w:tc>
              <w:tc>
                <w:tcPr>
                  <w:tcW w:w="352" w:type="pct"/>
                  <w:vMerge w:val="continue"/>
                  <w:vAlign w:val="center"/>
                </w:tcPr>
                <w:p>
                  <w:pPr>
                    <w:widowControl/>
                    <w:jc w:val="center"/>
                    <w:rPr>
                      <w:kern w:val="0"/>
                      <w:szCs w:val="21"/>
                    </w:rPr>
                  </w:pPr>
                </w:p>
              </w:tc>
              <w:tc>
                <w:tcPr>
                  <w:tcW w:w="439" w:type="pct"/>
                  <w:vAlign w:val="center"/>
                </w:tcPr>
                <w:p>
                  <w:pPr>
                    <w:widowControl/>
                    <w:jc w:val="center"/>
                    <w:rPr>
                      <w:kern w:val="0"/>
                      <w:szCs w:val="21"/>
                    </w:rPr>
                  </w:pPr>
                  <w:r>
                    <w:rPr>
                      <w:kern w:val="0"/>
                      <w:szCs w:val="21"/>
                    </w:rPr>
                    <w:t>/</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50" w:type="pct"/>
                  <w:tcBorders>
                    <w:right w:val="single" w:color="auto" w:sz="2" w:space="0"/>
                  </w:tcBorders>
                  <w:vAlign w:val="center"/>
                </w:tcPr>
                <w:p>
                  <w:pPr>
                    <w:widowControl/>
                    <w:jc w:val="center"/>
                    <w:rPr>
                      <w:kern w:val="0"/>
                      <w:szCs w:val="21"/>
                    </w:rPr>
                  </w:pPr>
                  <w:r>
                    <w:rPr>
                      <w:kern w:val="0"/>
                      <w:szCs w:val="21"/>
                    </w:rPr>
                    <w:t>11.4</w:t>
                  </w:r>
                </w:p>
              </w:tc>
              <w:tc>
                <w:tcPr>
                  <w:tcW w:w="313" w:type="pct"/>
                  <w:vMerge w:val="continue"/>
                  <w:tcBorders>
                    <w:left w:val="single" w:color="auto" w:sz="2" w:space="0"/>
                  </w:tcBorders>
                  <w:vAlign w:val="center"/>
                </w:tcPr>
                <w:p>
                  <w:pPr>
                    <w:widowControl/>
                    <w:jc w:val="center"/>
                    <w:rPr>
                      <w:kern w:val="0"/>
                      <w:szCs w:val="21"/>
                    </w:rPr>
                  </w:pPr>
                </w:p>
              </w:tc>
              <w:tc>
                <w:tcPr>
                  <w:tcW w:w="386" w:type="pct"/>
                  <w:tcBorders>
                    <w:left w:val="single" w:color="auto" w:sz="2" w:space="0"/>
                  </w:tcBorders>
                  <w:vAlign w:val="center"/>
                </w:tcPr>
                <w:p>
                  <w:pPr>
                    <w:widowControl/>
                    <w:jc w:val="center"/>
                    <w:rPr>
                      <w:kern w:val="0"/>
                      <w:szCs w:val="21"/>
                    </w:rPr>
                  </w:pPr>
                  <w:r>
                    <w:rPr>
                      <w:kern w:val="0"/>
                      <w:szCs w:val="21"/>
                    </w:rPr>
                    <w:t>/</w:t>
                  </w:r>
                </w:p>
              </w:tc>
              <w:tc>
                <w:tcPr>
                  <w:tcW w:w="365" w:type="pct"/>
                  <w:tcBorders>
                    <w:left w:val="single" w:color="auto" w:sz="2" w:space="0"/>
                  </w:tcBorders>
                  <w:vAlign w:val="center"/>
                </w:tcPr>
                <w:p>
                  <w:pPr>
                    <w:widowControl/>
                    <w:jc w:val="center"/>
                    <w:rPr>
                      <w:kern w:val="0"/>
                      <w:szCs w:val="21"/>
                    </w:rPr>
                  </w:pPr>
                  <w:r>
                    <w:rPr>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5" w:hRule="atLeast"/>
                <w:jc w:val="center"/>
              </w:trPr>
              <w:tc>
                <w:tcPr>
                  <w:tcW w:w="232" w:type="pct"/>
                  <w:vMerge w:val="restart"/>
                  <w:vAlign w:val="center"/>
                </w:tcPr>
                <w:p>
                  <w:pPr>
                    <w:pStyle w:val="114"/>
                    <w:widowControl/>
                    <w:numPr>
                      <w:ilvl w:val="0"/>
                      <w:numId w:val="13"/>
                    </w:numPr>
                    <w:ind w:left="0" w:firstLine="0" w:firstLineChars="0"/>
                    <w:jc w:val="center"/>
                    <w:rPr>
                      <w:kern w:val="0"/>
                      <w:szCs w:val="21"/>
                    </w:rPr>
                  </w:pPr>
                </w:p>
              </w:tc>
              <w:tc>
                <w:tcPr>
                  <w:tcW w:w="1425" w:type="pct"/>
                  <w:vMerge w:val="restart"/>
                  <w:vAlign w:val="center"/>
                </w:tcPr>
                <w:p>
                  <w:pPr>
                    <w:widowControl/>
                    <w:jc w:val="center"/>
                    <w:rPr>
                      <w:kern w:val="0"/>
                      <w:szCs w:val="21"/>
                    </w:rPr>
                  </w:pPr>
                  <w:r>
                    <w:rPr>
                      <w:kern w:val="0"/>
                      <w:szCs w:val="21"/>
                    </w:rPr>
                    <w:t>东环110kV变电站站址西北侧4#</w:t>
                  </w:r>
                </w:p>
              </w:tc>
              <w:tc>
                <w:tcPr>
                  <w:tcW w:w="788" w:type="pct"/>
                  <w:vAlign w:val="center"/>
                </w:tcPr>
                <w:p>
                  <w:pPr>
                    <w:widowControl/>
                    <w:jc w:val="center"/>
                    <w:rPr>
                      <w:kern w:val="0"/>
                      <w:szCs w:val="21"/>
                    </w:rPr>
                  </w:pPr>
                  <w:r>
                    <w:rPr>
                      <w:kern w:val="0"/>
                      <w:szCs w:val="21"/>
                    </w:rPr>
                    <w:t>2025.10.19</w:t>
                  </w:r>
                </w:p>
              </w:tc>
              <w:tc>
                <w:tcPr>
                  <w:tcW w:w="352" w:type="pct"/>
                  <w:vMerge w:val="restart"/>
                  <w:vAlign w:val="center"/>
                </w:tcPr>
                <w:p>
                  <w:pPr>
                    <w:widowControl/>
                    <w:jc w:val="center"/>
                    <w:rPr>
                      <w:kern w:val="0"/>
                      <w:szCs w:val="21"/>
                    </w:rPr>
                  </w:pPr>
                  <w:r>
                    <w:rPr>
                      <w:kern w:val="0"/>
                      <w:szCs w:val="21"/>
                    </w:rPr>
                    <w:t>晴</w:t>
                  </w:r>
                </w:p>
              </w:tc>
              <w:tc>
                <w:tcPr>
                  <w:tcW w:w="439" w:type="pct"/>
                  <w:vAlign w:val="center"/>
                </w:tcPr>
                <w:p>
                  <w:pPr>
                    <w:widowControl/>
                    <w:jc w:val="center"/>
                    <w:rPr>
                      <w:kern w:val="0"/>
                      <w:szCs w:val="21"/>
                    </w:rPr>
                  </w:pPr>
                  <w:r>
                    <w:rPr>
                      <w:kern w:val="0"/>
                      <w:szCs w:val="21"/>
                    </w:rPr>
                    <w:t>15.2</w:t>
                  </w:r>
                </w:p>
              </w:tc>
              <w:tc>
                <w:tcPr>
                  <w:tcW w:w="350" w:type="pct"/>
                  <w:tcBorders>
                    <w:right w:val="single" w:color="auto" w:sz="2" w:space="0"/>
                  </w:tcBorders>
                  <w:vAlign w:val="center"/>
                </w:tcPr>
                <w:p>
                  <w:pPr>
                    <w:widowControl/>
                    <w:jc w:val="center"/>
                    <w:rPr>
                      <w:kern w:val="0"/>
                      <w:szCs w:val="21"/>
                    </w:rPr>
                  </w:pPr>
                  <w:r>
                    <w:rPr>
                      <w:kern w:val="0"/>
                      <w:szCs w:val="21"/>
                    </w:rPr>
                    <w:t>22.9</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13" w:type="pct"/>
                  <w:vMerge w:val="restart"/>
                  <w:tcBorders>
                    <w:left w:val="single" w:color="auto" w:sz="2" w:space="0"/>
                  </w:tcBorders>
                  <w:vAlign w:val="center"/>
                </w:tcPr>
                <w:p>
                  <w:pPr>
                    <w:widowControl/>
                    <w:jc w:val="center"/>
                    <w:rPr>
                      <w:kern w:val="0"/>
                      <w:szCs w:val="21"/>
                    </w:rPr>
                  </w:pPr>
                  <w:r>
                    <w:rPr>
                      <w:kern w:val="0"/>
                      <w:szCs w:val="21"/>
                    </w:rPr>
                    <w:t>北</w:t>
                  </w:r>
                </w:p>
              </w:tc>
              <w:tc>
                <w:tcPr>
                  <w:tcW w:w="386" w:type="pct"/>
                  <w:tcBorders>
                    <w:left w:val="single" w:color="auto" w:sz="2" w:space="0"/>
                  </w:tcBorders>
                  <w:vAlign w:val="center"/>
                </w:tcPr>
                <w:p>
                  <w:pPr>
                    <w:widowControl/>
                    <w:jc w:val="center"/>
                    <w:rPr>
                      <w:kern w:val="0"/>
                      <w:szCs w:val="21"/>
                    </w:rPr>
                  </w:pPr>
                  <w:r>
                    <w:rPr>
                      <w:kern w:val="0"/>
                      <w:szCs w:val="21"/>
                    </w:rPr>
                    <w:t>0.6</w:t>
                  </w:r>
                </w:p>
              </w:tc>
              <w:tc>
                <w:tcPr>
                  <w:tcW w:w="365" w:type="pct"/>
                  <w:tcBorders>
                    <w:left w:val="single" w:color="auto" w:sz="2" w:space="0"/>
                  </w:tcBorders>
                  <w:vAlign w:val="center"/>
                </w:tcPr>
                <w:p>
                  <w:pPr>
                    <w:widowControl/>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 w:type="pct"/>
                  <w:vMerge w:val="continue"/>
                  <w:vAlign w:val="center"/>
                </w:tcPr>
                <w:p>
                  <w:pPr>
                    <w:pStyle w:val="114"/>
                    <w:widowControl/>
                    <w:numPr>
                      <w:ilvl w:val="0"/>
                      <w:numId w:val="13"/>
                    </w:numPr>
                    <w:ind w:left="0" w:firstLine="0" w:firstLineChars="0"/>
                    <w:jc w:val="center"/>
                    <w:rPr>
                      <w:kern w:val="0"/>
                      <w:szCs w:val="21"/>
                    </w:rPr>
                  </w:pPr>
                </w:p>
              </w:tc>
              <w:tc>
                <w:tcPr>
                  <w:tcW w:w="1425" w:type="pct"/>
                  <w:vMerge w:val="continue"/>
                  <w:vAlign w:val="center"/>
                </w:tcPr>
                <w:p>
                  <w:pPr>
                    <w:widowControl/>
                    <w:jc w:val="center"/>
                    <w:rPr>
                      <w:kern w:val="0"/>
                      <w:szCs w:val="21"/>
                    </w:rPr>
                  </w:pPr>
                </w:p>
              </w:tc>
              <w:tc>
                <w:tcPr>
                  <w:tcW w:w="788" w:type="pct"/>
                  <w:vAlign w:val="center"/>
                </w:tcPr>
                <w:p>
                  <w:pPr>
                    <w:widowControl/>
                    <w:jc w:val="center"/>
                    <w:rPr>
                      <w:kern w:val="0"/>
                      <w:szCs w:val="21"/>
                    </w:rPr>
                  </w:pPr>
                  <w:r>
                    <w:rPr>
                      <w:kern w:val="0"/>
                      <w:szCs w:val="21"/>
                    </w:rPr>
                    <w:t>2025.10.20</w:t>
                  </w:r>
                </w:p>
              </w:tc>
              <w:tc>
                <w:tcPr>
                  <w:tcW w:w="352" w:type="pct"/>
                  <w:vMerge w:val="continue"/>
                  <w:vAlign w:val="center"/>
                </w:tcPr>
                <w:p>
                  <w:pPr>
                    <w:widowControl/>
                    <w:jc w:val="center"/>
                    <w:rPr>
                      <w:kern w:val="0"/>
                      <w:szCs w:val="21"/>
                    </w:rPr>
                  </w:pPr>
                </w:p>
              </w:tc>
              <w:tc>
                <w:tcPr>
                  <w:tcW w:w="439" w:type="pct"/>
                  <w:vAlign w:val="center"/>
                </w:tcPr>
                <w:p>
                  <w:pPr>
                    <w:widowControl/>
                    <w:jc w:val="center"/>
                    <w:rPr>
                      <w:kern w:val="0"/>
                      <w:szCs w:val="21"/>
                    </w:rPr>
                  </w:pPr>
                  <w:r>
                    <w:rPr>
                      <w:kern w:val="0"/>
                      <w:szCs w:val="21"/>
                    </w:rPr>
                    <w:t>/</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50" w:type="pct"/>
                  <w:tcBorders>
                    <w:right w:val="single" w:color="auto" w:sz="2" w:space="0"/>
                  </w:tcBorders>
                  <w:vAlign w:val="center"/>
                </w:tcPr>
                <w:p>
                  <w:pPr>
                    <w:widowControl/>
                    <w:jc w:val="center"/>
                    <w:rPr>
                      <w:kern w:val="0"/>
                      <w:szCs w:val="21"/>
                    </w:rPr>
                  </w:pPr>
                  <w:r>
                    <w:rPr>
                      <w:kern w:val="0"/>
                      <w:szCs w:val="21"/>
                    </w:rPr>
                    <w:t>11.5</w:t>
                  </w:r>
                </w:p>
              </w:tc>
              <w:tc>
                <w:tcPr>
                  <w:tcW w:w="313" w:type="pct"/>
                  <w:vMerge w:val="continue"/>
                  <w:tcBorders>
                    <w:left w:val="single" w:color="auto" w:sz="2" w:space="0"/>
                  </w:tcBorders>
                  <w:vAlign w:val="center"/>
                </w:tcPr>
                <w:p>
                  <w:pPr>
                    <w:widowControl/>
                    <w:jc w:val="center"/>
                    <w:rPr>
                      <w:kern w:val="0"/>
                      <w:szCs w:val="21"/>
                    </w:rPr>
                  </w:pPr>
                </w:p>
              </w:tc>
              <w:tc>
                <w:tcPr>
                  <w:tcW w:w="386" w:type="pct"/>
                  <w:tcBorders>
                    <w:left w:val="single" w:color="auto" w:sz="2" w:space="0"/>
                  </w:tcBorders>
                  <w:vAlign w:val="center"/>
                </w:tcPr>
                <w:p>
                  <w:pPr>
                    <w:widowControl/>
                    <w:jc w:val="center"/>
                    <w:rPr>
                      <w:kern w:val="0"/>
                      <w:szCs w:val="21"/>
                    </w:rPr>
                  </w:pPr>
                  <w:r>
                    <w:rPr>
                      <w:kern w:val="0"/>
                      <w:szCs w:val="21"/>
                    </w:rPr>
                    <w:t>/</w:t>
                  </w:r>
                </w:p>
              </w:tc>
              <w:tc>
                <w:tcPr>
                  <w:tcW w:w="365" w:type="pct"/>
                  <w:tcBorders>
                    <w:left w:val="single" w:color="auto" w:sz="2" w:space="0"/>
                  </w:tcBorders>
                  <w:vAlign w:val="center"/>
                </w:tcPr>
                <w:p>
                  <w:pPr>
                    <w:widowControl/>
                    <w:jc w:val="center"/>
                    <w:rPr>
                      <w:kern w:val="0"/>
                      <w:szCs w:val="21"/>
                    </w:rPr>
                  </w:pPr>
                  <w:r>
                    <w:rPr>
                      <w:kern w:val="0"/>
                      <w:szCs w:val="21"/>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7" w:hRule="atLeast"/>
                <w:jc w:val="center"/>
              </w:trPr>
              <w:tc>
                <w:tcPr>
                  <w:tcW w:w="232" w:type="pct"/>
                  <w:vMerge w:val="restart"/>
                  <w:vAlign w:val="center"/>
                </w:tcPr>
                <w:p>
                  <w:pPr>
                    <w:pStyle w:val="114"/>
                    <w:widowControl/>
                    <w:numPr>
                      <w:ilvl w:val="0"/>
                      <w:numId w:val="13"/>
                    </w:numPr>
                    <w:ind w:left="0" w:firstLine="0" w:firstLineChars="0"/>
                    <w:jc w:val="center"/>
                    <w:rPr>
                      <w:kern w:val="0"/>
                      <w:szCs w:val="21"/>
                    </w:rPr>
                  </w:pPr>
                </w:p>
              </w:tc>
              <w:tc>
                <w:tcPr>
                  <w:tcW w:w="1425" w:type="pct"/>
                  <w:vMerge w:val="restart"/>
                  <w:vAlign w:val="center"/>
                </w:tcPr>
                <w:p>
                  <w:pPr>
                    <w:widowControl/>
                    <w:jc w:val="center"/>
                    <w:rPr>
                      <w:kern w:val="0"/>
                      <w:szCs w:val="21"/>
                    </w:rPr>
                  </w:pPr>
                  <w:r>
                    <w:rPr>
                      <w:kern w:val="0"/>
                      <w:szCs w:val="21"/>
                    </w:rPr>
                    <w:t>东环110kV变电站站址中心5#</w:t>
                  </w:r>
                </w:p>
              </w:tc>
              <w:tc>
                <w:tcPr>
                  <w:tcW w:w="788" w:type="pct"/>
                  <w:vAlign w:val="center"/>
                </w:tcPr>
                <w:p>
                  <w:pPr>
                    <w:widowControl/>
                    <w:jc w:val="center"/>
                    <w:rPr>
                      <w:kern w:val="0"/>
                      <w:szCs w:val="21"/>
                    </w:rPr>
                  </w:pPr>
                  <w:r>
                    <w:rPr>
                      <w:kern w:val="0"/>
                      <w:szCs w:val="21"/>
                    </w:rPr>
                    <w:t>2025.10.19</w:t>
                  </w:r>
                </w:p>
              </w:tc>
              <w:tc>
                <w:tcPr>
                  <w:tcW w:w="352" w:type="pct"/>
                  <w:vMerge w:val="restart"/>
                  <w:vAlign w:val="center"/>
                </w:tcPr>
                <w:p>
                  <w:pPr>
                    <w:widowControl/>
                    <w:jc w:val="center"/>
                    <w:rPr>
                      <w:kern w:val="0"/>
                      <w:szCs w:val="21"/>
                    </w:rPr>
                  </w:pPr>
                  <w:r>
                    <w:rPr>
                      <w:kern w:val="0"/>
                      <w:szCs w:val="21"/>
                    </w:rPr>
                    <w:t>晴</w:t>
                  </w:r>
                </w:p>
              </w:tc>
              <w:tc>
                <w:tcPr>
                  <w:tcW w:w="439" w:type="pct"/>
                  <w:vAlign w:val="center"/>
                </w:tcPr>
                <w:p>
                  <w:pPr>
                    <w:widowControl/>
                    <w:jc w:val="center"/>
                    <w:rPr>
                      <w:kern w:val="0"/>
                      <w:szCs w:val="21"/>
                    </w:rPr>
                  </w:pPr>
                  <w:r>
                    <w:rPr>
                      <w:kern w:val="0"/>
                      <w:szCs w:val="21"/>
                    </w:rPr>
                    <w:t>15.2</w:t>
                  </w:r>
                </w:p>
              </w:tc>
              <w:tc>
                <w:tcPr>
                  <w:tcW w:w="350" w:type="pct"/>
                  <w:tcBorders>
                    <w:right w:val="single" w:color="auto" w:sz="2" w:space="0"/>
                  </w:tcBorders>
                  <w:vAlign w:val="center"/>
                </w:tcPr>
                <w:p>
                  <w:pPr>
                    <w:widowControl/>
                    <w:jc w:val="center"/>
                    <w:rPr>
                      <w:kern w:val="0"/>
                      <w:szCs w:val="21"/>
                    </w:rPr>
                  </w:pPr>
                  <w:r>
                    <w:rPr>
                      <w:kern w:val="0"/>
                      <w:szCs w:val="21"/>
                    </w:rPr>
                    <w:t>22.8</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13" w:type="pct"/>
                  <w:vMerge w:val="restart"/>
                  <w:tcBorders>
                    <w:left w:val="single" w:color="auto" w:sz="2" w:space="0"/>
                  </w:tcBorders>
                  <w:vAlign w:val="center"/>
                </w:tcPr>
                <w:p>
                  <w:pPr>
                    <w:widowControl/>
                    <w:jc w:val="center"/>
                    <w:rPr>
                      <w:kern w:val="0"/>
                      <w:szCs w:val="21"/>
                    </w:rPr>
                  </w:pPr>
                  <w:r>
                    <w:rPr>
                      <w:kern w:val="0"/>
                      <w:szCs w:val="21"/>
                    </w:rPr>
                    <w:t>北</w:t>
                  </w:r>
                </w:p>
              </w:tc>
              <w:tc>
                <w:tcPr>
                  <w:tcW w:w="386" w:type="pct"/>
                  <w:tcBorders>
                    <w:left w:val="single" w:color="auto" w:sz="2" w:space="0"/>
                  </w:tcBorders>
                  <w:vAlign w:val="center"/>
                </w:tcPr>
                <w:p>
                  <w:pPr>
                    <w:widowControl/>
                    <w:jc w:val="center"/>
                    <w:rPr>
                      <w:kern w:val="0"/>
                      <w:szCs w:val="21"/>
                    </w:rPr>
                  </w:pPr>
                  <w:r>
                    <w:rPr>
                      <w:kern w:val="0"/>
                      <w:szCs w:val="21"/>
                    </w:rPr>
                    <w:t>0.4</w:t>
                  </w:r>
                </w:p>
              </w:tc>
              <w:tc>
                <w:tcPr>
                  <w:tcW w:w="365" w:type="pct"/>
                  <w:tcBorders>
                    <w:left w:val="single" w:color="auto" w:sz="2" w:space="0"/>
                  </w:tcBorders>
                  <w:vAlign w:val="center"/>
                </w:tcPr>
                <w:p>
                  <w:pPr>
                    <w:widowControl/>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 w:type="pct"/>
                  <w:vMerge w:val="continue"/>
                  <w:vAlign w:val="center"/>
                </w:tcPr>
                <w:p>
                  <w:pPr>
                    <w:pStyle w:val="114"/>
                    <w:widowControl/>
                    <w:numPr>
                      <w:ilvl w:val="0"/>
                      <w:numId w:val="13"/>
                    </w:numPr>
                    <w:ind w:left="0" w:firstLine="0" w:firstLineChars="0"/>
                    <w:jc w:val="center"/>
                    <w:rPr>
                      <w:kern w:val="0"/>
                      <w:szCs w:val="21"/>
                    </w:rPr>
                  </w:pPr>
                </w:p>
              </w:tc>
              <w:tc>
                <w:tcPr>
                  <w:tcW w:w="1425" w:type="pct"/>
                  <w:vMerge w:val="continue"/>
                  <w:vAlign w:val="center"/>
                </w:tcPr>
                <w:p>
                  <w:pPr>
                    <w:widowControl/>
                    <w:jc w:val="center"/>
                    <w:rPr>
                      <w:kern w:val="0"/>
                      <w:szCs w:val="21"/>
                    </w:rPr>
                  </w:pPr>
                </w:p>
              </w:tc>
              <w:tc>
                <w:tcPr>
                  <w:tcW w:w="788" w:type="pct"/>
                  <w:vAlign w:val="center"/>
                </w:tcPr>
                <w:p>
                  <w:pPr>
                    <w:widowControl/>
                    <w:jc w:val="center"/>
                    <w:rPr>
                      <w:kern w:val="0"/>
                      <w:szCs w:val="21"/>
                    </w:rPr>
                  </w:pPr>
                  <w:r>
                    <w:rPr>
                      <w:kern w:val="0"/>
                      <w:szCs w:val="21"/>
                    </w:rPr>
                    <w:t>2025.10.20</w:t>
                  </w:r>
                </w:p>
              </w:tc>
              <w:tc>
                <w:tcPr>
                  <w:tcW w:w="352" w:type="pct"/>
                  <w:vMerge w:val="continue"/>
                  <w:vAlign w:val="center"/>
                </w:tcPr>
                <w:p>
                  <w:pPr>
                    <w:widowControl/>
                    <w:jc w:val="center"/>
                    <w:rPr>
                      <w:kern w:val="0"/>
                      <w:szCs w:val="21"/>
                    </w:rPr>
                  </w:pPr>
                </w:p>
              </w:tc>
              <w:tc>
                <w:tcPr>
                  <w:tcW w:w="439" w:type="pct"/>
                  <w:vAlign w:val="center"/>
                </w:tcPr>
                <w:p>
                  <w:pPr>
                    <w:widowControl/>
                    <w:jc w:val="center"/>
                    <w:rPr>
                      <w:kern w:val="0"/>
                      <w:szCs w:val="21"/>
                    </w:rPr>
                  </w:pPr>
                  <w:r>
                    <w:rPr>
                      <w:kern w:val="0"/>
                      <w:szCs w:val="21"/>
                    </w:rPr>
                    <w:t>/</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50" w:type="pct"/>
                  <w:tcBorders>
                    <w:right w:val="single" w:color="auto" w:sz="2" w:space="0"/>
                  </w:tcBorders>
                  <w:vAlign w:val="center"/>
                </w:tcPr>
                <w:p>
                  <w:pPr>
                    <w:widowControl/>
                    <w:jc w:val="center"/>
                    <w:rPr>
                      <w:kern w:val="0"/>
                      <w:szCs w:val="21"/>
                    </w:rPr>
                  </w:pPr>
                  <w:r>
                    <w:rPr>
                      <w:kern w:val="0"/>
                      <w:szCs w:val="21"/>
                    </w:rPr>
                    <w:t>11.3</w:t>
                  </w:r>
                </w:p>
              </w:tc>
              <w:tc>
                <w:tcPr>
                  <w:tcW w:w="313" w:type="pct"/>
                  <w:vMerge w:val="continue"/>
                  <w:tcBorders>
                    <w:left w:val="single" w:color="auto" w:sz="2" w:space="0"/>
                  </w:tcBorders>
                  <w:vAlign w:val="center"/>
                </w:tcPr>
                <w:p>
                  <w:pPr>
                    <w:widowControl/>
                    <w:jc w:val="center"/>
                    <w:rPr>
                      <w:kern w:val="0"/>
                      <w:szCs w:val="21"/>
                    </w:rPr>
                  </w:pPr>
                </w:p>
              </w:tc>
              <w:tc>
                <w:tcPr>
                  <w:tcW w:w="386" w:type="pct"/>
                  <w:tcBorders>
                    <w:left w:val="single" w:color="auto" w:sz="2" w:space="0"/>
                  </w:tcBorders>
                  <w:vAlign w:val="center"/>
                </w:tcPr>
                <w:p>
                  <w:pPr>
                    <w:widowControl/>
                    <w:jc w:val="center"/>
                    <w:rPr>
                      <w:kern w:val="0"/>
                      <w:szCs w:val="21"/>
                    </w:rPr>
                  </w:pPr>
                  <w:r>
                    <w:rPr>
                      <w:kern w:val="0"/>
                      <w:szCs w:val="21"/>
                    </w:rPr>
                    <w:t>/</w:t>
                  </w:r>
                </w:p>
              </w:tc>
              <w:tc>
                <w:tcPr>
                  <w:tcW w:w="365" w:type="pct"/>
                  <w:tcBorders>
                    <w:left w:val="single" w:color="auto" w:sz="2" w:space="0"/>
                  </w:tcBorders>
                  <w:vAlign w:val="center"/>
                </w:tcPr>
                <w:p>
                  <w:pPr>
                    <w:widowControl/>
                    <w:jc w:val="center"/>
                    <w:rPr>
                      <w:kern w:val="0"/>
                      <w:szCs w:val="21"/>
                    </w:rPr>
                  </w:pPr>
                  <w:r>
                    <w:rPr>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00" w:type="pct"/>
                  <w:gridSpan w:val="10"/>
                  <w:vAlign w:val="center"/>
                </w:tcPr>
                <w:p>
                  <w:pPr>
                    <w:widowControl/>
                    <w:jc w:val="center"/>
                    <w:rPr>
                      <w:kern w:val="0"/>
                      <w:szCs w:val="21"/>
                    </w:rPr>
                  </w:pPr>
                  <w:r>
                    <w:rPr>
                      <w:b/>
                      <w:kern w:val="0"/>
                      <w:szCs w:val="21"/>
                    </w:rPr>
                    <w:t>（二）七泉湖~红旗π入番南变110千伏线路工程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6" w:hRule="atLeast"/>
                <w:jc w:val="center"/>
              </w:trPr>
              <w:tc>
                <w:tcPr>
                  <w:tcW w:w="232" w:type="pct"/>
                  <w:vMerge w:val="restart"/>
                  <w:vAlign w:val="center"/>
                </w:tcPr>
                <w:p>
                  <w:pPr>
                    <w:pStyle w:val="114"/>
                    <w:widowControl/>
                    <w:numPr>
                      <w:ilvl w:val="0"/>
                      <w:numId w:val="14"/>
                    </w:numPr>
                    <w:ind w:left="0" w:firstLine="0" w:firstLineChars="0"/>
                    <w:jc w:val="center"/>
                    <w:rPr>
                      <w:kern w:val="0"/>
                      <w:szCs w:val="21"/>
                    </w:rPr>
                  </w:pPr>
                </w:p>
              </w:tc>
              <w:tc>
                <w:tcPr>
                  <w:tcW w:w="1425" w:type="pct"/>
                  <w:vMerge w:val="restart"/>
                  <w:vAlign w:val="center"/>
                </w:tcPr>
                <w:p>
                  <w:pPr>
                    <w:widowControl/>
                    <w:jc w:val="center"/>
                    <w:rPr>
                      <w:kern w:val="0"/>
                      <w:szCs w:val="21"/>
                    </w:rPr>
                  </w:pPr>
                  <w:r>
                    <w:rPr>
                      <w:kern w:val="0"/>
                      <w:szCs w:val="21"/>
                    </w:rPr>
                    <w:t>新疆维吾尔自治区吐鲁番市高昌区恰特喀勒乡新光村二组406#房东侧</w:t>
                  </w:r>
                </w:p>
              </w:tc>
              <w:tc>
                <w:tcPr>
                  <w:tcW w:w="788" w:type="pct"/>
                  <w:vAlign w:val="center"/>
                </w:tcPr>
                <w:p>
                  <w:pPr>
                    <w:widowControl/>
                    <w:jc w:val="center"/>
                    <w:rPr>
                      <w:kern w:val="0"/>
                      <w:szCs w:val="21"/>
                    </w:rPr>
                  </w:pPr>
                  <w:r>
                    <w:rPr>
                      <w:kern w:val="0"/>
                      <w:szCs w:val="21"/>
                    </w:rPr>
                    <w:t>2025.10.19</w:t>
                  </w:r>
                </w:p>
              </w:tc>
              <w:tc>
                <w:tcPr>
                  <w:tcW w:w="352" w:type="pct"/>
                  <w:vMerge w:val="restart"/>
                  <w:vAlign w:val="center"/>
                </w:tcPr>
                <w:p>
                  <w:pPr>
                    <w:widowControl/>
                    <w:jc w:val="center"/>
                    <w:rPr>
                      <w:kern w:val="0"/>
                      <w:szCs w:val="21"/>
                    </w:rPr>
                  </w:pPr>
                  <w:r>
                    <w:rPr>
                      <w:kern w:val="0"/>
                      <w:szCs w:val="21"/>
                    </w:rPr>
                    <w:t>晴</w:t>
                  </w:r>
                </w:p>
              </w:tc>
              <w:tc>
                <w:tcPr>
                  <w:tcW w:w="439" w:type="pct"/>
                  <w:vAlign w:val="center"/>
                </w:tcPr>
                <w:p>
                  <w:pPr>
                    <w:widowControl/>
                    <w:jc w:val="center"/>
                    <w:rPr>
                      <w:kern w:val="0"/>
                      <w:szCs w:val="21"/>
                    </w:rPr>
                  </w:pPr>
                  <w:r>
                    <w:rPr>
                      <w:kern w:val="0"/>
                      <w:szCs w:val="21"/>
                    </w:rPr>
                    <w:t>16.5</w:t>
                  </w:r>
                </w:p>
              </w:tc>
              <w:tc>
                <w:tcPr>
                  <w:tcW w:w="350" w:type="pct"/>
                  <w:tcBorders>
                    <w:right w:val="single" w:color="auto" w:sz="2" w:space="0"/>
                  </w:tcBorders>
                  <w:vAlign w:val="center"/>
                </w:tcPr>
                <w:p>
                  <w:pPr>
                    <w:widowControl/>
                    <w:jc w:val="center"/>
                    <w:rPr>
                      <w:kern w:val="0"/>
                      <w:szCs w:val="21"/>
                    </w:rPr>
                  </w:pPr>
                  <w:r>
                    <w:rPr>
                      <w:kern w:val="0"/>
                      <w:szCs w:val="21"/>
                    </w:rPr>
                    <w:t>21.1</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13" w:type="pct"/>
                  <w:vMerge w:val="restart"/>
                  <w:tcBorders>
                    <w:left w:val="single" w:color="auto" w:sz="2" w:space="0"/>
                  </w:tcBorders>
                  <w:vAlign w:val="center"/>
                </w:tcPr>
                <w:p>
                  <w:pPr>
                    <w:widowControl/>
                    <w:jc w:val="center"/>
                    <w:rPr>
                      <w:kern w:val="0"/>
                      <w:szCs w:val="21"/>
                    </w:rPr>
                  </w:pPr>
                  <w:r>
                    <w:rPr>
                      <w:kern w:val="0"/>
                      <w:szCs w:val="21"/>
                    </w:rPr>
                    <w:t>北</w:t>
                  </w:r>
                </w:p>
              </w:tc>
              <w:tc>
                <w:tcPr>
                  <w:tcW w:w="386" w:type="pct"/>
                  <w:tcBorders>
                    <w:left w:val="single" w:color="auto" w:sz="2" w:space="0"/>
                  </w:tcBorders>
                  <w:vAlign w:val="center"/>
                </w:tcPr>
                <w:p>
                  <w:pPr>
                    <w:widowControl/>
                    <w:jc w:val="center"/>
                    <w:rPr>
                      <w:kern w:val="0"/>
                      <w:szCs w:val="21"/>
                    </w:rPr>
                  </w:pPr>
                  <w:r>
                    <w:rPr>
                      <w:kern w:val="0"/>
                      <w:szCs w:val="21"/>
                    </w:rPr>
                    <w:t>0.6</w:t>
                  </w:r>
                </w:p>
              </w:tc>
              <w:tc>
                <w:tcPr>
                  <w:tcW w:w="365" w:type="pct"/>
                  <w:tcBorders>
                    <w:left w:val="single" w:color="auto" w:sz="2" w:space="0"/>
                  </w:tcBorders>
                  <w:vAlign w:val="center"/>
                </w:tcPr>
                <w:p>
                  <w:pPr>
                    <w:widowControl/>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 w:type="pct"/>
                  <w:vMerge w:val="continue"/>
                  <w:vAlign w:val="center"/>
                </w:tcPr>
                <w:p>
                  <w:pPr>
                    <w:pStyle w:val="114"/>
                    <w:widowControl/>
                    <w:numPr>
                      <w:ilvl w:val="0"/>
                      <w:numId w:val="14"/>
                    </w:numPr>
                    <w:ind w:left="0" w:firstLine="0" w:firstLineChars="0"/>
                    <w:jc w:val="center"/>
                    <w:rPr>
                      <w:kern w:val="0"/>
                      <w:szCs w:val="21"/>
                    </w:rPr>
                  </w:pPr>
                </w:p>
              </w:tc>
              <w:tc>
                <w:tcPr>
                  <w:tcW w:w="1425" w:type="pct"/>
                  <w:vMerge w:val="continue"/>
                  <w:vAlign w:val="center"/>
                </w:tcPr>
                <w:p>
                  <w:pPr>
                    <w:widowControl/>
                    <w:jc w:val="center"/>
                    <w:rPr>
                      <w:kern w:val="0"/>
                      <w:szCs w:val="21"/>
                    </w:rPr>
                  </w:pPr>
                </w:p>
              </w:tc>
              <w:tc>
                <w:tcPr>
                  <w:tcW w:w="788" w:type="pct"/>
                  <w:vAlign w:val="center"/>
                </w:tcPr>
                <w:p>
                  <w:pPr>
                    <w:widowControl/>
                    <w:jc w:val="center"/>
                    <w:rPr>
                      <w:kern w:val="0"/>
                      <w:szCs w:val="21"/>
                    </w:rPr>
                  </w:pPr>
                  <w:r>
                    <w:rPr>
                      <w:kern w:val="0"/>
                      <w:szCs w:val="21"/>
                    </w:rPr>
                    <w:t>2025.10.20</w:t>
                  </w:r>
                </w:p>
              </w:tc>
              <w:tc>
                <w:tcPr>
                  <w:tcW w:w="352" w:type="pct"/>
                  <w:vMerge w:val="continue"/>
                  <w:vAlign w:val="center"/>
                </w:tcPr>
                <w:p>
                  <w:pPr>
                    <w:widowControl/>
                    <w:jc w:val="center"/>
                    <w:rPr>
                      <w:kern w:val="0"/>
                      <w:szCs w:val="21"/>
                    </w:rPr>
                  </w:pPr>
                </w:p>
              </w:tc>
              <w:tc>
                <w:tcPr>
                  <w:tcW w:w="439" w:type="pct"/>
                  <w:vAlign w:val="center"/>
                </w:tcPr>
                <w:p>
                  <w:pPr>
                    <w:widowControl/>
                    <w:jc w:val="center"/>
                    <w:rPr>
                      <w:kern w:val="0"/>
                      <w:szCs w:val="21"/>
                    </w:rPr>
                  </w:pPr>
                  <w:r>
                    <w:rPr>
                      <w:kern w:val="0"/>
                      <w:szCs w:val="21"/>
                    </w:rPr>
                    <w:t>/</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50" w:type="pct"/>
                  <w:tcBorders>
                    <w:right w:val="single" w:color="auto" w:sz="2" w:space="0"/>
                  </w:tcBorders>
                  <w:vAlign w:val="center"/>
                </w:tcPr>
                <w:p>
                  <w:pPr>
                    <w:widowControl/>
                    <w:jc w:val="center"/>
                    <w:rPr>
                      <w:kern w:val="0"/>
                      <w:szCs w:val="21"/>
                    </w:rPr>
                  </w:pPr>
                  <w:r>
                    <w:rPr>
                      <w:kern w:val="0"/>
                      <w:szCs w:val="21"/>
                    </w:rPr>
                    <w:t>12.3</w:t>
                  </w:r>
                </w:p>
              </w:tc>
              <w:tc>
                <w:tcPr>
                  <w:tcW w:w="313" w:type="pct"/>
                  <w:vMerge w:val="continue"/>
                  <w:tcBorders>
                    <w:left w:val="single" w:color="auto" w:sz="2" w:space="0"/>
                  </w:tcBorders>
                  <w:vAlign w:val="center"/>
                </w:tcPr>
                <w:p>
                  <w:pPr>
                    <w:widowControl/>
                    <w:jc w:val="center"/>
                    <w:rPr>
                      <w:kern w:val="0"/>
                      <w:szCs w:val="21"/>
                    </w:rPr>
                  </w:pPr>
                </w:p>
              </w:tc>
              <w:tc>
                <w:tcPr>
                  <w:tcW w:w="386" w:type="pct"/>
                  <w:tcBorders>
                    <w:left w:val="single" w:color="auto" w:sz="2" w:space="0"/>
                  </w:tcBorders>
                  <w:vAlign w:val="center"/>
                </w:tcPr>
                <w:p>
                  <w:pPr>
                    <w:widowControl/>
                    <w:jc w:val="center"/>
                    <w:rPr>
                      <w:kern w:val="0"/>
                      <w:szCs w:val="21"/>
                    </w:rPr>
                  </w:pPr>
                  <w:r>
                    <w:rPr>
                      <w:kern w:val="0"/>
                      <w:szCs w:val="21"/>
                    </w:rPr>
                    <w:t>/</w:t>
                  </w:r>
                </w:p>
              </w:tc>
              <w:tc>
                <w:tcPr>
                  <w:tcW w:w="365" w:type="pct"/>
                  <w:tcBorders>
                    <w:left w:val="single" w:color="auto" w:sz="2" w:space="0"/>
                  </w:tcBorders>
                  <w:vAlign w:val="center"/>
                </w:tcPr>
                <w:p>
                  <w:pPr>
                    <w:widowControl/>
                    <w:jc w:val="center"/>
                    <w:rPr>
                      <w:kern w:val="0"/>
                      <w:szCs w:val="21"/>
                    </w:rPr>
                  </w:pPr>
                  <w:r>
                    <w:rPr>
                      <w:kern w:val="0"/>
                      <w:szCs w:val="21"/>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 w:type="pct"/>
                  <w:vMerge w:val="restart"/>
                  <w:vAlign w:val="center"/>
                </w:tcPr>
                <w:p>
                  <w:pPr>
                    <w:pStyle w:val="114"/>
                    <w:widowControl/>
                    <w:numPr>
                      <w:ilvl w:val="0"/>
                      <w:numId w:val="14"/>
                    </w:numPr>
                    <w:ind w:left="0" w:firstLine="0" w:firstLineChars="0"/>
                    <w:jc w:val="center"/>
                    <w:rPr>
                      <w:kern w:val="0"/>
                      <w:szCs w:val="21"/>
                    </w:rPr>
                  </w:pPr>
                </w:p>
              </w:tc>
              <w:tc>
                <w:tcPr>
                  <w:tcW w:w="1425" w:type="pct"/>
                  <w:vMerge w:val="restart"/>
                  <w:vAlign w:val="center"/>
                </w:tcPr>
                <w:p>
                  <w:pPr>
                    <w:widowControl/>
                    <w:jc w:val="center"/>
                    <w:rPr>
                      <w:kern w:val="0"/>
                      <w:szCs w:val="21"/>
                    </w:rPr>
                  </w:pPr>
                  <w:r>
                    <w:rPr>
                      <w:kern w:val="0"/>
                      <w:szCs w:val="21"/>
                    </w:rPr>
                    <w:t>线路背景值3#</w:t>
                  </w:r>
                </w:p>
              </w:tc>
              <w:tc>
                <w:tcPr>
                  <w:tcW w:w="788" w:type="pct"/>
                  <w:vAlign w:val="center"/>
                </w:tcPr>
                <w:p>
                  <w:pPr>
                    <w:widowControl/>
                    <w:jc w:val="center"/>
                    <w:rPr>
                      <w:kern w:val="0"/>
                      <w:szCs w:val="21"/>
                    </w:rPr>
                  </w:pPr>
                  <w:r>
                    <w:rPr>
                      <w:kern w:val="0"/>
                      <w:szCs w:val="21"/>
                    </w:rPr>
                    <w:t>2025.10.19</w:t>
                  </w:r>
                </w:p>
              </w:tc>
              <w:tc>
                <w:tcPr>
                  <w:tcW w:w="352" w:type="pct"/>
                  <w:vMerge w:val="restart"/>
                  <w:vAlign w:val="center"/>
                </w:tcPr>
                <w:p>
                  <w:pPr>
                    <w:widowControl/>
                    <w:jc w:val="center"/>
                    <w:rPr>
                      <w:kern w:val="0"/>
                      <w:szCs w:val="21"/>
                    </w:rPr>
                  </w:pPr>
                  <w:r>
                    <w:rPr>
                      <w:kern w:val="0"/>
                      <w:szCs w:val="21"/>
                    </w:rPr>
                    <w:t>晴</w:t>
                  </w:r>
                </w:p>
              </w:tc>
              <w:tc>
                <w:tcPr>
                  <w:tcW w:w="439" w:type="pct"/>
                  <w:vAlign w:val="center"/>
                </w:tcPr>
                <w:p>
                  <w:pPr>
                    <w:widowControl/>
                    <w:jc w:val="center"/>
                    <w:rPr>
                      <w:kern w:val="0"/>
                      <w:szCs w:val="21"/>
                    </w:rPr>
                  </w:pPr>
                  <w:r>
                    <w:rPr>
                      <w:kern w:val="0"/>
                      <w:szCs w:val="21"/>
                    </w:rPr>
                    <w:t>16.1</w:t>
                  </w:r>
                </w:p>
              </w:tc>
              <w:tc>
                <w:tcPr>
                  <w:tcW w:w="350" w:type="pct"/>
                  <w:tcBorders>
                    <w:right w:val="single" w:color="auto" w:sz="2" w:space="0"/>
                  </w:tcBorders>
                  <w:vAlign w:val="center"/>
                </w:tcPr>
                <w:p>
                  <w:pPr>
                    <w:widowControl/>
                    <w:jc w:val="center"/>
                    <w:rPr>
                      <w:kern w:val="0"/>
                      <w:szCs w:val="21"/>
                    </w:rPr>
                  </w:pPr>
                  <w:r>
                    <w:rPr>
                      <w:kern w:val="0"/>
                      <w:szCs w:val="21"/>
                    </w:rPr>
                    <w:t>21.3</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13" w:type="pct"/>
                  <w:tcBorders>
                    <w:left w:val="single" w:color="auto" w:sz="2" w:space="0"/>
                  </w:tcBorders>
                  <w:vAlign w:val="center"/>
                </w:tcPr>
                <w:p>
                  <w:pPr>
                    <w:widowControl/>
                    <w:jc w:val="center"/>
                    <w:rPr>
                      <w:kern w:val="0"/>
                      <w:szCs w:val="21"/>
                    </w:rPr>
                  </w:pPr>
                  <w:r>
                    <w:rPr>
                      <w:kern w:val="0"/>
                      <w:szCs w:val="21"/>
                    </w:rPr>
                    <w:t>北</w:t>
                  </w:r>
                </w:p>
              </w:tc>
              <w:tc>
                <w:tcPr>
                  <w:tcW w:w="386" w:type="pct"/>
                  <w:tcBorders>
                    <w:left w:val="single" w:color="auto" w:sz="2" w:space="0"/>
                  </w:tcBorders>
                  <w:vAlign w:val="center"/>
                </w:tcPr>
                <w:p>
                  <w:pPr>
                    <w:widowControl/>
                    <w:jc w:val="center"/>
                    <w:rPr>
                      <w:kern w:val="0"/>
                      <w:szCs w:val="21"/>
                    </w:rPr>
                  </w:pPr>
                  <w:r>
                    <w:rPr>
                      <w:kern w:val="0"/>
                      <w:szCs w:val="21"/>
                    </w:rPr>
                    <w:t>0.5</w:t>
                  </w:r>
                </w:p>
              </w:tc>
              <w:tc>
                <w:tcPr>
                  <w:tcW w:w="365" w:type="pct"/>
                  <w:tcBorders>
                    <w:left w:val="single" w:color="auto" w:sz="2" w:space="0"/>
                  </w:tcBorders>
                  <w:vAlign w:val="center"/>
                </w:tcPr>
                <w:p>
                  <w:pPr>
                    <w:widowControl/>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 w:type="pct"/>
                  <w:vMerge w:val="continue"/>
                  <w:vAlign w:val="center"/>
                </w:tcPr>
                <w:p>
                  <w:pPr>
                    <w:pStyle w:val="114"/>
                    <w:widowControl/>
                    <w:numPr>
                      <w:ilvl w:val="0"/>
                      <w:numId w:val="14"/>
                    </w:numPr>
                    <w:ind w:left="0" w:firstLine="0" w:firstLineChars="0"/>
                    <w:jc w:val="center"/>
                    <w:rPr>
                      <w:kern w:val="0"/>
                      <w:szCs w:val="21"/>
                    </w:rPr>
                  </w:pPr>
                </w:p>
              </w:tc>
              <w:tc>
                <w:tcPr>
                  <w:tcW w:w="1425" w:type="pct"/>
                  <w:vMerge w:val="continue"/>
                  <w:vAlign w:val="center"/>
                </w:tcPr>
                <w:p>
                  <w:pPr>
                    <w:widowControl/>
                    <w:jc w:val="center"/>
                    <w:rPr>
                      <w:kern w:val="0"/>
                      <w:szCs w:val="21"/>
                    </w:rPr>
                  </w:pPr>
                </w:p>
              </w:tc>
              <w:tc>
                <w:tcPr>
                  <w:tcW w:w="788" w:type="pct"/>
                  <w:vAlign w:val="center"/>
                </w:tcPr>
                <w:p>
                  <w:pPr>
                    <w:widowControl/>
                    <w:jc w:val="center"/>
                    <w:rPr>
                      <w:kern w:val="0"/>
                      <w:szCs w:val="21"/>
                    </w:rPr>
                  </w:pPr>
                  <w:r>
                    <w:rPr>
                      <w:kern w:val="0"/>
                      <w:szCs w:val="21"/>
                    </w:rPr>
                    <w:t>2025.10.20</w:t>
                  </w:r>
                </w:p>
              </w:tc>
              <w:tc>
                <w:tcPr>
                  <w:tcW w:w="352" w:type="pct"/>
                  <w:vMerge w:val="continue"/>
                  <w:vAlign w:val="center"/>
                </w:tcPr>
                <w:p>
                  <w:pPr>
                    <w:widowControl/>
                    <w:jc w:val="center"/>
                    <w:rPr>
                      <w:kern w:val="0"/>
                      <w:szCs w:val="21"/>
                    </w:rPr>
                  </w:pPr>
                </w:p>
              </w:tc>
              <w:tc>
                <w:tcPr>
                  <w:tcW w:w="439" w:type="pct"/>
                  <w:vAlign w:val="center"/>
                </w:tcPr>
                <w:p>
                  <w:pPr>
                    <w:widowControl/>
                    <w:jc w:val="center"/>
                    <w:rPr>
                      <w:kern w:val="0"/>
                      <w:szCs w:val="21"/>
                    </w:rPr>
                  </w:pPr>
                  <w:r>
                    <w:rPr>
                      <w:kern w:val="0"/>
                      <w:szCs w:val="21"/>
                    </w:rPr>
                    <w:t>/</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50" w:type="pct"/>
                  <w:tcBorders>
                    <w:right w:val="single" w:color="auto" w:sz="2" w:space="0"/>
                  </w:tcBorders>
                  <w:vAlign w:val="center"/>
                </w:tcPr>
                <w:p>
                  <w:pPr>
                    <w:widowControl/>
                    <w:jc w:val="center"/>
                    <w:rPr>
                      <w:kern w:val="0"/>
                      <w:szCs w:val="21"/>
                    </w:rPr>
                  </w:pPr>
                  <w:r>
                    <w:rPr>
                      <w:kern w:val="0"/>
                      <w:szCs w:val="21"/>
                    </w:rPr>
                    <w:t>12.1</w:t>
                  </w:r>
                </w:p>
              </w:tc>
              <w:tc>
                <w:tcPr>
                  <w:tcW w:w="313" w:type="pct"/>
                  <w:tcBorders>
                    <w:left w:val="single" w:color="auto" w:sz="2" w:space="0"/>
                  </w:tcBorders>
                  <w:vAlign w:val="center"/>
                </w:tcPr>
                <w:p>
                  <w:pPr>
                    <w:widowControl/>
                    <w:jc w:val="center"/>
                    <w:rPr>
                      <w:kern w:val="0"/>
                      <w:szCs w:val="21"/>
                    </w:rPr>
                  </w:pPr>
                  <w:r>
                    <w:rPr>
                      <w:kern w:val="0"/>
                      <w:szCs w:val="21"/>
                    </w:rPr>
                    <w:t>/</w:t>
                  </w:r>
                </w:p>
              </w:tc>
              <w:tc>
                <w:tcPr>
                  <w:tcW w:w="386" w:type="pct"/>
                  <w:tcBorders>
                    <w:left w:val="single" w:color="auto" w:sz="2" w:space="0"/>
                  </w:tcBorders>
                  <w:vAlign w:val="center"/>
                </w:tcPr>
                <w:p>
                  <w:pPr>
                    <w:widowControl/>
                    <w:jc w:val="center"/>
                    <w:rPr>
                      <w:kern w:val="0"/>
                      <w:szCs w:val="21"/>
                    </w:rPr>
                  </w:pPr>
                  <w:r>
                    <w:rPr>
                      <w:kern w:val="0"/>
                      <w:szCs w:val="21"/>
                    </w:rPr>
                    <w:t>/</w:t>
                  </w:r>
                </w:p>
              </w:tc>
              <w:tc>
                <w:tcPr>
                  <w:tcW w:w="365" w:type="pct"/>
                  <w:tcBorders>
                    <w:left w:val="single" w:color="auto" w:sz="2" w:space="0"/>
                  </w:tcBorders>
                  <w:vAlign w:val="center"/>
                </w:tcPr>
                <w:p>
                  <w:pPr>
                    <w:widowControl/>
                    <w:jc w:val="center"/>
                    <w:rPr>
                      <w:kern w:val="0"/>
                      <w:szCs w:val="21"/>
                    </w:rPr>
                  </w:pPr>
                  <w:r>
                    <w:rPr>
                      <w:kern w:val="0"/>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 w:type="pct"/>
                  <w:vMerge w:val="restart"/>
                  <w:vAlign w:val="center"/>
                </w:tcPr>
                <w:p>
                  <w:pPr>
                    <w:pStyle w:val="114"/>
                    <w:widowControl/>
                    <w:numPr>
                      <w:ilvl w:val="0"/>
                      <w:numId w:val="14"/>
                    </w:numPr>
                    <w:ind w:left="0" w:firstLine="0" w:firstLineChars="0"/>
                    <w:jc w:val="center"/>
                    <w:rPr>
                      <w:kern w:val="0"/>
                      <w:szCs w:val="21"/>
                    </w:rPr>
                  </w:pPr>
                </w:p>
              </w:tc>
              <w:tc>
                <w:tcPr>
                  <w:tcW w:w="1425" w:type="pct"/>
                  <w:vMerge w:val="restart"/>
                  <w:vAlign w:val="center"/>
                </w:tcPr>
                <w:p>
                  <w:pPr>
                    <w:widowControl/>
                    <w:jc w:val="center"/>
                    <w:rPr>
                      <w:kern w:val="0"/>
                      <w:szCs w:val="21"/>
                    </w:rPr>
                  </w:pPr>
                  <w:r>
                    <w:rPr>
                      <w:kern w:val="0"/>
                      <w:szCs w:val="21"/>
                    </w:rPr>
                    <w:t>线路背景值4#</w:t>
                  </w:r>
                </w:p>
              </w:tc>
              <w:tc>
                <w:tcPr>
                  <w:tcW w:w="788" w:type="pct"/>
                  <w:vAlign w:val="center"/>
                </w:tcPr>
                <w:p>
                  <w:pPr>
                    <w:widowControl/>
                    <w:jc w:val="center"/>
                    <w:rPr>
                      <w:kern w:val="0"/>
                      <w:szCs w:val="21"/>
                    </w:rPr>
                  </w:pPr>
                  <w:r>
                    <w:rPr>
                      <w:kern w:val="0"/>
                      <w:szCs w:val="21"/>
                    </w:rPr>
                    <w:t>2025.10.19</w:t>
                  </w:r>
                </w:p>
              </w:tc>
              <w:tc>
                <w:tcPr>
                  <w:tcW w:w="352" w:type="pct"/>
                  <w:vMerge w:val="restart"/>
                  <w:vAlign w:val="center"/>
                </w:tcPr>
                <w:p>
                  <w:pPr>
                    <w:widowControl/>
                    <w:jc w:val="center"/>
                    <w:rPr>
                      <w:kern w:val="0"/>
                      <w:szCs w:val="21"/>
                    </w:rPr>
                  </w:pPr>
                  <w:r>
                    <w:rPr>
                      <w:kern w:val="0"/>
                      <w:szCs w:val="21"/>
                    </w:rPr>
                    <w:t>晴</w:t>
                  </w:r>
                </w:p>
              </w:tc>
              <w:tc>
                <w:tcPr>
                  <w:tcW w:w="439" w:type="pct"/>
                  <w:vAlign w:val="center"/>
                </w:tcPr>
                <w:p>
                  <w:pPr>
                    <w:widowControl/>
                    <w:jc w:val="center"/>
                    <w:rPr>
                      <w:kern w:val="0"/>
                      <w:szCs w:val="21"/>
                    </w:rPr>
                  </w:pPr>
                  <w:r>
                    <w:rPr>
                      <w:kern w:val="0"/>
                      <w:szCs w:val="21"/>
                    </w:rPr>
                    <w:t>16.1</w:t>
                  </w:r>
                </w:p>
              </w:tc>
              <w:tc>
                <w:tcPr>
                  <w:tcW w:w="350" w:type="pct"/>
                  <w:tcBorders>
                    <w:right w:val="single" w:color="auto" w:sz="2" w:space="0"/>
                  </w:tcBorders>
                  <w:vAlign w:val="center"/>
                </w:tcPr>
                <w:p>
                  <w:pPr>
                    <w:widowControl/>
                    <w:jc w:val="center"/>
                    <w:rPr>
                      <w:kern w:val="0"/>
                      <w:szCs w:val="21"/>
                    </w:rPr>
                  </w:pPr>
                  <w:r>
                    <w:rPr>
                      <w:kern w:val="0"/>
                      <w:szCs w:val="21"/>
                    </w:rPr>
                    <w:t>21.3</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13" w:type="pct"/>
                  <w:vMerge w:val="restart"/>
                  <w:tcBorders>
                    <w:left w:val="single" w:color="auto" w:sz="2" w:space="0"/>
                  </w:tcBorders>
                  <w:vAlign w:val="center"/>
                </w:tcPr>
                <w:p>
                  <w:pPr>
                    <w:widowControl/>
                    <w:jc w:val="center"/>
                    <w:rPr>
                      <w:kern w:val="0"/>
                      <w:szCs w:val="21"/>
                    </w:rPr>
                  </w:pPr>
                  <w:r>
                    <w:rPr>
                      <w:kern w:val="0"/>
                      <w:szCs w:val="21"/>
                    </w:rPr>
                    <w:t>北</w:t>
                  </w:r>
                </w:p>
              </w:tc>
              <w:tc>
                <w:tcPr>
                  <w:tcW w:w="386" w:type="pct"/>
                  <w:tcBorders>
                    <w:left w:val="single" w:color="auto" w:sz="2" w:space="0"/>
                  </w:tcBorders>
                  <w:vAlign w:val="center"/>
                </w:tcPr>
                <w:p>
                  <w:pPr>
                    <w:widowControl/>
                    <w:jc w:val="center"/>
                    <w:rPr>
                      <w:kern w:val="0"/>
                      <w:szCs w:val="21"/>
                    </w:rPr>
                  </w:pPr>
                  <w:r>
                    <w:rPr>
                      <w:kern w:val="0"/>
                      <w:szCs w:val="21"/>
                    </w:rPr>
                    <w:t>0.7</w:t>
                  </w:r>
                </w:p>
              </w:tc>
              <w:tc>
                <w:tcPr>
                  <w:tcW w:w="365" w:type="pct"/>
                  <w:tcBorders>
                    <w:left w:val="single" w:color="auto" w:sz="2" w:space="0"/>
                  </w:tcBorders>
                  <w:vAlign w:val="center"/>
                </w:tcPr>
                <w:p>
                  <w:pPr>
                    <w:widowControl/>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 w:type="pct"/>
                  <w:vMerge w:val="continue"/>
                  <w:vAlign w:val="center"/>
                </w:tcPr>
                <w:p>
                  <w:pPr>
                    <w:pStyle w:val="114"/>
                    <w:widowControl/>
                    <w:numPr>
                      <w:ilvl w:val="0"/>
                      <w:numId w:val="14"/>
                    </w:numPr>
                    <w:ind w:left="0" w:firstLine="0" w:firstLineChars="0"/>
                    <w:jc w:val="center"/>
                    <w:rPr>
                      <w:kern w:val="0"/>
                      <w:szCs w:val="21"/>
                    </w:rPr>
                  </w:pPr>
                </w:p>
              </w:tc>
              <w:tc>
                <w:tcPr>
                  <w:tcW w:w="1425" w:type="pct"/>
                  <w:vMerge w:val="continue"/>
                  <w:vAlign w:val="center"/>
                </w:tcPr>
                <w:p>
                  <w:pPr>
                    <w:widowControl/>
                    <w:jc w:val="center"/>
                    <w:rPr>
                      <w:kern w:val="0"/>
                      <w:szCs w:val="21"/>
                    </w:rPr>
                  </w:pPr>
                </w:p>
              </w:tc>
              <w:tc>
                <w:tcPr>
                  <w:tcW w:w="788" w:type="pct"/>
                  <w:vAlign w:val="center"/>
                </w:tcPr>
                <w:p>
                  <w:pPr>
                    <w:widowControl/>
                    <w:jc w:val="center"/>
                    <w:rPr>
                      <w:kern w:val="0"/>
                      <w:szCs w:val="21"/>
                    </w:rPr>
                  </w:pPr>
                  <w:r>
                    <w:rPr>
                      <w:kern w:val="0"/>
                      <w:szCs w:val="21"/>
                    </w:rPr>
                    <w:t>2025.10.20</w:t>
                  </w:r>
                </w:p>
              </w:tc>
              <w:tc>
                <w:tcPr>
                  <w:tcW w:w="352" w:type="pct"/>
                  <w:vMerge w:val="continue"/>
                  <w:vAlign w:val="center"/>
                </w:tcPr>
                <w:p>
                  <w:pPr>
                    <w:widowControl/>
                    <w:jc w:val="center"/>
                    <w:rPr>
                      <w:kern w:val="0"/>
                      <w:szCs w:val="21"/>
                    </w:rPr>
                  </w:pPr>
                </w:p>
              </w:tc>
              <w:tc>
                <w:tcPr>
                  <w:tcW w:w="439" w:type="pct"/>
                  <w:vAlign w:val="center"/>
                </w:tcPr>
                <w:p>
                  <w:pPr>
                    <w:widowControl/>
                    <w:jc w:val="center"/>
                    <w:rPr>
                      <w:kern w:val="0"/>
                      <w:szCs w:val="21"/>
                    </w:rPr>
                  </w:pPr>
                  <w:r>
                    <w:rPr>
                      <w:kern w:val="0"/>
                      <w:szCs w:val="21"/>
                    </w:rPr>
                    <w:t>/</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50" w:type="pct"/>
                  <w:tcBorders>
                    <w:right w:val="single" w:color="auto" w:sz="2" w:space="0"/>
                  </w:tcBorders>
                  <w:vAlign w:val="center"/>
                </w:tcPr>
                <w:p>
                  <w:pPr>
                    <w:widowControl/>
                    <w:jc w:val="center"/>
                    <w:rPr>
                      <w:kern w:val="0"/>
                      <w:szCs w:val="21"/>
                    </w:rPr>
                  </w:pPr>
                  <w:r>
                    <w:rPr>
                      <w:kern w:val="0"/>
                      <w:szCs w:val="21"/>
                    </w:rPr>
                    <w:t>12.1</w:t>
                  </w:r>
                </w:p>
              </w:tc>
              <w:tc>
                <w:tcPr>
                  <w:tcW w:w="313" w:type="pct"/>
                  <w:vMerge w:val="continue"/>
                  <w:tcBorders>
                    <w:left w:val="single" w:color="auto" w:sz="2" w:space="0"/>
                  </w:tcBorders>
                  <w:vAlign w:val="center"/>
                </w:tcPr>
                <w:p>
                  <w:pPr>
                    <w:widowControl/>
                    <w:jc w:val="center"/>
                    <w:rPr>
                      <w:kern w:val="0"/>
                      <w:szCs w:val="21"/>
                    </w:rPr>
                  </w:pPr>
                </w:p>
              </w:tc>
              <w:tc>
                <w:tcPr>
                  <w:tcW w:w="386" w:type="pct"/>
                  <w:tcBorders>
                    <w:left w:val="single" w:color="auto" w:sz="2" w:space="0"/>
                  </w:tcBorders>
                  <w:vAlign w:val="center"/>
                </w:tcPr>
                <w:p>
                  <w:pPr>
                    <w:widowControl/>
                    <w:jc w:val="center"/>
                    <w:rPr>
                      <w:kern w:val="0"/>
                      <w:szCs w:val="21"/>
                    </w:rPr>
                  </w:pPr>
                  <w:r>
                    <w:rPr>
                      <w:kern w:val="0"/>
                      <w:szCs w:val="21"/>
                    </w:rPr>
                    <w:t>/</w:t>
                  </w:r>
                </w:p>
              </w:tc>
              <w:tc>
                <w:tcPr>
                  <w:tcW w:w="365" w:type="pct"/>
                  <w:tcBorders>
                    <w:left w:val="single" w:color="auto" w:sz="2" w:space="0"/>
                  </w:tcBorders>
                  <w:vAlign w:val="center"/>
                </w:tcPr>
                <w:p>
                  <w:pPr>
                    <w:widowControl/>
                    <w:jc w:val="center"/>
                    <w:rPr>
                      <w:kern w:val="0"/>
                      <w:szCs w:val="21"/>
                    </w:rPr>
                  </w:pPr>
                  <w:r>
                    <w:rPr>
                      <w:kern w:val="0"/>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 w:type="pct"/>
                  <w:vMerge w:val="restart"/>
                  <w:vAlign w:val="center"/>
                </w:tcPr>
                <w:p>
                  <w:pPr>
                    <w:pStyle w:val="114"/>
                    <w:widowControl/>
                    <w:numPr>
                      <w:ilvl w:val="0"/>
                      <w:numId w:val="14"/>
                    </w:numPr>
                    <w:ind w:left="0" w:firstLine="0" w:firstLineChars="0"/>
                    <w:jc w:val="center"/>
                    <w:rPr>
                      <w:kern w:val="0"/>
                      <w:szCs w:val="21"/>
                    </w:rPr>
                  </w:pPr>
                </w:p>
              </w:tc>
              <w:tc>
                <w:tcPr>
                  <w:tcW w:w="1425" w:type="pct"/>
                  <w:vMerge w:val="restart"/>
                  <w:vAlign w:val="center"/>
                </w:tcPr>
                <w:p>
                  <w:pPr>
                    <w:widowControl/>
                    <w:jc w:val="center"/>
                    <w:rPr>
                      <w:kern w:val="0"/>
                      <w:szCs w:val="21"/>
                    </w:rPr>
                  </w:pPr>
                  <w:r>
                    <w:rPr>
                      <w:kern w:val="0"/>
                      <w:szCs w:val="21"/>
                    </w:rPr>
                    <w:t>线路背景值5#</w:t>
                  </w:r>
                </w:p>
              </w:tc>
              <w:tc>
                <w:tcPr>
                  <w:tcW w:w="788" w:type="pct"/>
                  <w:vAlign w:val="center"/>
                </w:tcPr>
                <w:p>
                  <w:pPr>
                    <w:widowControl/>
                    <w:jc w:val="center"/>
                    <w:rPr>
                      <w:kern w:val="0"/>
                      <w:szCs w:val="21"/>
                    </w:rPr>
                  </w:pPr>
                  <w:r>
                    <w:rPr>
                      <w:kern w:val="0"/>
                      <w:szCs w:val="21"/>
                    </w:rPr>
                    <w:t>2025.10.19</w:t>
                  </w:r>
                </w:p>
              </w:tc>
              <w:tc>
                <w:tcPr>
                  <w:tcW w:w="352" w:type="pct"/>
                  <w:vMerge w:val="restart"/>
                  <w:vAlign w:val="center"/>
                </w:tcPr>
                <w:p>
                  <w:pPr>
                    <w:widowControl/>
                    <w:jc w:val="center"/>
                    <w:rPr>
                      <w:kern w:val="0"/>
                      <w:szCs w:val="21"/>
                    </w:rPr>
                  </w:pPr>
                  <w:r>
                    <w:rPr>
                      <w:kern w:val="0"/>
                      <w:szCs w:val="21"/>
                    </w:rPr>
                    <w:t>晴</w:t>
                  </w:r>
                </w:p>
              </w:tc>
              <w:tc>
                <w:tcPr>
                  <w:tcW w:w="439" w:type="pct"/>
                  <w:vAlign w:val="center"/>
                </w:tcPr>
                <w:p>
                  <w:pPr>
                    <w:widowControl/>
                    <w:jc w:val="center"/>
                    <w:rPr>
                      <w:kern w:val="0"/>
                      <w:szCs w:val="21"/>
                    </w:rPr>
                  </w:pPr>
                  <w:r>
                    <w:rPr>
                      <w:kern w:val="0"/>
                      <w:szCs w:val="21"/>
                    </w:rPr>
                    <w:t>15.7</w:t>
                  </w:r>
                </w:p>
              </w:tc>
              <w:tc>
                <w:tcPr>
                  <w:tcW w:w="350" w:type="pct"/>
                  <w:tcBorders>
                    <w:right w:val="single" w:color="auto" w:sz="2" w:space="0"/>
                  </w:tcBorders>
                  <w:vAlign w:val="center"/>
                </w:tcPr>
                <w:p>
                  <w:pPr>
                    <w:widowControl/>
                    <w:jc w:val="center"/>
                    <w:rPr>
                      <w:kern w:val="0"/>
                      <w:szCs w:val="21"/>
                    </w:rPr>
                  </w:pPr>
                  <w:r>
                    <w:rPr>
                      <w:kern w:val="0"/>
                      <w:szCs w:val="21"/>
                    </w:rPr>
                    <w:t>21.5</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13" w:type="pct"/>
                  <w:vMerge w:val="restart"/>
                  <w:tcBorders>
                    <w:left w:val="single" w:color="auto" w:sz="2" w:space="0"/>
                  </w:tcBorders>
                  <w:vAlign w:val="center"/>
                </w:tcPr>
                <w:p>
                  <w:pPr>
                    <w:widowControl/>
                    <w:jc w:val="center"/>
                    <w:rPr>
                      <w:kern w:val="0"/>
                      <w:szCs w:val="21"/>
                    </w:rPr>
                  </w:pPr>
                  <w:r>
                    <w:rPr>
                      <w:kern w:val="0"/>
                      <w:szCs w:val="21"/>
                    </w:rPr>
                    <w:t>北</w:t>
                  </w:r>
                </w:p>
              </w:tc>
              <w:tc>
                <w:tcPr>
                  <w:tcW w:w="386" w:type="pct"/>
                  <w:tcBorders>
                    <w:left w:val="single" w:color="auto" w:sz="2" w:space="0"/>
                  </w:tcBorders>
                  <w:vAlign w:val="center"/>
                </w:tcPr>
                <w:p>
                  <w:pPr>
                    <w:widowControl/>
                    <w:jc w:val="center"/>
                    <w:rPr>
                      <w:kern w:val="0"/>
                      <w:szCs w:val="21"/>
                    </w:rPr>
                  </w:pPr>
                  <w:r>
                    <w:rPr>
                      <w:kern w:val="0"/>
                      <w:szCs w:val="21"/>
                    </w:rPr>
                    <w:t>0.7</w:t>
                  </w:r>
                </w:p>
              </w:tc>
              <w:tc>
                <w:tcPr>
                  <w:tcW w:w="365" w:type="pct"/>
                  <w:tcBorders>
                    <w:left w:val="single" w:color="auto" w:sz="2" w:space="0"/>
                  </w:tcBorders>
                  <w:vAlign w:val="center"/>
                </w:tcPr>
                <w:p>
                  <w:pPr>
                    <w:widowControl/>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 w:type="pct"/>
                  <w:vMerge w:val="continue"/>
                  <w:vAlign w:val="center"/>
                </w:tcPr>
                <w:p>
                  <w:pPr>
                    <w:pStyle w:val="114"/>
                    <w:widowControl/>
                    <w:numPr>
                      <w:ilvl w:val="0"/>
                      <w:numId w:val="14"/>
                    </w:numPr>
                    <w:ind w:left="3785" w:firstLineChars="0"/>
                    <w:jc w:val="center"/>
                    <w:rPr>
                      <w:kern w:val="0"/>
                      <w:szCs w:val="21"/>
                    </w:rPr>
                  </w:pPr>
                </w:p>
              </w:tc>
              <w:tc>
                <w:tcPr>
                  <w:tcW w:w="1425" w:type="pct"/>
                  <w:vMerge w:val="continue"/>
                  <w:vAlign w:val="center"/>
                </w:tcPr>
                <w:p>
                  <w:pPr>
                    <w:widowControl/>
                    <w:jc w:val="center"/>
                    <w:rPr>
                      <w:kern w:val="0"/>
                      <w:szCs w:val="21"/>
                    </w:rPr>
                  </w:pPr>
                </w:p>
              </w:tc>
              <w:tc>
                <w:tcPr>
                  <w:tcW w:w="788" w:type="pct"/>
                  <w:vAlign w:val="center"/>
                </w:tcPr>
                <w:p>
                  <w:pPr>
                    <w:widowControl/>
                    <w:jc w:val="center"/>
                    <w:rPr>
                      <w:kern w:val="0"/>
                      <w:szCs w:val="21"/>
                    </w:rPr>
                  </w:pPr>
                  <w:r>
                    <w:rPr>
                      <w:kern w:val="0"/>
                      <w:szCs w:val="21"/>
                    </w:rPr>
                    <w:t>2025.10.20</w:t>
                  </w:r>
                </w:p>
              </w:tc>
              <w:tc>
                <w:tcPr>
                  <w:tcW w:w="352" w:type="pct"/>
                  <w:vMerge w:val="continue"/>
                  <w:vAlign w:val="center"/>
                </w:tcPr>
                <w:p>
                  <w:pPr>
                    <w:widowControl/>
                    <w:jc w:val="center"/>
                    <w:rPr>
                      <w:kern w:val="0"/>
                      <w:szCs w:val="21"/>
                    </w:rPr>
                  </w:pPr>
                </w:p>
              </w:tc>
              <w:tc>
                <w:tcPr>
                  <w:tcW w:w="439" w:type="pct"/>
                  <w:vAlign w:val="center"/>
                </w:tcPr>
                <w:p>
                  <w:pPr>
                    <w:widowControl/>
                    <w:jc w:val="center"/>
                    <w:rPr>
                      <w:kern w:val="0"/>
                      <w:szCs w:val="21"/>
                    </w:rPr>
                  </w:pPr>
                  <w:r>
                    <w:rPr>
                      <w:kern w:val="0"/>
                      <w:szCs w:val="21"/>
                    </w:rPr>
                    <w:t>/</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50" w:type="pct"/>
                  <w:tcBorders>
                    <w:right w:val="single" w:color="auto" w:sz="2" w:space="0"/>
                  </w:tcBorders>
                  <w:vAlign w:val="center"/>
                </w:tcPr>
                <w:p>
                  <w:pPr>
                    <w:widowControl/>
                    <w:jc w:val="center"/>
                    <w:rPr>
                      <w:kern w:val="0"/>
                      <w:szCs w:val="21"/>
                    </w:rPr>
                  </w:pPr>
                  <w:r>
                    <w:rPr>
                      <w:kern w:val="0"/>
                      <w:szCs w:val="21"/>
                    </w:rPr>
                    <w:t>12.2</w:t>
                  </w:r>
                </w:p>
              </w:tc>
              <w:tc>
                <w:tcPr>
                  <w:tcW w:w="313" w:type="pct"/>
                  <w:vMerge w:val="continue"/>
                  <w:tcBorders>
                    <w:left w:val="single" w:color="auto" w:sz="2" w:space="0"/>
                  </w:tcBorders>
                  <w:vAlign w:val="center"/>
                </w:tcPr>
                <w:p>
                  <w:pPr>
                    <w:widowControl/>
                    <w:jc w:val="center"/>
                    <w:rPr>
                      <w:kern w:val="0"/>
                      <w:szCs w:val="21"/>
                    </w:rPr>
                  </w:pPr>
                </w:p>
              </w:tc>
              <w:tc>
                <w:tcPr>
                  <w:tcW w:w="386" w:type="pct"/>
                  <w:tcBorders>
                    <w:left w:val="single" w:color="auto" w:sz="2" w:space="0"/>
                  </w:tcBorders>
                  <w:vAlign w:val="center"/>
                </w:tcPr>
                <w:p>
                  <w:pPr>
                    <w:widowControl/>
                    <w:jc w:val="center"/>
                    <w:rPr>
                      <w:kern w:val="0"/>
                      <w:szCs w:val="21"/>
                    </w:rPr>
                  </w:pPr>
                  <w:r>
                    <w:rPr>
                      <w:kern w:val="0"/>
                      <w:szCs w:val="21"/>
                    </w:rPr>
                    <w:t>/</w:t>
                  </w:r>
                </w:p>
              </w:tc>
              <w:tc>
                <w:tcPr>
                  <w:tcW w:w="365" w:type="pct"/>
                  <w:tcBorders>
                    <w:left w:val="single" w:color="auto" w:sz="2" w:space="0"/>
                  </w:tcBorders>
                  <w:vAlign w:val="center"/>
                </w:tcPr>
                <w:p>
                  <w:pPr>
                    <w:widowControl/>
                    <w:jc w:val="center"/>
                    <w:rPr>
                      <w:kern w:val="0"/>
                      <w:szCs w:val="21"/>
                    </w:rPr>
                  </w:pPr>
                  <w:r>
                    <w:rPr>
                      <w:kern w:val="0"/>
                      <w:szCs w:val="21"/>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00" w:type="pct"/>
                  <w:gridSpan w:val="10"/>
                  <w:vAlign w:val="center"/>
                </w:tcPr>
                <w:p>
                  <w:pPr>
                    <w:widowControl/>
                    <w:jc w:val="center"/>
                    <w:rPr>
                      <w:kern w:val="0"/>
                      <w:szCs w:val="21"/>
                    </w:rPr>
                  </w:pPr>
                  <w:r>
                    <w:rPr>
                      <w:b/>
                      <w:kern w:val="0"/>
                      <w:szCs w:val="21"/>
                    </w:rPr>
                    <w:t>（三）七泉湖~番南改接入沙河子变110千伏线路工程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 w:type="pct"/>
                  <w:vMerge w:val="restart"/>
                  <w:vAlign w:val="center"/>
                </w:tcPr>
                <w:p>
                  <w:pPr>
                    <w:pStyle w:val="114"/>
                    <w:widowControl/>
                    <w:numPr>
                      <w:ilvl w:val="0"/>
                      <w:numId w:val="14"/>
                    </w:numPr>
                    <w:ind w:left="0" w:firstLine="0" w:firstLineChars="0"/>
                    <w:jc w:val="center"/>
                    <w:rPr>
                      <w:kern w:val="0"/>
                      <w:szCs w:val="21"/>
                    </w:rPr>
                  </w:pPr>
                </w:p>
              </w:tc>
              <w:tc>
                <w:tcPr>
                  <w:tcW w:w="1425" w:type="pct"/>
                  <w:vMerge w:val="restart"/>
                  <w:vAlign w:val="center"/>
                </w:tcPr>
                <w:p>
                  <w:pPr>
                    <w:widowControl/>
                    <w:jc w:val="center"/>
                    <w:rPr>
                      <w:kern w:val="0"/>
                      <w:szCs w:val="21"/>
                    </w:rPr>
                  </w:pPr>
                  <w:r>
                    <w:rPr>
                      <w:kern w:val="0"/>
                      <w:szCs w:val="21"/>
                    </w:rPr>
                    <w:t>线路背景值2#</w:t>
                  </w:r>
                </w:p>
              </w:tc>
              <w:tc>
                <w:tcPr>
                  <w:tcW w:w="788" w:type="pct"/>
                  <w:vAlign w:val="center"/>
                </w:tcPr>
                <w:p>
                  <w:pPr>
                    <w:widowControl/>
                    <w:jc w:val="center"/>
                    <w:rPr>
                      <w:kern w:val="0"/>
                      <w:szCs w:val="21"/>
                    </w:rPr>
                  </w:pPr>
                  <w:r>
                    <w:rPr>
                      <w:kern w:val="0"/>
                      <w:szCs w:val="21"/>
                    </w:rPr>
                    <w:t>2025.10.19</w:t>
                  </w:r>
                </w:p>
              </w:tc>
              <w:tc>
                <w:tcPr>
                  <w:tcW w:w="352" w:type="pct"/>
                  <w:vMerge w:val="restart"/>
                  <w:vAlign w:val="center"/>
                </w:tcPr>
                <w:p>
                  <w:pPr>
                    <w:widowControl/>
                    <w:jc w:val="center"/>
                    <w:rPr>
                      <w:kern w:val="0"/>
                      <w:szCs w:val="21"/>
                    </w:rPr>
                  </w:pPr>
                  <w:r>
                    <w:rPr>
                      <w:kern w:val="0"/>
                      <w:szCs w:val="21"/>
                    </w:rPr>
                    <w:t>晴</w:t>
                  </w:r>
                </w:p>
              </w:tc>
              <w:tc>
                <w:tcPr>
                  <w:tcW w:w="439" w:type="pct"/>
                  <w:vAlign w:val="center"/>
                </w:tcPr>
                <w:p>
                  <w:pPr>
                    <w:widowControl/>
                    <w:jc w:val="center"/>
                    <w:rPr>
                      <w:kern w:val="0"/>
                      <w:szCs w:val="21"/>
                    </w:rPr>
                  </w:pPr>
                  <w:r>
                    <w:rPr>
                      <w:kern w:val="0"/>
                      <w:szCs w:val="21"/>
                    </w:rPr>
                    <w:t>16.8</w:t>
                  </w:r>
                </w:p>
              </w:tc>
              <w:tc>
                <w:tcPr>
                  <w:tcW w:w="350" w:type="pct"/>
                  <w:tcBorders>
                    <w:right w:val="single" w:color="auto" w:sz="2" w:space="0"/>
                  </w:tcBorders>
                  <w:vAlign w:val="center"/>
                </w:tcPr>
                <w:p>
                  <w:pPr>
                    <w:widowControl/>
                    <w:jc w:val="center"/>
                    <w:rPr>
                      <w:kern w:val="0"/>
                      <w:szCs w:val="21"/>
                    </w:rPr>
                  </w:pPr>
                  <w:r>
                    <w:rPr>
                      <w:kern w:val="0"/>
                      <w:szCs w:val="21"/>
                    </w:rPr>
                    <w:t>20.7</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13" w:type="pct"/>
                  <w:vMerge w:val="restart"/>
                  <w:tcBorders>
                    <w:left w:val="single" w:color="auto" w:sz="2" w:space="0"/>
                  </w:tcBorders>
                  <w:vAlign w:val="center"/>
                </w:tcPr>
                <w:p>
                  <w:pPr>
                    <w:widowControl/>
                    <w:jc w:val="center"/>
                    <w:rPr>
                      <w:kern w:val="0"/>
                      <w:szCs w:val="21"/>
                    </w:rPr>
                  </w:pPr>
                  <w:r>
                    <w:rPr>
                      <w:kern w:val="0"/>
                      <w:szCs w:val="21"/>
                    </w:rPr>
                    <w:t>北</w:t>
                  </w:r>
                </w:p>
              </w:tc>
              <w:tc>
                <w:tcPr>
                  <w:tcW w:w="386" w:type="pct"/>
                  <w:tcBorders>
                    <w:left w:val="single" w:color="auto" w:sz="2" w:space="0"/>
                  </w:tcBorders>
                  <w:vAlign w:val="center"/>
                </w:tcPr>
                <w:p>
                  <w:pPr>
                    <w:widowControl/>
                    <w:jc w:val="center"/>
                    <w:rPr>
                      <w:kern w:val="0"/>
                      <w:szCs w:val="21"/>
                    </w:rPr>
                  </w:pPr>
                  <w:r>
                    <w:rPr>
                      <w:kern w:val="0"/>
                      <w:szCs w:val="21"/>
                    </w:rPr>
                    <w:t>0.5</w:t>
                  </w:r>
                </w:p>
              </w:tc>
              <w:tc>
                <w:tcPr>
                  <w:tcW w:w="365" w:type="pct"/>
                  <w:tcBorders>
                    <w:left w:val="single" w:color="auto" w:sz="2" w:space="0"/>
                  </w:tcBorders>
                  <w:vAlign w:val="center"/>
                </w:tcPr>
                <w:p>
                  <w:pPr>
                    <w:widowControl/>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 w:type="pct"/>
                  <w:vMerge w:val="continue"/>
                  <w:vAlign w:val="center"/>
                </w:tcPr>
                <w:p>
                  <w:pPr>
                    <w:pStyle w:val="114"/>
                    <w:widowControl/>
                    <w:numPr>
                      <w:ilvl w:val="0"/>
                      <w:numId w:val="14"/>
                    </w:numPr>
                    <w:ind w:firstLineChars="0"/>
                    <w:jc w:val="center"/>
                    <w:rPr>
                      <w:kern w:val="0"/>
                      <w:szCs w:val="21"/>
                    </w:rPr>
                  </w:pPr>
                </w:p>
              </w:tc>
              <w:tc>
                <w:tcPr>
                  <w:tcW w:w="1425" w:type="pct"/>
                  <w:vMerge w:val="continue"/>
                  <w:vAlign w:val="center"/>
                </w:tcPr>
                <w:p>
                  <w:pPr>
                    <w:widowControl/>
                    <w:jc w:val="center"/>
                    <w:rPr>
                      <w:kern w:val="0"/>
                      <w:szCs w:val="21"/>
                    </w:rPr>
                  </w:pPr>
                </w:p>
              </w:tc>
              <w:tc>
                <w:tcPr>
                  <w:tcW w:w="788" w:type="pct"/>
                  <w:vAlign w:val="center"/>
                </w:tcPr>
                <w:p>
                  <w:pPr>
                    <w:widowControl/>
                    <w:jc w:val="center"/>
                    <w:rPr>
                      <w:kern w:val="0"/>
                      <w:szCs w:val="21"/>
                    </w:rPr>
                  </w:pPr>
                  <w:r>
                    <w:rPr>
                      <w:kern w:val="0"/>
                      <w:szCs w:val="21"/>
                    </w:rPr>
                    <w:t>2025.10.20</w:t>
                  </w:r>
                </w:p>
              </w:tc>
              <w:tc>
                <w:tcPr>
                  <w:tcW w:w="352" w:type="pct"/>
                  <w:vMerge w:val="continue"/>
                  <w:vAlign w:val="center"/>
                </w:tcPr>
                <w:p>
                  <w:pPr>
                    <w:widowControl/>
                    <w:jc w:val="center"/>
                    <w:rPr>
                      <w:kern w:val="0"/>
                      <w:szCs w:val="21"/>
                    </w:rPr>
                  </w:pPr>
                </w:p>
              </w:tc>
              <w:tc>
                <w:tcPr>
                  <w:tcW w:w="439" w:type="pct"/>
                  <w:vAlign w:val="center"/>
                </w:tcPr>
                <w:p>
                  <w:pPr>
                    <w:widowControl/>
                    <w:jc w:val="center"/>
                    <w:rPr>
                      <w:kern w:val="0"/>
                      <w:szCs w:val="21"/>
                    </w:rPr>
                  </w:pPr>
                  <w:r>
                    <w:rPr>
                      <w:kern w:val="0"/>
                      <w:szCs w:val="21"/>
                    </w:rPr>
                    <w:t>/</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50" w:type="pct"/>
                  <w:tcBorders>
                    <w:right w:val="single" w:color="auto" w:sz="2" w:space="0"/>
                  </w:tcBorders>
                  <w:vAlign w:val="center"/>
                </w:tcPr>
                <w:p>
                  <w:pPr>
                    <w:widowControl/>
                    <w:jc w:val="center"/>
                    <w:rPr>
                      <w:kern w:val="0"/>
                      <w:szCs w:val="21"/>
                    </w:rPr>
                  </w:pPr>
                  <w:r>
                    <w:rPr>
                      <w:kern w:val="0"/>
                      <w:szCs w:val="21"/>
                    </w:rPr>
                    <w:t>12.5</w:t>
                  </w:r>
                </w:p>
              </w:tc>
              <w:tc>
                <w:tcPr>
                  <w:tcW w:w="313" w:type="pct"/>
                  <w:vMerge w:val="continue"/>
                  <w:tcBorders>
                    <w:left w:val="single" w:color="auto" w:sz="2" w:space="0"/>
                  </w:tcBorders>
                  <w:vAlign w:val="center"/>
                </w:tcPr>
                <w:p>
                  <w:pPr>
                    <w:widowControl/>
                    <w:jc w:val="center"/>
                    <w:rPr>
                      <w:kern w:val="0"/>
                      <w:szCs w:val="21"/>
                    </w:rPr>
                  </w:pPr>
                </w:p>
              </w:tc>
              <w:tc>
                <w:tcPr>
                  <w:tcW w:w="386" w:type="pct"/>
                  <w:tcBorders>
                    <w:left w:val="single" w:color="auto" w:sz="2" w:space="0"/>
                  </w:tcBorders>
                  <w:vAlign w:val="center"/>
                </w:tcPr>
                <w:p>
                  <w:pPr>
                    <w:widowControl/>
                    <w:jc w:val="center"/>
                    <w:rPr>
                      <w:kern w:val="0"/>
                      <w:szCs w:val="21"/>
                    </w:rPr>
                  </w:pPr>
                  <w:r>
                    <w:rPr>
                      <w:kern w:val="0"/>
                      <w:szCs w:val="21"/>
                    </w:rPr>
                    <w:t>/</w:t>
                  </w:r>
                </w:p>
              </w:tc>
              <w:tc>
                <w:tcPr>
                  <w:tcW w:w="365" w:type="pct"/>
                  <w:tcBorders>
                    <w:left w:val="single" w:color="auto" w:sz="2" w:space="0"/>
                  </w:tcBorders>
                  <w:vAlign w:val="center"/>
                </w:tcPr>
                <w:p>
                  <w:pPr>
                    <w:widowControl/>
                    <w:jc w:val="center"/>
                    <w:rPr>
                      <w:kern w:val="0"/>
                      <w:szCs w:val="21"/>
                    </w:rPr>
                  </w:pPr>
                  <w:r>
                    <w:rPr>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00" w:type="pct"/>
                  <w:gridSpan w:val="10"/>
                  <w:vAlign w:val="center"/>
                </w:tcPr>
                <w:p>
                  <w:pPr>
                    <w:widowControl/>
                    <w:jc w:val="center"/>
                    <w:rPr>
                      <w:kern w:val="0"/>
                      <w:szCs w:val="21"/>
                    </w:rPr>
                  </w:pPr>
                  <w:r>
                    <w:rPr>
                      <w:b/>
                      <w:kern w:val="0"/>
                      <w:szCs w:val="21"/>
                    </w:rPr>
                    <w:t>（四）七泉湖~番南改接入交河变110千伏线路工程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 w:type="pct"/>
                  <w:vMerge w:val="restart"/>
                  <w:vAlign w:val="center"/>
                </w:tcPr>
                <w:p>
                  <w:pPr>
                    <w:pStyle w:val="114"/>
                    <w:widowControl/>
                    <w:numPr>
                      <w:ilvl w:val="0"/>
                      <w:numId w:val="14"/>
                    </w:numPr>
                    <w:ind w:left="0" w:firstLine="0" w:firstLineChars="0"/>
                    <w:jc w:val="center"/>
                    <w:rPr>
                      <w:kern w:val="0"/>
                      <w:szCs w:val="21"/>
                    </w:rPr>
                  </w:pPr>
                </w:p>
              </w:tc>
              <w:tc>
                <w:tcPr>
                  <w:tcW w:w="1425" w:type="pct"/>
                  <w:vMerge w:val="restart"/>
                  <w:vAlign w:val="center"/>
                </w:tcPr>
                <w:p>
                  <w:pPr>
                    <w:widowControl/>
                    <w:jc w:val="center"/>
                    <w:rPr>
                      <w:kern w:val="0"/>
                      <w:szCs w:val="21"/>
                    </w:rPr>
                  </w:pPr>
                  <w:r>
                    <w:rPr>
                      <w:kern w:val="0"/>
                      <w:szCs w:val="21"/>
                    </w:rPr>
                    <w:t>线路背景值1#</w:t>
                  </w:r>
                </w:p>
              </w:tc>
              <w:tc>
                <w:tcPr>
                  <w:tcW w:w="788" w:type="pct"/>
                  <w:vAlign w:val="center"/>
                </w:tcPr>
                <w:p>
                  <w:pPr>
                    <w:widowControl/>
                    <w:jc w:val="center"/>
                    <w:rPr>
                      <w:kern w:val="0"/>
                      <w:szCs w:val="21"/>
                    </w:rPr>
                  </w:pPr>
                  <w:r>
                    <w:rPr>
                      <w:kern w:val="0"/>
                      <w:szCs w:val="21"/>
                    </w:rPr>
                    <w:t>2025.10.19</w:t>
                  </w:r>
                </w:p>
              </w:tc>
              <w:tc>
                <w:tcPr>
                  <w:tcW w:w="352" w:type="pct"/>
                  <w:vMerge w:val="restart"/>
                  <w:vAlign w:val="center"/>
                </w:tcPr>
                <w:p>
                  <w:pPr>
                    <w:widowControl/>
                    <w:jc w:val="center"/>
                    <w:rPr>
                      <w:kern w:val="0"/>
                      <w:szCs w:val="21"/>
                    </w:rPr>
                  </w:pPr>
                  <w:r>
                    <w:rPr>
                      <w:kern w:val="0"/>
                      <w:szCs w:val="21"/>
                    </w:rPr>
                    <w:t>晴</w:t>
                  </w:r>
                </w:p>
              </w:tc>
              <w:tc>
                <w:tcPr>
                  <w:tcW w:w="439" w:type="pct"/>
                  <w:vAlign w:val="center"/>
                </w:tcPr>
                <w:p>
                  <w:pPr>
                    <w:widowControl/>
                    <w:jc w:val="center"/>
                    <w:rPr>
                      <w:kern w:val="0"/>
                      <w:szCs w:val="21"/>
                    </w:rPr>
                  </w:pPr>
                  <w:r>
                    <w:rPr>
                      <w:kern w:val="0"/>
                      <w:szCs w:val="21"/>
                    </w:rPr>
                    <w:t>16.8</w:t>
                  </w:r>
                </w:p>
              </w:tc>
              <w:tc>
                <w:tcPr>
                  <w:tcW w:w="350" w:type="pct"/>
                  <w:tcBorders>
                    <w:right w:val="single" w:color="auto" w:sz="2" w:space="0"/>
                  </w:tcBorders>
                  <w:vAlign w:val="center"/>
                </w:tcPr>
                <w:p>
                  <w:pPr>
                    <w:widowControl/>
                    <w:jc w:val="center"/>
                    <w:rPr>
                      <w:kern w:val="0"/>
                      <w:szCs w:val="21"/>
                    </w:rPr>
                  </w:pPr>
                  <w:r>
                    <w:rPr>
                      <w:kern w:val="0"/>
                      <w:szCs w:val="21"/>
                    </w:rPr>
                    <w:t>20.8</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13" w:type="pct"/>
                  <w:vMerge w:val="restart"/>
                  <w:tcBorders>
                    <w:left w:val="single" w:color="auto" w:sz="2" w:space="0"/>
                  </w:tcBorders>
                  <w:vAlign w:val="center"/>
                </w:tcPr>
                <w:p>
                  <w:pPr>
                    <w:widowControl/>
                    <w:jc w:val="center"/>
                    <w:rPr>
                      <w:kern w:val="0"/>
                      <w:szCs w:val="21"/>
                    </w:rPr>
                  </w:pPr>
                  <w:r>
                    <w:rPr>
                      <w:kern w:val="0"/>
                      <w:szCs w:val="21"/>
                    </w:rPr>
                    <w:t>北</w:t>
                  </w:r>
                </w:p>
              </w:tc>
              <w:tc>
                <w:tcPr>
                  <w:tcW w:w="386" w:type="pct"/>
                  <w:tcBorders>
                    <w:left w:val="single" w:color="auto" w:sz="2" w:space="0"/>
                  </w:tcBorders>
                  <w:vAlign w:val="center"/>
                </w:tcPr>
                <w:p>
                  <w:pPr>
                    <w:widowControl/>
                    <w:jc w:val="center"/>
                    <w:rPr>
                      <w:kern w:val="0"/>
                      <w:szCs w:val="21"/>
                    </w:rPr>
                  </w:pPr>
                  <w:r>
                    <w:rPr>
                      <w:kern w:val="0"/>
                      <w:szCs w:val="21"/>
                    </w:rPr>
                    <w:t>0.5</w:t>
                  </w:r>
                </w:p>
              </w:tc>
              <w:tc>
                <w:tcPr>
                  <w:tcW w:w="365" w:type="pct"/>
                  <w:tcBorders>
                    <w:left w:val="single" w:color="auto" w:sz="2" w:space="0"/>
                  </w:tcBorders>
                  <w:vAlign w:val="center"/>
                </w:tcPr>
                <w:p>
                  <w:pPr>
                    <w:widowControl/>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 w:type="pct"/>
                  <w:vMerge w:val="continue"/>
                  <w:vAlign w:val="center"/>
                </w:tcPr>
                <w:p>
                  <w:pPr>
                    <w:pStyle w:val="114"/>
                    <w:widowControl/>
                    <w:numPr>
                      <w:ilvl w:val="0"/>
                      <w:numId w:val="14"/>
                    </w:numPr>
                    <w:ind w:firstLineChars="0"/>
                    <w:jc w:val="center"/>
                    <w:rPr>
                      <w:kern w:val="0"/>
                      <w:szCs w:val="21"/>
                    </w:rPr>
                  </w:pPr>
                </w:p>
              </w:tc>
              <w:tc>
                <w:tcPr>
                  <w:tcW w:w="1425" w:type="pct"/>
                  <w:vMerge w:val="continue"/>
                  <w:vAlign w:val="center"/>
                </w:tcPr>
                <w:p>
                  <w:pPr>
                    <w:widowControl/>
                    <w:jc w:val="center"/>
                    <w:rPr>
                      <w:kern w:val="0"/>
                      <w:szCs w:val="21"/>
                    </w:rPr>
                  </w:pPr>
                </w:p>
              </w:tc>
              <w:tc>
                <w:tcPr>
                  <w:tcW w:w="788" w:type="pct"/>
                  <w:vAlign w:val="center"/>
                </w:tcPr>
                <w:p>
                  <w:pPr>
                    <w:widowControl/>
                    <w:jc w:val="center"/>
                    <w:rPr>
                      <w:kern w:val="0"/>
                      <w:szCs w:val="21"/>
                    </w:rPr>
                  </w:pPr>
                  <w:r>
                    <w:rPr>
                      <w:kern w:val="0"/>
                      <w:szCs w:val="21"/>
                    </w:rPr>
                    <w:t>2025.10.20</w:t>
                  </w:r>
                </w:p>
              </w:tc>
              <w:tc>
                <w:tcPr>
                  <w:tcW w:w="352" w:type="pct"/>
                  <w:vMerge w:val="continue"/>
                  <w:vAlign w:val="center"/>
                </w:tcPr>
                <w:p>
                  <w:pPr>
                    <w:widowControl/>
                    <w:jc w:val="center"/>
                    <w:rPr>
                      <w:kern w:val="0"/>
                      <w:szCs w:val="21"/>
                    </w:rPr>
                  </w:pPr>
                </w:p>
              </w:tc>
              <w:tc>
                <w:tcPr>
                  <w:tcW w:w="439" w:type="pct"/>
                  <w:vAlign w:val="center"/>
                </w:tcPr>
                <w:p>
                  <w:pPr>
                    <w:widowControl/>
                    <w:jc w:val="center"/>
                    <w:rPr>
                      <w:kern w:val="0"/>
                      <w:szCs w:val="21"/>
                    </w:rPr>
                  </w:pPr>
                  <w:r>
                    <w:rPr>
                      <w:kern w:val="0"/>
                      <w:szCs w:val="21"/>
                    </w:rPr>
                    <w:t>/</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50" w:type="pct"/>
                  <w:tcBorders>
                    <w:right w:val="single" w:color="auto" w:sz="2" w:space="0"/>
                  </w:tcBorders>
                  <w:vAlign w:val="center"/>
                </w:tcPr>
                <w:p>
                  <w:pPr>
                    <w:widowControl/>
                    <w:jc w:val="center"/>
                    <w:rPr>
                      <w:kern w:val="0"/>
                      <w:szCs w:val="21"/>
                    </w:rPr>
                  </w:pPr>
                  <w:r>
                    <w:rPr>
                      <w:kern w:val="0"/>
                      <w:szCs w:val="21"/>
                    </w:rPr>
                    <w:t>12.5</w:t>
                  </w:r>
                </w:p>
              </w:tc>
              <w:tc>
                <w:tcPr>
                  <w:tcW w:w="313" w:type="pct"/>
                  <w:vMerge w:val="continue"/>
                  <w:tcBorders>
                    <w:left w:val="single" w:color="auto" w:sz="2" w:space="0"/>
                  </w:tcBorders>
                  <w:vAlign w:val="center"/>
                </w:tcPr>
                <w:p>
                  <w:pPr>
                    <w:widowControl/>
                    <w:jc w:val="center"/>
                    <w:rPr>
                      <w:kern w:val="0"/>
                      <w:szCs w:val="21"/>
                    </w:rPr>
                  </w:pPr>
                </w:p>
              </w:tc>
              <w:tc>
                <w:tcPr>
                  <w:tcW w:w="386" w:type="pct"/>
                  <w:tcBorders>
                    <w:left w:val="single" w:color="auto" w:sz="2" w:space="0"/>
                  </w:tcBorders>
                  <w:vAlign w:val="center"/>
                </w:tcPr>
                <w:p>
                  <w:pPr>
                    <w:widowControl/>
                    <w:jc w:val="center"/>
                    <w:rPr>
                      <w:kern w:val="0"/>
                      <w:szCs w:val="21"/>
                    </w:rPr>
                  </w:pPr>
                  <w:r>
                    <w:rPr>
                      <w:kern w:val="0"/>
                      <w:szCs w:val="21"/>
                    </w:rPr>
                    <w:t>/</w:t>
                  </w:r>
                </w:p>
              </w:tc>
              <w:tc>
                <w:tcPr>
                  <w:tcW w:w="365" w:type="pct"/>
                  <w:tcBorders>
                    <w:left w:val="single" w:color="auto" w:sz="2" w:space="0"/>
                  </w:tcBorders>
                  <w:vAlign w:val="center"/>
                </w:tcPr>
                <w:p>
                  <w:pPr>
                    <w:widowControl/>
                    <w:jc w:val="center"/>
                    <w:rPr>
                      <w:kern w:val="0"/>
                      <w:szCs w:val="21"/>
                    </w:rPr>
                  </w:pPr>
                  <w:r>
                    <w:rPr>
                      <w:kern w:val="0"/>
                      <w:szCs w:val="21"/>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00" w:type="pct"/>
                  <w:gridSpan w:val="10"/>
                  <w:vAlign w:val="center"/>
                </w:tcPr>
                <w:p>
                  <w:pPr>
                    <w:widowControl/>
                    <w:jc w:val="center"/>
                    <w:rPr>
                      <w:kern w:val="0"/>
                      <w:szCs w:val="21"/>
                    </w:rPr>
                  </w:pPr>
                  <w:r>
                    <w:rPr>
                      <w:b/>
                      <w:kern w:val="0"/>
                      <w:szCs w:val="21"/>
                    </w:rPr>
                    <w:t>（五）交河~番南π入东环变110千伏线路工程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 w:type="pct"/>
                  <w:vMerge w:val="restart"/>
                  <w:vAlign w:val="center"/>
                </w:tcPr>
                <w:p>
                  <w:pPr>
                    <w:pStyle w:val="114"/>
                    <w:widowControl/>
                    <w:numPr>
                      <w:ilvl w:val="0"/>
                      <w:numId w:val="14"/>
                    </w:numPr>
                    <w:ind w:left="0" w:firstLine="0" w:firstLineChars="0"/>
                    <w:jc w:val="center"/>
                    <w:rPr>
                      <w:kern w:val="0"/>
                      <w:szCs w:val="21"/>
                    </w:rPr>
                  </w:pPr>
                </w:p>
              </w:tc>
              <w:tc>
                <w:tcPr>
                  <w:tcW w:w="1425" w:type="pct"/>
                  <w:vMerge w:val="restart"/>
                  <w:vAlign w:val="center"/>
                </w:tcPr>
                <w:p>
                  <w:pPr>
                    <w:widowControl/>
                    <w:jc w:val="center"/>
                    <w:rPr>
                      <w:kern w:val="0"/>
                      <w:szCs w:val="21"/>
                    </w:rPr>
                  </w:pPr>
                  <w:r>
                    <w:rPr>
                      <w:kern w:val="0"/>
                      <w:szCs w:val="21"/>
                    </w:rPr>
                    <w:t>线路背景值6#</w:t>
                  </w:r>
                </w:p>
              </w:tc>
              <w:tc>
                <w:tcPr>
                  <w:tcW w:w="788" w:type="pct"/>
                  <w:vAlign w:val="center"/>
                </w:tcPr>
                <w:p>
                  <w:pPr>
                    <w:widowControl/>
                    <w:jc w:val="center"/>
                    <w:rPr>
                      <w:kern w:val="0"/>
                      <w:szCs w:val="21"/>
                    </w:rPr>
                  </w:pPr>
                  <w:r>
                    <w:rPr>
                      <w:kern w:val="0"/>
                      <w:szCs w:val="21"/>
                    </w:rPr>
                    <w:t>2025.10.19</w:t>
                  </w:r>
                </w:p>
              </w:tc>
              <w:tc>
                <w:tcPr>
                  <w:tcW w:w="352" w:type="pct"/>
                  <w:vMerge w:val="restart"/>
                  <w:vAlign w:val="center"/>
                </w:tcPr>
                <w:p>
                  <w:pPr>
                    <w:widowControl/>
                    <w:jc w:val="center"/>
                    <w:rPr>
                      <w:kern w:val="0"/>
                      <w:szCs w:val="21"/>
                    </w:rPr>
                  </w:pPr>
                  <w:r>
                    <w:rPr>
                      <w:kern w:val="0"/>
                      <w:szCs w:val="21"/>
                    </w:rPr>
                    <w:t>晴</w:t>
                  </w:r>
                </w:p>
              </w:tc>
              <w:tc>
                <w:tcPr>
                  <w:tcW w:w="439" w:type="pct"/>
                  <w:vAlign w:val="center"/>
                </w:tcPr>
                <w:p>
                  <w:pPr>
                    <w:widowControl/>
                    <w:jc w:val="center"/>
                    <w:rPr>
                      <w:kern w:val="0"/>
                      <w:szCs w:val="21"/>
                    </w:rPr>
                  </w:pPr>
                  <w:r>
                    <w:rPr>
                      <w:kern w:val="0"/>
                      <w:szCs w:val="21"/>
                    </w:rPr>
                    <w:t>15.3</w:t>
                  </w:r>
                </w:p>
              </w:tc>
              <w:tc>
                <w:tcPr>
                  <w:tcW w:w="350" w:type="pct"/>
                  <w:tcBorders>
                    <w:right w:val="single" w:color="auto" w:sz="2" w:space="0"/>
                  </w:tcBorders>
                  <w:vAlign w:val="center"/>
                </w:tcPr>
                <w:p>
                  <w:pPr>
                    <w:widowControl/>
                    <w:jc w:val="center"/>
                    <w:rPr>
                      <w:kern w:val="0"/>
                      <w:szCs w:val="21"/>
                    </w:rPr>
                  </w:pPr>
                  <w:r>
                    <w:rPr>
                      <w:kern w:val="0"/>
                      <w:szCs w:val="21"/>
                    </w:rPr>
                    <w:t>22.6</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13" w:type="pct"/>
                  <w:vMerge w:val="restart"/>
                  <w:tcBorders>
                    <w:left w:val="single" w:color="auto" w:sz="2" w:space="0"/>
                  </w:tcBorders>
                  <w:vAlign w:val="center"/>
                </w:tcPr>
                <w:p>
                  <w:pPr>
                    <w:widowControl/>
                    <w:jc w:val="center"/>
                    <w:rPr>
                      <w:kern w:val="0"/>
                      <w:szCs w:val="21"/>
                    </w:rPr>
                  </w:pPr>
                  <w:r>
                    <w:rPr>
                      <w:kern w:val="0"/>
                      <w:szCs w:val="21"/>
                    </w:rPr>
                    <w:t>北</w:t>
                  </w:r>
                </w:p>
              </w:tc>
              <w:tc>
                <w:tcPr>
                  <w:tcW w:w="386" w:type="pct"/>
                  <w:tcBorders>
                    <w:left w:val="single" w:color="auto" w:sz="2" w:space="0"/>
                  </w:tcBorders>
                  <w:vAlign w:val="center"/>
                </w:tcPr>
                <w:p>
                  <w:pPr>
                    <w:widowControl/>
                    <w:jc w:val="center"/>
                    <w:rPr>
                      <w:kern w:val="0"/>
                      <w:szCs w:val="21"/>
                    </w:rPr>
                  </w:pPr>
                  <w:r>
                    <w:rPr>
                      <w:kern w:val="0"/>
                      <w:szCs w:val="21"/>
                    </w:rPr>
                    <w:t>0.5</w:t>
                  </w:r>
                </w:p>
              </w:tc>
              <w:tc>
                <w:tcPr>
                  <w:tcW w:w="365" w:type="pct"/>
                  <w:tcBorders>
                    <w:left w:val="single" w:color="auto" w:sz="2" w:space="0"/>
                  </w:tcBorders>
                  <w:vAlign w:val="center"/>
                </w:tcPr>
                <w:p>
                  <w:pPr>
                    <w:widowControl/>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 w:type="pct"/>
                  <w:vMerge w:val="continue"/>
                  <w:vAlign w:val="center"/>
                </w:tcPr>
                <w:p>
                  <w:pPr>
                    <w:pStyle w:val="114"/>
                    <w:widowControl/>
                    <w:numPr>
                      <w:ilvl w:val="0"/>
                      <w:numId w:val="14"/>
                    </w:numPr>
                    <w:ind w:firstLineChars="0"/>
                    <w:jc w:val="center"/>
                    <w:rPr>
                      <w:kern w:val="0"/>
                      <w:szCs w:val="21"/>
                    </w:rPr>
                  </w:pPr>
                </w:p>
              </w:tc>
              <w:tc>
                <w:tcPr>
                  <w:tcW w:w="1425" w:type="pct"/>
                  <w:vMerge w:val="continue"/>
                  <w:vAlign w:val="center"/>
                </w:tcPr>
                <w:p>
                  <w:pPr>
                    <w:widowControl/>
                    <w:jc w:val="center"/>
                    <w:rPr>
                      <w:kern w:val="0"/>
                      <w:szCs w:val="21"/>
                    </w:rPr>
                  </w:pPr>
                </w:p>
              </w:tc>
              <w:tc>
                <w:tcPr>
                  <w:tcW w:w="788" w:type="pct"/>
                  <w:vAlign w:val="center"/>
                </w:tcPr>
                <w:p>
                  <w:pPr>
                    <w:widowControl/>
                    <w:jc w:val="center"/>
                    <w:rPr>
                      <w:kern w:val="0"/>
                      <w:szCs w:val="21"/>
                    </w:rPr>
                  </w:pPr>
                  <w:r>
                    <w:rPr>
                      <w:kern w:val="0"/>
                      <w:szCs w:val="21"/>
                    </w:rPr>
                    <w:t>2025.10.20</w:t>
                  </w:r>
                </w:p>
              </w:tc>
              <w:tc>
                <w:tcPr>
                  <w:tcW w:w="352" w:type="pct"/>
                  <w:vMerge w:val="continue"/>
                  <w:vAlign w:val="center"/>
                </w:tcPr>
                <w:p>
                  <w:pPr>
                    <w:widowControl/>
                    <w:jc w:val="center"/>
                    <w:rPr>
                      <w:kern w:val="0"/>
                      <w:szCs w:val="21"/>
                    </w:rPr>
                  </w:pPr>
                </w:p>
              </w:tc>
              <w:tc>
                <w:tcPr>
                  <w:tcW w:w="439" w:type="pct"/>
                  <w:vAlign w:val="center"/>
                </w:tcPr>
                <w:p>
                  <w:pPr>
                    <w:widowControl/>
                    <w:jc w:val="center"/>
                    <w:rPr>
                      <w:kern w:val="0"/>
                      <w:szCs w:val="21"/>
                    </w:rPr>
                  </w:pPr>
                  <w:r>
                    <w:rPr>
                      <w:kern w:val="0"/>
                      <w:szCs w:val="21"/>
                    </w:rPr>
                    <w:t>/</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50" w:type="pct"/>
                  <w:tcBorders>
                    <w:right w:val="single" w:color="auto" w:sz="2" w:space="0"/>
                  </w:tcBorders>
                  <w:vAlign w:val="center"/>
                </w:tcPr>
                <w:p>
                  <w:pPr>
                    <w:widowControl/>
                    <w:jc w:val="center"/>
                    <w:rPr>
                      <w:kern w:val="0"/>
                      <w:szCs w:val="21"/>
                    </w:rPr>
                  </w:pPr>
                  <w:r>
                    <w:rPr>
                      <w:kern w:val="0"/>
                      <w:szCs w:val="21"/>
                    </w:rPr>
                    <w:t>11.8</w:t>
                  </w:r>
                </w:p>
              </w:tc>
              <w:tc>
                <w:tcPr>
                  <w:tcW w:w="313" w:type="pct"/>
                  <w:vMerge w:val="continue"/>
                  <w:tcBorders>
                    <w:left w:val="single" w:color="auto" w:sz="2" w:space="0"/>
                  </w:tcBorders>
                  <w:vAlign w:val="center"/>
                </w:tcPr>
                <w:p>
                  <w:pPr>
                    <w:widowControl/>
                    <w:jc w:val="center"/>
                    <w:rPr>
                      <w:kern w:val="0"/>
                      <w:szCs w:val="21"/>
                    </w:rPr>
                  </w:pPr>
                </w:p>
              </w:tc>
              <w:tc>
                <w:tcPr>
                  <w:tcW w:w="386" w:type="pct"/>
                  <w:tcBorders>
                    <w:left w:val="single" w:color="auto" w:sz="2" w:space="0"/>
                  </w:tcBorders>
                  <w:vAlign w:val="center"/>
                </w:tcPr>
                <w:p>
                  <w:pPr>
                    <w:widowControl/>
                    <w:jc w:val="center"/>
                    <w:rPr>
                      <w:kern w:val="0"/>
                      <w:szCs w:val="21"/>
                    </w:rPr>
                  </w:pPr>
                  <w:r>
                    <w:rPr>
                      <w:kern w:val="0"/>
                      <w:szCs w:val="21"/>
                    </w:rPr>
                    <w:t>/</w:t>
                  </w:r>
                </w:p>
              </w:tc>
              <w:tc>
                <w:tcPr>
                  <w:tcW w:w="365" w:type="pct"/>
                  <w:tcBorders>
                    <w:left w:val="single" w:color="auto" w:sz="2" w:space="0"/>
                  </w:tcBorders>
                  <w:vAlign w:val="center"/>
                </w:tcPr>
                <w:p>
                  <w:pPr>
                    <w:widowControl/>
                    <w:jc w:val="center"/>
                    <w:rPr>
                      <w:kern w:val="0"/>
                      <w:szCs w:val="21"/>
                    </w:rPr>
                  </w:pPr>
                  <w:r>
                    <w:rPr>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 w:type="pct"/>
                  <w:vMerge w:val="restart"/>
                  <w:vAlign w:val="center"/>
                </w:tcPr>
                <w:p>
                  <w:pPr>
                    <w:pStyle w:val="114"/>
                    <w:widowControl/>
                    <w:numPr>
                      <w:ilvl w:val="0"/>
                      <w:numId w:val="14"/>
                    </w:numPr>
                    <w:ind w:left="0" w:firstLine="0" w:firstLineChars="0"/>
                    <w:jc w:val="center"/>
                    <w:rPr>
                      <w:kern w:val="0"/>
                      <w:szCs w:val="21"/>
                    </w:rPr>
                  </w:pPr>
                </w:p>
              </w:tc>
              <w:tc>
                <w:tcPr>
                  <w:tcW w:w="1425" w:type="pct"/>
                  <w:vMerge w:val="restart"/>
                  <w:vAlign w:val="center"/>
                </w:tcPr>
                <w:p>
                  <w:pPr>
                    <w:widowControl/>
                    <w:jc w:val="center"/>
                    <w:rPr>
                      <w:kern w:val="0"/>
                      <w:szCs w:val="21"/>
                    </w:rPr>
                  </w:pPr>
                  <w:r>
                    <w:rPr>
                      <w:kern w:val="0"/>
                      <w:szCs w:val="21"/>
                    </w:rPr>
                    <w:t>线路背景值7#</w:t>
                  </w:r>
                </w:p>
              </w:tc>
              <w:tc>
                <w:tcPr>
                  <w:tcW w:w="788" w:type="pct"/>
                  <w:vAlign w:val="center"/>
                </w:tcPr>
                <w:p>
                  <w:pPr>
                    <w:widowControl/>
                    <w:jc w:val="center"/>
                    <w:rPr>
                      <w:kern w:val="0"/>
                      <w:szCs w:val="21"/>
                    </w:rPr>
                  </w:pPr>
                  <w:r>
                    <w:rPr>
                      <w:kern w:val="0"/>
                      <w:szCs w:val="21"/>
                    </w:rPr>
                    <w:t>2025.10.19</w:t>
                  </w:r>
                </w:p>
              </w:tc>
              <w:tc>
                <w:tcPr>
                  <w:tcW w:w="352" w:type="pct"/>
                  <w:vMerge w:val="restart"/>
                  <w:vAlign w:val="center"/>
                </w:tcPr>
                <w:p>
                  <w:pPr>
                    <w:widowControl/>
                    <w:jc w:val="center"/>
                    <w:rPr>
                      <w:kern w:val="0"/>
                      <w:szCs w:val="21"/>
                    </w:rPr>
                  </w:pPr>
                  <w:r>
                    <w:rPr>
                      <w:kern w:val="0"/>
                      <w:szCs w:val="21"/>
                    </w:rPr>
                    <w:t>晴</w:t>
                  </w:r>
                </w:p>
              </w:tc>
              <w:tc>
                <w:tcPr>
                  <w:tcW w:w="439" w:type="pct"/>
                  <w:vAlign w:val="center"/>
                </w:tcPr>
                <w:p>
                  <w:pPr>
                    <w:widowControl/>
                    <w:jc w:val="center"/>
                    <w:rPr>
                      <w:kern w:val="0"/>
                      <w:szCs w:val="21"/>
                    </w:rPr>
                  </w:pPr>
                  <w:r>
                    <w:rPr>
                      <w:kern w:val="0"/>
                      <w:szCs w:val="21"/>
                    </w:rPr>
                    <w:t>15.2</w:t>
                  </w:r>
                </w:p>
              </w:tc>
              <w:tc>
                <w:tcPr>
                  <w:tcW w:w="350" w:type="pct"/>
                  <w:tcBorders>
                    <w:right w:val="single" w:color="auto" w:sz="2" w:space="0"/>
                  </w:tcBorders>
                  <w:vAlign w:val="center"/>
                </w:tcPr>
                <w:p>
                  <w:pPr>
                    <w:widowControl/>
                    <w:jc w:val="center"/>
                    <w:rPr>
                      <w:kern w:val="0"/>
                      <w:szCs w:val="21"/>
                    </w:rPr>
                  </w:pPr>
                  <w:r>
                    <w:rPr>
                      <w:kern w:val="0"/>
                      <w:szCs w:val="21"/>
                    </w:rPr>
                    <w:t>22.7</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13" w:type="pct"/>
                  <w:vMerge w:val="restart"/>
                  <w:tcBorders>
                    <w:left w:val="single" w:color="auto" w:sz="2" w:space="0"/>
                  </w:tcBorders>
                  <w:vAlign w:val="center"/>
                </w:tcPr>
                <w:p>
                  <w:pPr>
                    <w:widowControl/>
                    <w:jc w:val="center"/>
                    <w:rPr>
                      <w:kern w:val="0"/>
                      <w:szCs w:val="21"/>
                    </w:rPr>
                  </w:pPr>
                  <w:r>
                    <w:rPr>
                      <w:kern w:val="0"/>
                      <w:szCs w:val="21"/>
                    </w:rPr>
                    <w:t>北</w:t>
                  </w:r>
                </w:p>
              </w:tc>
              <w:tc>
                <w:tcPr>
                  <w:tcW w:w="386" w:type="pct"/>
                  <w:tcBorders>
                    <w:left w:val="single" w:color="auto" w:sz="2" w:space="0"/>
                  </w:tcBorders>
                  <w:vAlign w:val="center"/>
                </w:tcPr>
                <w:p>
                  <w:pPr>
                    <w:widowControl/>
                    <w:jc w:val="center"/>
                    <w:rPr>
                      <w:kern w:val="0"/>
                      <w:szCs w:val="21"/>
                    </w:rPr>
                  </w:pPr>
                  <w:r>
                    <w:rPr>
                      <w:kern w:val="0"/>
                      <w:szCs w:val="21"/>
                    </w:rPr>
                    <w:t>0.5</w:t>
                  </w:r>
                </w:p>
              </w:tc>
              <w:tc>
                <w:tcPr>
                  <w:tcW w:w="365" w:type="pct"/>
                  <w:tcBorders>
                    <w:left w:val="single" w:color="auto" w:sz="2" w:space="0"/>
                  </w:tcBorders>
                  <w:vAlign w:val="center"/>
                </w:tcPr>
                <w:p>
                  <w:pPr>
                    <w:widowControl/>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 w:type="pct"/>
                  <w:vMerge w:val="continue"/>
                  <w:vAlign w:val="center"/>
                </w:tcPr>
                <w:p>
                  <w:pPr>
                    <w:pStyle w:val="114"/>
                    <w:widowControl/>
                    <w:numPr>
                      <w:ilvl w:val="0"/>
                      <w:numId w:val="14"/>
                    </w:numPr>
                    <w:ind w:left="0" w:firstLine="0" w:firstLineChars="0"/>
                    <w:jc w:val="center"/>
                    <w:rPr>
                      <w:kern w:val="0"/>
                      <w:szCs w:val="21"/>
                    </w:rPr>
                  </w:pPr>
                </w:p>
              </w:tc>
              <w:tc>
                <w:tcPr>
                  <w:tcW w:w="1425" w:type="pct"/>
                  <w:vMerge w:val="continue"/>
                  <w:vAlign w:val="center"/>
                </w:tcPr>
                <w:p>
                  <w:pPr>
                    <w:widowControl/>
                    <w:jc w:val="center"/>
                    <w:rPr>
                      <w:kern w:val="0"/>
                      <w:szCs w:val="21"/>
                    </w:rPr>
                  </w:pPr>
                </w:p>
              </w:tc>
              <w:tc>
                <w:tcPr>
                  <w:tcW w:w="788" w:type="pct"/>
                  <w:vAlign w:val="center"/>
                </w:tcPr>
                <w:p>
                  <w:pPr>
                    <w:widowControl/>
                    <w:jc w:val="center"/>
                    <w:rPr>
                      <w:kern w:val="0"/>
                      <w:szCs w:val="21"/>
                    </w:rPr>
                  </w:pPr>
                  <w:r>
                    <w:rPr>
                      <w:kern w:val="0"/>
                      <w:szCs w:val="21"/>
                    </w:rPr>
                    <w:t>2025.10.20</w:t>
                  </w:r>
                </w:p>
              </w:tc>
              <w:tc>
                <w:tcPr>
                  <w:tcW w:w="352" w:type="pct"/>
                  <w:vMerge w:val="continue"/>
                  <w:vAlign w:val="center"/>
                </w:tcPr>
                <w:p>
                  <w:pPr>
                    <w:widowControl/>
                    <w:jc w:val="center"/>
                    <w:rPr>
                      <w:kern w:val="0"/>
                      <w:szCs w:val="21"/>
                    </w:rPr>
                  </w:pPr>
                </w:p>
              </w:tc>
              <w:tc>
                <w:tcPr>
                  <w:tcW w:w="439" w:type="pct"/>
                  <w:vAlign w:val="center"/>
                </w:tcPr>
                <w:p>
                  <w:pPr>
                    <w:widowControl/>
                    <w:jc w:val="center"/>
                    <w:rPr>
                      <w:kern w:val="0"/>
                      <w:szCs w:val="21"/>
                    </w:rPr>
                  </w:pPr>
                  <w:r>
                    <w:rPr>
                      <w:kern w:val="0"/>
                      <w:szCs w:val="21"/>
                    </w:rPr>
                    <w:t>/</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50" w:type="pct"/>
                  <w:tcBorders>
                    <w:right w:val="single" w:color="auto" w:sz="2" w:space="0"/>
                  </w:tcBorders>
                  <w:vAlign w:val="center"/>
                </w:tcPr>
                <w:p>
                  <w:pPr>
                    <w:widowControl/>
                    <w:jc w:val="center"/>
                    <w:rPr>
                      <w:kern w:val="0"/>
                      <w:szCs w:val="21"/>
                    </w:rPr>
                  </w:pPr>
                  <w:r>
                    <w:rPr>
                      <w:kern w:val="0"/>
                      <w:szCs w:val="21"/>
                    </w:rPr>
                    <w:t>11.7</w:t>
                  </w:r>
                </w:p>
              </w:tc>
              <w:tc>
                <w:tcPr>
                  <w:tcW w:w="313" w:type="pct"/>
                  <w:vMerge w:val="continue"/>
                  <w:tcBorders>
                    <w:left w:val="single" w:color="auto" w:sz="2" w:space="0"/>
                  </w:tcBorders>
                  <w:vAlign w:val="center"/>
                </w:tcPr>
                <w:p>
                  <w:pPr>
                    <w:widowControl/>
                    <w:jc w:val="center"/>
                    <w:rPr>
                      <w:kern w:val="0"/>
                      <w:szCs w:val="21"/>
                    </w:rPr>
                  </w:pPr>
                </w:p>
              </w:tc>
              <w:tc>
                <w:tcPr>
                  <w:tcW w:w="386" w:type="pct"/>
                  <w:tcBorders>
                    <w:left w:val="single" w:color="auto" w:sz="2" w:space="0"/>
                  </w:tcBorders>
                  <w:vAlign w:val="center"/>
                </w:tcPr>
                <w:p>
                  <w:pPr>
                    <w:widowControl/>
                    <w:jc w:val="center"/>
                    <w:rPr>
                      <w:kern w:val="0"/>
                      <w:szCs w:val="21"/>
                    </w:rPr>
                  </w:pPr>
                  <w:r>
                    <w:rPr>
                      <w:kern w:val="0"/>
                      <w:szCs w:val="21"/>
                    </w:rPr>
                    <w:t>/</w:t>
                  </w:r>
                </w:p>
              </w:tc>
              <w:tc>
                <w:tcPr>
                  <w:tcW w:w="365" w:type="pct"/>
                  <w:tcBorders>
                    <w:left w:val="single" w:color="auto" w:sz="2" w:space="0"/>
                  </w:tcBorders>
                  <w:vAlign w:val="center"/>
                </w:tcPr>
                <w:p>
                  <w:pPr>
                    <w:widowControl/>
                    <w:jc w:val="center"/>
                    <w:rPr>
                      <w:kern w:val="0"/>
                      <w:szCs w:val="21"/>
                    </w:rPr>
                  </w:pPr>
                  <w:r>
                    <w:rPr>
                      <w:kern w:val="0"/>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 w:type="pct"/>
                  <w:vMerge w:val="restart"/>
                  <w:vAlign w:val="center"/>
                </w:tcPr>
                <w:p>
                  <w:pPr>
                    <w:pStyle w:val="114"/>
                    <w:widowControl/>
                    <w:numPr>
                      <w:ilvl w:val="0"/>
                      <w:numId w:val="14"/>
                    </w:numPr>
                    <w:ind w:left="0" w:firstLine="0" w:firstLineChars="0"/>
                    <w:jc w:val="center"/>
                    <w:rPr>
                      <w:kern w:val="0"/>
                      <w:szCs w:val="21"/>
                    </w:rPr>
                  </w:pPr>
                </w:p>
              </w:tc>
              <w:tc>
                <w:tcPr>
                  <w:tcW w:w="1425" w:type="pct"/>
                  <w:vMerge w:val="restart"/>
                  <w:vAlign w:val="center"/>
                </w:tcPr>
                <w:p>
                  <w:pPr>
                    <w:widowControl/>
                    <w:jc w:val="center"/>
                    <w:rPr>
                      <w:kern w:val="0"/>
                      <w:szCs w:val="21"/>
                    </w:rPr>
                  </w:pPr>
                  <w:r>
                    <w:rPr>
                      <w:kern w:val="0"/>
                      <w:szCs w:val="21"/>
                    </w:rPr>
                    <w:t>线路背景值8#</w:t>
                  </w:r>
                </w:p>
              </w:tc>
              <w:tc>
                <w:tcPr>
                  <w:tcW w:w="788" w:type="pct"/>
                  <w:vAlign w:val="center"/>
                </w:tcPr>
                <w:p>
                  <w:pPr>
                    <w:widowControl/>
                    <w:jc w:val="center"/>
                    <w:rPr>
                      <w:kern w:val="0"/>
                      <w:szCs w:val="21"/>
                    </w:rPr>
                  </w:pPr>
                  <w:r>
                    <w:rPr>
                      <w:kern w:val="0"/>
                      <w:szCs w:val="21"/>
                    </w:rPr>
                    <w:t>2025.10.19</w:t>
                  </w:r>
                </w:p>
              </w:tc>
              <w:tc>
                <w:tcPr>
                  <w:tcW w:w="352" w:type="pct"/>
                  <w:vMerge w:val="restart"/>
                  <w:vAlign w:val="center"/>
                </w:tcPr>
                <w:p>
                  <w:pPr>
                    <w:widowControl/>
                    <w:jc w:val="center"/>
                    <w:rPr>
                      <w:kern w:val="0"/>
                      <w:szCs w:val="21"/>
                    </w:rPr>
                  </w:pPr>
                  <w:r>
                    <w:rPr>
                      <w:kern w:val="0"/>
                      <w:szCs w:val="21"/>
                    </w:rPr>
                    <w:t>晴</w:t>
                  </w:r>
                </w:p>
              </w:tc>
              <w:tc>
                <w:tcPr>
                  <w:tcW w:w="439" w:type="pct"/>
                  <w:vAlign w:val="center"/>
                </w:tcPr>
                <w:p>
                  <w:pPr>
                    <w:widowControl/>
                    <w:jc w:val="center"/>
                    <w:rPr>
                      <w:kern w:val="0"/>
                      <w:szCs w:val="21"/>
                    </w:rPr>
                  </w:pPr>
                  <w:r>
                    <w:rPr>
                      <w:kern w:val="0"/>
                      <w:szCs w:val="21"/>
                    </w:rPr>
                    <w:t>15.6</w:t>
                  </w:r>
                </w:p>
              </w:tc>
              <w:tc>
                <w:tcPr>
                  <w:tcW w:w="350" w:type="pct"/>
                  <w:tcBorders>
                    <w:right w:val="single" w:color="auto" w:sz="2" w:space="0"/>
                  </w:tcBorders>
                  <w:vAlign w:val="center"/>
                </w:tcPr>
                <w:p>
                  <w:pPr>
                    <w:widowControl/>
                    <w:jc w:val="center"/>
                    <w:rPr>
                      <w:kern w:val="0"/>
                      <w:szCs w:val="21"/>
                    </w:rPr>
                  </w:pPr>
                  <w:r>
                    <w:rPr>
                      <w:kern w:val="0"/>
                      <w:szCs w:val="21"/>
                    </w:rPr>
                    <w:t>22.4</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13" w:type="pct"/>
                  <w:vMerge w:val="restart"/>
                  <w:tcBorders>
                    <w:left w:val="single" w:color="auto" w:sz="2" w:space="0"/>
                  </w:tcBorders>
                  <w:vAlign w:val="center"/>
                </w:tcPr>
                <w:p>
                  <w:pPr>
                    <w:widowControl/>
                    <w:jc w:val="center"/>
                    <w:rPr>
                      <w:kern w:val="0"/>
                      <w:szCs w:val="21"/>
                    </w:rPr>
                  </w:pPr>
                  <w:r>
                    <w:rPr>
                      <w:kern w:val="0"/>
                      <w:szCs w:val="21"/>
                    </w:rPr>
                    <w:t>北</w:t>
                  </w:r>
                </w:p>
              </w:tc>
              <w:tc>
                <w:tcPr>
                  <w:tcW w:w="386" w:type="pct"/>
                  <w:tcBorders>
                    <w:left w:val="single" w:color="auto" w:sz="2" w:space="0"/>
                  </w:tcBorders>
                  <w:vAlign w:val="center"/>
                </w:tcPr>
                <w:p>
                  <w:pPr>
                    <w:widowControl/>
                    <w:jc w:val="center"/>
                    <w:rPr>
                      <w:kern w:val="0"/>
                      <w:szCs w:val="21"/>
                    </w:rPr>
                  </w:pPr>
                  <w:r>
                    <w:rPr>
                      <w:kern w:val="0"/>
                      <w:szCs w:val="21"/>
                    </w:rPr>
                    <w:t>0.9</w:t>
                  </w:r>
                </w:p>
              </w:tc>
              <w:tc>
                <w:tcPr>
                  <w:tcW w:w="365" w:type="pct"/>
                  <w:tcBorders>
                    <w:left w:val="single" w:color="auto" w:sz="2" w:space="0"/>
                  </w:tcBorders>
                  <w:vAlign w:val="center"/>
                </w:tcPr>
                <w:p>
                  <w:pPr>
                    <w:widowControl/>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 w:type="pct"/>
                  <w:vMerge w:val="continue"/>
                  <w:vAlign w:val="center"/>
                </w:tcPr>
                <w:p>
                  <w:pPr>
                    <w:pStyle w:val="114"/>
                    <w:widowControl/>
                    <w:numPr>
                      <w:ilvl w:val="0"/>
                      <w:numId w:val="14"/>
                    </w:numPr>
                    <w:ind w:left="0" w:firstLine="0" w:firstLineChars="0"/>
                    <w:jc w:val="center"/>
                    <w:rPr>
                      <w:kern w:val="0"/>
                      <w:szCs w:val="21"/>
                    </w:rPr>
                  </w:pPr>
                </w:p>
              </w:tc>
              <w:tc>
                <w:tcPr>
                  <w:tcW w:w="1425" w:type="pct"/>
                  <w:vMerge w:val="continue"/>
                  <w:vAlign w:val="center"/>
                </w:tcPr>
                <w:p>
                  <w:pPr>
                    <w:widowControl/>
                    <w:jc w:val="center"/>
                    <w:rPr>
                      <w:kern w:val="0"/>
                      <w:szCs w:val="21"/>
                    </w:rPr>
                  </w:pPr>
                </w:p>
              </w:tc>
              <w:tc>
                <w:tcPr>
                  <w:tcW w:w="788" w:type="pct"/>
                  <w:vAlign w:val="center"/>
                </w:tcPr>
                <w:p>
                  <w:pPr>
                    <w:widowControl/>
                    <w:jc w:val="center"/>
                    <w:rPr>
                      <w:kern w:val="0"/>
                      <w:szCs w:val="21"/>
                    </w:rPr>
                  </w:pPr>
                  <w:r>
                    <w:rPr>
                      <w:kern w:val="0"/>
                      <w:szCs w:val="21"/>
                    </w:rPr>
                    <w:t>2025.10.20</w:t>
                  </w:r>
                </w:p>
              </w:tc>
              <w:tc>
                <w:tcPr>
                  <w:tcW w:w="352" w:type="pct"/>
                  <w:vMerge w:val="continue"/>
                  <w:vAlign w:val="center"/>
                </w:tcPr>
                <w:p>
                  <w:pPr>
                    <w:widowControl/>
                    <w:jc w:val="center"/>
                    <w:rPr>
                      <w:kern w:val="0"/>
                      <w:szCs w:val="21"/>
                    </w:rPr>
                  </w:pPr>
                </w:p>
              </w:tc>
              <w:tc>
                <w:tcPr>
                  <w:tcW w:w="439" w:type="pct"/>
                  <w:vAlign w:val="center"/>
                </w:tcPr>
                <w:p>
                  <w:pPr>
                    <w:widowControl/>
                    <w:jc w:val="center"/>
                    <w:rPr>
                      <w:kern w:val="0"/>
                      <w:szCs w:val="21"/>
                    </w:rPr>
                  </w:pPr>
                  <w:r>
                    <w:rPr>
                      <w:kern w:val="0"/>
                      <w:szCs w:val="21"/>
                    </w:rPr>
                    <w:t>/</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50" w:type="pct"/>
                  <w:tcBorders>
                    <w:right w:val="single" w:color="auto" w:sz="2" w:space="0"/>
                  </w:tcBorders>
                  <w:vAlign w:val="center"/>
                </w:tcPr>
                <w:p>
                  <w:pPr>
                    <w:widowControl/>
                    <w:jc w:val="center"/>
                    <w:rPr>
                      <w:kern w:val="0"/>
                      <w:szCs w:val="21"/>
                    </w:rPr>
                  </w:pPr>
                  <w:r>
                    <w:rPr>
                      <w:kern w:val="0"/>
                      <w:szCs w:val="21"/>
                    </w:rPr>
                    <w:t>10.7</w:t>
                  </w:r>
                </w:p>
              </w:tc>
              <w:tc>
                <w:tcPr>
                  <w:tcW w:w="313" w:type="pct"/>
                  <w:vMerge w:val="continue"/>
                  <w:tcBorders>
                    <w:left w:val="single" w:color="auto" w:sz="2" w:space="0"/>
                  </w:tcBorders>
                  <w:vAlign w:val="center"/>
                </w:tcPr>
                <w:p>
                  <w:pPr>
                    <w:widowControl/>
                    <w:jc w:val="center"/>
                    <w:rPr>
                      <w:kern w:val="0"/>
                      <w:szCs w:val="21"/>
                    </w:rPr>
                  </w:pPr>
                </w:p>
              </w:tc>
              <w:tc>
                <w:tcPr>
                  <w:tcW w:w="386" w:type="pct"/>
                  <w:tcBorders>
                    <w:left w:val="single" w:color="auto" w:sz="2" w:space="0"/>
                  </w:tcBorders>
                  <w:vAlign w:val="center"/>
                </w:tcPr>
                <w:p>
                  <w:pPr>
                    <w:widowControl/>
                    <w:jc w:val="center"/>
                    <w:rPr>
                      <w:kern w:val="0"/>
                      <w:szCs w:val="21"/>
                    </w:rPr>
                  </w:pPr>
                  <w:r>
                    <w:rPr>
                      <w:kern w:val="0"/>
                      <w:szCs w:val="21"/>
                    </w:rPr>
                    <w:t>/</w:t>
                  </w:r>
                </w:p>
              </w:tc>
              <w:tc>
                <w:tcPr>
                  <w:tcW w:w="365" w:type="pct"/>
                  <w:tcBorders>
                    <w:left w:val="single" w:color="auto" w:sz="2" w:space="0"/>
                  </w:tcBorders>
                  <w:vAlign w:val="center"/>
                </w:tcPr>
                <w:p>
                  <w:pPr>
                    <w:widowControl/>
                    <w:jc w:val="center"/>
                    <w:rPr>
                      <w:kern w:val="0"/>
                      <w:szCs w:val="21"/>
                    </w:rPr>
                  </w:pPr>
                  <w:r>
                    <w:rPr>
                      <w:kern w:val="0"/>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 w:type="pct"/>
                  <w:vMerge w:val="restart"/>
                  <w:vAlign w:val="center"/>
                </w:tcPr>
                <w:p>
                  <w:pPr>
                    <w:pStyle w:val="114"/>
                    <w:widowControl/>
                    <w:numPr>
                      <w:ilvl w:val="0"/>
                      <w:numId w:val="14"/>
                    </w:numPr>
                    <w:ind w:left="0" w:firstLine="0" w:firstLineChars="0"/>
                    <w:jc w:val="center"/>
                    <w:rPr>
                      <w:kern w:val="0"/>
                      <w:szCs w:val="21"/>
                    </w:rPr>
                  </w:pPr>
                </w:p>
              </w:tc>
              <w:tc>
                <w:tcPr>
                  <w:tcW w:w="1425" w:type="pct"/>
                  <w:vMerge w:val="restart"/>
                  <w:vAlign w:val="center"/>
                </w:tcPr>
                <w:p>
                  <w:pPr>
                    <w:widowControl/>
                    <w:jc w:val="center"/>
                    <w:rPr>
                      <w:kern w:val="0"/>
                      <w:szCs w:val="21"/>
                    </w:rPr>
                  </w:pPr>
                  <w:r>
                    <w:rPr>
                      <w:kern w:val="0"/>
                      <w:szCs w:val="21"/>
                    </w:rPr>
                    <w:t>线路背景值9#</w:t>
                  </w:r>
                </w:p>
              </w:tc>
              <w:tc>
                <w:tcPr>
                  <w:tcW w:w="788" w:type="pct"/>
                  <w:vAlign w:val="center"/>
                </w:tcPr>
                <w:p>
                  <w:pPr>
                    <w:widowControl/>
                    <w:jc w:val="center"/>
                    <w:rPr>
                      <w:kern w:val="0"/>
                      <w:szCs w:val="21"/>
                    </w:rPr>
                  </w:pPr>
                  <w:r>
                    <w:rPr>
                      <w:kern w:val="0"/>
                      <w:szCs w:val="21"/>
                    </w:rPr>
                    <w:t>2025.10.19</w:t>
                  </w:r>
                </w:p>
              </w:tc>
              <w:tc>
                <w:tcPr>
                  <w:tcW w:w="352" w:type="pct"/>
                  <w:vMerge w:val="restart"/>
                  <w:vAlign w:val="center"/>
                </w:tcPr>
                <w:p>
                  <w:pPr>
                    <w:widowControl/>
                    <w:jc w:val="center"/>
                    <w:rPr>
                      <w:kern w:val="0"/>
                      <w:szCs w:val="21"/>
                    </w:rPr>
                  </w:pPr>
                  <w:r>
                    <w:rPr>
                      <w:kern w:val="0"/>
                      <w:szCs w:val="21"/>
                    </w:rPr>
                    <w:t>晴</w:t>
                  </w:r>
                </w:p>
              </w:tc>
              <w:tc>
                <w:tcPr>
                  <w:tcW w:w="439" w:type="pct"/>
                  <w:vAlign w:val="center"/>
                </w:tcPr>
                <w:p>
                  <w:pPr>
                    <w:widowControl/>
                    <w:jc w:val="center"/>
                    <w:rPr>
                      <w:kern w:val="0"/>
                      <w:szCs w:val="21"/>
                    </w:rPr>
                  </w:pPr>
                  <w:r>
                    <w:rPr>
                      <w:kern w:val="0"/>
                      <w:szCs w:val="21"/>
                    </w:rPr>
                    <w:t>15.5</w:t>
                  </w:r>
                </w:p>
              </w:tc>
              <w:tc>
                <w:tcPr>
                  <w:tcW w:w="350" w:type="pct"/>
                  <w:tcBorders>
                    <w:right w:val="single" w:color="auto" w:sz="2" w:space="0"/>
                  </w:tcBorders>
                  <w:vAlign w:val="center"/>
                </w:tcPr>
                <w:p>
                  <w:pPr>
                    <w:widowControl/>
                    <w:jc w:val="center"/>
                    <w:rPr>
                      <w:kern w:val="0"/>
                      <w:szCs w:val="21"/>
                    </w:rPr>
                  </w:pPr>
                  <w:r>
                    <w:rPr>
                      <w:kern w:val="0"/>
                      <w:szCs w:val="21"/>
                    </w:rPr>
                    <w:t>22.3</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13" w:type="pct"/>
                  <w:vMerge w:val="restart"/>
                  <w:tcBorders>
                    <w:left w:val="single" w:color="auto" w:sz="2" w:space="0"/>
                  </w:tcBorders>
                  <w:vAlign w:val="center"/>
                </w:tcPr>
                <w:p>
                  <w:pPr>
                    <w:widowControl/>
                    <w:jc w:val="center"/>
                    <w:rPr>
                      <w:kern w:val="0"/>
                      <w:szCs w:val="21"/>
                    </w:rPr>
                  </w:pPr>
                  <w:r>
                    <w:rPr>
                      <w:kern w:val="0"/>
                      <w:szCs w:val="21"/>
                    </w:rPr>
                    <w:t>北</w:t>
                  </w:r>
                </w:p>
              </w:tc>
              <w:tc>
                <w:tcPr>
                  <w:tcW w:w="386" w:type="pct"/>
                  <w:tcBorders>
                    <w:left w:val="single" w:color="auto" w:sz="2" w:space="0"/>
                  </w:tcBorders>
                  <w:vAlign w:val="center"/>
                </w:tcPr>
                <w:p>
                  <w:pPr>
                    <w:widowControl/>
                    <w:jc w:val="center"/>
                    <w:rPr>
                      <w:kern w:val="0"/>
                      <w:szCs w:val="21"/>
                    </w:rPr>
                  </w:pPr>
                  <w:r>
                    <w:rPr>
                      <w:kern w:val="0"/>
                      <w:szCs w:val="21"/>
                    </w:rPr>
                    <w:t>0.7</w:t>
                  </w:r>
                </w:p>
              </w:tc>
              <w:tc>
                <w:tcPr>
                  <w:tcW w:w="365" w:type="pct"/>
                  <w:tcBorders>
                    <w:left w:val="single" w:color="auto" w:sz="2" w:space="0"/>
                  </w:tcBorders>
                  <w:vAlign w:val="center"/>
                </w:tcPr>
                <w:p>
                  <w:pPr>
                    <w:widowControl/>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 w:type="pct"/>
                  <w:vMerge w:val="continue"/>
                  <w:vAlign w:val="center"/>
                </w:tcPr>
                <w:p>
                  <w:pPr>
                    <w:pStyle w:val="114"/>
                    <w:widowControl/>
                    <w:numPr>
                      <w:ilvl w:val="0"/>
                      <w:numId w:val="15"/>
                    </w:numPr>
                    <w:ind w:left="3785" w:firstLineChars="0"/>
                    <w:jc w:val="center"/>
                    <w:rPr>
                      <w:kern w:val="0"/>
                      <w:szCs w:val="21"/>
                    </w:rPr>
                  </w:pPr>
                </w:p>
              </w:tc>
              <w:tc>
                <w:tcPr>
                  <w:tcW w:w="1425" w:type="pct"/>
                  <w:vMerge w:val="continue"/>
                  <w:vAlign w:val="center"/>
                </w:tcPr>
                <w:p>
                  <w:pPr>
                    <w:widowControl/>
                    <w:jc w:val="center"/>
                    <w:rPr>
                      <w:kern w:val="0"/>
                      <w:szCs w:val="21"/>
                    </w:rPr>
                  </w:pPr>
                </w:p>
              </w:tc>
              <w:tc>
                <w:tcPr>
                  <w:tcW w:w="788" w:type="pct"/>
                  <w:vAlign w:val="center"/>
                </w:tcPr>
                <w:p>
                  <w:pPr>
                    <w:widowControl/>
                    <w:jc w:val="center"/>
                    <w:rPr>
                      <w:kern w:val="0"/>
                      <w:szCs w:val="21"/>
                    </w:rPr>
                  </w:pPr>
                  <w:r>
                    <w:rPr>
                      <w:kern w:val="0"/>
                      <w:szCs w:val="21"/>
                    </w:rPr>
                    <w:t>2025.10.20</w:t>
                  </w:r>
                </w:p>
              </w:tc>
              <w:tc>
                <w:tcPr>
                  <w:tcW w:w="352" w:type="pct"/>
                  <w:vMerge w:val="continue"/>
                  <w:vAlign w:val="center"/>
                </w:tcPr>
                <w:p>
                  <w:pPr>
                    <w:widowControl/>
                    <w:jc w:val="center"/>
                    <w:rPr>
                      <w:kern w:val="0"/>
                      <w:szCs w:val="21"/>
                    </w:rPr>
                  </w:pPr>
                </w:p>
              </w:tc>
              <w:tc>
                <w:tcPr>
                  <w:tcW w:w="439" w:type="pct"/>
                  <w:vAlign w:val="center"/>
                </w:tcPr>
                <w:p>
                  <w:pPr>
                    <w:widowControl/>
                    <w:jc w:val="center"/>
                    <w:rPr>
                      <w:kern w:val="0"/>
                      <w:szCs w:val="21"/>
                    </w:rPr>
                  </w:pPr>
                  <w:r>
                    <w:rPr>
                      <w:kern w:val="0"/>
                      <w:szCs w:val="21"/>
                    </w:rPr>
                    <w:t>/</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50" w:type="pct"/>
                  <w:tcBorders>
                    <w:right w:val="single" w:color="auto" w:sz="2" w:space="0"/>
                  </w:tcBorders>
                  <w:vAlign w:val="center"/>
                </w:tcPr>
                <w:p>
                  <w:pPr>
                    <w:widowControl/>
                    <w:jc w:val="center"/>
                    <w:rPr>
                      <w:kern w:val="0"/>
                      <w:szCs w:val="21"/>
                    </w:rPr>
                  </w:pPr>
                  <w:r>
                    <w:rPr>
                      <w:kern w:val="0"/>
                      <w:szCs w:val="21"/>
                    </w:rPr>
                    <w:t>10.3</w:t>
                  </w:r>
                </w:p>
              </w:tc>
              <w:tc>
                <w:tcPr>
                  <w:tcW w:w="313" w:type="pct"/>
                  <w:vMerge w:val="continue"/>
                  <w:tcBorders>
                    <w:left w:val="single" w:color="auto" w:sz="2" w:space="0"/>
                  </w:tcBorders>
                  <w:vAlign w:val="center"/>
                </w:tcPr>
                <w:p>
                  <w:pPr>
                    <w:widowControl/>
                    <w:jc w:val="center"/>
                    <w:rPr>
                      <w:kern w:val="0"/>
                      <w:szCs w:val="21"/>
                    </w:rPr>
                  </w:pPr>
                </w:p>
              </w:tc>
              <w:tc>
                <w:tcPr>
                  <w:tcW w:w="386" w:type="pct"/>
                  <w:tcBorders>
                    <w:left w:val="single" w:color="auto" w:sz="2" w:space="0"/>
                  </w:tcBorders>
                  <w:vAlign w:val="center"/>
                </w:tcPr>
                <w:p>
                  <w:pPr>
                    <w:widowControl/>
                    <w:jc w:val="center"/>
                    <w:rPr>
                      <w:kern w:val="0"/>
                      <w:szCs w:val="21"/>
                    </w:rPr>
                  </w:pPr>
                  <w:r>
                    <w:rPr>
                      <w:kern w:val="0"/>
                      <w:szCs w:val="21"/>
                    </w:rPr>
                    <w:t>/</w:t>
                  </w:r>
                </w:p>
              </w:tc>
              <w:tc>
                <w:tcPr>
                  <w:tcW w:w="365" w:type="pct"/>
                  <w:tcBorders>
                    <w:left w:val="single" w:color="auto" w:sz="2" w:space="0"/>
                  </w:tcBorders>
                  <w:vAlign w:val="center"/>
                </w:tcPr>
                <w:p>
                  <w:pPr>
                    <w:widowControl/>
                    <w:jc w:val="center"/>
                    <w:rPr>
                      <w:kern w:val="0"/>
                      <w:szCs w:val="21"/>
                    </w:rPr>
                  </w:pPr>
                  <w:r>
                    <w:rPr>
                      <w:kern w:val="0"/>
                      <w:szCs w:val="21"/>
                    </w:rPr>
                    <w:t>0.7</w:t>
                  </w:r>
                </w:p>
              </w:tc>
            </w:tr>
          </w:tbl>
          <w:p>
            <w:pPr>
              <w:pStyle w:val="5"/>
              <w:numPr>
                <w:ilvl w:val="1"/>
                <w:numId w:val="9"/>
              </w:numPr>
              <w:spacing w:after="0" w:line="360" w:lineRule="auto"/>
              <w:rPr>
                <w:rFonts w:eastAsia="宋体"/>
                <w:sz w:val="24"/>
                <w:szCs w:val="24"/>
              </w:rPr>
            </w:pPr>
            <w:bookmarkStart w:id="516" w:name="_Toc12751"/>
            <w:bookmarkStart w:id="517" w:name="_Toc9445"/>
            <w:r>
              <w:rPr>
                <w:rFonts w:eastAsia="宋体"/>
                <w:sz w:val="24"/>
                <w:szCs w:val="24"/>
              </w:rPr>
              <w:t>监测方法及测量仪器</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pPr>
              <w:pStyle w:val="11"/>
              <w:rPr>
                <w:color w:val="000000"/>
                <w:szCs w:val="24"/>
              </w:rPr>
            </w:pPr>
            <w:r>
              <w:rPr>
                <w:color w:val="000000"/>
                <w:szCs w:val="24"/>
              </w:rPr>
              <w:t>（1）监测方法</w:t>
            </w:r>
          </w:p>
          <w:p>
            <w:pPr>
              <w:pStyle w:val="11"/>
              <w:rPr>
                <w:color w:val="000000"/>
                <w:szCs w:val="24"/>
              </w:rPr>
            </w:pPr>
            <w:r>
              <w:rPr>
                <w:color w:val="000000"/>
                <w:szCs w:val="24"/>
              </w:rPr>
              <w:t>按《声环境质量标准》（GB3096-2008）执行。</w:t>
            </w:r>
          </w:p>
          <w:p>
            <w:pPr>
              <w:pStyle w:val="11"/>
              <w:rPr>
                <w:color w:val="000000"/>
                <w:szCs w:val="24"/>
              </w:rPr>
            </w:pPr>
            <w:r>
              <w:rPr>
                <w:color w:val="000000"/>
                <w:szCs w:val="24"/>
              </w:rPr>
              <w:t>（2）测量仪器</w:t>
            </w:r>
          </w:p>
          <w:p>
            <w:pPr>
              <w:pStyle w:val="11"/>
              <w:rPr>
                <w:color w:val="000000"/>
                <w:szCs w:val="24"/>
              </w:rPr>
            </w:pPr>
            <w:r>
              <w:rPr>
                <w:color w:val="000000"/>
                <w:szCs w:val="24"/>
              </w:rPr>
              <w:t>本工程所用测量仪器情况见</w:t>
            </w:r>
            <w:r>
              <w:rPr>
                <w:color w:val="000000"/>
                <w:szCs w:val="24"/>
              </w:rPr>
              <w:fldChar w:fldCharType="begin"/>
            </w:r>
            <w:r>
              <w:rPr>
                <w:color w:val="000000"/>
                <w:szCs w:val="24"/>
              </w:rPr>
              <w:instrText xml:space="preserve"> REF _Ref157246544 \h  \* MERGEFORMAT </w:instrText>
            </w:r>
            <w:r>
              <w:rPr>
                <w:color w:val="000000"/>
                <w:szCs w:val="24"/>
              </w:rPr>
              <w:fldChar w:fldCharType="separate"/>
            </w:r>
            <w:r>
              <w:rPr>
                <w:color w:val="000000"/>
                <w:szCs w:val="24"/>
              </w:rPr>
              <w:t>表 9</w:t>
            </w:r>
            <w:r>
              <w:rPr>
                <w:color w:val="000000"/>
                <w:szCs w:val="24"/>
              </w:rPr>
              <w:fldChar w:fldCharType="end"/>
            </w:r>
            <w:r>
              <w:rPr>
                <w:color w:val="000000"/>
                <w:szCs w:val="24"/>
              </w:rPr>
              <w:t>。</w:t>
            </w:r>
          </w:p>
          <w:p>
            <w:pPr>
              <w:pStyle w:val="18"/>
              <w:keepNext/>
              <w:rPr>
                <w:rFonts w:ascii="Times New Roman" w:hAnsi="Times New Roman"/>
                <w:b/>
              </w:rPr>
            </w:pPr>
            <w:bookmarkStart w:id="518" w:name="_Ref157246544"/>
            <w:r>
              <w:rPr>
                <w:rFonts w:ascii="Times New Roman" w:hAnsi="Times New Roman"/>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9</w:t>
            </w:r>
            <w:r>
              <w:rPr>
                <w:rFonts w:ascii="Times New Roman" w:hAnsi="Times New Roman"/>
                <w:b/>
              </w:rPr>
              <w:fldChar w:fldCharType="end"/>
            </w:r>
            <w:bookmarkEnd w:id="518"/>
            <w:r>
              <w:rPr>
                <w:rFonts w:ascii="Times New Roman" w:hAnsi="Times New Roman"/>
                <w:b/>
              </w:rPr>
              <w:t xml:space="preserve">                  </w:t>
            </w:r>
            <w:r>
              <w:rPr>
                <w:rFonts w:hint="eastAsia" w:ascii="Times New Roman" w:hAnsi="Times New Roman"/>
                <w:b/>
              </w:rPr>
              <w:t xml:space="preserve"> </w:t>
            </w:r>
            <w:r>
              <w:rPr>
                <w:rFonts w:ascii="Times New Roman" w:hAnsi="Times New Roman"/>
                <w:b/>
              </w:rPr>
              <w:t xml:space="preserve">  声环境现状监测仪器及型号</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0"/>
              <w:gridCol w:w="2069"/>
              <w:gridCol w:w="3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1656" w:type="pct"/>
                  <w:vAlign w:val="center"/>
                </w:tcPr>
                <w:p>
                  <w:pPr>
                    <w:snapToGrid w:val="0"/>
                    <w:jc w:val="center"/>
                    <w:rPr>
                      <w:b/>
                      <w:snapToGrid w:val="0"/>
                      <w:color w:val="000000"/>
                      <w:kern w:val="0"/>
                      <w:szCs w:val="21"/>
                    </w:rPr>
                  </w:pPr>
                  <w:r>
                    <w:rPr>
                      <w:b/>
                      <w:snapToGrid w:val="0"/>
                      <w:color w:val="000000"/>
                      <w:kern w:val="0"/>
                      <w:szCs w:val="21"/>
                    </w:rPr>
                    <w:t>仪器名称</w:t>
                  </w:r>
                  <w:r>
                    <w:rPr>
                      <w:rFonts w:hint="eastAsia"/>
                      <w:b/>
                      <w:snapToGrid w:val="0"/>
                      <w:color w:val="000000"/>
                      <w:kern w:val="0"/>
                      <w:szCs w:val="21"/>
                    </w:rPr>
                    <w:t>型号</w:t>
                  </w:r>
                  <w:r>
                    <w:rPr>
                      <w:b/>
                      <w:snapToGrid w:val="0"/>
                      <w:color w:val="000000"/>
                      <w:kern w:val="0"/>
                      <w:szCs w:val="21"/>
                    </w:rPr>
                    <w:t>及</w:t>
                  </w:r>
                  <w:r>
                    <w:rPr>
                      <w:rFonts w:hint="eastAsia"/>
                      <w:b/>
                      <w:snapToGrid w:val="0"/>
                      <w:color w:val="000000"/>
                      <w:kern w:val="0"/>
                      <w:szCs w:val="21"/>
                    </w:rPr>
                    <w:t>出厂</w:t>
                  </w:r>
                  <w:r>
                    <w:rPr>
                      <w:b/>
                      <w:snapToGrid w:val="0"/>
                      <w:color w:val="000000"/>
                      <w:kern w:val="0"/>
                      <w:szCs w:val="21"/>
                    </w:rPr>
                    <w:t>编号</w:t>
                  </w:r>
                </w:p>
              </w:tc>
              <w:tc>
                <w:tcPr>
                  <w:tcW w:w="1279" w:type="pct"/>
                  <w:vAlign w:val="center"/>
                </w:tcPr>
                <w:p>
                  <w:pPr>
                    <w:snapToGrid w:val="0"/>
                    <w:jc w:val="center"/>
                    <w:rPr>
                      <w:b/>
                      <w:snapToGrid w:val="0"/>
                      <w:color w:val="000000"/>
                      <w:kern w:val="0"/>
                      <w:szCs w:val="21"/>
                    </w:rPr>
                  </w:pPr>
                  <w:r>
                    <w:rPr>
                      <w:b/>
                      <w:snapToGrid w:val="0"/>
                      <w:color w:val="000000"/>
                      <w:kern w:val="0"/>
                      <w:szCs w:val="21"/>
                    </w:rPr>
                    <w:t>技术指标</w:t>
                  </w:r>
                </w:p>
              </w:tc>
              <w:tc>
                <w:tcPr>
                  <w:tcW w:w="2065" w:type="pct"/>
                  <w:vAlign w:val="center"/>
                </w:tcPr>
                <w:p>
                  <w:pPr>
                    <w:snapToGrid w:val="0"/>
                    <w:jc w:val="center"/>
                    <w:rPr>
                      <w:b/>
                      <w:snapToGrid w:val="0"/>
                      <w:color w:val="000000"/>
                      <w:kern w:val="0"/>
                      <w:szCs w:val="21"/>
                    </w:rPr>
                  </w:pPr>
                  <w:r>
                    <w:rPr>
                      <w:rFonts w:hint="eastAsia"/>
                      <w:b/>
                      <w:snapToGrid w:val="0"/>
                      <w:color w:val="000000"/>
                      <w:kern w:val="0"/>
                      <w:szCs w:val="21"/>
                    </w:rPr>
                    <w:t>检定</w:t>
                  </w:r>
                  <w:r>
                    <w:rPr>
                      <w:b/>
                      <w:snapToGrid w:val="0"/>
                      <w:color w:val="000000"/>
                      <w:kern w:val="0"/>
                      <w:szCs w:val="21"/>
                    </w:rPr>
                    <w:t>证书编号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56" w:type="pct"/>
                  <w:vAlign w:val="center"/>
                </w:tcPr>
                <w:p>
                  <w:pPr>
                    <w:spacing w:line="276" w:lineRule="auto"/>
                    <w:rPr>
                      <w:b/>
                      <w:sz w:val="18"/>
                      <w:szCs w:val="18"/>
                    </w:rPr>
                  </w:pPr>
                  <w:r>
                    <w:rPr>
                      <w:b/>
                      <w:sz w:val="18"/>
                      <w:szCs w:val="18"/>
                    </w:rPr>
                    <w:t>噪声</w:t>
                  </w:r>
                </w:p>
                <w:p>
                  <w:pPr>
                    <w:spacing w:line="276" w:lineRule="auto"/>
                    <w:rPr>
                      <w:sz w:val="18"/>
                      <w:szCs w:val="18"/>
                    </w:rPr>
                  </w:pPr>
                  <w:r>
                    <w:rPr>
                      <w:sz w:val="18"/>
                      <w:szCs w:val="18"/>
                    </w:rPr>
                    <w:t>仪器名称：</w:t>
                  </w:r>
                  <w:r>
                    <w:rPr>
                      <w:rFonts w:hint="eastAsia"/>
                      <w:sz w:val="18"/>
                      <w:szCs w:val="18"/>
                    </w:rPr>
                    <w:t>声级计</w:t>
                  </w:r>
                </w:p>
                <w:p>
                  <w:pPr>
                    <w:spacing w:line="276" w:lineRule="auto"/>
                    <w:rPr>
                      <w:sz w:val="18"/>
                      <w:szCs w:val="18"/>
                    </w:rPr>
                  </w:pPr>
                  <w:r>
                    <w:rPr>
                      <w:sz w:val="18"/>
                      <w:szCs w:val="18"/>
                    </w:rPr>
                    <w:t>仪器型号：AWA6228+</w:t>
                  </w:r>
                </w:p>
                <w:p>
                  <w:pPr>
                    <w:spacing w:line="276" w:lineRule="auto"/>
                    <w:rPr>
                      <w:sz w:val="18"/>
                      <w:szCs w:val="18"/>
                    </w:rPr>
                  </w:pPr>
                  <w:r>
                    <w:rPr>
                      <w:rFonts w:hint="eastAsia"/>
                      <w:sz w:val="18"/>
                      <w:szCs w:val="18"/>
                    </w:rPr>
                    <w:t>出厂编号：</w:t>
                  </w:r>
                  <w:r>
                    <w:rPr>
                      <w:sz w:val="18"/>
                      <w:szCs w:val="18"/>
                    </w:rPr>
                    <w:t>10348858</w:t>
                  </w:r>
                </w:p>
                <w:p>
                  <w:pPr>
                    <w:spacing w:line="276" w:lineRule="auto"/>
                    <w:rPr>
                      <w:sz w:val="18"/>
                      <w:szCs w:val="18"/>
                    </w:rPr>
                  </w:pPr>
                </w:p>
                <w:p>
                  <w:pPr>
                    <w:spacing w:line="276" w:lineRule="auto"/>
                    <w:rPr>
                      <w:sz w:val="18"/>
                      <w:szCs w:val="18"/>
                    </w:rPr>
                  </w:pPr>
                  <w:r>
                    <w:rPr>
                      <w:sz w:val="18"/>
                      <w:szCs w:val="18"/>
                    </w:rPr>
                    <w:t>仪器名称：</w:t>
                  </w:r>
                  <w:r>
                    <w:rPr>
                      <w:rFonts w:hint="eastAsia"/>
                      <w:sz w:val="18"/>
                      <w:szCs w:val="18"/>
                    </w:rPr>
                    <w:t>声校准器</w:t>
                  </w:r>
                </w:p>
                <w:p>
                  <w:pPr>
                    <w:spacing w:line="276" w:lineRule="auto"/>
                    <w:rPr>
                      <w:sz w:val="18"/>
                      <w:szCs w:val="18"/>
                    </w:rPr>
                  </w:pPr>
                  <w:r>
                    <w:rPr>
                      <w:sz w:val="18"/>
                      <w:szCs w:val="18"/>
                    </w:rPr>
                    <w:t>仪器型号：AWA6021A</w:t>
                  </w:r>
                </w:p>
                <w:p>
                  <w:pPr>
                    <w:spacing w:line="276" w:lineRule="auto"/>
                    <w:rPr>
                      <w:sz w:val="18"/>
                      <w:szCs w:val="18"/>
                    </w:rPr>
                  </w:pPr>
                  <w:r>
                    <w:rPr>
                      <w:rFonts w:hint="eastAsia"/>
                      <w:sz w:val="18"/>
                      <w:szCs w:val="18"/>
                    </w:rPr>
                    <w:t>出厂编号：</w:t>
                  </w:r>
                  <w:r>
                    <w:rPr>
                      <w:sz w:val="18"/>
                      <w:szCs w:val="18"/>
                    </w:rPr>
                    <w:t>1010860</w:t>
                  </w:r>
                </w:p>
              </w:tc>
              <w:tc>
                <w:tcPr>
                  <w:tcW w:w="1279" w:type="pct"/>
                  <w:vAlign w:val="center"/>
                </w:tcPr>
                <w:p>
                  <w:pPr>
                    <w:spacing w:line="276" w:lineRule="auto"/>
                    <w:jc w:val="left"/>
                    <w:rPr>
                      <w:b/>
                      <w:sz w:val="18"/>
                      <w:szCs w:val="18"/>
                    </w:rPr>
                  </w:pPr>
                  <w:r>
                    <w:rPr>
                      <w:b/>
                      <w:sz w:val="18"/>
                      <w:szCs w:val="18"/>
                    </w:rPr>
                    <w:t>测量范围：</w:t>
                  </w:r>
                </w:p>
                <w:p>
                  <w:pPr>
                    <w:spacing w:line="276" w:lineRule="auto"/>
                    <w:rPr>
                      <w:sz w:val="18"/>
                      <w:szCs w:val="18"/>
                    </w:rPr>
                  </w:pPr>
                  <w:r>
                    <w:rPr>
                      <w:rFonts w:hint="eastAsia"/>
                      <w:sz w:val="18"/>
                      <w:szCs w:val="18"/>
                    </w:rPr>
                    <w:t>低量程</w:t>
                  </w:r>
                  <w:r>
                    <w:rPr>
                      <w:sz w:val="18"/>
                      <w:szCs w:val="18"/>
                    </w:rPr>
                    <w:t>（</w:t>
                  </w:r>
                  <w:r>
                    <w:rPr>
                      <w:rFonts w:hint="eastAsia"/>
                      <w:sz w:val="18"/>
                      <w:szCs w:val="18"/>
                    </w:rPr>
                    <w:t>20</w:t>
                  </w:r>
                  <w:r>
                    <w:rPr>
                      <w:sz w:val="18"/>
                      <w:szCs w:val="18"/>
                    </w:rPr>
                    <w:t>～13</w:t>
                  </w:r>
                  <w:r>
                    <w:rPr>
                      <w:rFonts w:hint="eastAsia"/>
                      <w:sz w:val="18"/>
                      <w:szCs w:val="18"/>
                    </w:rPr>
                    <w:t>2</w:t>
                  </w:r>
                  <w:r>
                    <w:rPr>
                      <w:sz w:val="18"/>
                      <w:szCs w:val="18"/>
                    </w:rPr>
                    <w:t>）dB(A)</w:t>
                  </w:r>
                </w:p>
                <w:p>
                  <w:pPr>
                    <w:snapToGrid w:val="0"/>
                    <w:spacing w:line="276" w:lineRule="auto"/>
                    <w:rPr>
                      <w:sz w:val="18"/>
                      <w:szCs w:val="18"/>
                    </w:rPr>
                  </w:pPr>
                  <w:r>
                    <w:rPr>
                      <w:rFonts w:hint="eastAsia"/>
                      <w:sz w:val="18"/>
                      <w:szCs w:val="18"/>
                    </w:rPr>
                    <w:t>高量程（30</w:t>
                  </w:r>
                  <w:r>
                    <w:rPr>
                      <w:sz w:val="18"/>
                      <w:szCs w:val="18"/>
                    </w:rPr>
                    <w:t>～1</w:t>
                  </w:r>
                  <w:r>
                    <w:rPr>
                      <w:rFonts w:hint="eastAsia"/>
                      <w:sz w:val="18"/>
                      <w:szCs w:val="18"/>
                    </w:rPr>
                    <w:t>42</w:t>
                  </w:r>
                  <w:r>
                    <w:rPr>
                      <w:sz w:val="18"/>
                      <w:szCs w:val="18"/>
                    </w:rPr>
                    <w:t>）dB(A)</w:t>
                  </w:r>
                </w:p>
                <w:p>
                  <w:pPr>
                    <w:snapToGrid w:val="0"/>
                    <w:spacing w:line="276" w:lineRule="auto"/>
                    <w:jc w:val="left"/>
                    <w:rPr>
                      <w:sz w:val="18"/>
                      <w:szCs w:val="18"/>
                    </w:rPr>
                  </w:pPr>
                  <w:r>
                    <w:rPr>
                      <w:rFonts w:hint="eastAsia"/>
                      <w:b/>
                      <w:sz w:val="18"/>
                      <w:szCs w:val="18"/>
                    </w:rPr>
                    <w:t>频率</w:t>
                  </w:r>
                  <w:r>
                    <w:rPr>
                      <w:b/>
                      <w:sz w:val="18"/>
                      <w:szCs w:val="18"/>
                    </w:rPr>
                    <w:t>范围</w:t>
                  </w:r>
                  <w:r>
                    <w:rPr>
                      <w:sz w:val="18"/>
                      <w:szCs w:val="18"/>
                    </w:rPr>
                    <w:t>：</w:t>
                  </w:r>
                  <w:r>
                    <w:rPr>
                      <w:rFonts w:hint="eastAsia"/>
                      <w:sz w:val="18"/>
                      <w:szCs w:val="18"/>
                    </w:rPr>
                    <w:t>10</w:t>
                  </w:r>
                  <w:r>
                    <w:rPr>
                      <w:sz w:val="18"/>
                      <w:szCs w:val="18"/>
                    </w:rPr>
                    <w:t>Hz-20kHz</w:t>
                  </w:r>
                </w:p>
                <w:p>
                  <w:pPr>
                    <w:snapToGrid w:val="0"/>
                    <w:spacing w:line="276" w:lineRule="auto"/>
                    <w:jc w:val="left"/>
                    <w:rPr>
                      <w:sz w:val="18"/>
                      <w:szCs w:val="18"/>
                    </w:rPr>
                  </w:pPr>
                </w:p>
                <w:p>
                  <w:pPr>
                    <w:snapToGrid w:val="0"/>
                    <w:spacing w:line="276" w:lineRule="auto"/>
                    <w:jc w:val="left"/>
                    <w:rPr>
                      <w:sz w:val="18"/>
                      <w:szCs w:val="18"/>
                    </w:rPr>
                  </w:pPr>
                  <w:r>
                    <w:rPr>
                      <w:rFonts w:hint="eastAsia"/>
                      <w:b/>
                      <w:sz w:val="18"/>
                      <w:szCs w:val="18"/>
                    </w:rPr>
                    <w:t>声压级</w:t>
                  </w:r>
                  <w:r>
                    <w:rPr>
                      <w:rFonts w:hint="eastAsia"/>
                      <w:sz w:val="18"/>
                      <w:szCs w:val="18"/>
                    </w:rPr>
                    <w:t>：</w:t>
                  </w:r>
                </w:p>
                <w:p>
                  <w:pPr>
                    <w:snapToGrid w:val="0"/>
                    <w:spacing w:line="276" w:lineRule="auto"/>
                    <w:jc w:val="left"/>
                    <w:rPr>
                      <w:sz w:val="18"/>
                      <w:szCs w:val="18"/>
                    </w:rPr>
                  </w:pPr>
                  <w:r>
                    <w:rPr>
                      <w:rFonts w:hint="eastAsia"/>
                      <w:sz w:val="18"/>
                      <w:szCs w:val="18"/>
                    </w:rPr>
                    <w:t>（94.0/114.0）dB</w:t>
                  </w:r>
                </w:p>
                <w:p>
                  <w:pPr>
                    <w:snapToGrid w:val="0"/>
                    <w:spacing w:line="276" w:lineRule="auto"/>
                    <w:rPr>
                      <w:spacing w:val="-10"/>
                      <w:sz w:val="18"/>
                      <w:szCs w:val="18"/>
                    </w:rPr>
                  </w:pPr>
                  <w:r>
                    <w:rPr>
                      <w:rFonts w:hint="eastAsia"/>
                      <w:b/>
                      <w:spacing w:val="-10"/>
                      <w:sz w:val="18"/>
                      <w:szCs w:val="18"/>
                    </w:rPr>
                    <w:t>频率范围</w:t>
                  </w:r>
                  <w:r>
                    <w:rPr>
                      <w:b/>
                      <w:spacing w:val="-10"/>
                      <w:sz w:val="18"/>
                      <w:szCs w:val="18"/>
                    </w:rPr>
                    <w:t>：</w:t>
                  </w:r>
                  <w:r>
                    <w:rPr>
                      <w:rFonts w:hint="eastAsia"/>
                      <w:spacing w:val="-10"/>
                      <w:sz w:val="18"/>
                      <w:szCs w:val="18"/>
                    </w:rPr>
                    <w:t>1000.0Hz±1Hz</w:t>
                  </w:r>
                </w:p>
              </w:tc>
              <w:tc>
                <w:tcPr>
                  <w:tcW w:w="2065" w:type="pct"/>
                  <w:vAlign w:val="center"/>
                </w:tcPr>
                <w:p>
                  <w:pPr>
                    <w:snapToGrid w:val="0"/>
                    <w:spacing w:line="276" w:lineRule="auto"/>
                    <w:rPr>
                      <w:snapToGrid w:val="0"/>
                      <w:kern w:val="0"/>
                      <w:sz w:val="18"/>
                      <w:szCs w:val="18"/>
                    </w:rPr>
                  </w:pPr>
                  <w:r>
                    <w:rPr>
                      <w:rFonts w:hint="eastAsia"/>
                      <w:b/>
                      <w:snapToGrid w:val="0"/>
                      <w:kern w:val="0"/>
                      <w:sz w:val="18"/>
                      <w:szCs w:val="18"/>
                    </w:rPr>
                    <w:t>检定</w:t>
                  </w:r>
                  <w:r>
                    <w:rPr>
                      <w:b/>
                      <w:snapToGrid w:val="0"/>
                      <w:kern w:val="0"/>
                      <w:sz w:val="18"/>
                      <w:szCs w:val="18"/>
                    </w:rPr>
                    <w:t>单位：</w:t>
                  </w:r>
                  <w:r>
                    <w:rPr>
                      <w:rFonts w:hint="eastAsia"/>
                      <w:snapToGrid w:val="0"/>
                      <w:kern w:val="0"/>
                      <w:sz w:val="18"/>
                      <w:szCs w:val="18"/>
                    </w:rPr>
                    <w:t>湖北省计量测试技术研究院</w:t>
                  </w:r>
                </w:p>
                <w:p>
                  <w:pPr>
                    <w:snapToGrid w:val="0"/>
                    <w:spacing w:line="276" w:lineRule="auto"/>
                    <w:rPr>
                      <w:snapToGrid w:val="0"/>
                      <w:kern w:val="0"/>
                      <w:sz w:val="18"/>
                      <w:szCs w:val="18"/>
                    </w:rPr>
                  </w:pPr>
                  <w:r>
                    <w:rPr>
                      <w:b/>
                      <w:snapToGrid w:val="0"/>
                      <w:kern w:val="0"/>
                      <w:sz w:val="18"/>
                      <w:szCs w:val="18"/>
                    </w:rPr>
                    <w:t>证书编号：</w:t>
                  </w:r>
                  <w:r>
                    <w:rPr>
                      <w:snapToGrid w:val="0"/>
                      <w:kern w:val="0"/>
                      <w:sz w:val="18"/>
                      <w:szCs w:val="18"/>
                    </w:rPr>
                    <w:t>2025SZ041400623</w:t>
                  </w:r>
                </w:p>
                <w:p>
                  <w:pPr>
                    <w:snapToGrid w:val="0"/>
                    <w:spacing w:line="276" w:lineRule="auto"/>
                    <w:rPr>
                      <w:snapToGrid w:val="0"/>
                      <w:kern w:val="0"/>
                      <w:sz w:val="18"/>
                      <w:szCs w:val="18"/>
                    </w:rPr>
                  </w:pPr>
                  <w:r>
                    <w:rPr>
                      <w:b/>
                      <w:snapToGrid w:val="0"/>
                      <w:kern w:val="0"/>
                      <w:sz w:val="18"/>
                      <w:szCs w:val="18"/>
                    </w:rPr>
                    <w:t>有效期：</w:t>
                  </w:r>
                  <w:r>
                    <w:rPr>
                      <w:snapToGrid w:val="0"/>
                      <w:kern w:val="0"/>
                      <w:sz w:val="18"/>
                      <w:szCs w:val="18"/>
                    </w:rPr>
                    <w:t>2025.06.27-2026.06.26</w:t>
                  </w:r>
                </w:p>
                <w:p>
                  <w:pPr>
                    <w:snapToGrid w:val="0"/>
                    <w:spacing w:line="276" w:lineRule="auto"/>
                    <w:rPr>
                      <w:snapToGrid w:val="0"/>
                      <w:kern w:val="0"/>
                      <w:sz w:val="18"/>
                      <w:szCs w:val="18"/>
                    </w:rPr>
                  </w:pPr>
                </w:p>
                <w:p>
                  <w:pPr>
                    <w:snapToGrid w:val="0"/>
                    <w:spacing w:line="276" w:lineRule="auto"/>
                    <w:rPr>
                      <w:bCs/>
                      <w:snapToGrid w:val="0"/>
                      <w:kern w:val="0"/>
                      <w:sz w:val="18"/>
                      <w:szCs w:val="18"/>
                    </w:rPr>
                  </w:pPr>
                  <w:r>
                    <w:rPr>
                      <w:rFonts w:hint="eastAsia"/>
                      <w:b/>
                      <w:snapToGrid w:val="0"/>
                      <w:kern w:val="0"/>
                      <w:sz w:val="18"/>
                      <w:szCs w:val="18"/>
                    </w:rPr>
                    <w:t>检定</w:t>
                  </w:r>
                  <w:r>
                    <w:rPr>
                      <w:b/>
                      <w:snapToGrid w:val="0"/>
                      <w:kern w:val="0"/>
                      <w:sz w:val="18"/>
                      <w:szCs w:val="18"/>
                    </w:rPr>
                    <w:t>单位：</w:t>
                  </w:r>
                  <w:r>
                    <w:rPr>
                      <w:rFonts w:hint="eastAsia"/>
                      <w:bCs/>
                      <w:snapToGrid w:val="0"/>
                      <w:kern w:val="0"/>
                      <w:sz w:val="18"/>
                      <w:szCs w:val="18"/>
                    </w:rPr>
                    <w:t>湖北省计量测试技术研究院</w:t>
                  </w:r>
                </w:p>
                <w:p>
                  <w:pPr>
                    <w:snapToGrid w:val="0"/>
                    <w:spacing w:line="276" w:lineRule="auto"/>
                    <w:rPr>
                      <w:snapToGrid w:val="0"/>
                      <w:kern w:val="0"/>
                      <w:sz w:val="18"/>
                      <w:szCs w:val="18"/>
                    </w:rPr>
                  </w:pPr>
                  <w:r>
                    <w:rPr>
                      <w:b/>
                      <w:snapToGrid w:val="0"/>
                      <w:kern w:val="0"/>
                      <w:sz w:val="18"/>
                      <w:szCs w:val="18"/>
                    </w:rPr>
                    <w:t>证书编号：</w:t>
                  </w:r>
                  <w:r>
                    <w:rPr>
                      <w:snapToGrid w:val="0"/>
                      <w:kern w:val="0"/>
                      <w:sz w:val="18"/>
                      <w:szCs w:val="18"/>
                    </w:rPr>
                    <w:t>2025SZ060400279</w:t>
                  </w:r>
                </w:p>
                <w:p>
                  <w:pPr>
                    <w:snapToGrid w:val="0"/>
                    <w:spacing w:line="276" w:lineRule="auto"/>
                    <w:rPr>
                      <w:b/>
                      <w:snapToGrid w:val="0"/>
                      <w:kern w:val="0"/>
                      <w:sz w:val="18"/>
                      <w:szCs w:val="18"/>
                    </w:rPr>
                  </w:pPr>
                  <w:r>
                    <w:rPr>
                      <w:b/>
                      <w:snapToGrid w:val="0"/>
                      <w:kern w:val="0"/>
                      <w:sz w:val="18"/>
                      <w:szCs w:val="18"/>
                    </w:rPr>
                    <w:t>有效期：</w:t>
                  </w:r>
                  <w:r>
                    <w:rPr>
                      <w:snapToGrid w:val="0"/>
                      <w:kern w:val="0"/>
                      <w:sz w:val="18"/>
                      <w:szCs w:val="18"/>
                    </w:rPr>
                    <w:t>2025.05.06-2026.05.05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56" w:type="pct"/>
                  <w:vAlign w:val="center"/>
                </w:tcPr>
                <w:p>
                  <w:pPr>
                    <w:spacing w:line="276" w:lineRule="auto"/>
                    <w:rPr>
                      <w:b/>
                      <w:sz w:val="18"/>
                      <w:szCs w:val="18"/>
                    </w:rPr>
                  </w:pPr>
                  <w:r>
                    <w:rPr>
                      <w:rFonts w:hint="eastAsia"/>
                      <w:b/>
                      <w:sz w:val="18"/>
                      <w:szCs w:val="18"/>
                    </w:rPr>
                    <w:t>温湿度</w:t>
                  </w:r>
                  <w:r>
                    <w:rPr>
                      <w:b/>
                      <w:sz w:val="18"/>
                      <w:szCs w:val="18"/>
                    </w:rPr>
                    <w:t>风速仪</w:t>
                  </w:r>
                </w:p>
                <w:p>
                  <w:pPr>
                    <w:spacing w:line="276" w:lineRule="auto"/>
                    <w:rPr>
                      <w:sz w:val="18"/>
                      <w:szCs w:val="18"/>
                    </w:rPr>
                  </w:pPr>
                  <w:r>
                    <w:rPr>
                      <w:sz w:val="18"/>
                      <w:szCs w:val="18"/>
                    </w:rPr>
                    <w:t>仪器名称：</w:t>
                  </w:r>
                  <w:r>
                    <w:rPr>
                      <w:rFonts w:hint="eastAsia"/>
                      <w:sz w:val="18"/>
                      <w:szCs w:val="18"/>
                    </w:rPr>
                    <w:t>多功能风速计</w:t>
                  </w:r>
                </w:p>
                <w:p>
                  <w:pPr>
                    <w:spacing w:line="276" w:lineRule="auto"/>
                    <w:rPr>
                      <w:sz w:val="18"/>
                      <w:szCs w:val="18"/>
                    </w:rPr>
                  </w:pPr>
                  <w:r>
                    <w:rPr>
                      <w:sz w:val="18"/>
                      <w:szCs w:val="18"/>
                    </w:rPr>
                    <w:t>仪器型号：Testo410-2</w:t>
                  </w:r>
                </w:p>
                <w:p>
                  <w:pPr>
                    <w:spacing w:line="276" w:lineRule="auto"/>
                    <w:rPr>
                      <w:b/>
                      <w:sz w:val="18"/>
                      <w:szCs w:val="18"/>
                    </w:rPr>
                  </w:pPr>
                  <w:r>
                    <w:rPr>
                      <w:rFonts w:hint="eastAsia"/>
                      <w:sz w:val="18"/>
                      <w:szCs w:val="18"/>
                    </w:rPr>
                    <w:t>出厂编号：</w:t>
                  </w:r>
                  <w:r>
                    <w:rPr>
                      <w:sz w:val="18"/>
                      <w:szCs w:val="18"/>
                    </w:rPr>
                    <w:t>38577560/903</w:t>
                  </w:r>
                </w:p>
              </w:tc>
              <w:tc>
                <w:tcPr>
                  <w:tcW w:w="1279" w:type="pct"/>
                  <w:vAlign w:val="center"/>
                </w:tcPr>
                <w:p>
                  <w:pPr>
                    <w:spacing w:line="276" w:lineRule="auto"/>
                    <w:jc w:val="left"/>
                    <w:rPr>
                      <w:b/>
                      <w:sz w:val="18"/>
                      <w:szCs w:val="18"/>
                    </w:rPr>
                  </w:pPr>
                  <w:r>
                    <w:rPr>
                      <w:rFonts w:hint="eastAsia"/>
                      <w:b/>
                      <w:sz w:val="18"/>
                      <w:szCs w:val="18"/>
                    </w:rPr>
                    <w:t>温度</w:t>
                  </w:r>
                </w:p>
                <w:p>
                  <w:pPr>
                    <w:spacing w:line="276" w:lineRule="auto"/>
                    <w:rPr>
                      <w:sz w:val="18"/>
                      <w:szCs w:val="18"/>
                    </w:rPr>
                  </w:pPr>
                  <w:r>
                    <w:rPr>
                      <w:sz w:val="18"/>
                      <w:szCs w:val="18"/>
                    </w:rPr>
                    <w:t>测量范围：</w:t>
                  </w:r>
                  <w:r>
                    <w:rPr>
                      <w:rFonts w:hint="eastAsia"/>
                      <w:sz w:val="18"/>
                      <w:szCs w:val="18"/>
                    </w:rPr>
                    <w:t>-10℃</w:t>
                  </w:r>
                  <w:r>
                    <w:rPr>
                      <w:sz w:val="18"/>
                      <w:szCs w:val="18"/>
                    </w:rPr>
                    <w:t>~+50</w:t>
                  </w:r>
                  <w:r>
                    <w:rPr>
                      <w:rFonts w:hint="eastAsia"/>
                      <w:sz w:val="18"/>
                      <w:szCs w:val="18"/>
                    </w:rPr>
                    <w:t>℃</w:t>
                  </w:r>
                </w:p>
                <w:p>
                  <w:pPr>
                    <w:spacing w:line="276" w:lineRule="auto"/>
                    <w:jc w:val="left"/>
                    <w:rPr>
                      <w:rFonts w:hint="eastAsia" w:ascii="宋体" w:hAnsi="宋体" w:cs="宋体" w:eastAsiaTheme="minorEastAsia"/>
                      <w:b/>
                      <w:sz w:val="18"/>
                      <w:szCs w:val="18"/>
                    </w:rPr>
                  </w:pPr>
                  <w:r>
                    <w:rPr>
                      <w:rFonts w:hint="eastAsia" w:ascii="宋体" w:hAnsi="宋体" w:cs="宋体" w:eastAsiaTheme="minorEastAsia"/>
                      <w:b/>
                      <w:sz w:val="18"/>
                      <w:szCs w:val="18"/>
                    </w:rPr>
                    <w:t>湿度</w:t>
                  </w:r>
                </w:p>
                <w:p>
                  <w:pPr>
                    <w:spacing w:line="276" w:lineRule="auto"/>
                    <w:ind w:left="810" w:hanging="810" w:hangingChars="450"/>
                    <w:jc w:val="left"/>
                    <w:rPr>
                      <w:sz w:val="18"/>
                      <w:szCs w:val="18"/>
                    </w:rPr>
                  </w:pPr>
                  <w:r>
                    <w:rPr>
                      <w:sz w:val="18"/>
                      <w:szCs w:val="18"/>
                    </w:rPr>
                    <w:t>测量范围：0% ~100%</w:t>
                  </w:r>
                  <w:r>
                    <w:rPr>
                      <w:rFonts w:hint="eastAsia"/>
                      <w:sz w:val="18"/>
                      <w:szCs w:val="18"/>
                    </w:rPr>
                    <w:t>（无</w:t>
                  </w:r>
                  <w:r>
                    <w:rPr>
                      <w:sz w:val="18"/>
                      <w:szCs w:val="18"/>
                    </w:rPr>
                    <w:t>结露</w:t>
                  </w:r>
                  <w:r>
                    <w:rPr>
                      <w:rFonts w:hint="eastAsia"/>
                      <w:sz w:val="18"/>
                      <w:szCs w:val="18"/>
                    </w:rPr>
                    <w:t>）</w:t>
                  </w:r>
                </w:p>
                <w:p>
                  <w:pPr>
                    <w:spacing w:line="276" w:lineRule="auto"/>
                    <w:jc w:val="left"/>
                    <w:rPr>
                      <w:rFonts w:hint="eastAsia" w:ascii="宋体" w:hAnsi="宋体" w:cs="宋体"/>
                      <w:b/>
                      <w:sz w:val="18"/>
                      <w:szCs w:val="18"/>
                    </w:rPr>
                  </w:pPr>
                  <w:r>
                    <w:rPr>
                      <w:rFonts w:hint="eastAsia" w:ascii="宋体" w:hAnsi="宋体" w:cs="宋体"/>
                      <w:b/>
                      <w:sz w:val="18"/>
                      <w:szCs w:val="18"/>
                    </w:rPr>
                    <w:t>风速</w:t>
                  </w:r>
                </w:p>
                <w:p>
                  <w:pPr>
                    <w:spacing w:line="276" w:lineRule="auto"/>
                    <w:rPr>
                      <w:b/>
                      <w:sz w:val="18"/>
                      <w:szCs w:val="18"/>
                    </w:rPr>
                  </w:pPr>
                  <w:r>
                    <w:rPr>
                      <w:sz w:val="18"/>
                      <w:szCs w:val="18"/>
                    </w:rPr>
                    <w:t>测量范围：0.4m/s~20m/s</w:t>
                  </w:r>
                </w:p>
              </w:tc>
              <w:tc>
                <w:tcPr>
                  <w:tcW w:w="2065" w:type="pct"/>
                  <w:vAlign w:val="center"/>
                </w:tcPr>
                <w:p>
                  <w:pPr>
                    <w:snapToGrid w:val="0"/>
                    <w:spacing w:line="276" w:lineRule="auto"/>
                    <w:rPr>
                      <w:snapToGrid w:val="0"/>
                      <w:kern w:val="0"/>
                      <w:sz w:val="18"/>
                      <w:szCs w:val="18"/>
                    </w:rPr>
                  </w:pPr>
                  <w:r>
                    <w:rPr>
                      <w:b/>
                      <w:snapToGrid w:val="0"/>
                      <w:kern w:val="0"/>
                      <w:sz w:val="18"/>
                      <w:szCs w:val="18"/>
                    </w:rPr>
                    <w:t>校准单位：</w:t>
                  </w:r>
                  <w:r>
                    <w:rPr>
                      <w:rFonts w:hint="eastAsia"/>
                      <w:snapToGrid w:val="0"/>
                      <w:kern w:val="0"/>
                      <w:sz w:val="18"/>
                      <w:szCs w:val="18"/>
                    </w:rPr>
                    <w:t>湖北省计量测试技术研究院</w:t>
                  </w:r>
                </w:p>
                <w:p>
                  <w:pPr>
                    <w:snapToGrid w:val="0"/>
                    <w:spacing w:line="276" w:lineRule="auto"/>
                    <w:rPr>
                      <w:snapToGrid w:val="0"/>
                      <w:kern w:val="0"/>
                      <w:sz w:val="18"/>
                      <w:szCs w:val="18"/>
                    </w:rPr>
                  </w:pPr>
                  <w:r>
                    <w:rPr>
                      <w:b/>
                      <w:snapToGrid w:val="0"/>
                      <w:kern w:val="0"/>
                      <w:sz w:val="18"/>
                      <w:szCs w:val="18"/>
                    </w:rPr>
                    <w:t>证书编号：</w:t>
                  </w:r>
                  <w:r>
                    <w:rPr>
                      <w:snapToGrid w:val="0"/>
                      <w:kern w:val="0"/>
                      <w:sz w:val="18"/>
                      <w:szCs w:val="18"/>
                    </w:rPr>
                    <w:t>2024RG011802758</w:t>
                  </w:r>
                </w:p>
                <w:p>
                  <w:pPr>
                    <w:snapToGrid w:val="0"/>
                    <w:spacing w:line="276" w:lineRule="auto"/>
                    <w:rPr>
                      <w:snapToGrid w:val="0"/>
                      <w:kern w:val="0"/>
                      <w:sz w:val="18"/>
                      <w:szCs w:val="18"/>
                    </w:rPr>
                  </w:pPr>
                  <w:r>
                    <w:rPr>
                      <w:b/>
                      <w:snapToGrid w:val="0"/>
                      <w:kern w:val="0"/>
                      <w:sz w:val="18"/>
                      <w:szCs w:val="18"/>
                    </w:rPr>
                    <w:t>有效期：</w:t>
                  </w:r>
                  <w:r>
                    <w:rPr>
                      <w:snapToGrid w:val="0"/>
                      <w:kern w:val="0"/>
                      <w:sz w:val="18"/>
                      <w:szCs w:val="18"/>
                    </w:rPr>
                    <w:t>2024.12.06-2025.12.05</w:t>
                  </w:r>
                </w:p>
                <w:p>
                  <w:pPr>
                    <w:snapToGrid w:val="0"/>
                    <w:spacing w:line="276" w:lineRule="auto"/>
                    <w:rPr>
                      <w:b/>
                      <w:snapToGrid w:val="0"/>
                      <w:kern w:val="0"/>
                      <w:sz w:val="18"/>
                      <w:szCs w:val="18"/>
                    </w:rPr>
                  </w:pPr>
                </w:p>
                <w:p>
                  <w:pPr>
                    <w:snapToGrid w:val="0"/>
                    <w:spacing w:line="276" w:lineRule="auto"/>
                    <w:rPr>
                      <w:b/>
                      <w:snapToGrid w:val="0"/>
                      <w:kern w:val="0"/>
                      <w:sz w:val="18"/>
                      <w:szCs w:val="18"/>
                    </w:rPr>
                  </w:pPr>
                  <w:r>
                    <w:rPr>
                      <w:rFonts w:hint="eastAsia"/>
                      <w:b/>
                      <w:snapToGrid w:val="0"/>
                      <w:kern w:val="0"/>
                      <w:sz w:val="18"/>
                      <w:szCs w:val="18"/>
                    </w:rPr>
                    <w:t>检定</w:t>
                  </w:r>
                  <w:r>
                    <w:rPr>
                      <w:b/>
                      <w:snapToGrid w:val="0"/>
                      <w:kern w:val="0"/>
                      <w:sz w:val="18"/>
                      <w:szCs w:val="18"/>
                    </w:rPr>
                    <w:t>单位：</w:t>
                  </w:r>
                  <w:r>
                    <w:rPr>
                      <w:rFonts w:hint="eastAsia"/>
                      <w:snapToGrid w:val="0"/>
                      <w:kern w:val="0"/>
                      <w:sz w:val="18"/>
                      <w:szCs w:val="18"/>
                    </w:rPr>
                    <w:t>湖北省气象计量检定站</w:t>
                  </w:r>
                </w:p>
                <w:p>
                  <w:pPr>
                    <w:snapToGrid w:val="0"/>
                    <w:spacing w:line="276" w:lineRule="auto"/>
                    <w:rPr>
                      <w:b/>
                      <w:snapToGrid w:val="0"/>
                      <w:kern w:val="0"/>
                      <w:sz w:val="18"/>
                      <w:szCs w:val="18"/>
                    </w:rPr>
                  </w:pPr>
                  <w:r>
                    <w:rPr>
                      <w:rFonts w:hint="eastAsia"/>
                      <w:b/>
                      <w:snapToGrid w:val="0"/>
                      <w:kern w:val="0"/>
                      <w:sz w:val="18"/>
                      <w:szCs w:val="18"/>
                    </w:rPr>
                    <w:t>证书</w:t>
                  </w:r>
                  <w:r>
                    <w:rPr>
                      <w:b/>
                      <w:snapToGrid w:val="0"/>
                      <w:kern w:val="0"/>
                      <w:sz w:val="18"/>
                      <w:szCs w:val="18"/>
                    </w:rPr>
                    <w:t>编号：</w:t>
                  </w:r>
                  <w:r>
                    <w:rPr>
                      <w:rFonts w:hint="eastAsia"/>
                      <w:snapToGrid w:val="0"/>
                      <w:kern w:val="0"/>
                      <w:sz w:val="18"/>
                      <w:szCs w:val="18"/>
                    </w:rPr>
                    <w:t>鄂气检42412149</w:t>
                  </w:r>
                </w:p>
                <w:p>
                  <w:pPr>
                    <w:snapToGrid w:val="0"/>
                    <w:spacing w:line="276" w:lineRule="auto"/>
                    <w:rPr>
                      <w:b/>
                      <w:snapToGrid w:val="0"/>
                      <w:kern w:val="0"/>
                      <w:sz w:val="18"/>
                      <w:szCs w:val="18"/>
                    </w:rPr>
                  </w:pPr>
                  <w:r>
                    <w:rPr>
                      <w:rFonts w:hint="eastAsia"/>
                      <w:b/>
                      <w:snapToGrid w:val="0"/>
                      <w:kern w:val="0"/>
                      <w:sz w:val="18"/>
                      <w:szCs w:val="18"/>
                    </w:rPr>
                    <w:t>有效期</w:t>
                  </w:r>
                  <w:r>
                    <w:rPr>
                      <w:b/>
                      <w:snapToGrid w:val="0"/>
                      <w:kern w:val="0"/>
                      <w:sz w:val="18"/>
                      <w:szCs w:val="18"/>
                    </w:rPr>
                    <w:t>：</w:t>
                  </w:r>
                  <w:r>
                    <w:rPr>
                      <w:snapToGrid w:val="0"/>
                      <w:kern w:val="0"/>
                      <w:sz w:val="18"/>
                      <w:szCs w:val="18"/>
                    </w:rPr>
                    <w:t>2024.12.04-2025.12.03</w:t>
                  </w:r>
                </w:p>
              </w:tc>
            </w:tr>
          </w:tbl>
          <w:p>
            <w:pPr>
              <w:pStyle w:val="5"/>
              <w:numPr>
                <w:ilvl w:val="1"/>
                <w:numId w:val="9"/>
              </w:numPr>
              <w:spacing w:before="0" w:after="0" w:line="360" w:lineRule="auto"/>
              <w:rPr>
                <w:rFonts w:eastAsia="宋体"/>
                <w:sz w:val="24"/>
                <w:szCs w:val="24"/>
              </w:rPr>
            </w:pPr>
            <w:bookmarkStart w:id="519" w:name="_Toc109473881"/>
            <w:bookmarkStart w:id="520" w:name="_Toc109473802"/>
            <w:bookmarkStart w:id="521" w:name="_Toc14153"/>
            <w:bookmarkStart w:id="522" w:name="_Toc109473568"/>
            <w:bookmarkStart w:id="523" w:name="_Toc96935416"/>
            <w:bookmarkStart w:id="524" w:name="_Toc88558522"/>
            <w:bookmarkStart w:id="525" w:name="_Toc109472629"/>
            <w:bookmarkStart w:id="526" w:name="_Toc28185"/>
            <w:bookmarkStart w:id="527" w:name="_Toc81308152"/>
            <w:bookmarkStart w:id="528" w:name="_Toc8904"/>
            <w:bookmarkStart w:id="529" w:name="_Toc111564320"/>
            <w:bookmarkStart w:id="530" w:name="_Toc81415624"/>
            <w:bookmarkStart w:id="531" w:name="_Toc85037216"/>
            <w:bookmarkStart w:id="532" w:name="_Toc96031379"/>
            <w:bookmarkStart w:id="533" w:name="_Toc91493268"/>
            <w:bookmarkStart w:id="534" w:name="_Toc97290586"/>
            <w:bookmarkStart w:id="535" w:name="_Toc95464670"/>
            <w:bookmarkStart w:id="536" w:name="_Toc110439156"/>
            <w:bookmarkStart w:id="537" w:name="_Toc91532175"/>
            <w:bookmarkStart w:id="538" w:name="_Toc96031296"/>
            <w:bookmarkStart w:id="539" w:name="_Toc85036882"/>
            <w:r>
              <w:rPr>
                <w:rFonts w:eastAsia="宋体"/>
                <w:sz w:val="24"/>
                <w:szCs w:val="24"/>
              </w:rPr>
              <w:t>监测结果及分析</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pPr>
              <w:pStyle w:val="11"/>
            </w:pPr>
            <w:r>
              <w:rPr>
                <w:rFonts w:hint="eastAsia"/>
                <w:color w:val="000000"/>
              </w:rPr>
              <w:t>武汉中电工程检测有限公司具备相应的监测资质和能力，按环评的布点等监测要求开展了监测工作并出具了检测报告。本环评对武汉中电工程检测有限公司的检测报告按照技术导则规范进行了审核确认。</w:t>
            </w:r>
            <w:r>
              <w:rPr>
                <w:color w:val="000000"/>
                <w:szCs w:val="24"/>
              </w:rPr>
              <w:t>本工程</w:t>
            </w:r>
            <w:r>
              <w:rPr>
                <w:szCs w:val="24"/>
              </w:rPr>
              <w:t>声环境现状监测结果</w:t>
            </w:r>
            <w:r>
              <w:rPr>
                <w:color w:val="000000"/>
                <w:szCs w:val="24"/>
              </w:rPr>
              <w:t>见</w:t>
            </w:r>
            <w:r>
              <w:rPr>
                <w:color w:val="000000"/>
                <w:szCs w:val="24"/>
              </w:rPr>
              <w:fldChar w:fldCharType="begin"/>
            </w:r>
            <w:r>
              <w:rPr>
                <w:color w:val="000000"/>
                <w:szCs w:val="24"/>
              </w:rPr>
              <w:instrText xml:space="preserve"> REF _Ref157246590 \h  \* MERGEFORMAT </w:instrText>
            </w:r>
            <w:r>
              <w:rPr>
                <w:color w:val="000000"/>
                <w:szCs w:val="24"/>
              </w:rPr>
              <w:fldChar w:fldCharType="separate"/>
            </w:r>
            <w:r>
              <w:rPr>
                <w:color w:val="000000"/>
                <w:szCs w:val="24"/>
              </w:rPr>
              <w:t>表 10</w:t>
            </w:r>
            <w:r>
              <w:rPr>
                <w:color w:val="000000"/>
                <w:szCs w:val="24"/>
              </w:rPr>
              <w:fldChar w:fldCharType="end"/>
            </w:r>
            <w:r>
              <w:rPr>
                <w:color w:val="000000"/>
                <w:szCs w:val="24"/>
              </w:rPr>
              <w:t>。</w:t>
            </w:r>
            <w:bookmarkStart w:id="540" w:name="_Ref388020174"/>
            <w:r>
              <w:rPr>
                <w:rFonts w:hint="eastAsia"/>
              </w:rPr>
              <w:t>本环评对声环境现状监测结果按《数值修约规则与极限数值的表示和判定》（</w:t>
            </w:r>
            <w:r>
              <w:t>GB/T8170-2008</w:t>
            </w:r>
            <w:r>
              <w:rPr>
                <w:rFonts w:hint="eastAsia"/>
              </w:rPr>
              <w:t>）修约到个位数进行评价。</w:t>
            </w:r>
          </w:p>
          <w:bookmarkEnd w:id="540"/>
          <w:p>
            <w:pPr>
              <w:pStyle w:val="18"/>
              <w:keepNext/>
              <w:rPr>
                <w:rFonts w:hint="eastAsia" w:ascii="黑体" w:hAnsi="黑体"/>
                <w:b/>
              </w:rPr>
            </w:pPr>
            <w:bookmarkStart w:id="541" w:name="_Ref157246590"/>
            <w:r>
              <w:rPr>
                <w:rFonts w:ascii="黑体" w:hAnsi="黑体"/>
                <w:b/>
              </w:rPr>
              <w:t xml:space="preserve">表 </w:t>
            </w:r>
            <w:r>
              <w:rPr>
                <w:rFonts w:ascii="Times New Roman" w:hAnsi="Times New Roman"/>
                <w:b/>
              </w:rPr>
              <w:fldChar w:fldCharType="begin"/>
            </w:r>
            <w:r>
              <w:rPr>
                <w:rFonts w:ascii="Times New Roman" w:hAnsi="Times New Roman"/>
                <w:b/>
              </w:rPr>
              <w:instrText xml:space="preserve"> SEQ 表 \* ARABIC </w:instrText>
            </w:r>
            <w:r>
              <w:rPr>
                <w:rFonts w:ascii="Times New Roman" w:hAnsi="Times New Roman"/>
                <w:b/>
              </w:rPr>
              <w:fldChar w:fldCharType="separate"/>
            </w:r>
            <w:r>
              <w:rPr>
                <w:rFonts w:ascii="Times New Roman" w:hAnsi="Times New Roman"/>
                <w:b/>
              </w:rPr>
              <w:t>10</w:t>
            </w:r>
            <w:r>
              <w:rPr>
                <w:rFonts w:ascii="Times New Roman" w:hAnsi="Times New Roman"/>
                <w:b/>
              </w:rPr>
              <w:fldChar w:fldCharType="end"/>
            </w:r>
            <w:bookmarkEnd w:id="541"/>
            <w:r>
              <w:rPr>
                <w:rFonts w:ascii="黑体" w:hAnsi="黑体"/>
                <w:b/>
              </w:rPr>
              <w:t xml:space="preserve">                  </w:t>
            </w:r>
            <w:r>
              <w:rPr>
                <w:rFonts w:hint="eastAsia" w:ascii="黑体" w:hAnsi="黑体"/>
                <w:b/>
              </w:rPr>
              <w:t>声环境现状监测结果</w:t>
            </w:r>
            <w:r>
              <w:rPr>
                <w:rFonts w:ascii="黑体" w:hAnsi="黑体"/>
                <w:b/>
              </w:rPr>
              <w:t xml:space="preserve">              单位： </w:t>
            </w:r>
            <w:r>
              <w:rPr>
                <w:rFonts w:ascii="Times New Roman" w:hAnsi="Times New Roman"/>
                <w:b/>
              </w:rPr>
              <w:t>dB(A)</w:t>
            </w:r>
          </w:p>
          <w:tbl>
            <w:tblPr>
              <w:tblStyle w:val="43"/>
              <w:tblW w:w="48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2304"/>
              <w:gridCol w:w="708"/>
              <w:gridCol w:w="708"/>
              <w:gridCol w:w="710"/>
              <w:gridCol w:w="708"/>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tblHeader/>
                <w:jc w:val="center"/>
              </w:trPr>
              <w:tc>
                <w:tcPr>
                  <w:tcW w:w="238" w:type="pct"/>
                  <w:vMerge w:val="restart"/>
                  <w:vAlign w:val="center"/>
                </w:tcPr>
                <w:p>
                  <w:pPr>
                    <w:widowControl/>
                    <w:jc w:val="center"/>
                    <w:rPr>
                      <w:b/>
                      <w:bCs/>
                      <w:kern w:val="0"/>
                      <w:szCs w:val="21"/>
                    </w:rPr>
                  </w:pPr>
                  <w:r>
                    <w:rPr>
                      <w:b/>
                      <w:bCs/>
                      <w:kern w:val="0"/>
                      <w:szCs w:val="21"/>
                    </w:rPr>
                    <w:t>序号</w:t>
                  </w:r>
                </w:p>
              </w:tc>
              <w:tc>
                <w:tcPr>
                  <w:tcW w:w="1453" w:type="pct"/>
                  <w:vMerge w:val="restart"/>
                  <w:vAlign w:val="center"/>
                </w:tcPr>
                <w:p>
                  <w:pPr>
                    <w:widowControl/>
                    <w:jc w:val="center"/>
                    <w:rPr>
                      <w:b/>
                      <w:bCs/>
                      <w:kern w:val="0"/>
                      <w:szCs w:val="21"/>
                    </w:rPr>
                  </w:pPr>
                  <w:r>
                    <w:rPr>
                      <w:b/>
                      <w:bCs/>
                      <w:kern w:val="0"/>
                      <w:szCs w:val="21"/>
                    </w:rPr>
                    <w:t>检测点位</w:t>
                  </w:r>
                </w:p>
              </w:tc>
              <w:tc>
                <w:tcPr>
                  <w:tcW w:w="1789" w:type="pct"/>
                  <w:gridSpan w:val="4"/>
                  <w:vAlign w:val="center"/>
                </w:tcPr>
                <w:p>
                  <w:pPr>
                    <w:widowControl/>
                    <w:jc w:val="center"/>
                    <w:rPr>
                      <w:b/>
                      <w:snapToGrid w:val="0"/>
                      <w:kern w:val="0"/>
                      <w:szCs w:val="21"/>
                    </w:rPr>
                  </w:pPr>
                  <w:r>
                    <w:rPr>
                      <w:b/>
                      <w:snapToGrid w:val="0"/>
                      <w:kern w:val="0"/>
                      <w:szCs w:val="21"/>
                    </w:rPr>
                    <w:t>等效连续A声级</w:t>
                  </w:r>
                </w:p>
                <w:p>
                  <w:pPr>
                    <w:widowControl/>
                    <w:jc w:val="center"/>
                    <w:rPr>
                      <w:b/>
                      <w:bCs/>
                      <w:kern w:val="0"/>
                      <w:szCs w:val="21"/>
                    </w:rPr>
                  </w:pPr>
                  <w:r>
                    <w:rPr>
                      <w:b/>
                      <w:snapToGrid w:val="0"/>
                      <w:kern w:val="0"/>
                      <w:szCs w:val="21"/>
                    </w:rPr>
                    <w:t>（L</w:t>
                  </w:r>
                  <w:r>
                    <w:rPr>
                      <w:b/>
                      <w:snapToGrid w:val="0"/>
                      <w:kern w:val="0"/>
                      <w:szCs w:val="21"/>
                      <w:vertAlign w:val="subscript"/>
                    </w:rPr>
                    <w:t>eq</w:t>
                  </w:r>
                  <w:r>
                    <w:rPr>
                      <w:sz w:val="22"/>
                    </w:rPr>
                    <w:t>，</w:t>
                  </w:r>
                  <w:r>
                    <w:rPr>
                      <w:b/>
                      <w:sz w:val="24"/>
                    </w:rPr>
                    <w:t>dB(A)</w:t>
                  </w:r>
                  <w:r>
                    <w:rPr>
                      <w:b/>
                      <w:snapToGrid w:val="0"/>
                      <w:kern w:val="0"/>
                      <w:szCs w:val="21"/>
                    </w:rPr>
                    <w:t>）</w:t>
                  </w:r>
                </w:p>
              </w:tc>
              <w:tc>
                <w:tcPr>
                  <w:tcW w:w="1520" w:type="pct"/>
                  <w:vMerge w:val="restart"/>
                  <w:vAlign w:val="center"/>
                </w:tcPr>
                <w:p>
                  <w:pPr>
                    <w:widowControl/>
                    <w:jc w:val="center"/>
                    <w:rPr>
                      <w:b/>
                      <w:bCs/>
                      <w:kern w:val="0"/>
                      <w:szCs w:val="21"/>
                    </w:rPr>
                  </w:pPr>
                  <w:r>
                    <w:rPr>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238" w:type="pct"/>
                  <w:vMerge w:val="continue"/>
                  <w:vAlign w:val="center"/>
                </w:tcPr>
                <w:p>
                  <w:pPr>
                    <w:widowControl/>
                    <w:jc w:val="center"/>
                    <w:rPr>
                      <w:b/>
                      <w:bCs/>
                      <w:kern w:val="0"/>
                      <w:szCs w:val="21"/>
                    </w:rPr>
                  </w:pPr>
                </w:p>
              </w:tc>
              <w:tc>
                <w:tcPr>
                  <w:tcW w:w="1453" w:type="pct"/>
                  <w:vMerge w:val="continue"/>
                  <w:vAlign w:val="center"/>
                </w:tcPr>
                <w:p>
                  <w:pPr>
                    <w:widowControl/>
                    <w:jc w:val="center"/>
                    <w:rPr>
                      <w:b/>
                      <w:bCs/>
                      <w:kern w:val="0"/>
                      <w:szCs w:val="21"/>
                    </w:rPr>
                  </w:pPr>
                </w:p>
              </w:tc>
              <w:tc>
                <w:tcPr>
                  <w:tcW w:w="893" w:type="pct"/>
                  <w:gridSpan w:val="2"/>
                  <w:vAlign w:val="center"/>
                </w:tcPr>
                <w:p>
                  <w:pPr>
                    <w:widowControl/>
                    <w:jc w:val="center"/>
                    <w:rPr>
                      <w:b/>
                      <w:snapToGrid w:val="0"/>
                      <w:kern w:val="0"/>
                      <w:szCs w:val="21"/>
                    </w:rPr>
                  </w:pPr>
                  <w:r>
                    <w:rPr>
                      <w:b/>
                      <w:snapToGrid w:val="0"/>
                      <w:kern w:val="0"/>
                      <w:szCs w:val="21"/>
                    </w:rPr>
                    <w:t>测量值</w:t>
                  </w:r>
                </w:p>
              </w:tc>
              <w:tc>
                <w:tcPr>
                  <w:tcW w:w="895" w:type="pct"/>
                  <w:gridSpan w:val="2"/>
                  <w:vAlign w:val="center"/>
                </w:tcPr>
                <w:p>
                  <w:pPr>
                    <w:widowControl/>
                    <w:jc w:val="center"/>
                    <w:rPr>
                      <w:b/>
                      <w:bCs/>
                      <w:kern w:val="0"/>
                      <w:szCs w:val="21"/>
                    </w:rPr>
                  </w:pPr>
                  <w:r>
                    <w:rPr>
                      <w:b/>
                      <w:snapToGrid w:val="0"/>
                      <w:kern w:val="0"/>
                      <w:szCs w:val="21"/>
                    </w:rPr>
                    <w:t>修约值</w:t>
                  </w:r>
                </w:p>
              </w:tc>
              <w:tc>
                <w:tcPr>
                  <w:tcW w:w="1520" w:type="pct"/>
                  <w:vMerge w:val="continue"/>
                  <w:vAlign w:val="center"/>
                </w:tcPr>
                <w:p>
                  <w:pPr>
                    <w:widowControl/>
                    <w:jc w:val="center"/>
                    <w:rPr>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6" w:hRule="atLeast"/>
                <w:tblHeader/>
                <w:jc w:val="center"/>
              </w:trPr>
              <w:tc>
                <w:tcPr>
                  <w:tcW w:w="238" w:type="pct"/>
                  <w:vMerge w:val="continue"/>
                  <w:vAlign w:val="center"/>
                </w:tcPr>
                <w:p>
                  <w:pPr>
                    <w:widowControl/>
                    <w:jc w:val="center"/>
                    <w:rPr>
                      <w:b/>
                      <w:bCs/>
                      <w:kern w:val="0"/>
                      <w:szCs w:val="21"/>
                    </w:rPr>
                  </w:pPr>
                </w:p>
              </w:tc>
              <w:tc>
                <w:tcPr>
                  <w:tcW w:w="1453" w:type="pct"/>
                  <w:vMerge w:val="continue"/>
                  <w:vAlign w:val="center"/>
                </w:tcPr>
                <w:p>
                  <w:pPr>
                    <w:widowControl/>
                    <w:jc w:val="center"/>
                    <w:rPr>
                      <w:b/>
                      <w:bCs/>
                      <w:kern w:val="0"/>
                      <w:szCs w:val="21"/>
                    </w:rPr>
                  </w:pPr>
                </w:p>
              </w:tc>
              <w:tc>
                <w:tcPr>
                  <w:tcW w:w="447" w:type="pct"/>
                  <w:vAlign w:val="center"/>
                </w:tcPr>
                <w:p>
                  <w:pPr>
                    <w:widowControl/>
                    <w:jc w:val="center"/>
                    <w:rPr>
                      <w:b/>
                      <w:bCs/>
                      <w:kern w:val="0"/>
                      <w:szCs w:val="21"/>
                    </w:rPr>
                  </w:pPr>
                  <w:r>
                    <w:rPr>
                      <w:b/>
                      <w:snapToGrid w:val="0"/>
                      <w:kern w:val="0"/>
                      <w:szCs w:val="21"/>
                    </w:rPr>
                    <w:t>昼间</w:t>
                  </w:r>
                </w:p>
              </w:tc>
              <w:tc>
                <w:tcPr>
                  <w:tcW w:w="447" w:type="pct"/>
                  <w:vAlign w:val="center"/>
                </w:tcPr>
                <w:p>
                  <w:pPr>
                    <w:widowControl/>
                    <w:jc w:val="center"/>
                    <w:rPr>
                      <w:b/>
                      <w:bCs/>
                      <w:kern w:val="0"/>
                      <w:szCs w:val="21"/>
                    </w:rPr>
                  </w:pPr>
                  <w:r>
                    <w:rPr>
                      <w:b/>
                      <w:snapToGrid w:val="0"/>
                      <w:kern w:val="0"/>
                      <w:szCs w:val="21"/>
                    </w:rPr>
                    <w:t>夜间</w:t>
                  </w:r>
                </w:p>
              </w:tc>
              <w:tc>
                <w:tcPr>
                  <w:tcW w:w="448" w:type="pct"/>
                  <w:vAlign w:val="center"/>
                </w:tcPr>
                <w:p>
                  <w:pPr>
                    <w:widowControl/>
                    <w:jc w:val="center"/>
                    <w:rPr>
                      <w:b/>
                      <w:bCs/>
                      <w:kern w:val="0"/>
                      <w:szCs w:val="21"/>
                    </w:rPr>
                  </w:pPr>
                  <w:r>
                    <w:rPr>
                      <w:b/>
                      <w:snapToGrid w:val="0"/>
                      <w:kern w:val="0"/>
                      <w:szCs w:val="21"/>
                    </w:rPr>
                    <w:t>昼间</w:t>
                  </w:r>
                </w:p>
              </w:tc>
              <w:tc>
                <w:tcPr>
                  <w:tcW w:w="447" w:type="pct"/>
                  <w:vAlign w:val="center"/>
                </w:tcPr>
                <w:p>
                  <w:pPr>
                    <w:widowControl/>
                    <w:jc w:val="center"/>
                    <w:rPr>
                      <w:b/>
                      <w:bCs/>
                      <w:kern w:val="0"/>
                      <w:szCs w:val="21"/>
                    </w:rPr>
                  </w:pPr>
                  <w:r>
                    <w:rPr>
                      <w:b/>
                      <w:snapToGrid w:val="0"/>
                      <w:kern w:val="0"/>
                      <w:szCs w:val="21"/>
                    </w:rPr>
                    <w:t>夜间</w:t>
                  </w:r>
                </w:p>
              </w:tc>
              <w:tc>
                <w:tcPr>
                  <w:tcW w:w="1520" w:type="pct"/>
                  <w:vMerge w:val="continue"/>
                  <w:vAlign w:val="center"/>
                </w:tcPr>
                <w:p>
                  <w:pPr>
                    <w:widowControl/>
                    <w:jc w:val="center"/>
                    <w:rPr>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00" w:type="pct"/>
                  <w:gridSpan w:val="7"/>
                  <w:vAlign w:val="center"/>
                </w:tcPr>
                <w:p>
                  <w:pPr>
                    <w:widowControl/>
                    <w:jc w:val="center"/>
                    <w:rPr>
                      <w:szCs w:val="21"/>
                      <w:highlight w:val="yellow"/>
                    </w:rPr>
                  </w:pPr>
                  <w:r>
                    <w:rPr>
                      <w:b/>
                      <w:kern w:val="0"/>
                      <w:szCs w:val="21"/>
                    </w:rPr>
                    <w:t>（一）新建东环110千伏变电站工程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8" w:type="pct"/>
                  <w:vAlign w:val="center"/>
                </w:tcPr>
                <w:p>
                  <w:pPr>
                    <w:pStyle w:val="114"/>
                    <w:widowControl/>
                    <w:numPr>
                      <w:ilvl w:val="0"/>
                      <w:numId w:val="16"/>
                    </w:numPr>
                    <w:ind w:left="0" w:firstLine="0" w:firstLineChars="0"/>
                    <w:jc w:val="center"/>
                    <w:rPr>
                      <w:kern w:val="0"/>
                      <w:szCs w:val="21"/>
                    </w:rPr>
                  </w:pPr>
                </w:p>
              </w:tc>
              <w:tc>
                <w:tcPr>
                  <w:tcW w:w="1453" w:type="pct"/>
                  <w:vAlign w:val="center"/>
                </w:tcPr>
                <w:p>
                  <w:pPr>
                    <w:widowControl/>
                    <w:jc w:val="center"/>
                    <w:rPr>
                      <w:kern w:val="0"/>
                      <w:szCs w:val="21"/>
                    </w:rPr>
                  </w:pPr>
                  <w:r>
                    <w:rPr>
                      <w:kern w:val="0"/>
                      <w:szCs w:val="21"/>
                    </w:rPr>
                    <w:t>东环110kV变电站站址东北侧1#</w:t>
                  </w:r>
                </w:p>
              </w:tc>
              <w:tc>
                <w:tcPr>
                  <w:tcW w:w="447" w:type="pct"/>
                  <w:vAlign w:val="center"/>
                </w:tcPr>
                <w:p>
                  <w:pPr>
                    <w:widowControl/>
                    <w:jc w:val="center"/>
                    <w:rPr>
                      <w:kern w:val="0"/>
                      <w:szCs w:val="21"/>
                    </w:rPr>
                  </w:pPr>
                  <w:r>
                    <w:rPr>
                      <w:kern w:val="0"/>
                      <w:szCs w:val="21"/>
                    </w:rPr>
                    <w:t xml:space="preserve">43.3 </w:t>
                  </w:r>
                </w:p>
              </w:tc>
              <w:tc>
                <w:tcPr>
                  <w:tcW w:w="447" w:type="pct"/>
                  <w:vAlign w:val="center"/>
                </w:tcPr>
                <w:p>
                  <w:pPr>
                    <w:widowControl/>
                    <w:jc w:val="center"/>
                    <w:rPr>
                      <w:kern w:val="0"/>
                      <w:szCs w:val="21"/>
                    </w:rPr>
                  </w:pPr>
                  <w:r>
                    <w:rPr>
                      <w:kern w:val="0"/>
                      <w:szCs w:val="21"/>
                    </w:rPr>
                    <w:t xml:space="preserve">39.7 </w:t>
                  </w:r>
                </w:p>
              </w:tc>
              <w:tc>
                <w:tcPr>
                  <w:tcW w:w="448" w:type="pct"/>
                  <w:vAlign w:val="center"/>
                </w:tcPr>
                <w:p>
                  <w:pPr>
                    <w:widowControl/>
                    <w:jc w:val="center"/>
                    <w:rPr>
                      <w:kern w:val="0"/>
                      <w:szCs w:val="21"/>
                    </w:rPr>
                  </w:pPr>
                  <w:r>
                    <w:rPr>
                      <w:kern w:val="0"/>
                      <w:szCs w:val="21"/>
                    </w:rPr>
                    <w:t>43</w:t>
                  </w:r>
                </w:p>
              </w:tc>
              <w:tc>
                <w:tcPr>
                  <w:tcW w:w="447" w:type="pct"/>
                  <w:vAlign w:val="center"/>
                </w:tcPr>
                <w:p>
                  <w:pPr>
                    <w:widowControl/>
                    <w:jc w:val="center"/>
                    <w:rPr>
                      <w:kern w:val="0"/>
                      <w:szCs w:val="21"/>
                    </w:rPr>
                  </w:pPr>
                  <w:r>
                    <w:rPr>
                      <w:kern w:val="0"/>
                      <w:szCs w:val="21"/>
                    </w:rPr>
                    <w:t>40</w:t>
                  </w:r>
                </w:p>
              </w:tc>
              <w:tc>
                <w:tcPr>
                  <w:tcW w:w="1520" w:type="pct"/>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8" w:type="pct"/>
                  <w:vAlign w:val="center"/>
                </w:tcPr>
                <w:p>
                  <w:pPr>
                    <w:pStyle w:val="114"/>
                    <w:widowControl/>
                    <w:numPr>
                      <w:ilvl w:val="0"/>
                      <w:numId w:val="16"/>
                    </w:numPr>
                    <w:ind w:left="0" w:firstLine="0" w:firstLineChars="0"/>
                    <w:jc w:val="center"/>
                    <w:rPr>
                      <w:kern w:val="0"/>
                      <w:szCs w:val="21"/>
                    </w:rPr>
                  </w:pPr>
                </w:p>
              </w:tc>
              <w:tc>
                <w:tcPr>
                  <w:tcW w:w="1453" w:type="pct"/>
                  <w:vAlign w:val="center"/>
                </w:tcPr>
                <w:p>
                  <w:pPr>
                    <w:widowControl/>
                    <w:jc w:val="center"/>
                    <w:rPr>
                      <w:kern w:val="0"/>
                      <w:szCs w:val="21"/>
                    </w:rPr>
                  </w:pPr>
                  <w:r>
                    <w:rPr>
                      <w:kern w:val="0"/>
                      <w:szCs w:val="21"/>
                    </w:rPr>
                    <w:t>东环110kV变电站站址东南侧2#</w:t>
                  </w:r>
                </w:p>
              </w:tc>
              <w:tc>
                <w:tcPr>
                  <w:tcW w:w="447" w:type="pct"/>
                  <w:vAlign w:val="center"/>
                </w:tcPr>
                <w:p>
                  <w:pPr>
                    <w:widowControl/>
                    <w:jc w:val="center"/>
                    <w:rPr>
                      <w:kern w:val="0"/>
                      <w:szCs w:val="21"/>
                    </w:rPr>
                  </w:pPr>
                  <w:r>
                    <w:rPr>
                      <w:kern w:val="0"/>
                      <w:szCs w:val="21"/>
                    </w:rPr>
                    <w:t xml:space="preserve">43.7 </w:t>
                  </w:r>
                </w:p>
              </w:tc>
              <w:tc>
                <w:tcPr>
                  <w:tcW w:w="447" w:type="pct"/>
                  <w:vAlign w:val="center"/>
                </w:tcPr>
                <w:p>
                  <w:pPr>
                    <w:widowControl/>
                    <w:jc w:val="center"/>
                    <w:rPr>
                      <w:kern w:val="0"/>
                      <w:szCs w:val="21"/>
                    </w:rPr>
                  </w:pPr>
                  <w:r>
                    <w:rPr>
                      <w:kern w:val="0"/>
                      <w:szCs w:val="21"/>
                    </w:rPr>
                    <w:t xml:space="preserve">39.5 </w:t>
                  </w:r>
                </w:p>
              </w:tc>
              <w:tc>
                <w:tcPr>
                  <w:tcW w:w="448" w:type="pct"/>
                  <w:vAlign w:val="center"/>
                </w:tcPr>
                <w:p>
                  <w:pPr>
                    <w:widowControl/>
                    <w:jc w:val="center"/>
                    <w:rPr>
                      <w:kern w:val="0"/>
                      <w:szCs w:val="21"/>
                    </w:rPr>
                  </w:pPr>
                  <w:r>
                    <w:rPr>
                      <w:kern w:val="0"/>
                      <w:szCs w:val="21"/>
                    </w:rPr>
                    <w:t>44</w:t>
                  </w:r>
                </w:p>
              </w:tc>
              <w:tc>
                <w:tcPr>
                  <w:tcW w:w="447" w:type="pct"/>
                  <w:vAlign w:val="center"/>
                </w:tcPr>
                <w:p>
                  <w:pPr>
                    <w:widowControl/>
                    <w:jc w:val="center"/>
                    <w:rPr>
                      <w:kern w:val="0"/>
                      <w:szCs w:val="21"/>
                    </w:rPr>
                  </w:pPr>
                  <w:r>
                    <w:rPr>
                      <w:kern w:val="0"/>
                      <w:szCs w:val="21"/>
                    </w:rPr>
                    <w:t>40</w:t>
                  </w:r>
                </w:p>
              </w:tc>
              <w:tc>
                <w:tcPr>
                  <w:tcW w:w="1520" w:type="pct"/>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8" w:type="pct"/>
                  <w:vAlign w:val="center"/>
                </w:tcPr>
                <w:p>
                  <w:pPr>
                    <w:pStyle w:val="114"/>
                    <w:widowControl/>
                    <w:numPr>
                      <w:ilvl w:val="0"/>
                      <w:numId w:val="16"/>
                    </w:numPr>
                    <w:ind w:left="0" w:firstLine="0" w:firstLineChars="0"/>
                    <w:jc w:val="center"/>
                    <w:rPr>
                      <w:kern w:val="0"/>
                      <w:szCs w:val="21"/>
                    </w:rPr>
                  </w:pPr>
                </w:p>
              </w:tc>
              <w:tc>
                <w:tcPr>
                  <w:tcW w:w="1453" w:type="pct"/>
                  <w:vAlign w:val="center"/>
                </w:tcPr>
                <w:p>
                  <w:pPr>
                    <w:widowControl/>
                    <w:jc w:val="center"/>
                    <w:rPr>
                      <w:kern w:val="0"/>
                      <w:szCs w:val="21"/>
                    </w:rPr>
                  </w:pPr>
                  <w:r>
                    <w:rPr>
                      <w:kern w:val="0"/>
                      <w:szCs w:val="21"/>
                    </w:rPr>
                    <w:t>东环110kV变电站站址西南侧3#</w:t>
                  </w:r>
                </w:p>
              </w:tc>
              <w:tc>
                <w:tcPr>
                  <w:tcW w:w="447" w:type="pct"/>
                  <w:vAlign w:val="center"/>
                </w:tcPr>
                <w:p>
                  <w:pPr>
                    <w:widowControl/>
                    <w:jc w:val="center"/>
                    <w:rPr>
                      <w:kern w:val="0"/>
                      <w:szCs w:val="21"/>
                    </w:rPr>
                  </w:pPr>
                  <w:r>
                    <w:rPr>
                      <w:kern w:val="0"/>
                      <w:szCs w:val="21"/>
                    </w:rPr>
                    <w:t xml:space="preserve">43.7 </w:t>
                  </w:r>
                </w:p>
              </w:tc>
              <w:tc>
                <w:tcPr>
                  <w:tcW w:w="447" w:type="pct"/>
                  <w:vAlign w:val="center"/>
                </w:tcPr>
                <w:p>
                  <w:pPr>
                    <w:widowControl/>
                    <w:jc w:val="center"/>
                    <w:rPr>
                      <w:kern w:val="0"/>
                      <w:szCs w:val="21"/>
                    </w:rPr>
                  </w:pPr>
                  <w:r>
                    <w:rPr>
                      <w:kern w:val="0"/>
                      <w:szCs w:val="21"/>
                    </w:rPr>
                    <w:t xml:space="preserve">40.0 </w:t>
                  </w:r>
                </w:p>
              </w:tc>
              <w:tc>
                <w:tcPr>
                  <w:tcW w:w="448" w:type="pct"/>
                  <w:vAlign w:val="center"/>
                </w:tcPr>
                <w:p>
                  <w:pPr>
                    <w:widowControl/>
                    <w:jc w:val="center"/>
                    <w:rPr>
                      <w:kern w:val="0"/>
                      <w:szCs w:val="21"/>
                    </w:rPr>
                  </w:pPr>
                  <w:r>
                    <w:rPr>
                      <w:kern w:val="0"/>
                      <w:szCs w:val="21"/>
                    </w:rPr>
                    <w:t>44</w:t>
                  </w:r>
                </w:p>
              </w:tc>
              <w:tc>
                <w:tcPr>
                  <w:tcW w:w="447" w:type="pct"/>
                  <w:vAlign w:val="center"/>
                </w:tcPr>
                <w:p>
                  <w:pPr>
                    <w:widowControl/>
                    <w:jc w:val="center"/>
                    <w:rPr>
                      <w:kern w:val="0"/>
                      <w:szCs w:val="21"/>
                    </w:rPr>
                  </w:pPr>
                  <w:r>
                    <w:rPr>
                      <w:kern w:val="0"/>
                      <w:szCs w:val="21"/>
                    </w:rPr>
                    <w:t>40</w:t>
                  </w:r>
                </w:p>
              </w:tc>
              <w:tc>
                <w:tcPr>
                  <w:tcW w:w="1520" w:type="pct"/>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8" w:type="pct"/>
                  <w:vAlign w:val="center"/>
                </w:tcPr>
                <w:p>
                  <w:pPr>
                    <w:pStyle w:val="114"/>
                    <w:widowControl/>
                    <w:numPr>
                      <w:ilvl w:val="0"/>
                      <w:numId w:val="16"/>
                    </w:numPr>
                    <w:ind w:left="0" w:firstLine="0" w:firstLineChars="0"/>
                    <w:jc w:val="center"/>
                    <w:rPr>
                      <w:kern w:val="0"/>
                      <w:szCs w:val="21"/>
                    </w:rPr>
                  </w:pPr>
                </w:p>
              </w:tc>
              <w:tc>
                <w:tcPr>
                  <w:tcW w:w="1453" w:type="pct"/>
                  <w:vAlign w:val="center"/>
                </w:tcPr>
                <w:p>
                  <w:pPr>
                    <w:widowControl/>
                    <w:jc w:val="center"/>
                    <w:rPr>
                      <w:kern w:val="0"/>
                      <w:szCs w:val="21"/>
                    </w:rPr>
                  </w:pPr>
                  <w:r>
                    <w:rPr>
                      <w:kern w:val="0"/>
                      <w:szCs w:val="21"/>
                    </w:rPr>
                    <w:t>东环110kV变电站站址西北侧4#</w:t>
                  </w:r>
                </w:p>
              </w:tc>
              <w:tc>
                <w:tcPr>
                  <w:tcW w:w="447" w:type="pct"/>
                  <w:vAlign w:val="center"/>
                </w:tcPr>
                <w:p>
                  <w:pPr>
                    <w:widowControl/>
                    <w:jc w:val="center"/>
                    <w:rPr>
                      <w:kern w:val="0"/>
                      <w:szCs w:val="21"/>
                    </w:rPr>
                  </w:pPr>
                  <w:r>
                    <w:rPr>
                      <w:kern w:val="0"/>
                      <w:szCs w:val="21"/>
                    </w:rPr>
                    <w:t xml:space="preserve">42.9 </w:t>
                  </w:r>
                </w:p>
              </w:tc>
              <w:tc>
                <w:tcPr>
                  <w:tcW w:w="447" w:type="pct"/>
                  <w:vAlign w:val="center"/>
                </w:tcPr>
                <w:p>
                  <w:pPr>
                    <w:widowControl/>
                    <w:jc w:val="center"/>
                    <w:rPr>
                      <w:kern w:val="0"/>
                      <w:szCs w:val="21"/>
                    </w:rPr>
                  </w:pPr>
                  <w:r>
                    <w:rPr>
                      <w:kern w:val="0"/>
                      <w:szCs w:val="21"/>
                    </w:rPr>
                    <w:t xml:space="preserve">39.3 </w:t>
                  </w:r>
                </w:p>
              </w:tc>
              <w:tc>
                <w:tcPr>
                  <w:tcW w:w="448" w:type="pct"/>
                  <w:vAlign w:val="center"/>
                </w:tcPr>
                <w:p>
                  <w:pPr>
                    <w:widowControl/>
                    <w:jc w:val="center"/>
                    <w:rPr>
                      <w:kern w:val="0"/>
                      <w:szCs w:val="21"/>
                    </w:rPr>
                  </w:pPr>
                  <w:r>
                    <w:rPr>
                      <w:kern w:val="0"/>
                      <w:szCs w:val="21"/>
                    </w:rPr>
                    <w:t>43</w:t>
                  </w:r>
                </w:p>
              </w:tc>
              <w:tc>
                <w:tcPr>
                  <w:tcW w:w="447" w:type="pct"/>
                  <w:vAlign w:val="center"/>
                </w:tcPr>
                <w:p>
                  <w:pPr>
                    <w:widowControl/>
                    <w:jc w:val="center"/>
                    <w:rPr>
                      <w:kern w:val="0"/>
                      <w:szCs w:val="21"/>
                    </w:rPr>
                  </w:pPr>
                  <w:r>
                    <w:rPr>
                      <w:kern w:val="0"/>
                      <w:szCs w:val="21"/>
                    </w:rPr>
                    <w:t>39</w:t>
                  </w:r>
                </w:p>
              </w:tc>
              <w:tc>
                <w:tcPr>
                  <w:tcW w:w="1520" w:type="pct"/>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8" w:type="pct"/>
                  <w:vAlign w:val="center"/>
                </w:tcPr>
                <w:p>
                  <w:pPr>
                    <w:pStyle w:val="114"/>
                    <w:widowControl/>
                    <w:numPr>
                      <w:ilvl w:val="0"/>
                      <w:numId w:val="16"/>
                    </w:numPr>
                    <w:ind w:left="0" w:firstLine="0" w:firstLineChars="0"/>
                    <w:jc w:val="center"/>
                    <w:rPr>
                      <w:kern w:val="0"/>
                      <w:szCs w:val="21"/>
                    </w:rPr>
                  </w:pPr>
                </w:p>
              </w:tc>
              <w:tc>
                <w:tcPr>
                  <w:tcW w:w="1453" w:type="pct"/>
                  <w:vAlign w:val="center"/>
                </w:tcPr>
                <w:p>
                  <w:pPr>
                    <w:widowControl/>
                    <w:jc w:val="center"/>
                    <w:rPr>
                      <w:kern w:val="0"/>
                      <w:szCs w:val="21"/>
                    </w:rPr>
                  </w:pPr>
                  <w:r>
                    <w:rPr>
                      <w:kern w:val="0"/>
                      <w:szCs w:val="21"/>
                    </w:rPr>
                    <w:t>东环110kV变电站站址中心5#</w:t>
                  </w:r>
                </w:p>
              </w:tc>
              <w:tc>
                <w:tcPr>
                  <w:tcW w:w="447" w:type="pct"/>
                  <w:vAlign w:val="center"/>
                </w:tcPr>
                <w:p>
                  <w:pPr>
                    <w:widowControl/>
                    <w:jc w:val="center"/>
                    <w:rPr>
                      <w:kern w:val="0"/>
                      <w:szCs w:val="21"/>
                    </w:rPr>
                  </w:pPr>
                  <w:r>
                    <w:rPr>
                      <w:kern w:val="0"/>
                      <w:szCs w:val="21"/>
                    </w:rPr>
                    <w:t xml:space="preserve">43.4 </w:t>
                  </w:r>
                </w:p>
              </w:tc>
              <w:tc>
                <w:tcPr>
                  <w:tcW w:w="447" w:type="pct"/>
                  <w:vAlign w:val="center"/>
                </w:tcPr>
                <w:p>
                  <w:pPr>
                    <w:widowControl/>
                    <w:jc w:val="center"/>
                    <w:rPr>
                      <w:kern w:val="0"/>
                      <w:szCs w:val="21"/>
                    </w:rPr>
                  </w:pPr>
                  <w:r>
                    <w:rPr>
                      <w:kern w:val="0"/>
                      <w:szCs w:val="21"/>
                    </w:rPr>
                    <w:t xml:space="preserve">39.7 </w:t>
                  </w:r>
                </w:p>
              </w:tc>
              <w:tc>
                <w:tcPr>
                  <w:tcW w:w="448" w:type="pct"/>
                  <w:vAlign w:val="center"/>
                </w:tcPr>
                <w:p>
                  <w:pPr>
                    <w:widowControl/>
                    <w:jc w:val="center"/>
                    <w:rPr>
                      <w:kern w:val="0"/>
                      <w:szCs w:val="21"/>
                    </w:rPr>
                  </w:pPr>
                  <w:r>
                    <w:rPr>
                      <w:kern w:val="0"/>
                      <w:szCs w:val="21"/>
                    </w:rPr>
                    <w:t>43</w:t>
                  </w:r>
                </w:p>
              </w:tc>
              <w:tc>
                <w:tcPr>
                  <w:tcW w:w="447" w:type="pct"/>
                  <w:vAlign w:val="center"/>
                </w:tcPr>
                <w:p>
                  <w:pPr>
                    <w:widowControl/>
                    <w:jc w:val="center"/>
                    <w:rPr>
                      <w:kern w:val="0"/>
                      <w:szCs w:val="21"/>
                    </w:rPr>
                  </w:pPr>
                  <w:r>
                    <w:rPr>
                      <w:kern w:val="0"/>
                      <w:szCs w:val="21"/>
                    </w:rPr>
                    <w:t>40</w:t>
                  </w:r>
                </w:p>
              </w:tc>
              <w:tc>
                <w:tcPr>
                  <w:tcW w:w="1520" w:type="pct"/>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00" w:type="pct"/>
                  <w:gridSpan w:val="7"/>
                  <w:vAlign w:val="center"/>
                </w:tcPr>
                <w:p>
                  <w:pPr>
                    <w:widowControl/>
                    <w:jc w:val="center"/>
                    <w:rPr>
                      <w:szCs w:val="21"/>
                      <w:highlight w:val="yellow"/>
                    </w:rPr>
                  </w:pPr>
                  <w:r>
                    <w:rPr>
                      <w:b/>
                      <w:kern w:val="0"/>
                      <w:szCs w:val="21"/>
                    </w:rPr>
                    <w:t>（二）七泉湖~红旗π入番南变110千伏线路工程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8" w:type="pct"/>
                  <w:vAlign w:val="center"/>
                </w:tcPr>
                <w:p>
                  <w:pPr>
                    <w:pStyle w:val="114"/>
                    <w:widowControl/>
                    <w:numPr>
                      <w:ilvl w:val="0"/>
                      <w:numId w:val="17"/>
                    </w:numPr>
                    <w:ind w:left="0" w:firstLine="0" w:firstLineChars="0"/>
                    <w:jc w:val="center"/>
                    <w:rPr>
                      <w:kern w:val="0"/>
                      <w:szCs w:val="21"/>
                    </w:rPr>
                  </w:pPr>
                </w:p>
              </w:tc>
              <w:tc>
                <w:tcPr>
                  <w:tcW w:w="1453" w:type="pct"/>
                  <w:vAlign w:val="center"/>
                </w:tcPr>
                <w:p>
                  <w:pPr>
                    <w:widowControl/>
                    <w:jc w:val="center"/>
                    <w:rPr>
                      <w:kern w:val="0"/>
                      <w:szCs w:val="21"/>
                    </w:rPr>
                  </w:pPr>
                  <w:r>
                    <w:rPr>
                      <w:kern w:val="0"/>
                      <w:szCs w:val="21"/>
                    </w:rPr>
                    <w:t>新疆维吾尔自治区吐鲁番市高昌区恰特喀勒乡新光村二组406#房东侧</w:t>
                  </w:r>
                </w:p>
              </w:tc>
              <w:tc>
                <w:tcPr>
                  <w:tcW w:w="447" w:type="pct"/>
                  <w:vAlign w:val="center"/>
                </w:tcPr>
                <w:p>
                  <w:pPr>
                    <w:widowControl/>
                    <w:jc w:val="center"/>
                    <w:rPr>
                      <w:kern w:val="0"/>
                      <w:szCs w:val="21"/>
                    </w:rPr>
                  </w:pPr>
                  <w:r>
                    <w:rPr>
                      <w:kern w:val="0"/>
                      <w:szCs w:val="21"/>
                    </w:rPr>
                    <w:t xml:space="preserve">42.8 </w:t>
                  </w:r>
                </w:p>
              </w:tc>
              <w:tc>
                <w:tcPr>
                  <w:tcW w:w="447" w:type="pct"/>
                  <w:vAlign w:val="center"/>
                </w:tcPr>
                <w:p>
                  <w:pPr>
                    <w:widowControl/>
                    <w:jc w:val="center"/>
                    <w:rPr>
                      <w:kern w:val="0"/>
                      <w:szCs w:val="21"/>
                    </w:rPr>
                  </w:pPr>
                  <w:r>
                    <w:rPr>
                      <w:kern w:val="0"/>
                      <w:szCs w:val="21"/>
                    </w:rPr>
                    <w:t xml:space="preserve">39.4 </w:t>
                  </w:r>
                </w:p>
              </w:tc>
              <w:tc>
                <w:tcPr>
                  <w:tcW w:w="448" w:type="pct"/>
                  <w:vAlign w:val="center"/>
                </w:tcPr>
                <w:p>
                  <w:pPr>
                    <w:widowControl/>
                    <w:jc w:val="center"/>
                    <w:rPr>
                      <w:kern w:val="0"/>
                      <w:szCs w:val="21"/>
                    </w:rPr>
                  </w:pPr>
                  <w:r>
                    <w:rPr>
                      <w:kern w:val="0"/>
                      <w:szCs w:val="21"/>
                    </w:rPr>
                    <w:t>43</w:t>
                  </w:r>
                </w:p>
              </w:tc>
              <w:tc>
                <w:tcPr>
                  <w:tcW w:w="447" w:type="pct"/>
                  <w:vAlign w:val="center"/>
                </w:tcPr>
                <w:p>
                  <w:pPr>
                    <w:widowControl/>
                    <w:jc w:val="center"/>
                    <w:rPr>
                      <w:kern w:val="0"/>
                      <w:szCs w:val="21"/>
                    </w:rPr>
                  </w:pPr>
                  <w:r>
                    <w:rPr>
                      <w:kern w:val="0"/>
                      <w:szCs w:val="21"/>
                    </w:rPr>
                    <w:t>39</w:t>
                  </w:r>
                </w:p>
              </w:tc>
              <w:tc>
                <w:tcPr>
                  <w:tcW w:w="1520" w:type="pct"/>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8" w:type="pct"/>
                  <w:vAlign w:val="center"/>
                </w:tcPr>
                <w:p>
                  <w:pPr>
                    <w:pStyle w:val="114"/>
                    <w:widowControl/>
                    <w:numPr>
                      <w:ilvl w:val="0"/>
                      <w:numId w:val="17"/>
                    </w:numPr>
                    <w:ind w:left="0" w:firstLine="0" w:firstLineChars="0"/>
                    <w:jc w:val="center"/>
                    <w:rPr>
                      <w:kern w:val="0"/>
                      <w:szCs w:val="21"/>
                    </w:rPr>
                  </w:pPr>
                </w:p>
              </w:tc>
              <w:tc>
                <w:tcPr>
                  <w:tcW w:w="1453" w:type="pct"/>
                  <w:vAlign w:val="center"/>
                </w:tcPr>
                <w:p>
                  <w:pPr>
                    <w:widowControl/>
                    <w:jc w:val="center"/>
                    <w:rPr>
                      <w:kern w:val="0"/>
                      <w:szCs w:val="21"/>
                    </w:rPr>
                  </w:pPr>
                  <w:r>
                    <w:rPr>
                      <w:kern w:val="0"/>
                      <w:szCs w:val="21"/>
                    </w:rPr>
                    <w:t>线路背景值3#</w:t>
                  </w:r>
                </w:p>
              </w:tc>
              <w:tc>
                <w:tcPr>
                  <w:tcW w:w="447" w:type="pct"/>
                  <w:vAlign w:val="center"/>
                </w:tcPr>
                <w:p>
                  <w:pPr>
                    <w:widowControl/>
                    <w:jc w:val="center"/>
                    <w:rPr>
                      <w:kern w:val="0"/>
                      <w:szCs w:val="21"/>
                    </w:rPr>
                  </w:pPr>
                  <w:r>
                    <w:rPr>
                      <w:kern w:val="0"/>
                      <w:szCs w:val="21"/>
                    </w:rPr>
                    <w:t xml:space="preserve">37.5 </w:t>
                  </w:r>
                </w:p>
              </w:tc>
              <w:tc>
                <w:tcPr>
                  <w:tcW w:w="447" w:type="pct"/>
                  <w:vAlign w:val="center"/>
                </w:tcPr>
                <w:p>
                  <w:pPr>
                    <w:widowControl/>
                    <w:jc w:val="center"/>
                    <w:rPr>
                      <w:kern w:val="0"/>
                      <w:szCs w:val="21"/>
                    </w:rPr>
                  </w:pPr>
                  <w:r>
                    <w:rPr>
                      <w:kern w:val="0"/>
                      <w:szCs w:val="21"/>
                    </w:rPr>
                    <w:t xml:space="preserve">36.7 </w:t>
                  </w:r>
                </w:p>
              </w:tc>
              <w:tc>
                <w:tcPr>
                  <w:tcW w:w="448" w:type="pct"/>
                  <w:vAlign w:val="center"/>
                </w:tcPr>
                <w:p>
                  <w:pPr>
                    <w:widowControl/>
                    <w:jc w:val="center"/>
                    <w:rPr>
                      <w:kern w:val="0"/>
                      <w:szCs w:val="21"/>
                    </w:rPr>
                  </w:pPr>
                  <w:r>
                    <w:rPr>
                      <w:kern w:val="0"/>
                      <w:szCs w:val="21"/>
                    </w:rPr>
                    <w:t>38</w:t>
                  </w:r>
                </w:p>
              </w:tc>
              <w:tc>
                <w:tcPr>
                  <w:tcW w:w="447" w:type="pct"/>
                  <w:vAlign w:val="center"/>
                </w:tcPr>
                <w:p>
                  <w:pPr>
                    <w:widowControl/>
                    <w:jc w:val="center"/>
                    <w:rPr>
                      <w:kern w:val="0"/>
                      <w:szCs w:val="21"/>
                    </w:rPr>
                  </w:pPr>
                  <w:r>
                    <w:rPr>
                      <w:kern w:val="0"/>
                      <w:szCs w:val="21"/>
                    </w:rPr>
                    <w:t>37</w:t>
                  </w:r>
                </w:p>
              </w:tc>
              <w:tc>
                <w:tcPr>
                  <w:tcW w:w="1520" w:type="pct"/>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8" w:type="pct"/>
                  <w:vAlign w:val="center"/>
                </w:tcPr>
                <w:p>
                  <w:pPr>
                    <w:pStyle w:val="114"/>
                    <w:widowControl/>
                    <w:numPr>
                      <w:ilvl w:val="0"/>
                      <w:numId w:val="17"/>
                    </w:numPr>
                    <w:ind w:left="0" w:firstLine="0" w:firstLineChars="0"/>
                    <w:jc w:val="center"/>
                    <w:rPr>
                      <w:kern w:val="0"/>
                      <w:szCs w:val="21"/>
                    </w:rPr>
                  </w:pPr>
                </w:p>
              </w:tc>
              <w:tc>
                <w:tcPr>
                  <w:tcW w:w="1453" w:type="pct"/>
                  <w:vAlign w:val="center"/>
                </w:tcPr>
                <w:p>
                  <w:pPr>
                    <w:widowControl/>
                    <w:jc w:val="center"/>
                    <w:rPr>
                      <w:kern w:val="0"/>
                      <w:szCs w:val="21"/>
                    </w:rPr>
                  </w:pPr>
                  <w:r>
                    <w:rPr>
                      <w:kern w:val="0"/>
                      <w:szCs w:val="21"/>
                    </w:rPr>
                    <w:t>线路背景值4#</w:t>
                  </w:r>
                </w:p>
              </w:tc>
              <w:tc>
                <w:tcPr>
                  <w:tcW w:w="447" w:type="pct"/>
                  <w:vAlign w:val="center"/>
                </w:tcPr>
                <w:p>
                  <w:pPr>
                    <w:widowControl/>
                    <w:jc w:val="center"/>
                    <w:rPr>
                      <w:kern w:val="0"/>
                      <w:szCs w:val="21"/>
                    </w:rPr>
                  </w:pPr>
                  <w:r>
                    <w:rPr>
                      <w:kern w:val="0"/>
                      <w:szCs w:val="21"/>
                    </w:rPr>
                    <w:t xml:space="preserve">37.8 </w:t>
                  </w:r>
                </w:p>
              </w:tc>
              <w:tc>
                <w:tcPr>
                  <w:tcW w:w="447" w:type="pct"/>
                  <w:vAlign w:val="center"/>
                </w:tcPr>
                <w:p>
                  <w:pPr>
                    <w:widowControl/>
                    <w:jc w:val="center"/>
                    <w:rPr>
                      <w:kern w:val="0"/>
                      <w:szCs w:val="21"/>
                    </w:rPr>
                  </w:pPr>
                  <w:r>
                    <w:rPr>
                      <w:kern w:val="0"/>
                      <w:szCs w:val="21"/>
                    </w:rPr>
                    <w:t xml:space="preserve">36.5 </w:t>
                  </w:r>
                </w:p>
              </w:tc>
              <w:tc>
                <w:tcPr>
                  <w:tcW w:w="448" w:type="pct"/>
                  <w:vAlign w:val="center"/>
                </w:tcPr>
                <w:p>
                  <w:pPr>
                    <w:widowControl/>
                    <w:jc w:val="center"/>
                    <w:rPr>
                      <w:kern w:val="0"/>
                      <w:szCs w:val="21"/>
                    </w:rPr>
                  </w:pPr>
                  <w:r>
                    <w:rPr>
                      <w:kern w:val="0"/>
                      <w:szCs w:val="21"/>
                    </w:rPr>
                    <w:t>38</w:t>
                  </w:r>
                </w:p>
              </w:tc>
              <w:tc>
                <w:tcPr>
                  <w:tcW w:w="447" w:type="pct"/>
                  <w:vAlign w:val="center"/>
                </w:tcPr>
                <w:p>
                  <w:pPr>
                    <w:widowControl/>
                    <w:jc w:val="center"/>
                    <w:rPr>
                      <w:kern w:val="0"/>
                      <w:szCs w:val="21"/>
                    </w:rPr>
                  </w:pPr>
                  <w:r>
                    <w:rPr>
                      <w:kern w:val="0"/>
                      <w:szCs w:val="21"/>
                    </w:rPr>
                    <w:t>36</w:t>
                  </w:r>
                </w:p>
              </w:tc>
              <w:tc>
                <w:tcPr>
                  <w:tcW w:w="1520" w:type="pct"/>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8" w:type="pct"/>
                  <w:vAlign w:val="center"/>
                </w:tcPr>
                <w:p>
                  <w:pPr>
                    <w:pStyle w:val="114"/>
                    <w:widowControl/>
                    <w:numPr>
                      <w:ilvl w:val="0"/>
                      <w:numId w:val="17"/>
                    </w:numPr>
                    <w:ind w:left="0" w:firstLine="0" w:firstLineChars="0"/>
                    <w:jc w:val="center"/>
                    <w:rPr>
                      <w:kern w:val="0"/>
                      <w:szCs w:val="21"/>
                    </w:rPr>
                  </w:pPr>
                </w:p>
              </w:tc>
              <w:tc>
                <w:tcPr>
                  <w:tcW w:w="1453" w:type="pct"/>
                  <w:vAlign w:val="center"/>
                </w:tcPr>
                <w:p>
                  <w:pPr>
                    <w:widowControl/>
                    <w:jc w:val="center"/>
                    <w:rPr>
                      <w:kern w:val="0"/>
                      <w:szCs w:val="21"/>
                    </w:rPr>
                  </w:pPr>
                  <w:r>
                    <w:rPr>
                      <w:kern w:val="0"/>
                      <w:szCs w:val="21"/>
                    </w:rPr>
                    <w:t>线路背景值5#</w:t>
                  </w:r>
                </w:p>
              </w:tc>
              <w:tc>
                <w:tcPr>
                  <w:tcW w:w="447" w:type="pct"/>
                  <w:vAlign w:val="center"/>
                </w:tcPr>
                <w:p>
                  <w:pPr>
                    <w:widowControl/>
                    <w:jc w:val="center"/>
                    <w:rPr>
                      <w:kern w:val="0"/>
                      <w:szCs w:val="21"/>
                    </w:rPr>
                  </w:pPr>
                  <w:r>
                    <w:rPr>
                      <w:kern w:val="0"/>
                      <w:szCs w:val="21"/>
                    </w:rPr>
                    <w:t xml:space="preserve">36.9 </w:t>
                  </w:r>
                </w:p>
              </w:tc>
              <w:tc>
                <w:tcPr>
                  <w:tcW w:w="447" w:type="pct"/>
                  <w:vAlign w:val="center"/>
                </w:tcPr>
                <w:p>
                  <w:pPr>
                    <w:widowControl/>
                    <w:jc w:val="center"/>
                    <w:rPr>
                      <w:kern w:val="0"/>
                      <w:szCs w:val="21"/>
                    </w:rPr>
                  </w:pPr>
                  <w:r>
                    <w:rPr>
                      <w:kern w:val="0"/>
                      <w:szCs w:val="21"/>
                    </w:rPr>
                    <w:t xml:space="preserve">36.2 </w:t>
                  </w:r>
                </w:p>
              </w:tc>
              <w:tc>
                <w:tcPr>
                  <w:tcW w:w="448" w:type="pct"/>
                  <w:vAlign w:val="center"/>
                </w:tcPr>
                <w:p>
                  <w:pPr>
                    <w:widowControl/>
                    <w:jc w:val="center"/>
                    <w:rPr>
                      <w:kern w:val="0"/>
                      <w:szCs w:val="21"/>
                    </w:rPr>
                  </w:pPr>
                  <w:r>
                    <w:rPr>
                      <w:kern w:val="0"/>
                      <w:szCs w:val="21"/>
                    </w:rPr>
                    <w:t>37</w:t>
                  </w:r>
                </w:p>
              </w:tc>
              <w:tc>
                <w:tcPr>
                  <w:tcW w:w="447" w:type="pct"/>
                  <w:vAlign w:val="center"/>
                </w:tcPr>
                <w:p>
                  <w:pPr>
                    <w:widowControl/>
                    <w:jc w:val="center"/>
                    <w:rPr>
                      <w:kern w:val="0"/>
                      <w:szCs w:val="21"/>
                    </w:rPr>
                  </w:pPr>
                  <w:r>
                    <w:rPr>
                      <w:kern w:val="0"/>
                      <w:szCs w:val="21"/>
                    </w:rPr>
                    <w:t>36</w:t>
                  </w:r>
                </w:p>
              </w:tc>
              <w:tc>
                <w:tcPr>
                  <w:tcW w:w="1520" w:type="pct"/>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00" w:type="pct"/>
                  <w:gridSpan w:val="7"/>
                  <w:vAlign w:val="center"/>
                </w:tcPr>
                <w:p>
                  <w:pPr>
                    <w:widowControl/>
                    <w:jc w:val="center"/>
                    <w:rPr>
                      <w:kern w:val="0"/>
                      <w:szCs w:val="21"/>
                    </w:rPr>
                  </w:pPr>
                  <w:r>
                    <w:rPr>
                      <w:b/>
                      <w:kern w:val="0"/>
                      <w:szCs w:val="21"/>
                    </w:rPr>
                    <w:t>（三）七泉湖~番南改接入沙河子变110千伏线路工程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8" w:type="pct"/>
                  <w:vAlign w:val="center"/>
                </w:tcPr>
                <w:p>
                  <w:pPr>
                    <w:pStyle w:val="114"/>
                    <w:widowControl/>
                    <w:numPr>
                      <w:ilvl w:val="0"/>
                      <w:numId w:val="17"/>
                    </w:numPr>
                    <w:ind w:left="0" w:firstLine="0" w:firstLineChars="0"/>
                    <w:jc w:val="center"/>
                    <w:rPr>
                      <w:kern w:val="0"/>
                      <w:szCs w:val="21"/>
                    </w:rPr>
                  </w:pPr>
                </w:p>
              </w:tc>
              <w:tc>
                <w:tcPr>
                  <w:tcW w:w="1453" w:type="pct"/>
                  <w:vAlign w:val="center"/>
                </w:tcPr>
                <w:p>
                  <w:pPr>
                    <w:widowControl/>
                    <w:jc w:val="center"/>
                    <w:rPr>
                      <w:kern w:val="0"/>
                      <w:szCs w:val="21"/>
                    </w:rPr>
                  </w:pPr>
                  <w:r>
                    <w:rPr>
                      <w:kern w:val="0"/>
                      <w:szCs w:val="21"/>
                    </w:rPr>
                    <w:t>线路背景值2#</w:t>
                  </w:r>
                </w:p>
              </w:tc>
              <w:tc>
                <w:tcPr>
                  <w:tcW w:w="447" w:type="pct"/>
                  <w:vAlign w:val="center"/>
                </w:tcPr>
                <w:p>
                  <w:pPr>
                    <w:widowControl/>
                    <w:jc w:val="center"/>
                    <w:rPr>
                      <w:kern w:val="0"/>
                      <w:szCs w:val="21"/>
                    </w:rPr>
                  </w:pPr>
                  <w:r>
                    <w:rPr>
                      <w:kern w:val="0"/>
                      <w:szCs w:val="21"/>
                    </w:rPr>
                    <w:t xml:space="preserve">36.7 </w:t>
                  </w:r>
                </w:p>
              </w:tc>
              <w:tc>
                <w:tcPr>
                  <w:tcW w:w="447" w:type="pct"/>
                  <w:vAlign w:val="center"/>
                </w:tcPr>
                <w:p>
                  <w:pPr>
                    <w:widowControl/>
                    <w:jc w:val="center"/>
                    <w:rPr>
                      <w:kern w:val="0"/>
                      <w:szCs w:val="21"/>
                    </w:rPr>
                  </w:pPr>
                  <w:r>
                    <w:rPr>
                      <w:kern w:val="0"/>
                      <w:szCs w:val="21"/>
                    </w:rPr>
                    <w:t xml:space="preserve">35.8 </w:t>
                  </w:r>
                </w:p>
              </w:tc>
              <w:tc>
                <w:tcPr>
                  <w:tcW w:w="448" w:type="pct"/>
                  <w:vAlign w:val="center"/>
                </w:tcPr>
                <w:p>
                  <w:pPr>
                    <w:widowControl/>
                    <w:jc w:val="center"/>
                    <w:rPr>
                      <w:kern w:val="0"/>
                      <w:szCs w:val="21"/>
                    </w:rPr>
                  </w:pPr>
                  <w:r>
                    <w:rPr>
                      <w:kern w:val="0"/>
                      <w:szCs w:val="21"/>
                    </w:rPr>
                    <w:t>37</w:t>
                  </w:r>
                </w:p>
              </w:tc>
              <w:tc>
                <w:tcPr>
                  <w:tcW w:w="447" w:type="pct"/>
                  <w:vAlign w:val="center"/>
                </w:tcPr>
                <w:p>
                  <w:pPr>
                    <w:widowControl/>
                    <w:jc w:val="center"/>
                    <w:rPr>
                      <w:kern w:val="0"/>
                      <w:szCs w:val="21"/>
                    </w:rPr>
                  </w:pPr>
                  <w:r>
                    <w:rPr>
                      <w:kern w:val="0"/>
                      <w:szCs w:val="21"/>
                    </w:rPr>
                    <w:t>36</w:t>
                  </w:r>
                </w:p>
              </w:tc>
              <w:tc>
                <w:tcPr>
                  <w:tcW w:w="1520" w:type="pct"/>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00" w:type="pct"/>
                  <w:gridSpan w:val="7"/>
                  <w:vAlign w:val="center"/>
                </w:tcPr>
                <w:p>
                  <w:pPr>
                    <w:widowControl/>
                    <w:jc w:val="center"/>
                    <w:rPr>
                      <w:kern w:val="0"/>
                      <w:szCs w:val="21"/>
                    </w:rPr>
                  </w:pPr>
                  <w:r>
                    <w:rPr>
                      <w:b/>
                      <w:kern w:val="0"/>
                      <w:szCs w:val="21"/>
                    </w:rPr>
                    <w:t>（四）七泉湖~番南改接入交河变110千伏线路工程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8" w:type="pct"/>
                  <w:vAlign w:val="center"/>
                </w:tcPr>
                <w:p>
                  <w:pPr>
                    <w:pStyle w:val="114"/>
                    <w:widowControl/>
                    <w:numPr>
                      <w:ilvl w:val="0"/>
                      <w:numId w:val="17"/>
                    </w:numPr>
                    <w:ind w:left="0" w:firstLine="0" w:firstLineChars="0"/>
                    <w:jc w:val="center"/>
                    <w:rPr>
                      <w:kern w:val="0"/>
                      <w:szCs w:val="21"/>
                    </w:rPr>
                  </w:pPr>
                </w:p>
              </w:tc>
              <w:tc>
                <w:tcPr>
                  <w:tcW w:w="1453" w:type="pct"/>
                  <w:vAlign w:val="center"/>
                </w:tcPr>
                <w:p>
                  <w:pPr>
                    <w:widowControl/>
                    <w:jc w:val="center"/>
                    <w:rPr>
                      <w:kern w:val="0"/>
                      <w:szCs w:val="21"/>
                    </w:rPr>
                  </w:pPr>
                  <w:r>
                    <w:rPr>
                      <w:kern w:val="0"/>
                      <w:szCs w:val="21"/>
                    </w:rPr>
                    <w:t>线路背景值1#</w:t>
                  </w:r>
                </w:p>
              </w:tc>
              <w:tc>
                <w:tcPr>
                  <w:tcW w:w="447" w:type="pct"/>
                  <w:vAlign w:val="center"/>
                </w:tcPr>
                <w:p>
                  <w:pPr>
                    <w:widowControl/>
                    <w:jc w:val="center"/>
                    <w:rPr>
                      <w:kern w:val="0"/>
                      <w:szCs w:val="21"/>
                    </w:rPr>
                  </w:pPr>
                  <w:r>
                    <w:rPr>
                      <w:kern w:val="0"/>
                      <w:szCs w:val="21"/>
                    </w:rPr>
                    <w:t xml:space="preserve">36.8 </w:t>
                  </w:r>
                </w:p>
              </w:tc>
              <w:tc>
                <w:tcPr>
                  <w:tcW w:w="447" w:type="pct"/>
                  <w:vAlign w:val="center"/>
                </w:tcPr>
                <w:p>
                  <w:pPr>
                    <w:widowControl/>
                    <w:jc w:val="center"/>
                    <w:rPr>
                      <w:kern w:val="0"/>
                      <w:szCs w:val="21"/>
                    </w:rPr>
                  </w:pPr>
                  <w:r>
                    <w:rPr>
                      <w:kern w:val="0"/>
                      <w:szCs w:val="21"/>
                    </w:rPr>
                    <w:t xml:space="preserve">36.0 </w:t>
                  </w:r>
                </w:p>
              </w:tc>
              <w:tc>
                <w:tcPr>
                  <w:tcW w:w="448" w:type="pct"/>
                  <w:vAlign w:val="center"/>
                </w:tcPr>
                <w:p>
                  <w:pPr>
                    <w:widowControl/>
                    <w:jc w:val="center"/>
                    <w:rPr>
                      <w:kern w:val="0"/>
                      <w:szCs w:val="21"/>
                    </w:rPr>
                  </w:pPr>
                  <w:r>
                    <w:rPr>
                      <w:kern w:val="0"/>
                      <w:szCs w:val="21"/>
                    </w:rPr>
                    <w:t>37</w:t>
                  </w:r>
                </w:p>
              </w:tc>
              <w:tc>
                <w:tcPr>
                  <w:tcW w:w="447" w:type="pct"/>
                  <w:vAlign w:val="center"/>
                </w:tcPr>
                <w:p>
                  <w:pPr>
                    <w:widowControl/>
                    <w:jc w:val="center"/>
                    <w:rPr>
                      <w:kern w:val="0"/>
                      <w:szCs w:val="21"/>
                    </w:rPr>
                  </w:pPr>
                  <w:r>
                    <w:rPr>
                      <w:kern w:val="0"/>
                      <w:szCs w:val="21"/>
                    </w:rPr>
                    <w:t>36</w:t>
                  </w:r>
                </w:p>
              </w:tc>
              <w:tc>
                <w:tcPr>
                  <w:tcW w:w="1520" w:type="pct"/>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00" w:type="pct"/>
                  <w:gridSpan w:val="7"/>
                  <w:vAlign w:val="center"/>
                </w:tcPr>
                <w:p>
                  <w:pPr>
                    <w:widowControl/>
                    <w:jc w:val="center"/>
                    <w:rPr>
                      <w:szCs w:val="21"/>
                      <w:highlight w:val="yellow"/>
                    </w:rPr>
                  </w:pPr>
                  <w:r>
                    <w:rPr>
                      <w:b/>
                      <w:kern w:val="0"/>
                      <w:szCs w:val="21"/>
                    </w:rPr>
                    <w:t>（四）交河~番南π入东环变110千伏线路工程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8" w:type="pct"/>
                  <w:vAlign w:val="center"/>
                </w:tcPr>
                <w:p>
                  <w:pPr>
                    <w:pStyle w:val="114"/>
                    <w:widowControl/>
                    <w:numPr>
                      <w:ilvl w:val="0"/>
                      <w:numId w:val="17"/>
                    </w:numPr>
                    <w:ind w:left="0" w:firstLine="0" w:firstLineChars="0"/>
                    <w:jc w:val="center"/>
                    <w:rPr>
                      <w:kern w:val="0"/>
                      <w:szCs w:val="21"/>
                    </w:rPr>
                  </w:pPr>
                </w:p>
              </w:tc>
              <w:tc>
                <w:tcPr>
                  <w:tcW w:w="1453" w:type="pct"/>
                  <w:vAlign w:val="center"/>
                </w:tcPr>
                <w:p>
                  <w:pPr>
                    <w:widowControl/>
                    <w:jc w:val="center"/>
                    <w:rPr>
                      <w:kern w:val="0"/>
                      <w:szCs w:val="21"/>
                    </w:rPr>
                  </w:pPr>
                  <w:r>
                    <w:rPr>
                      <w:kern w:val="0"/>
                      <w:szCs w:val="21"/>
                    </w:rPr>
                    <w:t>线路背景值6#</w:t>
                  </w:r>
                </w:p>
              </w:tc>
              <w:tc>
                <w:tcPr>
                  <w:tcW w:w="447" w:type="pct"/>
                  <w:vAlign w:val="center"/>
                </w:tcPr>
                <w:p>
                  <w:pPr>
                    <w:widowControl/>
                    <w:jc w:val="center"/>
                    <w:rPr>
                      <w:kern w:val="0"/>
                      <w:szCs w:val="21"/>
                    </w:rPr>
                  </w:pPr>
                  <w:r>
                    <w:rPr>
                      <w:kern w:val="0"/>
                      <w:szCs w:val="21"/>
                    </w:rPr>
                    <w:t xml:space="preserve">37.4 </w:t>
                  </w:r>
                </w:p>
              </w:tc>
              <w:tc>
                <w:tcPr>
                  <w:tcW w:w="447" w:type="pct"/>
                  <w:vAlign w:val="center"/>
                </w:tcPr>
                <w:p>
                  <w:pPr>
                    <w:widowControl/>
                    <w:jc w:val="center"/>
                    <w:rPr>
                      <w:kern w:val="0"/>
                      <w:szCs w:val="21"/>
                    </w:rPr>
                  </w:pPr>
                  <w:r>
                    <w:rPr>
                      <w:kern w:val="0"/>
                      <w:szCs w:val="21"/>
                    </w:rPr>
                    <w:t xml:space="preserve">36.9 </w:t>
                  </w:r>
                </w:p>
              </w:tc>
              <w:tc>
                <w:tcPr>
                  <w:tcW w:w="448" w:type="pct"/>
                  <w:vAlign w:val="center"/>
                </w:tcPr>
                <w:p>
                  <w:pPr>
                    <w:widowControl/>
                    <w:jc w:val="center"/>
                    <w:rPr>
                      <w:kern w:val="0"/>
                      <w:szCs w:val="21"/>
                    </w:rPr>
                  </w:pPr>
                  <w:r>
                    <w:rPr>
                      <w:kern w:val="0"/>
                      <w:szCs w:val="21"/>
                    </w:rPr>
                    <w:t>37</w:t>
                  </w:r>
                </w:p>
              </w:tc>
              <w:tc>
                <w:tcPr>
                  <w:tcW w:w="447" w:type="pct"/>
                  <w:vAlign w:val="center"/>
                </w:tcPr>
                <w:p>
                  <w:pPr>
                    <w:widowControl/>
                    <w:jc w:val="center"/>
                    <w:rPr>
                      <w:kern w:val="0"/>
                      <w:szCs w:val="21"/>
                    </w:rPr>
                  </w:pPr>
                  <w:r>
                    <w:rPr>
                      <w:kern w:val="0"/>
                      <w:szCs w:val="21"/>
                    </w:rPr>
                    <w:t>37</w:t>
                  </w:r>
                </w:p>
              </w:tc>
              <w:tc>
                <w:tcPr>
                  <w:tcW w:w="1520" w:type="pct"/>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8" w:type="pct"/>
                  <w:vAlign w:val="center"/>
                </w:tcPr>
                <w:p>
                  <w:pPr>
                    <w:pStyle w:val="114"/>
                    <w:widowControl/>
                    <w:numPr>
                      <w:ilvl w:val="0"/>
                      <w:numId w:val="17"/>
                    </w:numPr>
                    <w:ind w:left="0" w:firstLine="0" w:firstLineChars="0"/>
                    <w:jc w:val="center"/>
                    <w:rPr>
                      <w:kern w:val="0"/>
                      <w:szCs w:val="21"/>
                    </w:rPr>
                  </w:pPr>
                </w:p>
              </w:tc>
              <w:tc>
                <w:tcPr>
                  <w:tcW w:w="1453" w:type="pct"/>
                  <w:vAlign w:val="center"/>
                </w:tcPr>
                <w:p>
                  <w:pPr>
                    <w:widowControl/>
                    <w:jc w:val="center"/>
                    <w:rPr>
                      <w:kern w:val="0"/>
                      <w:szCs w:val="21"/>
                    </w:rPr>
                  </w:pPr>
                  <w:r>
                    <w:rPr>
                      <w:kern w:val="0"/>
                      <w:szCs w:val="21"/>
                    </w:rPr>
                    <w:t>线路背景值7#</w:t>
                  </w:r>
                </w:p>
              </w:tc>
              <w:tc>
                <w:tcPr>
                  <w:tcW w:w="447" w:type="pct"/>
                  <w:vAlign w:val="center"/>
                </w:tcPr>
                <w:p>
                  <w:pPr>
                    <w:widowControl/>
                    <w:jc w:val="center"/>
                    <w:rPr>
                      <w:kern w:val="0"/>
                      <w:szCs w:val="21"/>
                    </w:rPr>
                  </w:pPr>
                  <w:r>
                    <w:rPr>
                      <w:kern w:val="0"/>
                      <w:szCs w:val="21"/>
                    </w:rPr>
                    <w:t xml:space="preserve">37.6 </w:t>
                  </w:r>
                </w:p>
              </w:tc>
              <w:tc>
                <w:tcPr>
                  <w:tcW w:w="447" w:type="pct"/>
                  <w:vAlign w:val="center"/>
                </w:tcPr>
                <w:p>
                  <w:pPr>
                    <w:widowControl/>
                    <w:jc w:val="center"/>
                    <w:rPr>
                      <w:kern w:val="0"/>
                      <w:szCs w:val="21"/>
                    </w:rPr>
                  </w:pPr>
                  <w:r>
                    <w:rPr>
                      <w:kern w:val="0"/>
                      <w:szCs w:val="21"/>
                    </w:rPr>
                    <w:t xml:space="preserve">36.8 </w:t>
                  </w:r>
                </w:p>
              </w:tc>
              <w:tc>
                <w:tcPr>
                  <w:tcW w:w="448" w:type="pct"/>
                  <w:vAlign w:val="center"/>
                </w:tcPr>
                <w:p>
                  <w:pPr>
                    <w:widowControl/>
                    <w:jc w:val="center"/>
                    <w:rPr>
                      <w:kern w:val="0"/>
                      <w:szCs w:val="21"/>
                    </w:rPr>
                  </w:pPr>
                  <w:r>
                    <w:rPr>
                      <w:kern w:val="0"/>
                      <w:szCs w:val="21"/>
                    </w:rPr>
                    <w:t>38</w:t>
                  </w:r>
                </w:p>
              </w:tc>
              <w:tc>
                <w:tcPr>
                  <w:tcW w:w="447" w:type="pct"/>
                  <w:vAlign w:val="center"/>
                </w:tcPr>
                <w:p>
                  <w:pPr>
                    <w:widowControl/>
                    <w:jc w:val="center"/>
                    <w:rPr>
                      <w:kern w:val="0"/>
                      <w:szCs w:val="21"/>
                    </w:rPr>
                  </w:pPr>
                  <w:r>
                    <w:rPr>
                      <w:kern w:val="0"/>
                      <w:szCs w:val="21"/>
                    </w:rPr>
                    <w:t>37</w:t>
                  </w:r>
                </w:p>
              </w:tc>
              <w:tc>
                <w:tcPr>
                  <w:tcW w:w="1520" w:type="pct"/>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8" w:type="pct"/>
                  <w:vAlign w:val="center"/>
                </w:tcPr>
                <w:p>
                  <w:pPr>
                    <w:pStyle w:val="114"/>
                    <w:widowControl/>
                    <w:numPr>
                      <w:ilvl w:val="0"/>
                      <w:numId w:val="17"/>
                    </w:numPr>
                    <w:ind w:left="0" w:firstLine="0" w:firstLineChars="0"/>
                    <w:jc w:val="center"/>
                    <w:rPr>
                      <w:kern w:val="0"/>
                      <w:szCs w:val="21"/>
                    </w:rPr>
                  </w:pPr>
                </w:p>
              </w:tc>
              <w:tc>
                <w:tcPr>
                  <w:tcW w:w="1453" w:type="pct"/>
                  <w:vAlign w:val="center"/>
                </w:tcPr>
                <w:p>
                  <w:pPr>
                    <w:widowControl/>
                    <w:jc w:val="center"/>
                    <w:rPr>
                      <w:kern w:val="0"/>
                      <w:szCs w:val="21"/>
                    </w:rPr>
                  </w:pPr>
                  <w:r>
                    <w:rPr>
                      <w:kern w:val="0"/>
                      <w:szCs w:val="21"/>
                    </w:rPr>
                    <w:t>线路背景值8#</w:t>
                  </w:r>
                </w:p>
              </w:tc>
              <w:tc>
                <w:tcPr>
                  <w:tcW w:w="447" w:type="pct"/>
                  <w:vAlign w:val="center"/>
                </w:tcPr>
                <w:p>
                  <w:pPr>
                    <w:widowControl/>
                    <w:jc w:val="center"/>
                    <w:rPr>
                      <w:kern w:val="0"/>
                      <w:szCs w:val="21"/>
                    </w:rPr>
                  </w:pPr>
                  <w:r>
                    <w:rPr>
                      <w:kern w:val="0"/>
                      <w:szCs w:val="21"/>
                    </w:rPr>
                    <w:t xml:space="preserve">58.7 </w:t>
                  </w:r>
                </w:p>
              </w:tc>
              <w:tc>
                <w:tcPr>
                  <w:tcW w:w="447" w:type="pct"/>
                  <w:vAlign w:val="center"/>
                </w:tcPr>
                <w:p>
                  <w:pPr>
                    <w:widowControl/>
                    <w:jc w:val="center"/>
                    <w:rPr>
                      <w:kern w:val="0"/>
                      <w:szCs w:val="21"/>
                    </w:rPr>
                  </w:pPr>
                  <w:r>
                    <w:rPr>
                      <w:kern w:val="0"/>
                      <w:szCs w:val="21"/>
                    </w:rPr>
                    <w:t xml:space="preserve">48.4 </w:t>
                  </w:r>
                </w:p>
              </w:tc>
              <w:tc>
                <w:tcPr>
                  <w:tcW w:w="448" w:type="pct"/>
                  <w:vAlign w:val="center"/>
                </w:tcPr>
                <w:p>
                  <w:pPr>
                    <w:widowControl/>
                    <w:jc w:val="center"/>
                    <w:rPr>
                      <w:kern w:val="0"/>
                      <w:szCs w:val="21"/>
                    </w:rPr>
                  </w:pPr>
                  <w:r>
                    <w:rPr>
                      <w:kern w:val="0"/>
                      <w:szCs w:val="21"/>
                    </w:rPr>
                    <w:t>59</w:t>
                  </w:r>
                </w:p>
              </w:tc>
              <w:tc>
                <w:tcPr>
                  <w:tcW w:w="447" w:type="pct"/>
                  <w:vAlign w:val="center"/>
                </w:tcPr>
                <w:p>
                  <w:pPr>
                    <w:widowControl/>
                    <w:jc w:val="center"/>
                    <w:rPr>
                      <w:kern w:val="0"/>
                      <w:szCs w:val="21"/>
                    </w:rPr>
                  </w:pPr>
                  <w:r>
                    <w:rPr>
                      <w:kern w:val="0"/>
                      <w:szCs w:val="21"/>
                    </w:rPr>
                    <w:t>48</w:t>
                  </w:r>
                </w:p>
              </w:tc>
              <w:tc>
                <w:tcPr>
                  <w:tcW w:w="1520" w:type="pct"/>
                  <w:vAlign w:val="center"/>
                </w:tcPr>
                <w:p>
                  <w:pPr>
                    <w:widowControl/>
                    <w:jc w:val="center"/>
                    <w:rPr>
                      <w:kern w:val="0"/>
                      <w:szCs w:val="21"/>
                    </w:rPr>
                  </w:pPr>
                  <w:r>
                    <w:rPr>
                      <w:kern w:val="0"/>
                      <w:szCs w:val="21"/>
                    </w:rPr>
                    <w:t>距连霍高速37m，测量时长20min，测量期间折合车流量昼间约为185辆、夜间约为46辆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8" w:type="pct"/>
                  <w:vAlign w:val="center"/>
                </w:tcPr>
                <w:p>
                  <w:pPr>
                    <w:pStyle w:val="114"/>
                    <w:widowControl/>
                    <w:numPr>
                      <w:ilvl w:val="0"/>
                      <w:numId w:val="17"/>
                    </w:numPr>
                    <w:ind w:left="0" w:firstLine="0" w:firstLineChars="0"/>
                    <w:jc w:val="center"/>
                    <w:rPr>
                      <w:kern w:val="0"/>
                      <w:szCs w:val="21"/>
                    </w:rPr>
                  </w:pPr>
                </w:p>
              </w:tc>
              <w:tc>
                <w:tcPr>
                  <w:tcW w:w="1453" w:type="pct"/>
                  <w:vAlign w:val="center"/>
                </w:tcPr>
                <w:p>
                  <w:pPr>
                    <w:widowControl/>
                    <w:jc w:val="center"/>
                    <w:rPr>
                      <w:kern w:val="0"/>
                      <w:szCs w:val="21"/>
                    </w:rPr>
                  </w:pPr>
                  <w:r>
                    <w:rPr>
                      <w:kern w:val="0"/>
                      <w:szCs w:val="21"/>
                    </w:rPr>
                    <w:t>线路背景值9#</w:t>
                  </w:r>
                </w:p>
              </w:tc>
              <w:tc>
                <w:tcPr>
                  <w:tcW w:w="447" w:type="pct"/>
                  <w:vAlign w:val="center"/>
                </w:tcPr>
                <w:p>
                  <w:pPr>
                    <w:widowControl/>
                    <w:jc w:val="center"/>
                    <w:rPr>
                      <w:kern w:val="0"/>
                      <w:szCs w:val="21"/>
                    </w:rPr>
                  </w:pPr>
                  <w:r>
                    <w:rPr>
                      <w:kern w:val="0"/>
                      <w:szCs w:val="21"/>
                    </w:rPr>
                    <w:t xml:space="preserve">59.1 </w:t>
                  </w:r>
                </w:p>
              </w:tc>
              <w:tc>
                <w:tcPr>
                  <w:tcW w:w="447" w:type="pct"/>
                  <w:vAlign w:val="center"/>
                </w:tcPr>
                <w:p>
                  <w:pPr>
                    <w:widowControl/>
                    <w:jc w:val="center"/>
                    <w:rPr>
                      <w:kern w:val="0"/>
                      <w:szCs w:val="21"/>
                    </w:rPr>
                  </w:pPr>
                  <w:r>
                    <w:rPr>
                      <w:kern w:val="0"/>
                      <w:szCs w:val="21"/>
                    </w:rPr>
                    <w:t xml:space="preserve">49.0 </w:t>
                  </w:r>
                </w:p>
              </w:tc>
              <w:tc>
                <w:tcPr>
                  <w:tcW w:w="448" w:type="pct"/>
                  <w:vAlign w:val="center"/>
                </w:tcPr>
                <w:p>
                  <w:pPr>
                    <w:widowControl/>
                    <w:jc w:val="center"/>
                    <w:rPr>
                      <w:kern w:val="0"/>
                      <w:szCs w:val="21"/>
                    </w:rPr>
                  </w:pPr>
                  <w:r>
                    <w:rPr>
                      <w:kern w:val="0"/>
                      <w:szCs w:val="21"/>
                    </w:rPr>
                    <w:t>59</w:t>
                  </w:r>
                </w:p>
              </w:tc>
              <w:tc>
                <w:tcPr>
                  <w:tcW w:w="447" w:type="pct"/>
                  <w:vAlign w:val="center"/>
                </w:tcPr>
                <w:p>
                  <w:pPr>
                    <w:widowControl/>
                    <w:jc w:val="center"/>
                    <w:rPr>
                      <w:kern w:val="0"/>
                      <w:szCs w:val="21"/>
                    </w:rPr>
                  </w:pPr>
                  <w:r>
                    <w:rPr>
                      <w:kern w:val="0"/>
                      <w:szCs w:val="21"/>
                    </w:rPr>
                    <w:t>49</w:t>
                  </w:r>
                </w:p>
              </w:tc>
              <w:tc>
                <w:tcPr>
                  <w:tcW w:w="1520" w:type="pct"/>
                  <w:vAlign w:val="center"/>
                </w:tcPr>
                <w:p>
                  <w:pPr>
                    <w:widowControl/>
                    <w:jc w:val="center"/>
                    <w:rPr>
                      <w:kern w:val="0"/>
                      <w:szCs w:val="21"/>
                    </w:rPr>
                  </w:pPr>
                  <w:r>
                    <w:rPr>
                      <w:kern w:val="0"/>
                      <w:szCs w:val="21"/>
                    </w:rPr>
                    <w:t>距连霍高速38m，测量时长20min，测量期间折合车流量昼间约为188辆、夜间约为48辆</w:t>
                  </w:r>
                </w:p>
              </w:tc>
            </w:tr>
          </w:tbl>
          <w:p>
            <w:pPr>
              <w:pStyle w:val="11"/>
              <w:spacing w:before="240"/>
              <w:rPr>
                <w:color w:val="000000"/>
                <w:szCs w:val="24"/>
              </w:rPr>
            </w:pPr>
            <w:r>
              <w:rPr>
                <w:color w:val="000000"/>
                <w:szCs w:val="24"/>
              </w:rPr>
              <w:t>（2）监测结果分析</w:t>
            </w:r>
          </w:p>
          <w:p>
            <w:pPr>
              <w:pStyle w:val="11"/>
              <w:rPr>
                <w:color w:val="000000"/>
                <w:szCs w:val="24"/>
              </w:rPr>
            </w:pPr>
            <w:r>
              <w:rPr>
                <w:rFonts w:hint="eastAsia"/>
                <w:color w:val="000000"/>
                <w:szCs w:val="24"/>
              </w:rPr>
              <w:t>①新建东环110千伏变电站工程</w:t>
            </w:r>
          </w:p>
          <w:p>
            <w:pPr>
              <w:pStyle w:val="11"/>
              <w:rPr>
                <w:color w:val="000000"/>
                <w:szCs w:val="24"/>
              </w:rPr>
            </w:pPr>
            <w:r>
              <w:rPr>
                <w:rFonts w:hint="eastAsia"/>
                <w:color w:val="000000"/>
                <w:szCs w:val="24"/>
              </w:rPr>
              <w:t>东环110kV变电站拟建站址四周及中心的昼间噪声监测值为</w:t>
            </w:r>
            <w:r>
              <w:rPr>
                <w:color w:val="000000"/>
                <w:szCs w:val="24"/>
              </w:rPr>
              <w:t>43</w:t>
            </w:r>
            <w:r>
              <w:rPr>
                <w:rFonts w:hint="eastAsia"/>
                <w:color w:val="000000"/>
                <w:szCs w:val="24"/>
              </w:rPr>
              <w:t>~4</w:t>
            </w:r>
            <w:r>
              <w:rPr>
                <w:color w:val="000000"/>
                <w:szCs w:val="24"/>
              </w:rPr>
              <w:t>4</w:t>
            </w:r>
            <w:r>
              <w:rPr>
                <w:rFonts w:hint="eastAsia"/>
                <w:color w:val="000000"/>
                <w:szCs w:val="24"/>
              </w:rPr>
              <w:t>dB(A)，夜间噪声监测值为3</w:t>
            </w:r>
            <w:r>
              <w:rPr>
                <w:color w:val="000000"/>
                <w:szCs w:val="24"/>
              </w:rPr>
              <w:t>9</w:t>
            </w:r>
            <w:r>
              <w:rPr>
                <w:rFonts w:hint="eastAsia"/>
                <w:color w:val="000000"/>
                <w:szCs w:val="24"/>
              </w:rPr>
              <w:t>~</w:t>
            </w:r>
            <w:r>
              <w:rPr>
                <w:color w:val="000000"/>
                <w:szCs w:val="24"/>
              </w:rPr>
              <w:t>40</w:t>
            </w:r>
            <w:r>
              <w:rPr>
                <w:rFonts w:hint="eastAsia"/>
                <w:color w:val="000000"/>
                <w:szCs w:val="24"/>
              </w:rPr>
              <w:t>dB(A)，满足《声环境质量标准》（GB3096-2008）2类标准。</w:t>
            </w:r>
          </w:p>
          <w:p>
            <w:pPr>
              <w:pStyle w:val="11"/>
              <w:rPr>
                <w:color w:val="000000"/>
                <w:szCs w:val="24"/>
              </w:rPr>
            </w:pPr>
            <w:r>
              <w:rPr>
                <w:rFonts w:hint="eastAsia"/>
                <w:color w:val="000000"/>
                <w:szCs w:val="24"/>
              </w:rPr>
              <w:t>②新建110kV线路工程</w:t>
            </w:r>
          </w:p>
          <w:p>
            <w:pPr>
              <w:pStyle w:val="11"/>
              <w:rPr>
                <w:color w:val="000000"/>
                <w:szCs w:val="24"/>
              </w:rPr>
            </w:pPr>
            <w:r>
              <w:rPr>
                <w:color w:val="000000"/>
                <w:szCs w:val="24"/>
              </w:rPr>
              <w:t>输电线路沿线声环境</w:t>
            </w:r>
            <w:r>
              <w:rPr>
                <w:rFonts w:hint="eastAsia"/>
                <w:color w:val="000000"/>
                <w:szCs w:val="24"/>
              </w:rPr>
              <w:t>保护</w:t>
            </w:r>
            <w:r>
              <w:rPr>
                <w:color w:val="000000"/>
                <w:szCs w:val="24"/>
              </w:rPr>
              <w:t>目标昼间噪声监测值为</w:t>
            </w:r>
            <w:r>
              <w:rPr>
                <w:rFonts w:hint="eastAsia"/>
                <w:color w:val="000000"/>
                <w:szCs w:val="24"/>
              </w:rPr>
              <w:t>4</w:t>
            </w:r>
            <w:r>
              <w:rPr>
                <w:color w:val="000000"/>
                <w:szCs w:val="24"/>
              </w:rPr>
              <w:t>3dB(A)，夜间噪声监测值为39dB(A)</w:t>
            </w:r>
            <w:r>
              <w:rPr>
                <w:rFonts w:hint="eastAsia"/>
                <w:color w:val="000000"/>
                <w:szCs w:val="24"/>
              </w:rPr>
              <w:t>，</w:t>
            </w:r>
            <w:r>
              <w:rPr>
                <w:color w:val="000000"/>
                <w:szCs w:val="24"/>
              </w:rPr>
              <w:t>满足《声环境质量标准》（GB3096-2008）</w:t>
            </w:r>
            <w:r>
              <w:rPr>
                <w:rFonts w:hint="eastAsia"/>
                <w:color w:val="000000"/>
                <w:szCs w:val="24"/>
              </w:rPr>
              <w:t>2</w:t>
            </w:r>
            <w:r>
              <w:rPr>
                <w:color w:val="000000"/>
                <w:szCs w:val="24"/>
              </w:rPr>
              <w:t>类标准</w:t>
            </w:r>
            <w:r>
              <w:rPr>
                <w:rFonts w:hint="eastAsia"/>
                <w:color w:val="000000"/>
                <w:szCs w:val="24"/>
              </w:rPr>
              <w:t>限值要求；</w:t>
            </w:r>
            <w:r>
              <w:rPr>
                <w:szCs w:val="24"/>
              </w:rPr>
              <w:t>沿线位于</w:t>
            </w:r>
            <w:r>
              <w:rPr>
                <w:rFonts w:hint="eastAsia"/>
                <w:szCs w:val="24"/>
              </w:rPr>
              <w:t>2类区现状值</w:t>
            </w:r>
            <w:r>
              <w:rPr>
                <w:szCs w:val="24"/>
              </w:rPr>
              <w:t>监测点处</w:t>
            </w:r>
            <w:r>
              <w:rPr>
                <w:rFonts w:hint="eastAsia"/>
                <w:szCs w:val="24"/>
              </w:rPr>
              <w:t>的</w:t>
            </w:r>
            <w:r>
              <w:rPr>
                <w:color w:val="000000"/>
                <w:szCs w:val="24"/>
              </w:rPr>
              <w:t>昼间噪声监测值为</w:t>
            </w:r>
            <w:r>
              <w:rPr>
                <w:rFonts w:hint="eastAsia"/>
                <w:color w:val="000000"/>
                <w:szCs w:val="24"/>
              </w:rPr>
              <w:t>3</w:t>
            </w:r>
            <w:r>
              <w:rPr>
                <w:color w:val="000000"/>
                <w:szCs w:val="24"/>
              </w:rPr>
              <w:t>7~38dB(A)，夜间噪声监测值为</w:t>
            </w:r>
            <w:r>
              <w:rPr>
                <w:rFonts w:hint="eastAsia"/>
                <w:color w:val="000000"/>
                <w:szCs w:val="24"/>
              </w:rPr>
              <w:t>3</w:t>
            </w:r>
            <w:r>
              <w:rPr>
                <w:color w:val="000000"/>
                <w:szCs w:val="24"/>
              </w:rPr>
              <w:t>6~37dB(A)</w:t>
            </w:r>
            <w:r>
              <w:rPr>
                <w:rFonts w:hint="eastAsia"/>
                <w:color w:val="000000"/>
                <w:szCs w:val="24"/>
              </w:rPr>
              <w:t>，</w:t>
            </w:r>
            <w:r>
              <w:rPr>
                <w:color w:val="000000"/>
                <w:szCs w:val="24"/>
              </w:rPr>
              <w:t>满足《声环境质量标准》（GB3096-2008）2类标准；</w:t>
            </w:r>
            <w:r>
              <w:rPr>
                <w:szCs w:val="24"/>
              </w:rPr>
              <w:t>沿线位于4a</w:t>
            </w:r>
            <w:r>
              <w:rPr>
                <w:rFonts w:hint="eastAsia"/>
                <w:szCs w:val="24"/>
              </w:rPr>
              <w:t>类区现状值</w:t>
            </w:r>
            <w:r>
              <w:rPr>
                <w:szCs w:val="24"/>
              </w:rPr>
              <w:t>监测点处</w:t>
            </w:r>
            <w:r>
              <w:rPr>
                <w:rFonts w:hint="eastAsia"/>
                <w:szCs w:val="24"/>
              </w:rPr>
              <w:t>的</w:t>
            </w:r>
            <w:r>
              <w:rPr>
                <w:color w:val="000000"/>
                <w:szCs w:val="24"/>
              </w:rPr>
              <w:t>昼间噪声监测值为59dB(A)，夜间噪声监测值为48~49dB(A)</w:t>
            </w:r>
            <w:r>
              <w:rPr>
                <w:rFonts w:hint="eastAsia"/>
                <w:color w:val="000000"/>
                <w:szCs w:val="24"/>
              </w:rPr>
              <w:t>，</w:t>
            </w:r>
            <w:r>
              <w:rPr>
                <w:color w:val="000000"/>
                <w:szCs w:val="24"/>
              </w:rPr>
              <w:t>满足《声环境质量标准》（GB3096-2008）4a类标准。</w:t>
            </w:r>
          </w:p>
          <w:p>
            <w:pPr>
              <w:pStyle w:val="5"/>
              <w:numPr>
                <w:ilvl w:val="0"/>
                <w:numId w:val="9"/>
              </w:numPr>
              <w:spacing w:before="0" w:after="0" w:line="360" w:lineRule="auto"/>
              <w:rPr>
                <w:rFonts w:eastAsia="宋体"/>
                <w:sz w:val="24"/>
                <w:szCs w:val="24"/>
              </w:rPr>
            </w:pPr>
            <w:bookmarkStart w:id="542" w:name="_Toc85036883"/>
            <w:bookmarkStart w:id="543" w:name="_Toc109472630"/>
            <w:bookmarkStart w:id="544" w:name="_Toc96935417"/>
            <w:bookmarkStart w:id="545" w:name="_Toc109473803"/>
            <w:bookmarkStart w:id="546" w:name="_Toc91493269"/>
            <w:bookmarkStart w:id="547" w:name="_Toc28910"/>
            <w:bookmarkStart w:id="548" w:name="_Toc97290587"/>
            <w:bookmarkStart w:id="549" w:name="_Toc88558523"/>
            <w:bookmarkStart w:id="550" w:name="_Toc111564321"/>
            <w:bookmarkStart w:id="551" w:name="_Toc95464671"/>
            <w:bookmarkStart w:id="552" w:name="_Toc109473569"/>
            <w:bookmarkStart w:id="553" w:name="_Toc14734"/>
            <w:bookmarkStart w:id="554" w:name="_Toc110439157"/>
            <w:bookmarkStart w:id="555" w:name="_Toc109473882"/>
            <w:bookmarkStart w:id="556" w:name="_Toc81415625"/>
            <w:bookmarkStart w:id="557" w:name="_Toc91532176"/>
            <w:bookmarkStart w:id="558" w:name="_Toc81308153"/>
            <w:bookmarkStart w:id="559" w:name="_Toc96031297"/>
            <w:bookmarkStart w:id="560" w:name="_Toc96031380"/>
            <w:bookmarkStart w:id="561" w:name="_Toc85037217"/>
            <w:bookmarkStart w:id="562" w:name="_Toc5279"/>
            <w:r>
              <w:rPr>
                <w:rFonts w:eastAsia="宋体"/>
                <w:sz w:val="24"/>
                <w:szCs w:val="24"/>
              </w:rPr>
              <w:t>电磁环境质量现状</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pPr>
              <w:spacing w:line="360" w:lineRule="auto"/>
              <w:ind w:firstLine="480" w:firstLineChars="200"/>
              <w:rPr>
                <w:color w:val="000000"/>
                <w:sz w:val="24"/>
              </w:rPr>
            </w:pPr>
            <w:r>
              <w:rPr>
                <w:rFonts w:hint="eastAsia"/>
                <w:color w:val="000000"/>
                <w:sz w:val="24"/>
              </w:rPr>
              <w:t>（1）新建东环110千伏变电站工程</w:t>
            </w:r>
          </w:p>
          <w:p>
            <w:pPr>
              <w:spacing w:line="360" w:lineRule="auto"/>
              <w:ind w:firstLine="480" w:firstLineChars="200"/>
              <w:rPr>
                <w:color w:val="000000"/>
                <w:sz w:val="24"/>
              </w:rPr>
            </w:pPr>
            <w:r>
              <w:rPr>
                <w:rFonts w:hint="eastAsia"/>
                <w:color w:val="000000"/>
                <w:sz w:val="24"/>
              </w:rPr>
              <w:t>东环110kV变电站厂界</w:t>
            </w:r>
            <w:r>
              <w:rPr>
                <w:color w:val="000000"/>
                <w:sz w:val="24"/>
              </w:rPr>
              <w:t>工频电场强度监测值范围为2.38V/m</w:t>
            </w:r>
            <w:r>
              <w:rPr>
                <w:rFonts w:hint="eastAsia"/>
                <w:color w:val="000000"/>
                <w:sz w:val="24"/>
              </w:rPr>
              <w:t>~</w:t>
            </w:r>
            <w:r>
              <w:rPr>
                <w:color w:val="000000"/>
                <w:sz w:val="24"/>
              </w:rPr>
              <w:t>3.09V/m</w:t>
            </w:r>
            <w:r>
              <w:rPr>
                <w:rFonts w:hint="eastAsia"/>
                <w:color w:val="000000"/>
                <w:sz w:val="24"/>
              </w:rPr>
              <w:t>、</w:t>
            </w:r>
            <w:r>
              <w:rPr>
                <w:color w:val="000000"/>
                <w:sz w:val="24"/>
              </w:rPr>
              <w:t>工频磁感应强度监测值范围为0.019μT</w:t>
            </w:r>
            <w:r>
              <w:rPr>
                <w:rFonts w:hint="eastAsia"/>
                <w:color w:val="000000"/>
                <w:sz w:val="24"/>
              </w:rPr>
              <w:t>~0.</w:t>
            </w:r>
            <w:r>
              <w:rPr>
                <w:color w:val="000000"/>
                <w:sz w:val="24"/>
              </w:rPr>
              <w:t>028μT</w:t>
            </w:r>
            <w:r>
              <w:rPr>
                <w:rFonts w:hint="eastAsia"/>
                <w:color w:val="000000"/>
                <w:sz w:val="24"/>
              </w:rPr>
              <w:t>，</w:t>
            </w:r>
            <w:r>
              <w:rPr>
                <w:color w:val="000000"/>
                <w:sz w:val="24"/>
              </w:rPr>
              <w:t>工频电场强度、工频磁感应强度分别满足《电磁环境控制限值》（GB8702-2014）中4</w:t>
            </w:r>
            <w:r>
              <w:rPr>
                <w:rFonts w:hint="eastAsia"/>
                <w:color w:val="000000"/>
                <w:sz w:val="24"/>
              </w:rPr>
              <w:t>000</w:t>
            </w:r>
            <w:r>
              <w:rPr>
                <w:color w:val="000000"/>
                <w:sz w:val="24"/>
              </w:rPr>
              <w:t>V/m、100μT的限值要求</w:t>
            </w:r>
            <w:r>
              <w:rPr>
                <w:rFonts w:hint="eastAsia"/>
                <w:color w:val="000000"/>
                <w:sz w:val="24"/>
              </w:rPr>
              <w:t>。</w:t>
            </w:r>
          </w:p>
          <w:p>
            <w:pPr>
              <w:spacing w:line="360" w:lineRule="auto"/>
              <w:ind w:firstLine="480" w:firstLineChars="200"/>
              <w:rPr>
                <w:color w:val="000000"/>
                <w:sz w:val="24"/>
              </w:rPr>
            </w:pPr>
            <w:r>
              <w:rPr>
                <w:rFonts w:hint="eastAsia"/>
                <w:color w:val="000000"/>
                <w:sz w:val="24"/>
              </w:rPr>
              <w:t>（2）新建110kV线路工程</w:t>
            </w:r>
          </w:p>
          <w:p>
            <w:pPr>
              <w:spacing w:line="360" w:lineRule="auto"/>
              <w:ind w:firstLine="480" w:firstLineChars="200"/>
              <w:rPr>
                <w:color w:val="000000"/>
                <w:sz w:val="24"/>
              </w:rPr>
            </w:pPr>
            <w:r>
              <w:rPr>
                <w:rFonts w:hint="eastAsia"/>
                <w:color w:val="000000"/>
                <w:sz w:val="24"/>
              </w:rPr>
              <w:t>本工程拟建线路沿线环境敏感保护目标处的工频电场强度监测值为</w:t>
            </w:r>
            <w:r>
              <w:rPr>
                <w:color w:val="000000"/>
                <w:sz w:val="24"/>
              </w:rPr>
              <w:t>7.15</w:t>
            </w:r>
            <w:r>
              <w:rPr>
                <w:rFonts w:hint="eastAsia"/>
                <w:color w:val="000000"/>
                <w:sz w:val="24"/>
              </w:rPr>
              <w:t>V/m、工频磁感应强度监测值为</w:t>
            </w:r>
            <w:r>
              <w:rPr>
                <w:color w:val="000000"/>
                <w:sz w:val="24"/>
              </w:rPr>
              <w:t>0.107μ</w:t>
            </w:r>
            <w:r>
              <w:rPr>
                <w:rFonts w:hint="eastAsia"/>
                <w:color w:val="000000"/>
                <w:sz w:val="24"/>
              </w:rPr>
              <w:t>T，工频电场强度、磁感应强度分别满足4000V/m、100</w:t>
            </w:r>
            <w:r>
              <w:rPr>
                <w:color w:val="000000"/>
                <w:sz w:val="24"/>
              </w:rPr>
              <w:t>μ</w:t>
            </w:r>
            <w:r>
              <w:rPr>
                <w:rFonts w:hint="eastAsia"/>
                <w:color w:val="000000"/>
                <w:sz w:val="24"/>
              </w:rPr>
              <w:t>T的限值要求；本工程拟建线路沿线现状监测点工频电场强度监测范围值为</w:t>
            </w:r>
            <w:r>
              <w:rPr>
                <w:color w:val="000000"/>
                <w:sz w:val="24"/>
              </w:rPr>
              <w:t>0.24</w:t>
            </w:r>
            <w:r>
              <w:rPr>
                <w:rFonts w:hint="eastAsia"/>
                <w:color w:val="000000"/>
                <w:sz w:val="24"/>
              </w:rPr>
              <w:t>V/m～</w:t>
            </w:r>
            <w:r>
              <w:rPr>
                <w:rFonts w:eastAsiaTheme="minorEastAsia"/>
                <w:kern w:val="0"/>
                <w:sz w:val="24"/>
                <w:szCs w:val="21"/>
              </w:rPr>
              <w:t xml:space="preserve">2.45 </w:t>
            </w:r>
            <w:r>
              <w:rPr>
                <w:kern w:val="0"/>
                <w:sz w:val="24"/>
                <w:szCs w:val="21"/>
              </w:rPr>
              <w:t>×</w:t>
            </w:r>
            <w:r>
              <w:rPr>
                <w:rFonts w:eastAsiaTheme="minorEastAsia"/>
                <w:kern w:val="0"/>
                <w:sz w:val="24"/>
                <w:szCs w:val="21"/>
              </w:rPr>
              <w:t>10</w:t>
            </w:r>
            <w:r>
              <w:rPr>
                <w:rFonts w:eastAsiaTheme="minorEastAsia"/>
                <w:kern w:val="0"/>
                <w:sz w:val="24"/>
                <w:szCs w:val="21"/>
                <w:vertAlign w:val="superscript"/>
              </w:rPr>
              <w:t>3</w:t>
            </w:r>
            <w:r>
              <w:rPr>
                <w:rFonts w:hint="eastAsia"/>
                <w:color w:val="000000"/>
                <w:sz w:val="24"/>
              </w:rPr>
              <w:t>V/m，工频磁感应强度监测值范围为</w:t>
            </w:r>
            <w:r>
              <w:rPr>
                <w:color w:val="000000"/>
                <w:sz w:val="24"/>
              </w:rPr>
              <w:t>0.014</w:t>
            </w:r>
            <w:r>
              <w:rPr>
                <w:rFonts w:hint="eastAsia"/>
                <w:color w:val="000000"/>
                <w:sz w:val="24"/>
              </w:rPr>
              <w:t>µT～1.</w:t>
            </w:r>
            <w:r>
              <w:rPr>
                <w:color w:val="000000"/>
                <w:sz w:val="24"/>
              </w:rPr>
              <w:t>332</w:t>
            </w:r>
            <w:r>
              <w:rPr>
                <w:rFonts w:hint="eastAsia"/>
                <w:color w:val="000000"/>
                <w:sz w:val="24"/>
              </w:rPr>
              <w:t>µT，工频电场强度、工频磁感应强度均分别满足《电磁环境控制限值》（GB8702-2014）中的10kV/m、100μT的控制限值。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57" w:type="dxa"/>
            <w:vAlign w:val="center"/>
          </w:tcPr>
          <w:p>
            <w:pPr>
              <w:adjustRightInd w:val="0"/>
              <w:snapToGrid w:val="0"/>
              <w:jc w:val="center"/>
              <w:rPr>
                <w:b/>
                <w:color w:val="000000"/>
                <w:kern w:val="0"/>
                <w:sz w:val="24"/>
              </w:rPr>
            </w:pPr>
            <w:r>
              <w:rPr>
                <w:b/>
                <w:color w:val="000000"/>
                <w:kern w:val="0"/>
                <w:sz w:val="24"/>
              </w:rPr>
              <w:t>与项目有关的原有环境污染和生态破坏问题</w:t>
            </w:r>
          </w:p>
        </w:tc>
        <w:tc>
          <w:tcPr>
            <w:tcW w:w="8316" w:type="dxa"/>
            <w:vAlign w:val="center"/>
          </w:tcPr>
          <w:p>
            <w:pPr>
              <w:pStyle w:val="5"/>
              <w:numPr>
                <w:ilvl w:val="0"/>
                <w:numId w:val="18"/>
              </w:numPr>
              <w:spacing w:before="0" w:after="0" w:line="360" w:lineRule="auto"/>
              <w:rPr>
                <w:rFonts w:eastAsia="宋体"/>
                <w:sz w:val="24"/>
                <w:szCs w:val="24"/>
              </w:rPr>
            </w:pPr>
            <w:bookmarkStart w:id="563" w:name="_Toc193"/>
            <w:r>
              <w:rPr>
                <w:rFonts w:hint="eastAsia" w:eastAsia="宋体"/>
                <w:sz w:val="24"/>
                <w:szCs w:val="24"/>
              </w:rPr>
              <w:t>前期工程环保手续履行情况</w:t>
            </w:r>
            <w:bookmarkEnd w:id="563"/>
          </w:p>
          <w:p>
            <w:pPr>
              <w:spacing w:line="360" w:lineRule="auto"/>
              <w:ind w:firstLine="480" w:firstLineChars="200"/>
              <w:rPr>
                <w:color w:val="000000"/>
                <w:sz w:val="24"/>
              </w:rPr>
            </w:pPr>
            <w:r>
              <w:rPr>
                <w:rFonts w:hint="eastAsia"/>
                <w:color w:val="000000"/>
                <w:sz w:val="24"/>
              </w:rPr>
              <w:t>（1）110kV交沙Ⅱ线</w:t>
            </w:r>
          </w:p>
          <w:p>
            <w:pPr>
              <w:spacing w:line="360" w:lineRule="auto"/>
              <w:ind w:firstLine="480" w:firstLineChars="200"/>
              <w:rPr>
                <w:color w:val="000000"/>
                <w:sz w:val="24"/>
              </w:rPr>
            </w:pPr>
            <w:r>
              <w:rPr>
                <w:rFonts w:hint="eastAsia"/>
                <w:color w:val="000000"/>
                <w:sz w:val="24"/>
              </w:rPr>
              <w:t>110kV交沙Ⅱ线属于“吐鲁番新区110千伏输变电工程”的建设内容。201</w:t>
            </w:r>
            <w:r>
              <w:rPr>
                <w:color w:val="000000"/>
                <w:sz w:val="24"/>
              </w:rPr>
              <w:t>3</w:t>
            </w:r>
            <w:r>
              <w:rPr>
                <w:rFonts w:hint="eastAsia"/>
                <w:color w:val="000000"/>
                <w:sz w:val="24"/>
              </w:rPr>
              <w:t>年</w:t>
            </w:r>
            <w:r>
              <w:rPr>
                <w:color w:val="000000"/>
                <w:sz w:val="24"/>
              </w:rPr>
              <w:t>3</w:t>
            </w:r>
            <w:r>
              <w:rPr>
                <w:rFonts w:hint="eastAsia"/>
                <w:color w:val="000000"/>
                <w:sz w:val="24"/>
              </w:rPr>
              <w:t>月2</w:t>
            </w:r>
            <w:r>
              <w:rPr>
                <w:color w:val="000000"/>
                <w:sz w:val="24"/>
              </w:rPr>
              <w:t>1</w:t>
            </w:r>
            <w:r>
              <w:rPr>
                <w:rFonts w:hint="eastAsia"/>
                <w:color w:val="000000"/>
                <w:sz w:val="24"/>
              </w:rPr>
              <w:t>日，原吐鲁番地区环境保护局以《关于&lt;吐鲁番新区等6个110千伏电网建设项目环境影响登记表&gt;的批复》（吐地环发〔201</w:t>
            </w:r>
            <w:r>
              <w:rPr>
                <w:color w:val="000000"/>
                <w:sz w:val="24"/>
              </w:rPr>
              <w:t>3</w:t>
            </w:r>
            <w:r>
              <w:rPr>
                <w:rFonts w:hint="eastAsia"/>
                <w:color w:val="000000"/>
                <w:sz w:val="24"/>
              </w:rPr>
              <w:t>〕</w:t>
            </w:r>
            <w:r>
              <w:rPr>
                <w:color w:val="000000"/>
                <w:sz w:val="24"/>
              </w:rPr>
              <w:t>67</w:t>
            </w:r>
            <w:r>
              <w:rPr>
                <w:rFonts w:hint="eastAsia"/>
                <w:color w:val="000000"/>
                <w:sz w:val="24"/>
              </w:rPr>
              <w:t>号）对该工程环评予以批复；20</w:t>
            </w:r>
            <w:r>
              <w:rPr>
                <w:color w:val="000000"/>
                <w:sz w:val="24"/>
              </w:rPr>
              <w:t>17</w:t>
            </w:r>
            <w:r>
              <w:rPr>
                <w:rFonts w:hint="eastAsia"/>
                <w:color w:val="000000"/>
                <w:sz w:val="24"/>
              </w:rPr>
              <w:t>年</w:t>
            </w:r>
            <w:r>
              <w:rPr>
                <w:color w:val="000000"/>
                <w:sz w:val="24"/>
              </w:rPr>
              <w:t>2</w:t>
            </w:r>
            <w:r>
              <w:rPr>
                <w:rFonts w:hint="eastAsia"/>
                <w:color w:val="000000"/>
                <w:sz w:val="24"/>
              </w:rPr>
              <w:t>月2</w:t>
            </w:r>
            <w:r>
              <w:rPr>
                <w:color w:val="000000"/>
                <w:sz w:val="24"/>
              </w:rPr>
              <w:t>8</w:t>
            </w:r>
            <w:r>
              <w:rPr>
                <w:rFonts w:hint="eastAsia"/>
                <w:color w:val="000000"/>
                <w:sz w:val="24"/>
              </w:rPr>
              <w:t>日，原吐鲁番市环境保护局以《关于国网新疆电力公司吐鲁番供电公司吐鲁番新区110千伏输变电工程竣工环境保护验收合格的函》（吐市环验函〔201</w:t>
            </w:r>
            <w:r>
              <w:rPr>
                <w:color w:val="000000"/>
                <w:sz w:val="24"/>
              </w:rPr>
              <w:t>7</w:t>
            </w:r>
            <w:r>
              <w:rPr>
                <w:rFonts w:hint="eastAsia"/>
                <w:color w:val="000000"/>
                <w:sz w:val="24"/>
              </w:rPr>
              <w:t>〕</w:t>
            </w:r>
            <w:r>
              <w:rPr>
                <w:color w:val="000000"/>
                <w:sz w:val="24"/>
              </w:rPr>
              <w:t>14</w:t>
            </w:r>
            <w:r>
              <w:rPr>
                <w:rFonts w:hint="eastAsia"/>
                <w:color w:val="000000"/>
                <w:sz w:val="24"/>
              </w:rPr>
              <w:t>号）对该工程环评予以批复。</w:t>
            </w:r>
          </w:p>
          <w:p>
            <w:pPr>
              <w:spacing w:line="360" w:lineRule="auto"/>
              <w:ind w:firstLine="480" w:firstLineChars="200"/>
              <w:rPr>
                <w:color w:val="000000"/>
                <w:sz w:val="24"/>
              </w:rPr>
            </w:pPr>
            <w:r>
              <w:rPr>
                <w:rFonts w:hint="eastAsia"/>
                <w:color w:val="000000"/>
                <w:sz w:val="24"/>
              </w:rPr>
              <w:t>（2）110kV七旗Ⅰ线</w:t>
            </w:r>
          </w:p>
          <w:p>
            <w:pPr>
              <w:spacing w:line="360" w:lineRule="auto"/>
              <w:ind w:firstLine="480" w:firstLineChars="200"/>
              <w:rPr>
                <w:sz w:val="24"/>
                <w:szCs w:val="32"/>
                <w:highlight w:val="yellow"/>
              </w:rPr>
            </w:pPr>
            <w:r>
              <w:rPr>
                <w:rFonts w:hint="eastAsia"/>
                <w:color w:val="000000"/>
                <w:sz w:val="24"/>
              </w:rPr>
              <w:t>110kV七旗Ⅰ线属于“吐鲁番七泉湖220千伏开关站110千伏配套送出工程”的建设内容。201</w:t>
            </w:r>
            <w:r>
              <w:rPr>
                <w:color w:val="000000"/>
                <w:sz w:val="24"/>
              </w:rPr>
              <w:t>6</w:t>
            </w:r>
            <w:r>
              <w:rPr>
                <w:rFonts w:hint="eastAsia"/>
                <w:color w:val="000000"/>
                <w:sz w:val="24"/>
              </w:rPr>
              <w:t>年</w:t>
            </w:r>
            <w:r>
              <w:rPr>
                <w:color w:val="000000"/>
                <w:sz w:val="24"/>
              </w:rPr>
              <w:t>6</w:t>
            </w:r>
            <w:r>
              <w:rPr>
                <w:rFonts w:hint="eastAsia"/>
                <w:color w:val="000000"/>
                <w:sz w:val="24"/>
              </w:rPr>
              <w:t>月2</w:t>
            </w:r>
            <w:r>
              <w:rPr>
                <w:color w:val="000000"/>
                <w:sz w:val="24"/>
              </w:rPr>
              <w:t>7</w:t>
            </w:r>
            <w:r>
              <w:rPr>
                <w:rFonts w:hint="eastAsia"/>
                <w:color w:val="000000"/>
                <w:sz w:val="24"/>
              </w:rPr>
              <w:t>日，原吐鲁番市高昌区环境保护局以《关于&lt;吐鲁番七泉湖220千伏开关站110千伏配套送出工程项目环境影响报告表&gt;批复》（高区环〔201</w:t>
            </w:r>
            <w:r>
              <w:rPr>
                <w:color w:val="000000"/>
                <w:sz w:val="24"/>
              </w:rPr>
              <w:t>6</w:t>
            </w:r>
            <w:r>
              <w:rPr>
                <w:rFonts w:hint="eastAsia"/>
                <w:color w:val="000000"/>
                <w:sz w:val="24"/>
              </w:rPr>
              <w:t>〕</w:t>
            </w:r>
            <w:r>
              <w:rPr>
                <w:color w:val="000000"/>
                <w:sz w:val="24"/>
              </w:rPr>
              <w:t>44</w:t>
            </w:r>
            <w:r>
              <w:rPr>
                <w:rFonts w:hint="eastAsia"/>
                <w:color w:val="000000"/>
                <w:sz w:val="24"/>
              </w:rPr>
              <w:t>号）对该工程环评予以批复；20</w:t>
            </w:r>
            <w:r>
              <w:rPr>
                <w:color w:val="000000"/>
                <w:sz w:val="24"/>
              </w:rPr>
              <w:t>18</w:t>
            </w:r>
            <w:r>
              <w:rPr>
                <w:rFonts w:hint="eastAsia"/>
                <w:color w:val="000000"/>
                <w:sz w:val="24"/>
              </w:rPr>
              <w:t>年</w:t>
            </w:r>
            <w:r>
              <w:rPr>
                <w:color w:val="000000"/>
                <w:sz w:val="24"/>
              </w:rPr>
              <w:t>11</w:t>
            </w:r>
            <w:r>
              <w:rPr>
                <w:rFonts w:hint="eastAsia"/>
                <w:color w:val="000000"/>
                <w:sz w:val="24"/>
              </w:rPr>
              <w:t>月</w:t>
            </w:r>
            <w:r>
              <w:rPr>
                <w:color w:val="000000"/>
                <w:sz w:val="24"/>
              </w:rPr>
              <w:t>5</w:t>
            </w:r>
            <w:r>
              <w:rPr>
                <w:rFonts w:hint="eastAsia"/>
                <w:color w:val="000000"/>
                <w:sz w:val="24"/>
              </w:rPr>
              <w:t>日，国网新疆电力有限公司以《国网新疆电力有限公司关于印发吐鲁番伊拉湖等 14项输变电工程竣工环境保护验收意见的通知》（新电科〔201</w:t>
            </w:r>
            <w:r>
              <w:rPr>
                <w:color w:val="000000"/>
                <w:sz w:val="24"/>
              </w:rPr>
              <w:t>8</w:t>
            </w:r>
            <w:r>
              <w:rPr>
                <w:rFonts w:hint="eastAsia"/>
                <w:color w:val="000000"/>
                <w:sz w:val="24"/>
              </w:rPr>
              <w:t>〕</w:t>
            </w:r>
            <w:r>
              <w:rPr>
                <w:color w:val="000000"/>
                <w:sz w:val="24"/>
              </w:rPr>
              <w:t>458</w:t>
            </w:r>
            <w:r>
              <w:rPr>
                <w:rFonts w:hint="eastAsia"/>
                <w:color w:val="000000"/>
                <w:sz w:val="24"/>
              </w:rPr>
              <w:t>号）通过该工程竣工环保自主验收。</w:t>
            </w:r>
          </w:p>
          <w:p>
            <w:pPr>
              <w:pStyle w:val="5"/>
              <w:numPr>
                <w:ilvl w:val="0"/>
                <w:numId w:val="18"/>
              </w:numPr>
              <w:spacing w:before="0" w:after="0" w:line="360" w:lineRule="auto"/>
              <w:rPr>
                <w:rFonts w:eastAsia="宋体"/>
                <w:sz w:val="24"/>
                <w:szCs w:val="24"/>
              </w:rPr>
            </w:pPr>
            <w:bookmarkStart w:id="564" w:name="_Toc1944"/>
            <w:r>
              <w:rPr>
                <w:rFonts w:hint="eastAsia" w:eastAsia="宋体"/>
                <w:sz w:val="24"/>
                <w:szCs w:val="24"/>
              </w:rPr>
              <w:t>与本工程有关的原有污染情况及主要环境问题</w:t>
            </w:r>
            <w:bookmarkEnd w:id="564"/>
          </w:p>
          <w:p>
            <w:pPr>
              <w:pStyle w:val="5"/>
              <w:spacing w:after="0" w:line="360" w:lineRule="auto"/>
              <w:ind w:left="0" w:firstLine="0"/>
              <w:rPr>
                <w:rFonts w:eastAsia="宋体"/>
                <w:color w:val="auto"/>
                <w:sz w:val="24"/>
                <w:szCs w:val="24"/>
              </w:rPr>
            </w:pPr>
            <w:bookmarkStart w:id="565" w:name="_Toc8396"/>
            <w:r>
              <w:rPr>
                <w:rFonts w:hint="eastAsia" w:eastAsia="宋体"/>
                <w:color w:val="auto"/>
                <w:sz w:val="24"/>
                <w:szCs w:val="24"/>
              </w:rPr>
              <w:t>2.1 与本工程有关的原有污染情况</w:t>
            </w:r>
            <w:bookmarkEnd w:id="565"/>
          </w:p>
          <w:p>
            <w:pPr>
              <w:pStyle w:val="11"/>
              <w:rPr>
                <w:color w:val="000000"/>
                <w:szCs w:val="24"/>
              </w:rPr>
            </w:pPr>
            <w:r>
              <w:rPr>
                <w:color w:val="000000"/>
                <w:szCs w:val="24"/>
              </w:rPr>
              <w:t>声环境污染源：本工程附近的施工噪声、道路交通噪声为项目区域主要的声环境污染源。</w:t>
            </w:r>
          </w:p>
          <w:p>
            <w:pPr>
              <w:pStyle w:val="11"/>
              <w:rPr>
                <w:color w:val="000000"/>
                <w:szCs w:val="24"/>
              </w:rPr>
            </w:pPr>
            <w:r>
              <w:rPr>
                <w:color w:val="000000"/>
                <w:szCs w:val="24"/>
              </w:rPr>
              <w:t>电磁环境</w:t>
            </w:r>
            <w:r>
              <w:rPr>
                <w:rFonts w:hint="eastAsia"/>
                <w:color w:val="000000"/>
                <w:szCs w:val="24"/>
              </w:rPr>
              <w:t>污染源</w:t>
            </w:r>
            <w:r>
              <w:rPr>
                <w:color w:val="000000"/>
                <w:szCs w:val="24"/>
              </w:rPr>
              <w:t>：根据现场踏勘，工程附近已建输电线路为工程所在区域主要的电磁环境污染源。</w:t>
            </w:r>
          </w:p>
          <w:p>
            <w:pPr>
              <w:pStyle w:val="5"/>
              <w:spacing w:after="0" w:line="360" w:lineRule="auto"/>
              <w:ind w:left="0" w:firstLine="0"/>
              <w:rPr>
                <w:rFonts w:eastAsia="宋体"/>
                <w:color w:val="auto"/>
                <w:sz w:val="24"/>
                <w:szCs w:val="24"/>
              </w:rPr>
            </w:pPr>
            <w:bookmarkStart w:id="566" w:name="_Toc23990"/>
            <w:r>
              <w:rPr>
                <w:rFonts w:hint="eastAsia" w:eastAsia="宋体"/>
                <w:color w:val="auto"/>
                <w:sz w:val="24"/>
                <w:szCs w:val="24"/>
              </w:rPr>
              <w:t>2.2 与本工程有关的主要环境问题</w:t>
            </w:r>
            <w:bookmarkEnd w:id="566"/>
          </w:p>
          <w:p>
            <w:pPr>
              <w:pStyle w:val="11"/>
            </w:pPr>
            <w:r>
              <w:t>本次环境现状监测结果表明</w:t>
            </w:r>
            <w:r>
              <w:rPr>
                <w:rFonts w:hint="eastAsia"/>
              </w:rPr>
              <w:t>，</w:t>
            </w:r>
            <w:r>
              <w:t>工程所在地电磁环境和声环境现状均满足相应国家标准要求</w:t>
            </w:r>
            <w:r>
              <w:rPr>
                <w:rFonts w:hint="eastAsia"/>
              </w:rPr>
              <w:t>，</w:t>
            </w:r>
            <w:r>
              <w:t>未发现明显环境问题。</w:t>
            </w:r>
          </w:p>
          <w:p>
            <w:pPr>
              <w:pStyle w:val="11"/>
            </w:pPr>
            <w:r>
              <w:t>根据现场踏勘和调查</w:t>
            </w:r>
            <w:r>
              <w:rPr>
                <w:rFonts w:hint="eastAsia"/>
              </w:rPr>
              <w:t>，线路</w:t>
            </w:r>
            <w:r>
              <w:t>区域未发现环境空气、水环境等环境污染问题。相关工程前期环保手续完善</w:t>
            </w:r>
            <w:r>
              <w:rPr>
                <w:rFonts w:hint="eastAsia"/>
              </w:rPr>
              <w:t>，</w:t>
            </w:r>
            <w:r>
              <w:t>不存在</w:t>
            </w:r>
            <w:r>
              <w:rPr>
                <w:rFonts w:hint="eastAsia"/>
              </w:rPr>
              <w:t>“以新带老”环保问题。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457" w:type="dxa"/>
            <w:vAlign w:val="center"/>
          </w:tcPr>
          <w:p>
            <w:pPr>
              <w:adjustRightInd w:val="0"/>
              <w:snapToGrid w:val="0"/>
              <w:jc w:val="center"/>
              <w:rPr>
                <w:b/>
                <w:color w:val="000000"/>
                <w:kern w:val="0"/>
                <w:sz w:val="24"/>
              </w:rPr>
            </w:pPr>
            <w:r>
              <w:rPr>
                <w:rFonts w:hint="eastAsia"/>
                <w:b/>
                <w:color w:val="000000"/>
                <w:kern w:val="0"/>
                <w:sz w:val="24"/>
              </w:rPr>
              <w:t>生态环境保护目标</w:t>
            </w:r>
          </w:p>
        </w:tc>
        <w:tc>
          <w:tcPr>
            <w:tcW w:w="8316" w:type="dxa"/>
            <w:vAlign w:val="center"/>
          </w:tcPr>
          <w:p>
            <w:pPr>
              <w:pStyle w:val="11"/>
              <w:ind w:firstLine="0" w:firstLineChars="0"/>
              <w:rPr>
                <w:b/>
                <w:bCs/>
                <w:color w:val="000000"/>
                <w:kern w:val="44"/>
                <w:szCs w:val="24"/>
              </w:rPr>
            </w:pPr>
            <w:bookmarkStart w:id="567" w:name="_Toc96935422"/>
            <w:bookmarkStart w:id="568" w:name="_Toc110439158"/>
            <w:bookmarkStart w:id="569" w:name="_Toc95464676"/>
            <w:bookmarkStart w:id="570" w:name="_Toc109473883"/>
            <w:bookmarkStart w:id="571" w:name="_Toc85037232"/>
            <w:bookmarkStart w:id="572" w:name="_Toc85036898"/>
            <w:bookmarkStart w:id="573" w:name="_Toc88558537"/>
            <w:bookmarkStart w:id="574" w:name="_Toc109473570"/>
            <w:bookmarkStart w:id="575" w:name="_Toc91493274"/>
            <w:bookmarkStart w:id="576" w:name="_Toc96031385"/>
            <w:bookmarkStart w:id="577" w:name="_Toc111564322"/>
            <w:bookmarkStart w:id="578" w:name="_Toc97290592"/>
            <w:bookmarkStart w:id="579" w:name="_Toc96031302"/>
            <w:bookmarkStart w:id="580" w:name="_Toc91532181"/>
            <w:bookmarkStart w:id="581" w:name="_Toc109473804"/>
            <w:bookmarkStart w:id="582" w:name="_Toc109472631"/>
            <w:r>
              <w:rPr>
                <w:rFonts w:hint="eastAsia"/>
                <w:b/>
                <w:bCs/>
                <w:color w:val="000000"/>
                <w:kern w:val="44"/>
                <w:szCs w:val="24"/>
              </w:rPr>
              <w:t>1生态保护目标</w:t>
            </w:r>
          </w:p>
          <w:p>
            <w:pPr>
              <w:pStyle w:val="11"/>
              <w:rPr>
                <w:rFonts w:hint="eastAsia" w:ascii="宋体" w:hAnsi="宋体" w:cs="宋体"/>
              </w:rPr>
            </w:pPr>
            <w:r>
              <w:rPr>
                <w:rFonts w:hint="eastAsia" w:cs="宋体"/>
              </w:rPr>
              <w:t>根据现场踏勘、资料收集和调研工作，本工程不涉及《建设项目环境影响评价分类管理名录（2021年版）》（生态环境部令第16号）第三条（一）中的环境敏感区，即不涉及国家公园、自然保护区、风景名胜区、世界文化和自然遗产地、海洋特别保护区，饮用水水源保护区；不涉及《环境影响评价技术导则 生态影响》（HJ19-2022）3.3中规定的生态敏感区，本工程不涉及新疆维吾尔自治区生态保护红线。</w:t>
            </w:r>
          </w:p>
          <w:p>
            <w:pPr>
              <w:pStyle w:val="11"/>
              <w:ind w:firstLine="0" w:firstLineChars="0"/>
              <w:rPr>
                <w:b/>
                <w:bCs/>
                <w:color w:val="000000"/>
                <w:kern w:val="44"/>
                <w:szCs w:val="24"/>
              </w:rPr>
            </w:pPr>
            <w:r>
              <w:rPr>
                <w:rFonts w:hint="eastAsia"/>
                <w:b/>
                <w:bCs/>
                <w:color w:val="000000"/>
                <w:kern w:val="44"/>
                <w:szCs w:val="24"/>
              </w:rPr>
              <w:t>2水环境保护目标</w:t>
            </w:r>
          </w:p>
          <w:p>
            <w:pPr>
              <w:pStyle w:val="11"/>
            </w:pPr>
            <w:r>
              <w:rPr>
                <w:rFonts w:hint="eastAsia"/>
              </w:rPr>
              <w:t>本工程不涉及《环境影响评价技术导则 地表水环境》（HJ 2.3-2018）中水环境保护目标，即不涉及饮用水水源保护区、饮用水取水口，涉水的自然保护区、风景名胜区，重要湿地、重点保护与珍稀水生生物的栖息地、重要水生生物的自然产卵场及索饵场、越冬场和洄游通道，天然渔场等渔业水体，以及水产种质资源保护区等</w:t>
            </w:r>
            <w:r>
              <w:rPr>
                <w:rFonts w:hint="eastAsia" w:ascii="宋体" w:hAnsi="宋体"/>
              </w:rPr>
              <w:t>。</w:t>
            </w:r>
          </w:p>
          <w:p>
            <w:pPr>
              <w:pStyle w:val="11"/>
              <w:ind w:firstLine="0" w:firstLineChars="0"/>
              <w:rPr>
                <w:b/>
                <w:bCs/>
                <w:color w:val="000000"/>
                <w:kern w:val="44"/>
                <w:szCs w:val="24"/>
              </w:rPr>
            </w:pPr>
            <w:r>
              <w:rPr>
                <w:rFonts w:hint="eastAsia"/>
                <w:b/>
                <w:bCs/>
                <w:color w:val="000000"/>
                <w:kern w:val="44"/>
                <w:szCs w:val="24"/>
              </w:rPr>
              <w:t>3电磁环境、声环境保护目标</w:t>
            </w:r>
          </w:p>
          <w:p>
            <w:pPr>
              <w:pStyle w:val="11"/>
              <w:rPr>
                <w:rFonts w:cs="宋体"/>
                <w:szCs w:val="24"/>
              </w:rPr>
            </w:pPr>
            <w:r>
              <w:rPr>
                <w:rFonts w:hint="eastAsia" w:cs="宋体"/>
                <w:szCs w:val="24"/>
              </w:rPr>
              <w:t>根据《环境影响评价技术导则 输变电》（</w:t>
            </w:r>
            <w:r>
              <w:rPr>
                <w:szCs w:val="24"/>
              </w:rPr>
              <w:t>HJ 24-2020</w:t>
            </w:r>
            <w:r>
              <w:rPr>
                <w:rFonts w:hint="eastAsia" w:cs="宋体"/>
                <w:szCs w:val="24"/>
              </w:rPr>
              <w:t>），电磁环境敏感目标是指电磁环境影响评价与监测需重点关注的对象。包括住宅、学校、医院、办公楼、工厂等有公众居住、工作和学习的建筑物；根据《环境影响评价技术导则 声环境》（HJ2.4-2021），声环境保护目标是指依据法律、法规、标准政策等确定的需要保持安静的建筑物及建筑物集中区；根据《中华人民共和国噪声污染防治法》，噪声敏感建筑物是指用于居住、科学研究、医疗卫生、文化教育、需要保持安静的建筑物。</w:t>
            </w:r>
          </w:p>
          <w:p>
            <w:pPr>
              <w:pStyle w:val="11"/>
              <w:rPr>
                <w:rFonts w:hint="eastAsia" w:ascii="宋体" w:hAnsi="宋体" w:cs="宋体"/>
                <w:szCs w:val="24"/>
              </w:rPr>
            </w:pPr>
            <w:r>
              <w:rPr>
                <w:rFonts w:hint="eastAsia" w:ascii="宋体" w:hAnsi="宋体" w:cs="宋体"/>
                <w:szCs w:val="24"/>
              </w:rPr>
              <w:t>本工程变电站评价范围无声环境保护目标和电磁环境敏感目标。新建线路评价范围内</w:t>
            </w:r>
            <w:r>
              <w:rPr>
                <w:rFonts w:hint="eastAsia" w:cs="宋体"/>
                <w:szCs w:val="24"/>
              </w:rPr>
              <w:t>有1处声环境保护目标和1处电</w:t>
            </w:r>
            <w:r>
              <w:rPr>
                <w:rFonts w:hint="eastAsia" w:ascii="宋体" w:hAnsi="宋体" w:cs="宋体"/>
                <w:szCs w:val="24"/>
              </w:rPr>
              <w:t>磁环境敏感目标。</w:t>
            </w:r>
          </w:p>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Pr>
              <w:pStyle w:val="11"/>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457" w:type="dxa"/>
            <w:vAlign w:val="center"/>
          </w:tcPr>
          <w:p>
            <w:pPr>
              <w:adjustRightInd w:val="0"/>
              <w:snapToGrid w:val="0"/>
              <w:jc w:val="center"/>
              <w:rPr>
                <w:b/>
                <w:color w:val="000000"/>
                <w:kern w:val="0"/>
                <w:sz w:val="24"/>
              </w:rPr>
            </w:pPr>
            <w:r>
              <w:rPr>
                <w:b/>
                <w:color w:val="000000"/>
                <w:kern w:val="0"/>
                <w:sz w:val="24"/>
              </w:rPr>
              <w:t>评价</w:t>
            </w:r>
          </w:p>
          <w:p>
            <w:pPr>
              <w:adjustRightInd w:val="0"/>
              <w:snapToGrid w:val="0"/>
              <w:jc w:val="center"/>
              <w:rPr>
                <w:b/>
                <w:color w:val="000000"/>
                <w:kern w:val="0"/>
                <w:sz w:val="24"/>
              </w:rPr>
            </w:pPr>
            <w:r>
              <w:rPr>
                <w:b/>
                <w:color w:val="000000"/>
                <w:kern w:val="0"/>
                <w:sz w:val="24"/>
              </w:rPr>
              <w:t>标准</w:t>
            </w:r>
          </w:p>
        </w:tc>
        <w:tc>
          <w:tcPr>
            <w:tcW w:w="8316" w:type="dxa"/>
            <w:vAlign w:val="center"/>
          </w:tcPr>
          <w:p>
            <w:pPr>
              <w:pStyle w:val="5"/>
              <w:numPr>
                <w:ilvl w:val="0"/>
                <w:numId w:val="19"/>
              </w:numPr>
              <w:spacing w:before="0" w:after="0" w:line="360" w:lineRule="auto"/>
              <w:rPr>
                <w:rFonts w:eastAsia="宋体"/>
                <w:sz w:val="24"/>
                <w:szCs w:val="24"/>
              </w:rPr>
            </w:pPr>
            <w:bookmarkStart w:id="583" w:name="_Toc6231"/>
            <w:bookmarkStart w:id="584" w:name="_Toc21649"/>
            <w:bookmarkStart w:id="585" w:name="_Toc109473807"/>
            <w:bookmarkStart w:id="586" w:name="_Toc111564325"/>
            <w:bookmarkStart w:id="587" w:name="_Toc109473573"/>
            <w:bookmarkStart w:id="588" w:name="_Toc85036900"/>
            <w:bookmarkStart w:id="589" w:name="_Toc17622"/>
            <w:bookmarkStart w:id="590" w:name="_Toc85037234"/>
            <w:bookmarkStart w:id="591" w:name="_Toc97290594"/>
            <w:bookmarkStart w:id="592" w:name="_Toc96031387"/>
            <w:bookmarkStart w:id="593" w:name="_Toc109473886"/>
            <w:bookmarkStart w:id="594" w:name="_Toc95464678"/>
            <w:bookmarkStart w:id="595" w:name="_Toc110439161"/>
            <w:bookmarkStart w:id="596" w:name="_Toc91532183"/>
            <w:bookmarkStart w:id="597" w:name="_Toc91493276"/>
            <w:bookmarkStart w:id="598" w:name="_Toc81415631"/>
            <w:bookmarkStart w:id="599" w:name="_Toc81308159"/>
            <w:bookmarkStart w:id="600" w:name="_Toc109472634"/>
            <w:bookmarkStart w:id="601" w:name="_Toc88558539"/>
            <w:bookmarkStart w:id="602" w:name="_Toc96031304"/>
            <w:bookmarkStart w:id="603" w:name="_Toc96935424"/>
            <w:r>
              <w:rPr>
                <w:rFonts w:hint="eastAsia" w:eastAsia="宋体"/>
                <w:sz w:val="24"/>
                <w:szCs w:val="24"/>
              </w:rPr>
              <w:t>评价范围</w:t>
            </w:r>
            <w:bookmarkEnd w:id="583"/>
            <w:bookmarkEnd w:id="584"/>
          </w:p>
          <w:p>
            <w:pPr>
              <w:spacing w:line="360" w:lineRule="auto"/>
              <w:ind w:firstLine="240" w:firstLineChars="100"/>
              <w:rPr>
                <w:sz w:val="24"/>
              </w:rPr>
            </w:pPr>
            <w:r>
              <w:rPr>
                <w:sz w:val="24"/>
              </w:rPr>
              <w:t>（1）声环境</w:t>
            </w:r>
          </w:p>
          <w:p>
            <w:pPr>
              <w:spacing w:line="360" w:lineRule="auto"/>
              <w:ind w:firstLine="480" w:firstLineChars="200"/>
              <w:rPr>
                <w:sz w:val="24"/>
              </w:rPr>
            </w:pPr>
            <w:r>
              <w:rPr>
                <w:rFonts w:hint="eastAsia"/>
                <w:sz w:val="24"/>
              </w:rPr>
              <w:t>变电站：变电站厂界外200m范围区域内；</w:t>
            </w:r>
          </w:p>
          <w:p>
            <w:pPr>
              <w:spacing w:line="360" w:lineRule="auto"/>
              <w:ind w:firstLine="480" w:firstLineChars="200"/>
              <w:rPr>
                <w:sz w:val="24"/>
              </w:rPr>
            </w:pPr>
            <w:r>
              <w:rPr>
                <w:rFonts w:hint="eastAsia"/>
                <w:sz w:val="24"/>
              </w:rPr>
              <w:t>架空线路：边导线地面垂直投影外两侧各30m范围内。</w:t>
            </w:r>
          </w:p>
          <w:p>
            <w:pPr>
              <w:spacing w:line="360" w:lineRule="auto"/>
              <w:ind w:firstLine="200"/>
              <w:rPr>
                <w:sz w:val="24"/>
              </w:rPr>
            </w:pPr>
            <w:r>
              <w:rPr>
                <w:sz w:val="24"/>
              </w:rPr>
              <w:t>（2）工频电场、工频磁场</w:t>
            </w:r>
          </w:p>
          <w:p>
            <w:pPr>
              <w:spacing w:line="360" w:lineRule="auto"/>
              <w:ind w:firstLine="480" w:firstLineChars="200"/>
              <w:rPr>
                <w:bCs/>
                <w:sz w:val="24"/>
              </w:rPr>
            </w:pPr>
            <w:r>
              <w:rPr>
                <w:rFonts w:hint="eastAsia"/>
                <w:sz w:val="24"/>
              </w:rPr>
              <w:t>变电站：变电站厂界外30m范围区域内；</w:t>
            </w:r>
          </w:p>
          <w:p>
            <w:pPr>
              <w:spacing w:line="360" w:lineRule="auto"/>
              <w:ind w:firstLine="480" w:firstLineChars="200"/>
              <w:rPr>
                <w:bCs/>
                <w:sz w:val="24"/>
              </w:rPr>
            </w:pPr>
            <w:r>
              <w:rPr>
                <w:rFonts w:hint="eastAsia"/>
                <w:sz w:val="24"/>
              </w:rPr>
              <w:t>架空线路：边导线地面垂直投影外两侧各30m范围内。</w:t>
            </w:r>
          </w:p>
          <w:p>
            <w:pPr>
              <w:spacing w:line="360" w:lineRule="auto"/>
              <w:ind w:firstLine="200"/>
              <w:rPr>
                <w:sz w:val="24"/>
              </w:rPr>
            </w:pPr>
            <w:r>
              <w:rPr>
                <w:rFonts w:hint="eastAsia"/>
                <w:sz w:val="24"/>
              </w:rPr>
              <w:t>（3）生态环境</w:t>
            </w:r>
          </w:p>
          <w:p>
            <w:pPr>
              <w:pStyle w:val="2"/>
              <w:spacing w:after="0" w:line="360" w:lineRule="auto"/>
              <w:ind w:left="0" w:leftChars="0" w:firstLine="480" w:firstLineChars="200"/>
            </w:pPr>
            <w:r>
              <w:rPr>
                <w:rFonts w:hint="eastAsia"/>
              </w:rPr>
              <w:t>变电站：变电站围墙外500m范围内；</w:t>
            </w:r>
          </w:p>
          <w:p>
            <w:pPr>
              <w:keepNext/>
              <w:numPr>
                <w:ilvl w:val="255"/>
                <w:numId w:val="0"/>
              </w:numPr>
              <w:overflowPunct w:val="0"/>
              <w:snapToGrid w:val="0"/>
              <w:spacing w:line="360" w:lineRule="auto"/>
              <w:ind w:firstLine="480" w:firstLineChars="200"/>
              <w:rPr>
                <w:sz w:val="24"/>
              </w:rPr>
            </w:pPr>
            <w:bookmarkStart w:id="604" w:name="_Toc15941"/>
            <w:r>
              <w:rPr>
                <w:rFonts w:hint="eastAsia"/>
                <w:sz w:val="24"/>
              </w:rPr>
              <w:t>架空线路：根据《环境影响评价技术导则 输变电》（HJ 24-2020），本工程拟建输电线路不涉及生态敏感区，输电线路边导线地面投影向两侧外延300m形成的带状区域。</w:t>
            </w:r>
            <w:bookmarkEnd w:id="604"/>
          </w:p>
          <w:p>
            <w:pPr>
              <w:pStyle w:val="5"/>
              <w:numPr>
                <w:ilvl w:val="0"/>
                <w:numId w:val="19"/>
              </w:numPr>
              <w:spacing w:before="0" w:after="0" w:line="360" w:lineRule="auto"/>
              <w:rPr>
                <w:rFonts w:eastAsia="宋体"/>
                <w:sz w:val="24"/>
                <w:szCs w:val="24"/>
              </w:rPr>
            </w:pPr>
            <w:bookmarkStart w:id="605" w:name="_Toc13194"/>
            <w:bookmarkStart w:id="606" w:name="_Toc12754"/>
            <w:r>
              <w:rPr>
                <w:rFonts w:eastAsia="宋体"/>
                <w:sz w:val="24"/>
                <w:szCs w:val="24"/>
              </w:rPr>
              <w:t>环境质量标准</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5"/>
            <w:bookmarkEnd w:id="606"/>
          </w:p>
          <w:p>
            <w:pPr>
              <w:pStyle w:val="11"/>
              <w:rPr>
                <w:color w:val="000000"/>
              </w:rPr>
            </w:pPr>
            <w:r>
              <w:rPr>
                <w:color w:val="000000"/>
              </w:rPr>
              <w:t>根据建设项目区域的环境现状、国家相关环境保护标准，本工程执行如下标准：</w:t>
            </w:r>
          </w:p>
          <w:p>
            <w:pPr>
              <w:pStyle w:val="11"/>
            </w:pPr>
            <w:r>
              <w:rPr>
                <w:rFonts w:hint="eastAsia"/>
              </w:rPr>
              <w:t>1）变电站</w:t>
            </w:r>
          </w:p>
          <w:p>
            <w:pPr>
              <w:adjustRightInd w:val="0"/>
              <w:snapToGrid w:val="0"/>
              <w:spacing w:line="360" w:lineRule="auto"/>
              <w:ind w:firstLine="480" w:firstLineChars="200"/>
            </w:pPr>
            <w:r>
              <w:rPr>
                <w:color w:val="000000"/>
                <w:kern w:val="0"/>
                <w:sz w:val="24"/>
              </w:rPr>
              <w:t>本工程</w:t>
            </w:r>
            <w:r>
              <w:rPr>
                <w:rFonts w:hint="eastAsia"/>
                <w:color w:val="000000"/>
                <w:kern w:val="0"/>
                <w:sz w:val="24"/>
              </w:rPr>
              <w:t>新建</w:t>
            </w:r>
            <w:r>
              <w:rPr>
                <w:color w:val="000000"/>
                <w:kern w:val="0"/>
                <w:sz w:val="24"/>
              </w:rPr>
              <w:t>变电站区域执行《声环境质量标准》（GB3096-2008）2类标准。</w:t>
            </w:r>
          </w:p>
          <w:p>
            <w:pPr>
              <w:pStyle w:val="11"/>
            </w:pPr>
            <w:r>
              <w:rPr>
                <w:rFonts w:hint="eastAsia"/>
              </w:rPr>
              <w:t>2）输电线路</w:t>
            </w:r>
          </w:p>
          <w:p>
            <w:pPr>
              <w:pStyle w:val="11"/>
              <w:rPr>
                <w:color w:val="000000" w:themeColor="text1"/>
                <w14:textFill>
                  <w14:solidFill>
                    <w14:schemeClr w14:val="tx1"/>
                  </w14:solidFill>
                </w14:textFill>
              </w:rPr>
            </w:pPr>
            <w:r>
              <w:t>本</w:t>
            </w:r>
            <w:r>
              <w:rPr>
                <w:rFonts w:hint="eastAsia"/>
              </w:rPr>
              <w:t>工程所在区域暂无声环境功能区划，</w:t>
            </w:r>
            <w:r>
              <w:rPr>
                <w:rFonts w:hint="eastAsia"/>
                <w:color w:val="000000"/>
              </w:rPr>
              <w:t>新建</w:t>
            </w:r>
            <w:r>
              <w:rPr>
                <w:color w:val="000000"/>
              </w:rPr>
              <w:t>输电线路</w:t>
            </w:r>
            <w:r>
              <w:rPr>
                <w:rFonts w:hint="eastAsia"/>
                <w:color w:val="000000"/>
              </w:rPr>
              <w:t>评价范围内有1处声环境保护目标</w:t>
            </w:r>
            <w:r>
              <w:rPr>
                <w:rFonts w:hint="eastAsia"/>
                <w:color w:val="000000" w:themeColor="text1"/>
                <w14:textFill>
                  <w14:solidFill>
                    <w14:schemeClr w14:val="tx1"/>
                  </w14:solidFill>
                </w14:textFill>
              </w:rPr>
              <w:t>，</w:t>
            </w:r>
            <w:r>
              <w:rPr>
                <w:rFonts w:hint="eastAsia"/>
              </w:rPr>
              <w:t>根据《声环境功能区划分技术规范》（G</w:t>
            </w:r>
            <w:r>
              <w:t>B/T 15190-2014</w:t>
            </w:r>
            <w:r>
              <w:rPr>
                <w:rFonts w:hint="eastAsia"/>
              </w:rPr>
              <w:t>）区划定义，本工程建设地点属于乡村地区；沿线少有分布零星房屋，但不属于规模聚居点的村庄。根据《声环境质量标准》（GB3096-2008）中7.2条乡村声环境功能的确定原则：本工程建设地点不符合康复疗养区（执行0类声环境功能区要求），不符合经过规模村庄分布地区（执行1类声环境功能区要求），不符合独立于村庄集镇之外的工业和仓储集中区（执行3类声环境功能区要求）。从至少保证声环境保护目标安静的角度出发，宜采用声环境质量2类标准</w:t>
            </w:r>
            <w:r>
              <w:t>。</w:t>
            </w:r>
            <w:r>
              <w:rPr>
                <w:rFonts w:hint="eastAsia"/>
              </w:rPr>
              <w:t>因此</w:t>
            </w:r>
            <w:r>
              <w:rPr>
                <w:rFonts w:ascii="宋体" w:hAnsi="宋体"/>
                <w:szCs w:val="24"/>
              </w:rPr>
              <w:t>本工程输电线路</w:t>
            </w:r>
            <w:r>
              <w:rPr>
                <w:rFonts w:hint="eastAsia" w:ascii="宋体" w:hAnsi="宋体"/>
                <w:szCs w:val="24"/>
              </w:rPr>
              <w:t>评价范围内的声环境</w:t>
            </w:r>
            <w:r>
              <w:rPr>
                <w:rFonts w:ascii="宋体" w:hAnsi="宋体"/>
                <w:szCs w:val="24"/>
              </w:rPr>
              <w:t>执行《声环境质量标准》（</w:t>
            </w:r>
            <w:r>
              <w:rPr>
                <w:szCs w:val="24"/>
              </w:rPr>
              <w:t>GB 3096-2008</w:t>
            </w:r>
            <w:r>
              <w:rPr>
                <w:rFonts w:ascii="宋体" w:hAnsi="宋体"/>
                <w:szCs w:val="24"/>
              </w:rPr>
              <w:t>）</w:t>
            </w:r>
            <w:r>
              <w:rPr>
                <w:szCs w:val="24"/>
              </w:rPr>
              <w:t>2</w:t>
            </w:r>
            <w:r>
              <w:rPr>
                <w:rFonts w:ascii="宋体" w:hAnsi="宋体"/>
                <w:szCs w:val="24"/>
              </w:rPr>
              <w:t>类标准；</w:t>
            </w:r>
            <w:r>
              <w:rPr>
                <w:rFonts w:hint="eastAsia"/>
              </w:rPr>
              <w:t>经过G</w:t>
            </w:r>
            <w:r>
              <w:t>30连霍高速</w:t>
            </w:r>
            <w:r>
              <w:rPr>
                <w:rFonts w:hint="eastAsia"/>
              </w:rPr>
              <w:t>两侧一定距离（与</w:t>
            </w:r>
            <w:r>
              <w:t>2</w:t>
            </w:r>
            <w:r>
              <w:rPr>
                <w:rFonts w:hint="eastAsia"/>
              </w:rPr>
              <w:t>类标准区相邻</w:t>
            </w:r>
            <w:r>
              <w:t>35±5</w:t>
            </w:r>
            <w:r>
              <w:rPr>
                <w:rFonts w:hint="eastAsia"/>
              </w:rPr>
              <w:t>m）内区域时执行4a类标准</w:t>
            </w:r>
            <w:r>
              <w:rPr>
                <w:rFonts w:ascii="宋体" w:hAnsi="宋体"/>
                <w:szCs w:val="24"/>
              </w:rPr>
              <w:t>。</w:t>
            </w:r>
          </w:p>
          <w:p>
            <w:pPr>
              <w:pStyle w:val="11"/>
              <w:rPr>
                <w:color w:val="000000"/>
              </w:rPr>
            </w:pPr>
            <w:r>
              <w:rPr>
                <w:rFonts w:hint="eastAsia"/>
                <w:color w:val="000000"/>
              </w:rPr>
              <w:t>（2）</w:t>
            </w:r>
            <w:r>
              <w:rPr>
                <w:color w:val="000000"/>
              </w:rPr>
              <w:t>工频电场、工频磁场</w:t>
            </w:r>
          </w:p>
          <w:p>
            <w:pPr>
              <w:pStyle w:val="11"/>
              <w:rPr>
                <w:color w:val="000000"/>
              </w:rPr>
            </w:pPr>
            <w:r>
              <w:t>执行《电磁环境控制限值》（GB 8702-2014）的规定，即电磁环境</w:t>
            </w:r>
            <w:r>
              <w:rPr>
                <w:rFonts w:hint="eastAsia"/>
              </w:rPr>
              <w:t>敏感</w:t>
            </w:r>
            <w:r>
              <w:t>目标处工频电场</w:t>
            </w:r>
            <w:r>
              <w:rPr>
                <w:rFonts w:hint="eastAsia"/>
              </w:rPr>
              <w:t>限值</w:t>
            </w:r>
            <w:r>
              <w:t>为4000V/m、</w:t>
            </w:r>
            <w:r>
              <w:rPr>
                <w:rFonts w:hint="eastAsia"/>
              </w:rPr>
              <w:t>工频磁场限值</w:t>
            </w:r>
            <w:r>
              <w:t>为100μT；架空线路线下耕地、园地、牧草地、畜禽饲养地、养殖水面、道路等场所，频率</w:t>
            </w:r>
            <w:r>
              <w:rPr>
                <w:rFonts w:hint="eastAsia"/>
              </w:rPr>
              <w:t>为5</w:t>
            </w:r>
            <w:r>
              <w:t>0Hz</w:t>
            </w:r>
            <w:r>
              <w:rPr>
                <w:rFonts w:hint="eastAsia"/>
              </w:rPr>
              <w:t>时</w:t>
            </w:r>
            <w:r>
              <w:t>电场强度控制限值为10kV/m</w:t>
            </w:r>
            <w:r>
              <w:rPr>
                <w:rFonts w:hint="eastAsia"/>
              </w:rPr>
              <w:t>，且应给出警示和防护指示标志</w:t>
            </w:r>
            <w:r>
              <w:t>。</w:t>
            </w:r>
          </w:p>
          <w:p>
            <w:pPr>
              <w:pStyle w:val="5"/>
              <w:numPr>
                <w:ilvl w:val="0"/>
                <w:numId w:val="19"/>
              </w:numPr>
              <w:spacing w:before="0" w:after="0" w:line="360" w:lineRule="auto"/>
              <w:rPr>
                <w:rFonts w:eastAsia="宋体"/>
                <w:sz w:val="24"/>
                <w:szCs w:val="24"/>
              </w:rPr>
            </w:pPr>
            <w:bookmarkStart w:id="607" w:name="_Toc85036902"/>
            <w:bookmarkEnd w:id="607"/>
            <w:bookmarkStart w:id="608" w:name="_Toc85037236"/>
            <w:bookmarkEnd w:id="608"/>
            <w:bookmarkStart w:id="609" w:name="_Toc85037235"/>
            <w:bookmarkEnd w:id="609"/>
            <w:bookmarkStart w:id="610" w:name="_Toc85037147"/>
            <w:bookmarkEnd w:id="610"/>
            <w:bookmarkStart w:id="611" w:name="_Toc85037148"/>
            <w:bookmarkEnd w:id="611"/>
            <w:bookmarkStart w:id="612" w:name="_Toc85036901"/>
            <w:bookmarkEnd w:id="612"/>
            <w:bookmarkStart w:id="613" w:name="_Toc10585"/>
            <w:bookmarkStart w:id="614" w:name="_Toc97290595"/>
            <w:bookmarkStart w:id="615" w:name="_Toc85037237"/>
            <w:bookmarkStart w:id="616" w:name="_Toc25374"/>
            <w:bookmarkStart w:id="617" w:name="_Toc109473808"/>
            <w:bookmarkStart w:id="618" w:name="_Toc109473574"/>
            <w:bookmarkStart w:id="619" w:name="_Toc81308160"/>
            <w:bookmarkStart w:id="620" w:name="_Toc91532184"/>
            <w:bookmarkStart w:id="621" w:name="_Toc241"/>
            <w:bookmarkStart w:id="622" w:name="_Toc96031305"/>
            <w:bookmarkStart w:id="623" w:name="_Toc81415632"/>
            <w:bookmarkStart w:id="624" w:name="_Toc85036903"/>
            <w:bookmarkStart w:id="625" w:name="_Toc96935425"/>
            <w:bookmarkStart w:id="626" w:name="_Toc110439162"/>
            <w:bookmarkStart w:id="627" w:name="_Toc96031388"/>
            <w:bookmarkStart w:id="628" w:name="_Toc109473887"/>
            <w:bookmarkStart w:id="629" w:name="_Toc95464679"/>
            <w:bookmarkStart w:id="630" w:name="_Toc111564326"/>
            <w:bookmarkStart w:id="631" w:name="_Toc88558540"/>
            <w:bookmarkStart w:id="632" w:name="_Toc109472635"/>
            <w:bookmarkStart w:id="633" w:name="_Toc91493277"/>
            <w:r>
              <w:rPr>
                <w:rFonts w:eastAsia="宋体"/>
                <w:sz w:val="24"/>
                <w:szCs w:val="24"/>
              </w:rPr>
              <w:t>污染物排放标准</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pPr>
              <w:pStyle w:val="11"/>
              <w:ind w:firstLineChars="0"/>
              <w:rPr>
                <w:color w:val="000000"/>
              </w:rPr>
            </w:pPr>
            <w:r>
              <w:rPr>
                <w:rFonts w:hint="eastAsia"/>
                <w:color w:val="000000"/>
              </w:rPr>
              <w:t>（</w:t>
            </w:r>
            <w:r>
              <w:rPr>
                <w:color w:val="000000"/>
              </w:rPr>
              <w:t>1）施工期施工场界：执行《建筑施工噪声排放标准》（GB12523-2025）。</w:t>
            </w:r>
          </w:p>
          <w:p>
            <w:pPr>
              <w:pStyle w:val="11"/>
              <w:ind w:firstLineChars="0"/>
              <w:rPr>
                <w:color w:val="000000"/>
              </w:rPr>
            </w:pPr>
            <w:r>
              <w:rPr>
                <w:color w:val="000000"/>
              </w:rPr>
              <w:t>（</w:t>
            </w:r>
            <w:r>
              <w:rPr>
                <w:rFonts w:hint="eastAsia"/>
                <w:color w:val="000000"/>
              </w:rPr>
              <w:t>2</w:t>
            </w:r>
            <w:r>
              <w:rPr>
                <w:color w:val="000000"/>
              </w:rPr>
              <w:t>）运行期变电站厂界噪声：</w:t>
            </w:r>
            <w:r>
              <w:rPr>
                <w:rFonts w:hint="eastAsia"/>
                <w:color w:val="000000"/>
              </w:rPr>
              <w:t>东环110kV变电站执行</w:t>
            </w:r>
            <w:r>
              <w:rPr>
                <w:rFonts w:hint="eastAsia"/>
                <w:color w:val="000000"/>
                <w:szCs w:val="24"/>
              </w:rPr>
              <w:t>《工业企业厂界环境噪声排放标准》（GB 12348-2008）</w:t>
            </w:r>
            <w:r>
              <w:rPr>
                <w:rFonts w:hint="eastAsia"/>
                <w:color w:val="000000"/>
              </w:rPr>
              <w:t>2类标准。</w:t>
            </w:r>
          </w:p>
          <w:p>
            <w:pPr>
              <w:pStyle w:val="11"/>
              <w:ind w:firstLineChars="0"/>
              <w:rPr>
                <w:color w:val="000000"/>
              </w:rPr>
            </w:pPr>
            <w:r>
              <w:rPr>
                <w:rFonts w:hint="eastAsia"/>
                <w:color w:val="000000"/>
              </w:rPr>
              <w:t>（3）</w:t>
            </w:r>
            <w:r>
              <w:rPr>
                <w:color w:val="000000"/>
              </w:rPr>
              <w:t>施工期大气污染物：执行《大气污染物综合排放标准》（GB16297-1996）中无组织排放标准</w:t>
            </w:r>
            <w:r>
              <w:rPr>
                <w:rFonts w:hint="eastAsia"/>
                <w:color w:val="000000"/>
              </w:rPr>
              <w:t>限制</w:t>
            </w:r>
            <w:r>
              <w:rPr>
                <w:color w:val="000000"/>
              </w:rPr>
              <w:t>要求。</w:t>
            </w:r>
          </w:p>
          <w:p>
            <w:pPr>
              <w:pStyle w:val="11"/>
              <w:ind w:firstLineChars="0"/>
              <w:rPr>
                <w:color w:val="000000" w:themeColor="text1"/>
                <w:szCs w:val="24"/>
                <w14:textFill>
                  <w14:solidFill>
                    <w14:schemeClr w14:val="tx1"/>
                  </w14:solidFill>
                </w14:textFill>
              </w:rPr>
            </w:pPr>
            <w:r>
              <w:rPr>
                <w:rFonts w:hint="eastAsia"/>
                <w:color w:val="000000"/>
              </w:rPr>
              <w:t>（4）</w:t>
            </w:r>
            <w:r>
              <w:rPr>
                <w:rFonts w:hint="eastAsia"/>
                <w:color w:val="000000" w:themeColor="text1"/>
                <w:szCs w:val="24"/>
                <w14:textFill>
                  <w14:solidFill>
                    <w14:schemeClr w14:val="tx1"/>
                  </w14:solidFill>
                </w14:textFill>
              </w:rPr>
              <w:t>固体废物及危险废物</w:t>
            </w:r>
          </w:p>
          <w:p>
            <w:pPr>
              <w:pStyle w:val="11"/>
              <w:wordWrap w:val="0"/>
              <w:ind w:firstLine="482" w:firstLineChars="0"/>
              <w:rPr>
                <w:rFonts w:hint="eastAsia" w:ascii="宋体" w:hAnsi="宋体"/>
                <w:color w:val="000000"/>
                <w:szCs w:val="24"/>
              </w:rPr>
            </w:pPr>
            <w:r>
              <w:rPr>
                <w:rFonts w:ascii="宋体" w:hAnsi="宋体"/>
                <w:color w:val="000000"/>
                <w:szCs w:val="24"/>
              </w:rPr>
              <w:t>一般固体废物执行《一般工业固体废物贮存和填埋污染控制标准》</w:t>
            </w:r>
            <w:r>
              <w:rPr>
                <w:color w:val="000000"/>
                <w:szCs w:val="24"/>
              </w:rPr>
              <w:t>（GB18599-2020）</w:t>
            </w:r>
            <w:r>
              <w:rPr>
                <w:rFonts w:hint="eastAsia" w:ascii="宋体" w:hAnsi="宋体"/>
                <w:color w:val="000000"/>
                <w:szCs w:val="24"/>
              </w:rPr>
              <w:t>。</w:t>
            </w:r>
          </w:p>
          <w:p>
            <w:pPr>
              <w:pStyle w:val="11"/>
              <w:wordWrap w:val="0"/>
              <w:ind w:firstLine="482" w:firstLineChars="0"/>
              <w:rPr>
                <w:szCs w:val="24"/>
              </w:rPr>
            </w:pPr>
            <w:r>
              <w:rPr>
                <w:rFonts w:ascii="宋体" w:hAnsi="宋体"/>
                <w:color w:val="000000"/>
                <w:szCs w:val="24"/>
              </w:rPr>
              <w:t>危险废物执行《危险废物贮存污染控制标准》（</w:t>
            </w:r>
            <w:r>
              <w:rPr>
                <w:color w:val="000000"/>
                <w:szCs w:val="24"/>
              </w:rPr>
              <w:t>GB18597-2023</w:t>
            </w:r>
            <w:r>
              <w:rPr>
                <w:rFonts w:ascii="宋体" w:hAnsi="宋体"/>
                <w:color w:val="000000"/>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457" w:type="dxa"/>
            <w:vAlign w:val="center"/>
          </w:tcPr>
          <w:p>
            <w:pPr>
              <w:adjustRightInd w:val="0"/>
              <w:snapToGrid w:val="0"/>
              <w:jc w:val="center"/>
              <w:rPr>
                <w:b/>
                <w:color w:val="000000"/>
                <w:kern w:val="0"/>
                <w:sz w:val="24"/>
              </w:rPr>
            </w:pPr>
            <w:r>
              <w:rPr>
                <w:b/>
                <w:color w:val="000000"/>
                <w:kern w:val="0"/>
                <w:sz w:val="24"/>
              </w:rPr>
              <w:t>其他</w:t>
            </w:r>
          </w:p>
        </w:tc>
        <w:tc>
          <w:tcPr>
            <w:tcW w:w="8316" w:type="dxa"/>
            <w:vAlign w:val="center"/>
          </w:tcPr>
          <w:p>
            <w:pPr>
              <w:pStyle w:val="5"/>
              <w:spacing w:before="0" w:after="0" w:line="360" w:lineRule="auto"/>
              <w:rPr>
                <w:rFonts w:eastAsia="宋体"/>
                <w:sz w:val="24"/>
                <w:szCs w:val="24"/>
              </w:rPr>
            </w:pPr>
            <w:bookmarkStart w:id="634" w:name="_Toc24491"/>
            <w:bookmarkStart w:id="635" w:name="_Toc27017"/>
            <w:r>
              <w:rPr>
                <w:rFonts w:hint="eastAsia" w:eastAsia="宋体"/>
                <w:b w:val="0"/>
                <w:bCs w:val="0"/>
                <w:kern w:val="2"/>
                <w:sz w:val="24"/>
                <w:szCs w:val="20"/>
              </w:rPr>
              <w:t>总量</w:t>
            </w:r>
            <w:r>
              <w:rPr>
                <w:rFonts w:eastAsia="宋体"/>
                <w:b w:val="0"/>
                <w:bCs w:val="0"/>
                <w:kern w:val="2"/>
                <w:sz w:val="24"/>
                <w:szCs w:val="20"/>
              </w:rPr>
              <w:t>控制指标无具体要求。</w:t>
            </w:r>
            <w:bookmarkEnd w:id="634"/>
            <w:bookmarkEnd w:id="635"/>
          </w:p>
        </w:tc>
      </w:tr>
    </w:tbl>
    <w:p>
      <w:pPr>
        <w:pStyle w:val="2"/>
        <w:rPr>
          <w:color w:val="000000"/>
          <w:highlight w:val="yellow"/>
        </w:rPr>
        <w:sectPr>
          <w:pgSz w:w="11906" w:h="16838"/>
          <w:pgMar w:top="1440" w:right="1797" w:bottom="1440" w:left="1797" w:header="851" w:footer="1077" w:gutter="0"/>
          <w:cols w:space="720" w:num="1"/>
          <w:docGrid w:linePitch="312" w:charSpace="0"/>
        </w:sectPr>
      </w:pPr>
    </w:p>
    <w:p>
      <w:pPr>
        <w:pStyle w:val="39"/>
        <w:jc w:val="center"/>
        <w:outlineLvl w:val="0"/>
        <w:rPr>
          <w:rFonts w:ascii="Times New Roman" w:hAnsi="Times New Roman"/>
          <w:b/>
          <w:bCs/>
          <w:snapToGrid w:val="0"/>
          <w:color w:val="000000"/>
          <w:sz w:val="32"/>
          <w:szCs w:val="32"/>
        </w:rPr>
      </w:pPr>
      <w:bookmarkStart w:id="636" w:name="_Toc3273"/>
      <w:bookmarkStart w:id="637" w:name="_Toc111564327"/>
      <w:bookmarkStart w:id="638" w:name="_Toc27573"/>
      <w:r>
        <w:rPr>
          <w:rFonts w:ascii="Times New Roman" w:hAnsi="Times New Roman"/>
          <w:b/>
          <w:bCs/>
          <w:snapToGrid w:val="0"/>
          <w:color w:val="000000"/>
          <w:sz w:val="32"/>
          <w:szCs w:val="32"/>
        </w:rPr>
        <w:t>四、</w:t>
      </w:r>
      <w:r>
        <w:rPr>
          <w:rFonts w:hint="eastAsia" w:ascii="Times New Roman" w:hAnsi="Times New Roman"/>
          <w:b/>
          <w:bCs/>
          <w:snapToGrid w:val="0"/>
          <w:color w:val="000000"/>
          <w:sz w:val="32"/>
          <w:szCs w:val="32"/>
        </w:rPr>
        <w:t>生态影响</w:t>
      </w:r>
      <w:r>
        <w:rPr>
          <w:rFonts w:ascii="Times New Roman" w:hAnsi="Times New Roman"/>
          <w:b/>
          <w:bCs/>
          <w:snapToGrid w:val="0"/>
          <w:color w:val="000000"/>
          <w:sz w:val="32"/>
          <w:szCs w:val="32"/>
        </w:rPr>
        <w:t>分析</w:t>
      </w:r>
      <w:bookmarkEnd w:id="636"/>
      <w:bookmarkEnd w:id="637"/>
      <w:bookmarkEnd w:id="638"/>
    </w:p>
    <w:tbl>
      <w:tblPr>
        <w:tblStyle w:val="43"/>
        <w:tblW w:w="88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17"/>
        <w:gridCol w:w="85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7" w:type="dxa"/>
            <w:tcMar>
              <w:left w:w="28" w:type="dxa"/>
              <w:right w:w="28" w:type="dxa"/>
            </w:tcMar>
            <w:vAlign w:val="center"/>
          </w:tcPr>
          <w:p>
            <w:pPr>
              <w:pStyle w:val="11"/>
              <w:spacing w:line="240" w:lineRule="auto"/>
              <w:ind w:firstLine="0" w:firstLineChars="0"/>
              <w:jc w:val="center"/>
              <w:rPr>
                <w:b/>
                <w:color w:val="FF0000"/>
                <w:sz w:val="21"/>
                <w:szCs w:val="21"/>
                <w:highlight w:val="yellow"/>
              </w:rPr>
            </w:pPr>
            <w:bookmarkStart w:id="639" w:name="_Toc202348512"/>
            <w:bookmarkStart w:id="640" w:name="_Toc180743645"/>
            <w:bookmarkStart w:id="641" w:name="_Toc202348365"/>
            <w:bookmarkStart w:id="642" w:name="_Toc206503787"/>
            <w:bookmarkStart w:id="643" w:name="_Toc176763857"/>
            <w:r>
              <w:rPr>
                <w:b/>
              </w:rPr>
              <w:t>施工期生态环境影响分析</w:t>
            </w:r>
            <w:bookmarkEnd w:id="639"/>
            <w:bookmarkEnd w:id="640"/>
            <w:bookmarkEnd w:id="641"/>
            <w:bookmarkEnd w:id="642"/>
            <w:bookmarkEnd w:id="643"/>
          </w:p>
        </w:tc>
        <w:tc>
          <w:tcPr>
            <w:tcW w:w="8528" w:type="dxa"/>
          </w:tcPr>
          <w:p>
            <w:pPr>
              <w:pStyle w:val="11"/>
              <w:numPr>
                <w:ilvl w:val="0"/>
                <w:numId w:val="20"/>
              </w:numPr>
              <w:ind w:left="845" w:firstLineChars="0"/>
              <w:rPr>
                <w:b/>
                <w:kern w:val="0"/>
                <w:szCs w:val="21"/>
              </w:rPr>
            </w:pPr>
            <w:r>
              <w:rPr>
                <w:rFonts w:hint="eastAsia"/>
                <w:b/>
                <w:kern w:val="0"/>
                <w:szCs w:val="21"/>
              </w:rPr>
              <w:t>产污环节</w:t>
            </w:r>
            <w:r>
              <w:rPr>
                <w:b/>
                <w:kern w:val="0"/>
                <w:szCs w:val="21"/>
              </w:rPr>
              <w:t>分析</w:t>
            </w:r>
          </w:p>
          <w:p>
            <w:pPr>
              <w:pStyle w:val="11"/>
              <w:rPr>
                <w:szCs w:val="24"/>
              </w:rPr>
            </w:pPr>
            <w:r>
              <w:rPr>
                <w:szCs w:val="24"/>
              </w:rPr>
              <w:t>输变电工程建设期材料运输、土建施工、设备安装等过程中会产生一定的扬尘、施工噪声、废污水以及固体废物等影响因子。</w:t>
            </w:r>
          </w:p>
          <w:p>
            <w:pPr>
              <w:pStyle w:val="11"/>
              <w:rPr>
                <w:color w:val="000000"/>
                <w:szCs w:val="24"/>
              </w:rPr>
            </w:pPr>
            <w:r>
              <w:rPr>
                <w:rFonts w:hint="eastAsia"/>
                <w:color w:val="000000"/>
                <w:szCs w:val="24"/>
              </w:rPr>
              <w:t>（1）变电站新建工程</w:t>
            </w:r>
          </w:p>
          <w:p>
            <w:pPr>
              <w:pStyle w:val="11"/>
              <w:rPr>
                <w:szCs w:val="24"/>
              </w:rPr>
            </w:pPr>
            <w:r>
              <w:rPr>
                <w:color w:val="000000"/>
                <w:szCs w:val="24"/>
              </w:rPr>
              <w:t>变电站</w:t>
            </w:r>
            <w:r>
              <w:rPr>
                <w:rFonts w:hint="eastAsia"/>
                <w:color w:val="000000"/>
                <w:szCs w:val="24"/>
              </w:rPr>
              <w:t>新建</w:t>
            </w:r>
            <w:r>
              <w:rPr>
                <w:color w:val="000000"/>
                <w:szCs w:val="24"/>
              </w:rPr>
              <w:t>工程施工期的产污节点图参见</w:t>
            </w:r>
            <w:r>
              <w:rPr>
                <w:color w:val="000000"/>
                <w:szCs w:val="24"/>
              </w:rPr>
              <w:fldChar w:fldCharType="begin"/>
            </w:r>
            <w:r>
              <w:rPr>
                <w:color w:val="000000"/>
                <w:szCs w:val="24"/>
              </w:rPr>
              <w:instrText xml:space="preserve"> REF _Ref176181416 \h </w:instrText>
            </w:r>
            <w:r>
              <w:rPr>
                <w:color w:val="000000"/>
                <w:szCs w:val="24"/>
              </w:rPr>
              <w:fldChar w:fldCharType="separate"/>
            </w:r>
            <w:r>
              <w:rPr>
                <w:rFonts w:hint="eastAsia"/>
              </w:rPr>
              <w:t xml:space="preserve">图 </w:t>
            </w:r>
            <w:r>
              <w:t>1</w:t>
            </w:r>
            <w:r>
              <w:rPr>
                <w:color w:val="000000"/>
                <w:szCs w:val="24"/>
              </w:rPr>
              <w:fldChar w:fldCharType="end"/>
            </w:r>
            <w:r>
              <w:rPr>
                <w:rFonts w:hint="eastAsia"/>
                <w:color w:val="000000"/>
                <w:szCs w:val="24"/>
              </w:rPr>
              <w:t>。</w:t>
            </w:r>
          </w:p>
          <w:p>
            <w:pPr>
              <w:pStyle w:val="11"/>
              <w:keepNext/>
              <w:jc w:val="center"/>
            </w:pPr>
            <w:r>
              <w:drawing>
                <wp:inline distT="0" distB="0" distL="0" distR="0">
                  <wp:extent cx="2952115" cy="2400300"/>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2965068" cy="2410367"/>
                          </a:xfrm>
                          <a:prstGeom prst="rect">
                            <a:avLst/>
                          </a:prstGeom>
                        </pic:spPr>
                      </pic:pic>
                    </a:graphicData>
                  </a:graphic>
                </wp:inline>
              </w:drawing>
            </w:r>
          </w:p>
          <w:p>
            <w:pPr>
              <w:pStyle w:val="18"/>
              <w:ind w:firstLine="420"/>
              <w:jc w:val="center"/>
            </w:pPr>
            <w:bookmarkStart w:id="644" w:name="_Ref176181416"/>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w:t>
            </w:r>
            <w:r>
              <w:fldChar w:fldCharType="end"/>
            </w:r>
            <w:bookmarkEnd w:id="644"/>
            <w:r>
              <w:t xml:space="preserve">  变电站工程施工期的产污节点图</w:t>
            </w:r>
          </w:p>
          <w:p>
            <w:pPr>
              <w:pStyle w:val="11"/>
            </w:pPr>
            <w:r>
              <w:rPr>
                <w:rFonts w:hint="eastAsia"/>
              </w:rPr>
              <w:t>（2）</w:t>
            </w:r>
            <w:r>
              <w:t>110</w:t>
            </w:r>
            <w:r>
              <w:rPr>
                <w:rFonts w:hint="eastAsia"/>
              </w:rPr>
              <w:t>kV线路新建工程</w:t>
            </w:r>
          </w:p>
          <w:p>
            <w:pPr>
              <w:pStyle w:val="11"/>
              <w:rPr>
                <w:szCs w:val="24"/>
              </w:rPr>
            </w:pPr>
            <w:r>
              <w:rPr>
                <w:szCs w:val="24"/>
              </w:rPr>
              <w:t>架空输电线路工程施工期的产污节点图参见</w:t>
            </w:r>
            <w:r>
              <w:rPr>
                <w:szCs w:val="24"/>
              </w:rPr>
              <w:fldChar w:fldCharType="begin"/>
            </w:r>
            <w:r>
              <w:rPr>
                <w:szCs w:val="24"/>
              </w:rPr>
              <w:instrText xml:space="preserve"> REF _Ref157204567 \h  \* MERGEFORMAT </w:instrText>
            </w:r>
            <w:r>
              <w:rPr>
                <w:szCs w:val="24"/>
              </w:rPr>
              <w:fldChar w:fldCharType="separate"/>
            </w:r>
            <w:r>
              <w:rPr>
                <w:rFonts w:hint="eastAsia"/>
              </w:rPr>
              <w:t xml:space="preserve">图 </w:t>
            </w:r>
            <w:r>
              <w:t>2</w:t>
            </w:r>
            <w:r>
              <w:rPr>
                <w:szCs w:val="24"/>
              </w:rPr>
              <w:fldChar w:fldCharType="end"/>
            </w:r>
            <w:r>
              <w:rPr>
                <w:szCs w:val="24"/>
              </w:rPr>
              <w:t>。</w:t>
            </w:r>
          </w:p>
          <w:p>
            <w:pPr>
              <w:pStyle w:val="90"/>
            </w:pPr>
            <w:r>
              <w:drawing>
                <wp:inline distT="0" distB="0" distL="0" distR="0">
                  <wp:extent cx="4203700" cy="2681605"/>
                  <wp:effectExtent l="0" t="0" r="6350" b="4445"/>
                  <wp:docPr id="2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203700" cy="2682137"/>
                          </a:xfrm>
                          <a:prstGeom prst="rect">
                            <a:avLst/>
                          </a:prstGeom>
                          <a:noFill/>
                          <a:ln>
                            <a:noFill/>
                          </a:ln>
                          <a:effectLst/>
                        </pic:spPr>
                      </pic:pic>
                    </a:graphicData>
                  </a:graphic>
                </wp:inline>
              </w:drawing>
            </w:r>
          </w:p>
          <w:p>
            <w:pPr>
              <w:pStyle w:val="18"/>
              <w:ind w:firstLine="420"/>
              <w:jc w:val="center"/>
            </w:pPr>
            <w:bookmarkStart w:id="645" w:name="_Ref157204567"/>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w:t>
            </w:r>
            <w:r>
              <w:fldChar w:fldCharType="end"/>
            </w:r>
            <w:bookmarkEnd w:id="645"/>
            <w:r>
              <w:t xml:space="preserve"> </w:t>
            </w:r>
            <w:r>
              <w:rPr>
                <w:rFonts w:hint="eastAsia"/>
              </w:rPr>
              <w:t>架空输电线路工程施工期的产污节点图</w:t>
            </w:r>
          </w:p>
          <w:p>
            <w:pPr>
              <w:pStyle w:val="11"/>
            </w:pPr>
            <w:r>
              <w:rPr>
                <w:rFonts w:hint="eastAsia"/>
              </w:rPr>
              <w:t>（3）拆除工程</w:t>
            </w:r>
          </w:p>
          <w:p>
            <w:pPr>
              <w:pStyle w:val="11"/>
            </w:pPr>
            <w:r>
              <w:rPr>
                <w:rFonts w:hint="eastAsia"/>
              </w:rPr>
              <w:t>本工程在拆除铁塔过程中若不采取有效的防治措施可能会产生扬尘、噪声、废污水、固体废物以及生态环境等影响；线路拆除后运行期无影响。拆除线路施工期的产污环节见</w:t>
            </w:r>
            <w:r>
              <w:rPr>
                <w:rFonts w:hint="eastAsia"/>
                <w:szCs w:val="24"/>
              </w:rPr>
              <w:fldChar w:fldCharType="begin"/>
            </w:r>
            <w:r>
              <w:rPr>
                <w:rFonts w:hint="eastAsia"/>
                <w:szCs w:val="24"/>
              </w:rPr>
              <w:instrText xml:space="preserve"> REF _Ref12036 \h </w:instrText>
            </w:r>
            <w:r>
              <w:rPr>
                <w:szCs w:val="24"/>
              </w:rPr>
              <w:instrText xml:space="preserve"> \* MERGEFORMAT </w:instrText>
            </w:r>
            <w:r>
              <w:rPr>
                <w:rFonts w:hint="eastAsia"/>
                <w:szCs w:val="24"/>
              </w:rPr>
              <w:fldChar w:fldCharType="separate"/>
            </w:r>
            <w:r>
              <w:rPr>
                <w:rFonts w:hint="eastAsia"/>
                <w:color w:val="000000" w:themeColor="text1"/>
                <w:szCs w:val="21"/>
                <w14:textFill>
                  <w14:solidFill>
                    <w14:schemeClr w14:val="tx1"/>
                  </w14:solidFill>
                </w14:textFill>
              </w:rPr>
              <w:t xml:space="preserve">图 </w:t>
            </w:r>
            <w:r>
              <w:rPr>
                <w:color w:val="000000" w:themeColor="text1"/>
                <w:szCs w:val="21"/>
                <w14:textFill>
                  <w14:solidFill>
                    <w14:schemeClr w14:val="tx1"/>
                  </w14:solidFill>
                </w14:textFill>
              </w:rPr>
              <w:t>3</w:t>
            </w:r>
            <w:r>
              <w:rPr>
                <w:rFonts w:hint="eastAsia"/>
                <w:szCs w:val="24"/>
              </w:rPr>
              <w:fldChar w:fldCharType="end"/>
            </w:r>
            <w:r>
              <w:rPr>
                <w:rFonts w:hint="eastAsia"/>
                <w:szCs w:val="24"/>
              </w:rPr>
              <w:t>。</w:t>
            </w:r>
          </w:p>
          <w:p>
            <w:pPr>
              <w:pStyle w:val="11"/>
              <w:spacing w:line="240" w:lineRule="auto"/>
              <w:ind w:firstLine="0" w:firstLineChars="0"/>
              <w:jc w:val="center"/>
            </w:pPr>
            <w:r>
              <w:drawing>
                <wp:inline distT="0" distB="0" distL="114300" distR="114300">
                  <wp:extent cx="4363720" cy="2708275"/>
                  <wp:effectExtent l="0" t="0" r="5080" b="9525"/>
                  <wp:docPr id="2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1"/>
                          <pic:cNvPicPr>
                            <a:picLocks noChangeAspect="1"/>
                          </pic:cNvPicPr>
                        </pic:nvPicPr>
                        <pic:blipFill>
                          <a:blip r:embed="rId17"/>
                          <a:stretch>
                            <a:fillRect/>
                          </a:stretch>
                        </pic:blipFill>
                        <pic:spPr>
                          <a:xfrm>
                            <a:off x="0" y="0"/>
                            <a:ext cx="4363720" cy="2708275"/>
                          </a:xfrm>
                          <a:prstGeom prst="rect">
                            <a:avLst/>
                          </a:prstGeom>
                          <a:noFill/>
                          <a:ln>
                            <a:noFill/>
                          </a:ln>
                        </pic:spPr>
                      </pic:pic>
                    </a:graphicData>
                  </a:graphic>
                </wp:inline>
              </w:drawing>
            </w:r>
          </w:p>
          <w:p>
            <w:pPr>
              <w:pStyle w:val="11"/>
              <w:ind w:firstLine="420"/>
              <w:jc w:val="center"/>
              <w:rPr>
                <w:rFonts w:hint="eastAsia" w:ascii="黑体" w:hAnsi="黑体" w:eastAsia="黑体" w:cs="黑体"/>
                <w:bCs/>
              </w:rPr>
            </w:pPr>
            <w:bookmarkStart w:id="646" w:name="_Ref12036"/>
            <w:r>
              <w:rPr>
                <w:rFonts w:hint="eastAsia" w:ascii="黑体" w:hAnsi="黑体" w:eastAsia="黑体" w:cs="黑体"/>
                <w:bCs/>
                <w:color w:val="000000" w:themeColor="text1"/>
                <w:sz w:val="21"/>
                <w:szCs w:val="21"/>
                <w14:textFill>
                  <w14:solidFill>
                    <w14:schemeClr w14:val="tx1"/>
                  </w14:solidFill>
                </w14:textFill>
              </w:rPr>
              <w:t xml:space="preserve">图 </w:t>
            </w:r>
            <w:r>
              <w:rPr>
                <w:rFonts w:hint="eastAsia" w:ascii="黑体" w:hAnsi="黑体" w:eastAsia="黑体" w:cs="黑体"/>
                <w:bCs/>
                <w:color w:val="000000" w:themeColor="text1"/>
                <w:sz w:val="21"/>
                <w:szCs w:val="21"/>
                <w14:textFill>
                  <w14:solidFill>
                    <w14:schemeClr w14:val="tx1"/>
                  </w14:solidFill>
                </w14:textFill>
              </w:rPr>
              <w:fldChar w:fldCharType="begin"/>
            </w:r>
            <w:r>
              <w:rPr>
                <w:rFonts w:hint="eastAsia" w:ascii="黑体" w:hAnsi="黑体" w:eastAsia="黑体" w:cs="黑体"/>
                <w:bCs/>
                <w:color w:val="000000" w:themeColor="text1"/>
                <w:sz w:val="21"/>
                <w:szCs w:val="21"/>
                <w14:textFill>
                  <w14:solidFill>
                    <w14:schemeClr w14:val="tx1"/>
                  </w14:solidFill>
                </w14:textFill>
              </w:rPr>
              <w:instrText xml:space="preserve"> SEQ 图 \* ARABIC </w:instrText>
            </w:r>
            <w:r>
              <w:rPr>
                <w:rFonts w:hint="eastAsia" w:ascii="黑体" w:hAnsi="黑体" w:eastAsia="黑体" w:cs="黑体"/>
                <w:bCs/>
                <w:color w:val="000000" w:themeColor="text1"/>
                <w:sz w:val="21"/>
                <w:szCs w:val="21"/>
                <w14:textFill>
                  <w14:solidFill>
                    <w14:schemeClr w14:val="tx1"/>
                  </w14:solidFill>
                </w14:textFill>
              </w:rPr>
              <w:fldChar w:fldCharType="separate"/>
            </w:r>
            <w:r>
              <w:rPr>
                <w:rFonts w:ascii="黑体" w:hAnsi="黑体" w:eastAsia="黑体" w:cs="黑体"/>
                <w:bCs/>
                <w:color w:val="000000" w:themeColor="text1"/>
                <w:sz w:val="21"/>
                <w:szCs w:val="21"/>
                <w14:textFill>
                  <w14:solidFill>
                    <w14:schemeClr w14:val="tx1"/>
                  </w14:solidFill>
                </w14:textFill>
              </w:rPr>
              <w:t>3</w:t>
            </w:r>
            <w:r>
              <w:rPr>
                <w:rFonts w:hint="eastAsia" w:ascii="黑体" w:hAnsi="黑体" w:eastAsia="黑体" w:cs="黑体"/>
                <w:bCs/>
                <w:color w:val="000000" w:themeColor="text1"/>
                <w:sz w:val="21"/>
                <w:szCs w:val="21"/>
                <w14:textFill>
                  <w14:solidFill>
                    <w14:schemeClr w14:val="tx1"/>
                  </w14:solidFill>
                </w14:textFill>
              </w:rPr>
              <w:fldChar w:fldCharType="end"/>
            </w:r>
            <w:bookmarkEnd w:id="646"/>
            <w:r>
              <w:rPr>
                <w:rFonts w:hint="eastAsia" w:ascii="黑体" w:hAnsi="黑体" w:eastAsia="黑体" w:cs="黑体"/>
                <w:bCs/>
                <w:color w:val="000000" w:themeColor="text1"/>
                <w:sz w:val="21"/>
                <w:szCs w:val="21"/>
                <w14:textFill>
                  <w14:solidFill>
                    <w14:schemeClr w14:val="tx1"/>
                  </w14:solidFill>
                </w14:textFill>
              </w:rPr>
              <w:t xml:space="preserve">  本工程拆除线路施工期的产污节点图</w:t>
            </w:r>
          </w:p>
          <w:p>
            <w:pPr>
              <w:pStyle w:val="11"/>
              <w:numPr>
                <w:ilvl w:val="0"/>
                <w:numId w:val="20"/>
              </w:numPr>
              <w:ind w:left="845" w:firstLineChars="0"/>
              <w:rPr>
                <w:b/>
                <w:kern w:val="0"/>
                <w:szCs w:val="21"/>
              </w:rPr>
            </w:pPr>
            <w:r>
              <w:rPr>
                <w:rFonts w:hint="eastAsia"/>
                <w:b/>
                <w:kern w:val="0"/>
                <w:szCs w:val="21"/>
              </w:rPr>
              <w:t>污染源</w:t>
            </w:r>
            <w:r>
              <w:rPr>
                <w:b/>
                <w:kern w:val="0"/>
                <w:szCs w:val="21"/>
              </w:rPr>
              <w:t>分析</w:t>
            </w:r>
          </w:p>
          <w:p>
            <w:pPr>
              <w:pStyle w:val="11"/>
            </w:pPr>
            <w:r>
              <w:t>本工程施工期对环境产生的影响如下：</w:t>
            </w:r>
          </w:p>
          <w:p>
            <w:pPr>
              <w:pStyle w:val="11"/>
            </w:pPr>
            <w:r>
              <w:t>（1）生态环境：工程永久占地及施工场地临时占地会损坏原地表植被。同时随着工程的开工，施工机械、施工人员陆续进场，将破坏和改变局部原有野生动物的生存、栖息环境，施工机械噪声会驱赶野生动物，使施工区域的动物被迫暂时迁移到适宜的环境中去栖息和繁衍。</w:t>
            </w:r>
          </w:p>
          <w:p>
            <w:pPr>
              <w:pStyle w:val="11"/>
            </w:pPr>
            <w:r>
              <w:t>（2）施工噪声：施工机械产生。</w:t>
            </w:r>
          </w:p>
          <w:p>
            <w:pPr>
              <w:pStyle w:val="11"/>
            </w:pPr>
            <w:r>
              <w:t>（3）施工扬尘：基础开挖、土方调运以及设备运输过程中产生。</w:t>
            </w:r>
          </w:p>
          <w:p>
            <w:pPr>
              <w:pStyle w:val="11"/>
            </w:pPr>
            <w:r>
              <w:t>（4）施工废污水：施工废水及施工人员的生活污水。</w:t>
            </w:r>
          </w:p>
          <w:p>
            <w:pPr>
              <w:pStyle w:val="11"/>
              <w:rPr>
                <w:b/>
                <w:kern w:val="0"/>
                <w:szCs w:val="21"/>
              </w:rPr>
            </w:pPr>
            <w:r>
              <w:t>（5）固体废物：施工过程中可能产生的建筑垃圾、弃土弃渣</w:t>
            </w:r>
            <w:r>
              <w:rPr>
                <w:rFonts w:hint="eastAsia"/>
              </w:rPr>
              <w:t>、</w:t>
            </w:r>
            <w:r>
              <w:t>生活垃圾</w:t>
            </w:r>
            <w:r>
              <w:rPr>
                <w:rFonts w:hint="eastAsia"/>
              </w:rPr>
              <w:t>，</w:t>
            </w:r>
            <w:r>
              <w:rPr>
                <w:rFonts w:hint="eastAsia"/>
                <w:color w:val="000000"/>
              </w:rPr>
              <w:t>拆除线路产生的金属废料、混凝土基座残块、废弃绝缘材料</w:t>
            </w:r>
            <w:r>
              <w:t>等。</w:t>
            </w:r>
          </w:p>
          <w:p>
            <w:pPr>
              <w:pStyle w:val="11"/>
              <w:numPr>
                <w:ilvl w:val="0"/>
                <w:numId w:val="20"/>
              </w:numPr>
              <w:ind w:left="845" w:firstLineChars="0"/>
              <w:rPr>
                <w:b/>
                <w:kern w:val="0"/>
                <w:szCs w:val="21"/>
              </w:rPr>
            </w:pPr>
            <w:r>
              <w:rPr>
                <w:rFonts w:hint="eastAsia"/>
                <w:b/>
                <w:kern w:val="0"/>
                <w:szCs w:val="21"/>
              </w:rPr>
              <w:t>工程环保特点</w:t>
            </w:r>
          </w:p>
          <w:p>
            <w:pPr>
              <w:pStyle w:val="11"/>
            </w:pPr>
            <w:r>
              <w:t>本工程为</w:t>
            </w:r>
            <w:r>
              <w:rPr>
                <w:rFonts w:hint="eastAsia"/>
              </w:rPr>
              <w:t>11</w:t>
            </w:r>
            <w:r>
              <w:t>0kV</w:t>
            </w:r>
            <w:r>
              <w:rPr>
                <w:rFonts w:hint="eastAsia"/>
              </w:rPr>
              <w:t>输变电</w:t>
            </w:r>
            <w:r>
              <w:t>工程，施工期可能产生一定的生态环境</w:t>
            </w:r>
            <w:r>
              <w:rPr>
                <w:rFonts w:hint="eastAsia"/>
              </w:rPr>
              <w:t>、声环境</w:t>
            </w:r>
            <w:r>
              <w:t>、环境</w:t>
            </w:r>
            <w:r>
              <w:rPr>
                <w:rFonts w:hint="eastAsia"/>
              </w:rPr>
              <w:t>大气</w:t>
            </w:r>
            <w:r>
              <w:t>、水环境、固体废物等影响，但施工期的环境影响是</w:t>
            </w:r>
            <w:r>
              <w:rPr>
                <w:rFonts w:hint="eastAsia"/>
              </w:rPr>
              <w:t>短暂</w:t>
            </w:r>
            <w:r>
              <w:t>的</w:t>
            </w:r>
            <w:r>
              <w:rPr>
                <w:rFonts w:hint="eastAsia"/>
              </w:rPr>
              <w:t>、</w:t>
            </w:r>
            <w:r>
              <w:t>可逆的，并可在一定时间内得到恢复。</w:t>
            </w:r>
          </w:p>
          <w:p>
            <w:pPr>
              <w:pStyle w:val="11"/>
              <w:numPr>
                <w:ilvl w:val="0"/>
                <w:numId w:val="20"/>
              </w:numPr>
              <w:ind w:left="845" w:firstLineChars="0"/>
              <w:rPr>
                <w:b/>
                <w:kern w:val="0"/>
                <w:szCs w:val="21"/>
              </w:rPr>
            </w:pPr>
            <w:r>
              <w:rPr>
                <w:rFonts w:hint="eastAsia"/>
                <w:b/>
                <w:kern w:val="0"/>
                <w:szCs w:val="21"/>
              </w:rPr>
              <w:t>施工期各环境要素影响分析</w:t>
            </w:r>
          </w:p>
          <w:p>
            <w:pPr>
              <w:pStyle w:val="11"/>
              <w:numPr>
                <w:ilvl w:val="1"/>
                <w:numId w:val="20"/>
              </w:numPr>
              <w:ind w:left="987" w:firstLineChars="0"/>
              <w:rPr>
                <w:b/>
                <w:kern w:val="0"/>
                <w:szCs w:val="21"/>
              </w:rPr>
            </w:pPr>
            <w:r>
              <w:rPr>
                <w:rFonts w:hint="eastAsia"/>
                <w:b/>
                <w:kern w:val="0"/>
                <w:szCs w:val="21"/>
              </w:rPr>
              <w:t>施工期生态环境影响分析</w:t>
            </w:r>
          </w:p>
          <w:p>
            <w:pPr>
              <w:pStyle w:val="11"/>
              <w:rPr>
                <w:u w:val="wave"/>
              </w:rPr>
            </w:pPr>
            <w:r>
              <w:t>施工期对生态环境的影响主要表现在施工</w:t>
            </w:r>
            <w:r>
              <w:rPr>
                <w:rFonts w:hint="eastAsia"/>
              </w:rPr>
              <w:t>开挖</w:t>
            </w:r>
            <w:r>
              <w:t>、占地和施工活动对土地的扰动、地表植被破坏和区域内野生动物活动</w:t>
            </w:r>
            <w:r>
              <w:rPr>
                <w:rFonts w:hint="eastAsia"/>
              </w:rPr>
              <w:t>的</w:t>
            </w:r>
            <w:r>
              <w:t>影响。</w:t>
            </w:r>
          </w:p>
          <w:p>
            <w:pPr>
              <w:pStyle w:val="11"/>
              <w:numPr>
                <w:ilvl w:val="2"/>
                <w:numId w:val="20"/>
              </w:numPr>
              <w:ind w:left="1129" w:firstLineChars="0"/>
              <w:rPr>
                <w:b/>
                <w:kern w:val="0"/>
                <w:szCs w:val="21"/>
              </w:rPr>
            </w:pPr>
            <w:r>
              <w:rPr>
                <w:rFonts w:hint="eastAsia"/>
                <w:b/>
                <w:kern w:val="0"/>
                <w:szCs w:val="21"/>
              </w:rPr>
              <w:t>土地占用影响分析</w:t>
            </w:r>
          </w:p>
          <w:p>
            <w:pPr>
              <w:pStyle w:val="11"/>
              <w:rPr>
                <w:color w:val="000000"/>
                <w:szCs w:val="24"/>
              </w:rPr>
            </w:pPr>
            <w:r>
              <w:rPr>
                <w:color w:val="000000"/>
                <w:szCs w:val="24"/>
              </w:rPr>
              <w:t>本工程变电站永久占地主要为</w:t>
            </w:r>
            <w:r>
              <w:rPr>
                <w:rFonts w:hint="eastAsia"/>
                <w:color w:val="000000"/>
                <w:szCs w:val="24"/>
              </w:rPr>
              <w:t>新建</w:t>
            </w:r>
            <w:r>
              <w:rPr>
                <w:color w:val="000000"/>
                <w:szCs w:val="24"/>
              </w:rPr>
              <w:t>站区占地</w:t>
            </w:r>
            <w:r>
              <w:rPr>
                <w:rFonts w:hint="eastAsia"/>
                <w:color w:val="000000"/>
                <w:szCs w:val="24"/>
              </w:rPr>
              <w:t>，永久占地会改变土地原有利用性质，造成生物量损失，</w:t>
            </w:r>
            <w:r>
              <w:rPr>
                <w:color w:val="000000"/>
                <w:szCs w:val="24"/>
              </w:rPr>
              <w:t>工程建设完成后对永久占地区域采取地面硬化和碎石覆盖措施</w:t>
            </w:r>
            <w:r>
              <w:rPr>
                <w:rFonts w:hint="eastAsia"/>
                <w:color w:val="000000"/>
                <w:szCs w:val="24"/>
              </w:rPr>
              <w:t>，降低变电站建设对土地占用的影响。变电站临时占地主要为施工场地区，占地类型为裸岩砾地，施工时通过严格控制占地范围，并在施工结束后采取土地整治措施，降低临时占地对生态环境的影响。</w:t>
            </w:r>
          </w:p>
          <w:p>
            <w:pPr>
              <w:pStyle w:val="11"/>
              <w:rPr>
                <w:szCs w:val="24"/>
              </w:rPr>
            </w:pPr>
            <w:r>
              <w:rPr>
                <w:rFonts w:hint="eastAsia"/>
              </w:rPr>
              <w:t>输电线路永久占地仅限于塔基范围，</w:t>
            </w:r>
            <w:r>
              <w:t>由于本工程的建设，使得该部分土地的功能发生了改变，其原有植被遭到永久性破坏，给当地局部区域的生态环境带来一定的影响，但这种改变占区域总面积的比例非常小。</w:t>
            </w:r>
            <w:r>
              <w:rPr>
                <w:rFonts w:hint="eastAsia"/>
                <w:color w:val="000000"/>
                <w:szCs w:val="24"/>
              </w:rPr>
              <w:t>输电</w:t>
            </w:r>
            <w:r>
              <w:rPr>
                <w:color w:val="000000"/>
                <w:szCs w:val="24"/>
              </w:rPr>
              <w:t>线路临时占地主要包括塔基施工区域、牵张场区、施工临时道路区等临时施工占地等</w:t>
            </w:r>
            <w:r>
              <w:rPr>
                <w:rFonts w:hint="eastAsia" w:ascii="宋体" w:hAnsi="宋体"/>
                <w:szCs w:val="24"/>
              </w:rPr>
              <w:t>。</w:t>
            </w:r>
            <w:r>
              <w:rPr>
                <w:rStyle w:val="91"/>
                <w:rFonts w:ascii="宋体" w:hAnsi="宋体" w:eastAsia="宋体"/>
                <w:sz w:val="24"/>
                <w:szCs w:val="24"/>
              </w:rPr>
              <w:t>工程占地性质以临时占地为主，较为分散，输电线路不存在集中大量占用土地的情况，</w:t>
            </w:r>
            <w:r>
              <w:rPr>
                <w:rStyle w:val="91"/>
                <w:rFonts w:hint="eastAsia" w:ascii="宋体" w:hAnsi="宋体" w:eastAsia="宋体"/>
                <w:sz w:val="24"/>
                <w:szCs w:val="24"/>
              </w:rPr>
              <w:t>施工前优化各类临时场地布设位置，选择无植被或植被覆盖度较低的区域，施工过程中对非开挖扰动的临时占用林草地区域进行铺垫保护，</w:t>
            </w:r>
            <w:r>
              <w:rPr>
                <w:rFonts w:hint="eastAsia"/>
                <w:color w:val="000000"/>
                <w:szCs w:val="24"/>
              </w:rPr>
              <w:t>施工道路区等深度扰动的临时占用林草地区域进行土地整治和植被恢复</w:t>
            </w:r>
            <w:r>
              <w:rPr>
                <w:rStyle w:val="91"/>
                <w:rFonts w:ascii="宋体" w:hAnsi="宋体" w:eastAsia="宋体"/>
                <w:sz w:val="24"/>
                <w:szCs w:val="24"/>
              </w:rPr>
              <w:t>，对临时占用的裸土地进行土地整治措施，恢复临时占地的原有土地功能，对当地土地利用几乎无影响。</w:t>
            </w:r>
          </w:p>
          <w:p>
            <w:pPr>
              <w:pStyle w:val="11"/>
              <w:numPr>
                <w:ilvl w:val="2"/>
                <w:numId w:val="20"/>
              </w:numPr>
              <w:ind w:left="1129" w:firstLineChars="0"/>
              <w:rPr>
                <w:b/>
                <w:kern w:val="0"/>
                <w:szCs w:val="21"/>
              </w:rPr>
            </w:pPr>
            <w:r>
              <w:rPr>
                <w:b/>
                <w:kern w:val="0"/>
                <w:szCs w:val="21"/>
              </w:rPr>
              <w:t>植被影响分析</w:t>
            </w:r>
          </w:p>
          <w:p>
            <w:pPr>
              <w:pStyle w:val="11"/>
              <w:rPr>
                <w:bCs/>
                <w:kern w:val="16"/>
              </w:rPr>
            </w:pPr>
            <w:r>
              <w:rPr>
                <w:rFonts w:hint="eastAsia"/>
                <w:bCs/>
                <w:kern w:val="16"/>
              </w:rPr>
              <w:t>本工程拟</w:t>
            </w:r>
            <w:r>
              <w:rPr>
                <w:rFonts w:hint="eastAsia"/>
              </w:rPr>
              <w:t>建</w:t>
            </w:r>
            <w:r>
              <w:rPr>
                <w:rFonts w:hint="eastAsia"/>
                <w:bCs/>
                <w:kern w:val="16"/>
              </w:rPr>
              <w:t>变电站区域为裸岩砾地。</w:t>
            </w:r>
            <w:r>
              <w:t>工程永久占地会改变用地的使用性质，造成地表植被的破坏，并永久丧失；工程临时占地也会造成工程直接扰动范围内地表植被的破坏，但在后期可通过</w:t>
            </w:r>
            <w:r>
              <w:rPr>
                <w:rFonts w:hint="eastAsia"/>
              </w:rPr>
              <w:t>土地整治、</w:t>
            </w:r>
            <w:r>
              <w:t>自然恢复得以恢复</w:t>
            </w:r>
            <w:r>
              <w:rPr>
                <w:rFonts w:hint="eastAsia"/>
                <w:bCs/>
                <w:kern w:val="16"/>
              </w:rPr>
              <w:t>。</w:t>
            </w:r>
          </w:p>
          <w:p>
            <w:pPr>
              <w:pStyle w:val="11"/>
            </w:pPr>
            <w:r>
              <w:t>输电线路新建工程永久占地破坏的植被仅限塔基范围之内，占地面积很小，对区域植被及植物资源的影响很小。临时施工占地影响为塔基施工用地对区域地表植被的破坏，</w:t>
            </w:r>
            <w:r>
              <w:rPr>
                <w:rFonts w:hint="eastAsia"/>
              </w:rPr>
              <w:t>本工程单个塔基</w:t>
            </w:r>
            <w:r>
              <w:t>施工时间短，临时占地对植被的破坏是短暂的，并随施工期的结束而逐步恢复</w:t>
            </w:r>
            <w:r>
              <w:rPr>
                <w:rFonts w:hint="eastAsia"/>
              </w:rPr>
              <w:t>，不会影响当地植被多样性</w:t>
            </w:r>
            <w:r>
              <w:t>。</w:t>
            </w:r>
          </w:p>
          <w:p>
            <w:pPr>
              <w:pStyle w:val="11"/>
              <w:numPr>
                <w:ilvl w:val="2"/>
                <w:numId w:val="20"/>
              </w:numPr>
              <w:ind w:left="1129" w:firstLineChars="0"/>
              <w:rPr>
                <w:b/>
                <w:kern w:val="0"/>
                <w:szCs w:val="21"/>
              </w:rPr>
            </w:pPr>
            <w:r>
              <w:rPr>
                <w:b/>
                <w:kern w:val="0"/>
                <w:szCs w:val="21"/>
              </w:rPr>
              <w:t>动物影响分析</w:t>
            </w:r>
          </w:p>
          <w:p>
            <w:pPr>
              <w:pStyle w:val="11"/>
            </w:pPr>
            <w:r>
              <w:t>根据本工程的特点，对野生动物的影响主要发生在施工期。随着工程的开工，施工机械、施工人员的进场，土、石料堆积场及其它施工场地的布置，施工中产生的噪声可能干扰现有野生动物的生存环境，导致野生动物栖息环境的改变。</w:t>
            </w:r>
          </w:p>
          <w:p>
            <w:pPr>
              <w:pStyle w:val="11"/>
            </w:pPr>
            <w:r>
              <w:t>本工程塔基占地为空间线性方式，施工方法为间断性的，施工</w:t>
            </w:r>
            <w:r>
              <w:rPr>
                <w:rFonts w:hint="eastAsia"/>
              </w:rPr>
              <w:t>道路尽量利用已有道路</w:t>
            </w:r>
            <w:r>
              <w:t>，</w:t>
            </w:r>
            <w:r>
              <w:rPr>
                <w:rFonts w:hint="eastAsia"/>
              </w:rPr>
              <w:t>尽量不开辟新的道路</w:t>
            </w:r>
            <w:r>
              <w:t>。且施工人员的生活区一般安置在人类活动相对集中处，如村庄、集镇。因此本工程施工对野生动物的影响为间断性、暂时性的。施工完成后，部分野生动物仍可以到原栖息地附近区域栖息。</w:t>
            </w:r>
          </w:p>
          <w:p>
            <w:pPr>
              <w:pStyle w:val="11"/>
              <w:numPr>
                <w:ilvl w:val="2"/>
                <w:numId w:val="20"/>
              </w:numPr>
              <w:ind w:left="1129" w:firstLineChars="0"/>
              <w:rPr>
                <w:b/>
                <w:kern w:val="0"/>
                <w:szCs w:val="21"/>
              </w:rPr>
            </w:pPr>
            <w:r>
              <w:rPr>
                <w:rFonts w:hint="eastAsia"/>
                <w:b/>
                <w:kern w:val="0"/>
                <w:szCs w:val="21"/>
              </w:rPr>
              <w:t>土地沙化</w:t>
            </w:r>
            <w:r>
              <w:rPr>
                <w:b/>
                <w:kern w:val="0"/>
                <w:szCs w:val="21"/>
              </w:rPr>
              <w:t>影响分析</w:t>
            </w:r>
          </w:p>
          <w:p>
            <w:pPr>
              <w:pStyle w:val="11"/>
              <w:rPr>
                <w:color w:val="000000"/>
              </w:rPr>
            </w:pPr>
            <w:r>
              <w:rPr>
                <w:rFonts w:hint="eastAsia"/>
                <w:szCs w:val="24"/>
              </w:rPr>
              <w:t>根据现场调查及</w:t>
            </w:r>
            <w:r>
              <w:rPr>
                <w:color w:val="000000"/>
              </w:rPr>
              <w:t>《新疆第</w:t>
            </w:r>
            <w:r>
              <w:rPr>
                <w:rFonts w:hint="eastAsia"/>
                <w:color w:val="000000"/>
              </w:rPr>
              <w:t>六</w:t>
            </w:r>
            <w:r>
              <w:rPr>
                <w:color w:val="000000"/>
              </w:rPr>
              <w:t>次沙化土地监测报告》</w:t>
            </w:r>
            <w:r>
              <w:rPr>
                <w:rFonts w:hint="eastAsia"/>
                <w:color w:val="000000"/>
              </w:rPr>
              <w:t>，本工程所在区域为非沙化土地。本工程变电站和塔基施工会占用裸岩砾地、灌木林地和其他草地，临时占地对土壤的扰动会对土壤结构造成一定影响，会造成少量植被破坏，临时堆土若得不到合理的处置会造成水土流失，进而加剧土地沙化。</w:t>
            </w:r>
          </w:p>
          <w:p>
            <w:pPr>
              <w:pStyle w:val="11"/>
              <w:rPr>
                <w:szCs w:val="24"/>
              </w:rPr>
            </w:pPr>
            <w:r>
              <w:rPr>
                <w:rFonts w:hint="eastAsia"/>
                <w:color w:val="000000"/>
              </w:rPr>
              <w:t>本工程塔基为</w:t>
            </w:r>
            <w:r>
              <w:t>点状线性分布形式，单个铁塔的施工量较小</w:t>
            </w:r>
            <w:r>
              <w:rPr>
                <w:rFonts w:hint="eastAsia"/>
              </w:rPr>
              <w:t>，</w:t>
            </w:r>
            <w:r>
              <w:rPr>
                <w:szCs w:val="24"/>
              </w:rPr>
              <w:t>通过合理划定临时占地面积和采取施工限界围挡措施，可以有效限制施工活动对塔基周围地表植被的破坏，</w:t>
            </w:r>
            <w:r>
              <w:rPr>
                <w:rFonts w:hint="eastAsia"/>
                <w:szCs w:val="24"/>
              </w:rPr>
              <w:t>施工过程中和施工结束后对占用的草地扰动程度采取铺垫保护措施和植被恢复措施，</w:t>
            </w:r>
            <w:r>
              <w:rPr>
                <w:szCs w:val="24"/>
              </w:rPr>
              <w:t>可将对地表植被的影响降到最低</w:t>
            </w:r>
            <w:r>
              <w:rPr>
                <w:rFonts w:hint="eastAsia"/>
                <w:szCs w:val="24"/>
              </w:rPr>
              <w:t>，从而有效防止土地因植被覆盖度降低而导致的水土流失和沙化。同时本工程对临时堆土采取密目网覆盖的措施，防止降雨和地表径流冲刷导致水土流失和土地沙化。</w:t>
            </w:r>
          </w:p>
          <w:p>
            <w:pPr>
              <w:pStyle w:val="11"/>
              <w:numPr>
                <w:ilvl w:val="2"/>
                <w:numId w:val="20"/>
              </w:numPr>
              <w:ind w:left="1129" w:firstLineChars="0"/>
              <w:rPr>
                <w:b/>
                <w:kern w:val="0"/>
                <w:szCs w:val="21"/>
              </w:rPr>
            </w:pPr>
            <w:r>
              <w:rPr>
                <w:rFonts w:hint="eastAsia"/>
                <w:b/>
                <w:kern w:val="0"/>
                <w:szCs w:val="21"/>
              </w:rPr>
              <w:t>拆除工程</w:t>
            </w:r>
            <w:r>
              <w:rPr>
                <w:b/>
                <w:kern w:val="0"/>
                <w:szCs w:val="21"/>
              </w:rPr>
              <w:t>影响分析</w:t>
            </w:r>
          </w:p>
          <w:p>
            <w:pPr>
              <w:pStyle w:val="11"/>
              <w:rPr>
                <w:szCs w:val="24"/>
              </w:rPr>
            </w:pPr>
            <w:r>
              <w:rPr>
                <w:rFonts w:hint="eastAsia"/>
                <w:szCs w:val="24"/>
              </w:rPr>
              <w:t>本工程需拆除线路塔基、导线、导地线及金具绝缘子串。旧线拆除工程产生的主要环境影响为植被破坏和固体废物。</w:t>
            </w:r>
          </w:p>
          <w:p>
            <w:pPr>
              <w:pStyle w:val="11"/>
            </w:pPr>
            <w:r>
              <w:rPr>
                <w:rFonts w:hint="eastAsia"/>
                <w:szCs w:val="24"/>
              </w:rPr>
              <w:t>拆除工程需在拆除段线路设置施工场地，因此需要清除场地内部分地表植被和表层土，造成植被破坏。旧线拆除将产生一定量的固体废物，主要为旧线拆除产生废旧塔材、导线、绝缘子、间隔棒等废旧材料。对于废旧塔材、导线、绝缘子、间隔棒等废旧材料交由吐鲁番供电公司物资部回收和再利用，不随意丢弃。</w:t>
            </w:r>
          </w:p>
          <w:p>
            <w:pPr>
              <w:pStyle w:val="11"/>
              <w:numPr>
                <w:ilvl w:val="1"/>
                <w:numId w:val="20"/>
              </w:numPr>
              <w:ind w:left="987" w:firstLineChars="0"/>
              <w:rPr>
                <w:b/>
                <w:kern w:val="0"/>
                <w:szCs w:val="21"/>
              </w:rPr>
            </w:pPr>
            <w:r>
              <w:rPr>
                <w:b/>
                <w:kern w:val="0"/>
                <w:szCs w:val="21"/>
              </w:rPr>
              <w:t>施工期环境</w:t>
            </w:r>
            <w:r>
              <w:rPr>
                <w:rFonts w:hint="eastAsia"/>
                <w:b/>
                <w:kern w:val="0"/>
                <w:szCs w:val="21"/>
              </w:rPr>
              <w:t>大气</w:t>
            </w:r>
            <w:r>
              <w:rPr>
                <w:b/>
                <w:kern w:val="0"/>
                <w:szCs w:val="21"/>
              </w:rPr>
              <w:t>影响分析</w:t>
            </w:r>
          </w:p>
          <w:p>
            <w:pPr>
              <w:pStyle w:val="11"/>
              <w:numPr>
                <w:ilvl w:val="2"/>
                <w:numId w:val="20"/>
              </w:numPr>
              <w:ind w:left="1129" w:firstLineChars="0"/>
              <w:rPr>
                <w:b/>
                <w:kern w:val="0"/>
                <w:szCs w:val="21"/>
              </w:rPr>
            </w:pPr>
            <w:r>
              <w:rPr>
                <w:b/>
                <w:kern w:val="0"/>
                <w:szCs w:val="21"/>
              </w:rPr>
              <w:t>环境</w:t>
            </w:r>
            <w:r>
              <w:rPr>
                <w:rFonts w:hint="eastAsia"/>
                <w:b/>
                <w:kern w:val="0"/>
                <w:szCs w:val="21"/>
              </w:rPr>
              <w:t>大气</w:t>
            </w:r>
            <w:r>
              <w:rPr>
                <w:b/>
                <w:kern w:val="0"/>
                <w:szCs w:val="21"/>
              </w:rPr>
              <w:t>污染源</w:t>
            </w:r>
          </w:p>
          <w:p>
            <w:pPr>
              <w:pStyle w:val="11"/>
            </w:pPr>
            <w:r>
              <w:rPr>
                <w:rFonts w:hint="eastAsia"/>
              </w:rPr>
              <w:t>大气</w:t>
            </w:r>
            <w:r>
              <w:t>污染源主要是施工扬尘，施工扬尘主要来自塔基土建施工的场地平整、基础开挖等土石方工程、设备材料的运输装卸、施工现场内车辆行驶</w:t>
            </w:r>
            <w:r>
              <w:rPr>
                <w:rFonts w:hint="eastAsia"/>
              </w:rPr>
              <w:t>产生</w:t>
            </w:r>
            <w:r>
              <w:t>道路扬尘等。由于扬尘源多且分散，源高一般在1.5m以下，属无组织排放。受施工方式、设备、气候等因素制约，产生的随机性和波动性较大。</w:t>
            </w:r>
          </w:p>
          <w:p>
            <w:pPr>
              <w:pStyle w:val="11"/>
            </w:pPr>
            <w:r>
              <w:t>施工阶段，尤其是施工初期，输电线路的基础开挖和土石方运输都会产生扬尘污染，特别是若遇久旱无雨的大风天气，扬尘污染更为突出。施工开挖、车辆运输等产生的粉尘短期内将使局部区域内</w:t>
            </w:r>
            <w:r>
              <w:rPr>
                <w:rFonts w:hint="eastAsia"/>
              </w:rPr>
              <w:t>大气</w:t>
            </w:r>
            <w:r>
              <w:t>中的总悬浮颗粒物(TSP)明显增加。</w:t>
            </w:r>
          </w:p>
          <w:p>
            <w:pPr>
              <w:pStyle w:val="11"/>
              <w:numPr>
                <w:ilvl w:val="2"/>
                <w:numId w:val="20"/>
              </w:numPr>
              <w:ind w:left="1129" w:firstLineChars="0"/>
              <w:rPr>
                <w:b/>
                <w:kern w:val="0"/>
                <w:szCs w:val="21"/>
              </w:rPr>
            </w:pPr>
            <w:r>
              <w:rPr>
                <w:b/>
                <w:kern w:val="0"/>
                <w:szCs w:val="21"/>
              </w:rPr>
              <w:t>施工期扬尘影响分析</w:t>
            </w:r>
          </w:p>
          <w:p>
            <w:pPr>
              <w:pStyle w:val="11"/>
              <w:rPr>
                <w:color w:val="000000"/>
              </w:rPr>
            </w:pPr>
            <w:r>
              <w:rPr>
                <w:color w:val="000000"/>
              </w:rPr>
              <w:t>（1）变电站</w:t>
            </w:r>
            <w:r>
              <w:rPr>
                <w:rFonts w:hint="eastAsia"/>
              </w:rPr>
              <w:t>新建</w:t>
            </w:r>
            <w:r>
              <w:rPr>
                <w:color w:val="000000"/>
              </w:rPr>
              <w:t>工程</w:t>
            </w:r>
          </w:p>
          <w:p>
            <w:pPr>
              <w:pStyle w:val="11"/>
              <w:rPr>
                <w:color w:val="000000"/>
              </w:rPr>
            </w:pPr>
            <w:r>
              <w:rPr>
                <w:color w:val="000000"/>
              </w:rPr>
              <w:t>变电站施工时，由于土石方的开挖造成土地裸露，产生局部二次扬尘，可能对周围50m以内的局部地区产生暂时影响，但施工扬尘的影响是短时间的，在土建工程结束后即可恢复。此外，在建设期间，大件设备及其他设备材料的运输，可能会使所经道路产生扬尘问题，但该扬尘问题只是暂时的和流动的，当建设期结束，此问题亦会消失。</w:t>
            </w:r>
            <w:r>
              <w:rPr>
                <w:rFonts w:hint="eastAsia"/>
                <w:color w:val="000000"/>
              </w:rPr>
              <w:t>对建设过程中的施工扬尘拟采取相关环境保护措施后，对附近区域环境空气质量不会造成长期影响。</w:t>
            </w:r>
          </w:p>
          <w:p>
            <w:pPr>
              <w:pStyle w:val="11"/>
              <w:rPr>
                <w:color w:val="000000"/>
              </w:rPr>
            </w:pPr>
            <w:r>
              <w:rPr>
                <w:color w:val="000000"/>
              </w:rPr>
              <w:t>（2）输电线路工程</w:t>
            </w:r>
          </w:p>
          <w:p>
            <w:pPr>
              <w:pStyle w:val="11"/>
            </w:pPr>
            <w:r>
              <w:rPr>
                <w:rFonts w:hint="eastAsia"/>
                <w:color w:val="000000"/>
              </w:rPr>
              <w:t>线路杆塔基础开挖产生的灰尘会对线路周围局部空气质量造成影响，</w:t>
            </w:r>
            <w:r>
              <w:t>由于</w:t>
            </w:r>
            <w:r>
              <w:rPr>
                <w:rFonts w:hint="eastAsia"/>
              </w:rPr>
              <w:t>输电线路</w:t>
            </w:r>
            <w:r>
              <w:t>开挖塔基施工时间短，开挖面小且分散，因此受本工程施工扬尘影响的区域小、影响的时间短</w:t>
            </w:r>
            <w:r>
              <w:rPr>
                <w:rFonts w:hint="eastAsia"/>
                <w:color w:val="000000"/>
              </w:rPr>
              <w:t>，并且通过拦挡、遮盖等施工管理</w:t>
            </w:r>
            <w:r>
              <w:rPr>
                <w:rFonts w:hint="eastAsia"/>
              </w:rPr>
              <w:t>措施可以有效减小线路施工产生的扬尘影响。临时占地区域在工程初期场地平整的过程中可能产生扬尘影响；材料进场、杆塔基础开挖、土石方运输过程中均可能产生扬尘影响；车辆运输材料也会使途经道路产生扬尘。由于场地平整及设备进场均在工程初期，该扬尘问题是暂时性的，场地处理完毕该问题即会消失；施工道路扬尘存在于整个输电线路路径范围，但总量较小，且施工完毕该问题即会消失，对运输车辆进行覆盖以及对道路进行洒水降尘等环境保护措施后，工程对附近区域环境空气质量不会造成长期影响。</w:t>
            </w:r>
          </w:p>
          <w:p>
            <w:pPr>
              <w:pStyle w:val="11"/>
              <w:numPr>
                <w:ilvl w:val="1"/>
                <w:numId w:val="20"/>
              </w:numPr>
              <w:ind w:left="987" w:firstLineChars="0"/>
              <w:rPr>
                <w:b/>
                <w:kern w:val="0"/>
                <w:szCs w:val="21"/>
              </w:rPr>
            </w:pPr>
            <w:r>
              <w:rPr>
                <w:b/>
                <w:kern w:val="0"/>
                <w:szCs w:val="21"/>
              </w:rPr>
              <w:t>施工期废污水环境影响分析</w:t>
            </w:r>
          </w:p>
          <w:p>
            <w:pPr>
              <w:pStyle w:val="11"/>
              <w:numPr>
                <w:ilvl w:val="2"/>
                <w:numId w:val="20"/>
              </w:numPr>
              <w:ind w:left="1129" w:firstLineChars="0"/>
              <w:rPr>
                <w:b/>
                <w:kern w:val="0"/>
                <w:szCs w:val="21"/>
              </w:rPr>
            </w:pPr>
            <w:r>
              <w:rPr>
                <w:b/>
                <w:kern w:val="0"/>
                <w:szCs w:val="21"/>
              </w:rPr>
              <w:t>废污水污染源</w:t>
            </w:r>
          </w:p>
          <w:p>
            <w:pPr>
              <w:pStyle w:val="11"/>
            </w:pPr>
            <w:r>
              <w:t>本工程施工污水主要来自施工人员的生活污水和少量</w:t>
            </w:r>
            <w:r>
              <w:rPr>
                <w:rFonts w:hint="eastAsia"/>
              </w:rPr>
              <w:t>车辆冲洗产生的废水等</w:t>
            </w:r>
            <w:r>
              <w:t>施工废水。</w:t>
            </w:r>
          </w:p>
          <w:p>
            <w:pPr>
              <w:pStyle w:val="11"/>
            </w:pPr>
            <w:r>
              <w:rPr>
                <w:rFonts w:ascii="宋体" w:hAnsi="宋体"/>
                <w:shd w:val="clear" w:color="auto" w:fill="FFFFFF"/>
              </w:rPr>
              <w:t>本工程</w:t>
            </w:r>
            <w:r>
              <w:rPr>
                <w:rFonts w:hint="eastAsia"/>
              </w:rPr>
              <w:t>施工期平均施工人员约</w:t>
            </w:r>
            <w:r>
              <w:t>40</w:t>
            </w:r>
            <w:r>
              <w:rPr>
                <w:rFonts w:hint="eastAsia"/>
              </w:rPr>
              <w:t>人，施工人员人均用水量约</w:t>
            </w:r>
            <w:r>
              <w:t>70L/（人·d</w:t>
            </w:r>
            <w:r>
              <w:rPr>
                <w:rFonts w:hint="eastAsia"/>
              </w:rPr>
              <w:t>），生活污水产生量按总用水量的</w:t>
            </w:r>
            <w:r>
              <w:t>80%</w:t>
            </w:r>
            <w:r>
              <w:rPr>
                <w:rFonts w:hint="eastAsia"/>
              </w:rPr>
              <w:t>计算，则生活污水的产生量约</w:t>
            </w:r>
            <w:r>
              <w:t>2.24</w:t>
            </w:r>
            <w:r>
              <w:rPr>
                <w:rFonts w:eastAsia="仿宋_GB2312"/>
                <w:snapToGrid w:val="0"/>
                <w:sz w:val="28"/>
                <w:szCs w:val="36"/>
                <w:lang w:bidi="ar"/>
              </w:rPr>
              <w:t>m</w:t>
            </w:r>
            <w:r>
              <w:rPr>
                <w:rFonts w:eastAsia="仿宋_GB2312"/>
                <w:snapToGrid w:val="0"/>
                <w:sz w:val="28"/>
                <w:szCs w:val="36"/>
                <w:vertAlign w:val="superscript"/>
                <w:lang w:bidi="ar"/>
              </w:rPr>
              <w:t>3</w:t>
            </w:r>
            <w:r>
              <w:t>/d</w:t>
            </w:r>
            <w:r>
              <w:rPr>
                <w:rFonts w:hint="eastAsia"/>
              </w:rPr>
              <w:t>。</w:t>
            </w:r>
          </w:p>
          <w:p>
            <w:pPr>
              <w:pStyle w:val="11"/>
            </w:pPr>
            <w:r>
              <w:rPr>
                <w:rFonts w:hint="eastAsia"/>
              </w:rPr>
              <w:t>本工程施工废水主要包括雨水冲刷开挖土石方及裸露场地，施工机械和进出车辆的冲洗水。</w:t>
            </w:r>
          </w:p>
          <w:p>
            <w:pPr>
              <w:pStyle w:val="11"/>
              <w:numPr>
                <w:ilvl w:val="2"/>
                <w:numId w:val="20"/>
              </w:numPr>
              <w:ind w:left="1129" w:firstLineChars="0"/>
              <w:rPr>
                <w:b/>
                <w:kern w:val="0"/>
                <w:szCs w:val="21"/>
              </w:rPr>
            </w:pPr>
            <w:r>
              <w:rPr>
                <w:b/>
                <w:kern w:val="0"/>
                <w:szCs w:val="21"/>
              </w:rPr>
              <w:t>废污水影响分析</w:t>
            </w:r>
          </w:p>
          <w:p>
            <w:pPr>
              <w:pStyle w:val="11"/>
            </w:pPr>
            <w:r>
              <w:rPr>
                <w:rFonts w:hint="eastAsia"/>
              </w:rPr>
              <w:t>东环110kV变电站新建工程设有1处施工生产生活区，施工人员生活污水可利用施工生产生活区设置的临时厕所收集处理，处理后的污水定期清理，不外排。站内施工人员生活污水也可以依托新建的化粪池收集处理，定期清掏不外排。</w:t>
            </w:r>
          </w:p>
          <w:p>
            <w:pPr>
              <w:pStyle w:val="11"/>
            </w:pPr>
            <w:r>
              <w:rPr>
                <w:rFonts w:hint="eastAsia"/>
              </w:rPr>
              <w:t>番南变110千伏保护新增工程和七泉湖变、交河变110千伏保护改造工程施工人员产生的生活污水利用变电站已建的化粪池收集后定期清掏，不外排。</w:t>
            </w:r>
          </w:p>
          <w:p>
            <w:pPr>
              <w:pStyle w:val="11"/>
              <w:rPr>
                <w:rFonts w:hint="eastAsia" w:ascii="宋体" w:hAnsi="宋体"/>
                <w:shd w:val="clear" w:color="auto" w:fill="FFFFFF"/>
              </w:rPr>
            </w:pPr>
            <w:r>
              <w:rPr>
                <w:rFonts w:hint="eastAsia"/>
                <w:snapToGrid w:val="0"/>
                <w:szCs w:val="21"/>
              </w:rPr>
              <w:t>沿线施工场地设置环保移动厕所，并做好防渗处理，现场施工人员生活污水可依托环保移动厕所处理，处理后的污水定期清理，不外排，做好相关环保措施后，本工程施工人员产生的生活污水不会对周围水环境产生影响</w:t>
            </w:r>
          </w:p>
          <w:p>
            <w:pPr>
              <w:pStyle w:val="11"/>
              <w:rPr>
                <w:szCs w:val="32"/>
              </w:rPr>
            </w:pPr>
            <w:r>
              <w:rPr>
                <w:shd w:val="clear" w:color="auto" w:fill="FFFFFF"/>
              </w:rPr>
              <w:t>本工程施工期产生的少量施工废水经处理后回用于施工场地喷洒抑尘等，不外排，不会对周围水环境产生不良影响</w:t>
            </w:r>
            <w:r>
              <w:rPr>
                <w:rFonts w:ascii="宋体" w:hAnsi="宋体"/>
                <w:shd w:val="clear" w:color="auto" w:fill="FFFFFF"/>
              </w:rPr>
              <w:t>。</w:t>
            </w:r>
          </w:p>
          <w:p>
            <w:pPr>
              <w:pStyle w:val="11"/>
              <w:numPr>
                <w:ilvl w:val="1"/>
                <w:numId w:val="20"/>
              </w:numPr>
              <w:ind w:left="987" w:firstLineChars="0"/>
              <w:rPr>
                <w:b/>
                <w:kern w:val="0"/>
                <w:szCs w:val="21"/>
              </w:rPr>
            </w:pPr>
            <w:r>
              <w:rPr>
                <w:b/>
                <w:kern w:val="0"/>
                <w:szCs w:val="21"/>
              </w:rPr>
              <w:t>施工期固体废物环境影响分析</w:t>
            </w:r>
          </w:p>
          <w:p>
            <w:pPr>
              <w:pStyle w:val="11"/>
              <w:numPr>
                <w:ilvl w:val="2"/>
                <w:numId w:val="20"/>
              </w:numPr>
              <w:ind w:left="1129" w:firstLineChars="0"/>
              <w:rPr>
                <w:b/>
                <w:kern w:val="0"/>
                <w:szCs w:val="21"/>
              </w:rPr>
            </w:pPr>
            <w:r>
              <w:rPr>
                <w:b/>
                <w:kern w:val="0"/>
                <w:szCs w:val="21"/>
              </w:rPr>
              <w:t>施工固废污染源</w:t>
            </w:r>
          </w:p>
          <w:p>
            <w:pPr>
              <w:pStyle w:val="11"/>
              <w:rPr>
                <w:szCs w:val="24"/>
              </w:rPr>
            </w:pPr>
            <w:r>
              <w:t>（</w:t>
            </w:r>
            <w:r>
              <w:rPr>
                <w:szCs w:val="24"/>
              </w:rPr>
              <w:t>1</w:t>
            </w:r>
            <w:r>
              <w:t>）</w:t>
            </w:r>
            <w:r>
              <w:rPr>
                <w:rFonts w:hint="eastAsia"/>
              </w:rPr>
              <w:t>变电站工程</w:t>
            </w:r>
          </w:p>
          <w:p>
            <w:pPr>
              <w:pStyle w:val="11"/>
            </w:pPr>
            <w:r>
              <w:t>变电站</w:t>
            </w:r>
            <w:r>
              <w:rPr>
                <w:rFonts w:hint="eastAsia"/>
              </w:rPr>
              <w:t>新建</w:t>
            </w:r>
            <w:r>
              <w:t>工程</w:t>
            </w:r>
            <w:r>
              <w:rPr>
                <w:rFonts w:hint="eastAsia"/>
              </w:rPr>
              <w:t>产生的固体废物</w:t>
            </w:r>
            <w:r>
              <w:t>主要为基础施工产生的弃土、弃渣、包装材料等建筑垃圾以及施工人员的生活垃圾。</w:t>
            </w:r>
          </w:p>
          <w:p>
            <w:pPr>
              <w:pStyle w:val="11"/>
            </w:pPr>
            <w:r>
              <w:rPr>
                <w:rFonts w:hint="eastAsia"/>
              </w:rPr>
              <w:t>（2）线路工程</w:t>
            </w:r>
          </w:p>
          <w:p>
            <w:pPr>
              <w:pStyle w:val="11"/>
            </w:pPr>
            <w:r>
              <w:rPr>
                <w:rFonts w:hint="eastAsia"/>
              </w:rPr>
              <w:t>本</w:t>
            </w:r>
            <w:r>
              <w:t>工程施工期产生的固体废物主要为输电线路杆塔基础回填余土</w:t>
            </w:r>
            <w:r>
              <w:rPr>
                <w:rFonts w:hint="eastAsia"/>
              </w:rPr>
              <w:t>、</w:t>
            </w:r>
            <w:r>
              <w:t>少量混凝土残渣等建筑垃圾</w:t>
            </w:r>
            <w:r>
              <w:rPr>
                <w:rFonts w:hint="eastAsia"/>
              </w:rPr>
              <w:t>及施工人员产生的生活垃圾，拆除线路产生的金属废料、混凝土基座残块、废弃绝缘材料</w:t>
            </w:r>
            <w:r>
              <w:t>等。</w:t>
            </w:r>
          </w:p>
          <w:p>
            <w:pPr>
              <w:pStyle w:val="11"/>
              <w:numPr>
                <w:ilvl w:val="2"/>
                <w:numId w:val="20"/>
              </w:numPr>
              <w:ind w:left="1129" w:firstLineChars="0"/>
              <w:rPr>
                <w:b/>
                <w:kern w:val="0"/>
                <w:szCs w:val="21"/>
              </w:rPr>
            </w:pPr>
            <w:r>
              <w:rPr>
                <w:b/>
                <w:kern w:val="0"/>
                <w:szCs w:val="21"/>
              </w:rPr>
              <w:t>施工期固体废物环境影响分析</w:t>
            </w:r>
          </w:p>
          <w:p>
            <w:pPr>
              <w:pStyle w:val="11"/>
              <w:rPr>
                <w:color w:val="FF0000"/>
              </w:rPr>
            </w:pPr>
            <w:r>
              <w:rPr>
                <w:rFonts w:hint="eastAsia"/>
              </w:rPr>
              <w:t>新建</w:t>
            </w:r>
            <w:r>
              <w:t>线路施工土方尽量做到就地平衡，少量余土在塔基区域采取摊平处置，</w:t>
            </w:r>
            <w:r>
              <w:rPr>
                <w:rFonts w:hint="eastAsia"/>
              </w:rPr>
              <w:t>输电线路和变电站</w:t>
            </w:r>
            <w:r>
              <w:t>施工人员产生的少量生活垃圾现场随产随收，避免随意丢弃处置。</w:t>
            </w:r>
            <w:r>
              <w:rPr>
                <w:rFonts w:hint="eastAsia"/>
              </w:rPr>
              <w:t>拆除铁塔产生的金属、混凝土等材料若未合理回收，将导致环境污染和资源浪费，因此拆除需遵循“减量化、资源化、无害化”原则，优先回收可再利用材料。</w:t>
            </w:r>
            <w:r>
              <w:t>因此，本工程施工期产生的固体废物对周围环境影响较小。</w:t>
            </w:r>
          </w:p>
          <w:p>
            <w:pPr>
              <w:pStyle w:val="11"/>
              <w:numPr>
                <w:ilvl w:val="1"/>
                <w:numId w:val="20"/>
              </w:numPr>
              <w:ind w:left="987" w:firstLineChars="0"/>
              <w:rPr>
                <w:b/>
                <w:kern w:val="0"/>
                <w:szCs w:val="21"/>
              </w:rPr>
            </w:pPr>
            <w:r>
              <w:rPr>
                <w:b/>
                <w:kern w:val="0"/>
                <w:szCs w:val="21"/>
              </w:rPr>
              <w:t>施工期声环境影响分析</w:t>
            </w:r>
          </w:p>
          <w:p>
            <w:pPr>
              <w:pStyle w:val="11"/>
              <w:numPr>
                <w:ilvl w:val="2"/>
                <w:numId w:val="20"/>
              </w:numPr>
              <w:ind w:left="1129" w:firstLineChars="0"/>
              <w:rPr>
                <w:b/>
                <w:color w:val="000000"/>
                <w:kern w:val="0"/>
                <w:szCs w:val="21"/>
              </w:rPr>
            </w:pPr>
            <w:r>
              <w:rPr>
                <w:b/>
                <w:color w:val="000000"/>
                <w:kern w:val="0"/>
                <w:szCs w:val="21"/>
              </w:rPr>
              <w:t>噪声源</w:t>
            </w:r>
          </w:p>
          <w:p>
            <w:pPr>
              <w:pStyle w:val="11"/>
              <w:rPr>
                <w:color w:val="000000"/>
              </w:rPr>
            </w:pPr>
            <w:r>
              <w:rPr>
                <w:color w:val="000000"/>
              </w:rPr>
              <w:t>变电站施工期在挖填方、基础施工、设备安装等阶段中，可能产生施工噪声对环境的影响。噪声源主要来源于各类施工机械的运转噪声，如挖掘机、混凝土搅拌机、汽车等，噪声水平为70</w:t>
            </w:r>
            <w:r>
              <w:rPr>
                <w:rFonts w:hint="eastAsia"/>
                <w:color w:val="000000"/>
              </w:rPr>
              <w:t>~</w:t>
            </w:r>
            <w:r>
              <w:rPr>
                <w:color w:val="000000"/>
              </w:rPr>
              <w:t>85dB（A）。</w:t>
            </w:r>
          </w:p>
          <w:p>
            <w:pPr>
              <w:pStyle w:val="11"/>
              <w:rPr>
                <w:color w:val="000000"/>
              </w:rPr>
            </w:pPr>
            <w:r>
              <w:rPr>
                <w:color w:val="000000"/>
              </w:rPr>
              <w:t>输电线路工程塔基基础施工、铁塔组立和架线活动过程中，挖掘机、牵张机、绞磨机等机械施工噪声亦可能会对线路附近的敏感点产生影响，线路施工噪声源声级值一般为70</w:t>
            </w:r>
            <w:r>
              <w:rPr>
                <w:rFonts w:hint="eastAsia"/>
                <w:color w:val="000000"/>
              </w:rPr>
              <w:t>~</w:t>
            </w:r>
            <w:r>
              <w:rPr>
                <w:color w:val="000000"/>
              </w:rPr>
              <w:t>90dB(A)。</w:t>
            </w:r>
          </w:p>
          <w:p>
            <w:pPr>
              <w:pStyle w:val="11"/>
              <w:numPr>
                <w:ilvl w:val="2"/>
                <w:numId w:val="20"/>
              </w:numPr>
              <w:ind w:left="1129" w:firstLineChars="0"/>
              <w:rPr>
                <w:b/>
                <w:color w:val="000000"/>
                <w:kern w:val="0"/>
                <w:szCs w:val="21"/>
              </w:rPr>
            </w:pPr>
            <w:r>
              <w:rPr>
                <w:b/>
                <w:color w:val="000000"/>
                <w:kern w:val="0"/>
                <w:szCs w:val="21"/>
              </w:rPr>
              <w:t>施工期声环境影响分析</w:t>
            </w:r>
          </w:p>
          <w:p>
            <w:pPr>
              <w:pStyle w:val="11"/>
              <w:rPr>
                <w:color w:val="000000"/>
              </w:rPr>
            </w:pPr>
            <w:r>
              <w:rPr>
                <w:color w:val="000000"/>
              </w:rPr>
              <w:t>（1）变电站工程声环境影响分析</w:t>
            </w:r>
          </w:p>
          <w:p>
            <w:pPr>
              <w:pStyle w:val="11"/>
              <w:rPr>
                <w:color w:val="000000"/>
              </w:rPr>
            </w:pPr>
            <w:r>
              <w:rPr>
                <w:color w:val="000000"/>
              </w:rPr>
              <w:t>施工期噪声预测计算公式如下：</w:t>
            </w:r>
          </w:p>
          <w:p>
            <w:pPr>
              <w:pStyle w:val="11"/>
              <w:ind w:firstLine="3120" w:firstLineChars="1300"/>
              <w:rPr>
                <w:color w:val="000000"/>
              </w:rPr>
            </w:pPr>
            <w:r>
              <w:rPr>
                <w:color w:val="000000"/>
              </w:rPr>
              <w:object>
                <v:shape id="_x0000_i1025" o:spt="75" type="#_x0000_t75" style="height:36.75pt;width:84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p>
          <w:p>
            <w:pPr>
              <w:pStyle w:val="11"/>
              <w:rPr>
                <w:color w:val="000000"/>
              </w:rPr>
            </w:pPr>
            <w:r>
              <w:rPr>
                <w:color w:val="000000"/>
              </w:rPr>
              <w:t>式中，L</w:t>
            </w:r>
            <w:r>
              <w:rPr>
                <w:color w:val="000000"/>
                <w:vertAlign w:val="subscript"/>
              </w:rPr>
              <w:t>1</w:t>
            </w:r>
            <w:r>
              <w:rPr>
                <w:color w:val="000000"/>
              </w:rPr>
              <w:t>、L</w:t>
            </w:r>
            <w:r>
              <w:rPr>
                <w:color w:val="000000"/>
                <w:vertAlign w:val="subscript"/>
              </w:rPr>
              <w:t>2</w:t>
            </w:r>
            <w:r>
              <w:rPr>
                <w:color w:val="000000"/>
              </w:rPr>
              <w:t>－为与声源相距r</w:t>
            </w:r>
            <w:r>
              <w:rPr>
                <w:color w:val="000000"/>
                <w:vertAlign w:val="subscript"/>
              </w:rPr>
              <w:t>1</w:t>
            </w:r>
            <w:r>
              <w:rPr>
                <w:color w:val="000000"/>
              </w:rPr>
              <w:t>、r</w:t>
            </w:r>
            <w:r>
              <w:rPr>
                <w:color w:val="000000"/>
                <w:vertAlign w:val="subscript"/>
              </w:rPr>
              <w:t>2</w:t>
            </w:r>
            <w:r>
              <w:rPr>
                <w:color w:val="000000"/>
              </w:rPr>
              <w:t>处的施工噪声级，dB（A）。</w:t>
            </w:r>
          </w:p>
          <w:p>
            <w:pPr>
              <w:pStyle w:val="11"/>
              <w:rPr>
                <w:color w:val="000000"/>
              </w:rPr>
            </w:pPr>
            <w:r>
              <w:rPr>
                <w:color w:val="000000"/>
              </w:rPr>
              <w:t>取最大施工噪声源值85dB（A）对变电站施工场界噪声环境贡献值进行预测，预测结果参见</w:t>
            </w:r>
            <w:r>
              <w:rPr>
                <w:color w:val="000000"/>
              </w:rPr>
              <w:fldChar w:fldCharType="begin"/>
            </w:r>
            <w:r>
              <w:rPr>
                <w:color w:val="000000"/>
              </w:rPr>
              <w:instrText xml:space="preserve"> REF _Ref157204794 \h  \* MERGEFORMAT </w:instrText>
            </w:r>
            <w:r>
              <w:rPr>
                <w:color w:val="000000"/>
              </w:rPr>
              <w:fldChar w:fldCharType="separate"/>
            </w:r>
            <w:r>
              <w:rPr>
                <w:color w:val="000000"/>
              </w:rPr>
              <w:t>表 11</w:t>
            </w:r>
            <w:r>
              <w:rPr>
                <w:color w:val="000000"/>
              </w:rPr>
              <w:fldChar w:fldCharType="end"/>
            </w:r>
            <w:r>
              <w:rPr>
                <w:color w:val="000000"/>
              </w:rPr>
              <w:t>。</w:t>
            </w:r>
          </w:p>
          <w:p>
            <w:pPr>
              <w:pStyle w:val="18"/>
              <w:ind w:firstLine="420"/>
              <w:rPr>
                <w:b/>
              </w:rPr>
            </w:pPr>
            <w:bookmarkStart w:id="647" w:name="_Ref157204794"/>
            <w:r>
              <w:t xml:space="preserve">表 </w:t>
            </w:r>
            <w:r>
              <w:fldChar w:fldCharType="begin"/>
            </w:r>
            <w:r>
              <w:instrText xml:space="preserve"> SEQ 表 \* ARABIC </w:instrText>
            </w:r>
            <w:r>
              <w:fldChar w:fldCharType="separate"/>
            </w:r>
            <w:r>
              <w:t>11</w:t>
            </w:r>
            <w:r>
              <w:fldChar w:fldCharType="end"/>
            </w:r>
            <w:bookmarkEnd w:id="647"/>
            <w:r>
              <w:t xml:space="preserve">                   施工噪声源对变电站施工场界噪声贡献值</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6"/>
              <w:gridCol w:w="661"/>
              <w:gridCol w:w="662"/>
              <w:gridCol w:w="662"/>
              <w:gridCol w:w="662"/>
              <w:gridCol w:w="662"/>
              <w:gridCol w:w="679"/>
              <w:gridCol w:w="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35" w:type="dxa"/>
                  <w:vAlign w:val="center"/>
                </w:tcPr>
                <w:p>
                  <w:pPr>
                    <w:pStyle w:val="82"/>
                    <w:rPr>
                      <w:color w:val="000000"/>
                    </w:rPr>
                  </w:pPr>
                  <w:r>
                    <w:rPr>
                      <w:color w:val="000000"/>
                    </w:rPr>
                    <w:t>距变电站场界外距离(m)</w:t>
                  </w:r>
                </w:p>
              </w:tc>
              <w:tc>
                <w:tcPr>
                  <w:tcW w:w="655" w:type="dxa"/>
                  <w:vAlign w:val="center"/>
                </w:tcPr>
                <w:p>
                  <w:pPr>
                    <w:pStyle w:val="82"/>
                    <w:rPr>
                      <w:color w:val="000000"/>
                    </w:rPr>
                  </w:pPr>
                  <w:r>
                    <w:rPr>
                      <w:rFonts w:hint="eastAsia"/>
                      <w:color w:val="000000"/>
                    </w:rPr>
                    <w:t>1</w:t>
                  </w:r>
                </w:p>
              </w:tc>
              <w:tc>
                <w:tcPr>
                  <w:tcW w:w="656" w:type="dxa"/>
                  <w:vAlign w:val="center"/>
                </w:tcPr>
                <w:p>
                  <w:pPr>
                    <w:pStyle w:val="82"/>
                    <w:rPr>
                      <w:color w:val="000000"/>
                    </w:rPr>
                  </w:pPr>
                  <w:r>
                    <w:rPr>
                      <w:color w:val="000000"/>
                    </w:rPr>
                    <w:t>10</w:t>
                  </w:r>
                </w:p>
              </w:tc>
              <w:tc>
                <w:tcPr>
                  <w:tcW w:w="656" w:type="dxa"/>
                  <w:vAlign w:val="center"/>
                </w:tcPr>
                <w:p>
                  <w:pPr>
                    <w:pStyle w:val="82"/>
                    <w:rPr>
                      <w:color w:val="000000"/>
                    </w:rPr>
                  </w:pPr>
                  <w:r>
                    <w:rPr>
                      <w:color w:val="000000"/>
                    </w:rPr>
                    <w:t>15</w:t>
                  </w:r>
                </w:p>
              </w:tc>
              <w:tc>
                <w:tcPr>
                  <w:tcW w:w="656" w:type="dxa"/>
                  <w:vAlign w:val="center"/>
                </w:tcPr>
                <w:p>
                  <w:pPr>
                    <w:pStyle w:val="82"/>
                    <w:rPr>
                      <w:color w:val="000000"/>
                    </w:rPr>
                  </w:pPr>
                  <w:r>
                    <w:rPr>
                      <w:color w:val="000000"/>
                    </w:rPr>
                    <w:t>30</w:t>
                  </w:r>
                </w:p>
              </w:tc>
              <w:tc>
                <w:tcPr>
                  <w:tcW w:w="656" w:type="dxa"/>
                  <w:vAlign w:val="center"/>
                </w:tcPr>
                <w:p>
                  <w:pPr>
                    <w:pStyle w:val="82"/>
                    <w:rPr>
                      <w:color w:val="000000"/>
                    </w:rPr>
                  </w:pPr>
                  <w:r>
                    <w:rPr>
                      <w:color w:val="000000"/>
                    </w:rPr>
                    <w:t>80</w:t>
                  </w:r>
                </w:p>
              </w:tc>
              <w:tc>
                <w:tcPr>
                  <w:tcW w:w="673" w:type="dxa"/>
                  <w:vAlign w:val="center"/>
                </w:tcPr>
                <w:p>
                  <w:pPr>
                    <w:pStyle w:val="82"/>
                    <w:rPr>
                      <w:color w:val="000000"/>
                    </w:rPr>
                  </w:pPr>
                  <w:r>
                    <w:rPr>
                      <w:color w:val="000000"/>
                    </w:rPr>
                    <w:t>100</w:t>
                  </w:r>
                </w:p>
              </w:tc>
              <w:tc>
                <w:tcPr>
                  <w:tcW w:w="642" w:type="dxa"/>
                  <w:vAlign w:val="center"/>
                </w:tcPr>
                <w:p>
                  <w:pPr>
                    <w:pStyle w:val="82"/>
                    <w:rPr>
                      <w:color w:val="000000"/>
                    </w:rPr>
                  </w:pPr>
                  <w:r>
                    <w:rPr>
                      <w:color w:val="00000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35" w:type="dxa"/>
                  <w:vAlign w:val="center"/>
                </w:tcPr>
                <w:p>
                  <w:pPr>
                    <w:pStyle w:val="82"/>
                    <w:rPr>
                      <w:color w:val="000000"/>
                    </w:rPr>
                  </w:pPr>
                  <w:r>
                    <w:rPr>
                      <w:rFonts w:ascii="宋体" w:hAnsi="宋体"/>
                      <w:color w:val="000000"/>
                      <w:kern w:val="2"/>
                      <w:sz w:val="22"/>
                      <w:szCs w:val="22"/>
                    </w:rPr>
                    <w:t>无围挡噪声贡献值</w:t>
                  </w:r>
                  <w:r>
                    <w:rPr>
                      <w:color w:val="000000"/>
                    </w:rPr>
                    <w:t>dB(A)</w:t>
                  </w:r>
                </w:p>
              </w:tc>
              <w:tc>
                <w:tcPr>
                  <w:tcW w:w="655" w:type="dxa"/>
                  <w:vAlign w:val="center"/>
                </w:tcPr>
                <w:p>
                  <w:pPr>
                    <w:pStyle w:val="82"/>
                    <w:rPr>
                      <w:color w:val="000000"/>
                    </w:rPr>
                  </w:pPr>
                  <w:r>
                    <w:rPr>
                      <w:rFonts w:hint="eastAsia"/>
                      <w:color w:val="000000"/>
                    </w:rPr>
                    <w:t>69</w:t>
                  </w:r>
                </w:p>
              </w:tc>
              <w:tc>
                <w:tcPr>
                  <w:tcW w:w="656" w:type="dxa"/>
                  <w:vAlign w:val="center"/>
                </w:tcPr>
                <w:p>
                  <w:pPr>
                    <w:pStyle w:val="82"/>
                    <w:rPr>
                      <w:color w:val="000000"/>
                    </w:rPr>
                  </w:pPr>
                  <w:r>
                    <w:rPr>
                      <w:rFonts w:hint="eastAsia"/>
                      <w:color w:val="000000"/>
                    </w:rPr>
                    <w:t>61</w:t>
                  </w:r>
                </w:p>
              </w:tc>
              <w:tc>
                <w:tcPr>
                  <w:tcW w:w="656" w:type="dxa"/>
                  <w:vAlign w:val="center"/>
                </w:tcPr>
                <w:p>
                  <w:pPr>
                    <w:pStyle w:val="82"/>
                    <w:rPr>
                      <w:color w:val="000000"/>
                    </w:rPr>
                  </w:pPr>
                  <w:r>
                    <w:rPr>
                      <w:rFonts w:hint="eastAsia"/>
                      <w:color w:val="000000"/>
                    </w:rPr>
                    <w:t>59</w:t>
                  </w:r>
                </w:p>
              </w:tc>
              <w:tc>
                <w:tcPr>
                  <w:tcW w:w="656" w:type="dxa"/>
                  <w:vAlign w:val="center"/>
                </w:tcPr>
                <w:p>
                  <w:pPr>
                    <w:pStyle w:val="82"/>
                    <w:rPr>
                      <w:color w:val="000000"/>
                    </w:rPr>
                  </w:pPr>
                  <w:r>
                    <w:rPr>
                      <w:rFonts w:hint="eastAsia"/>
                      <w:color w:val="000000"/>
                    </w:rPr>
                    <w:t>54</w:t>
                  </w:r>
                </w:p>
              </w:tc>
              <w:tc>
                <w:tcPr>
                  <w:tcW w:w="656" w:type="dxa"/>
                  <w:vAlign w:val="center"/>
                </w:tcPr>
                <w:p>
                  <w:pPr>
                    <w:pStyle w:val="82"/>
                    <w:rPr>
                      <w:color w:val="000000"/>
                    </w:rPr>
                  </w:pPr>
                  <w:r>
                    <w:rPr>
                      <w:rFonts w:hint="eastAsia"/>
                      <w:color w:val="000000"/>
                    </w:rPr>
                    <w:t>46</w:t>
                  </w:r>
                </w:p>
              </w:tc>
              <w:tc>
                <w:tcPr>
                  <w:tcW w:w="673" w:type="dxa"/>
                  <w:vAlign w:val="center"/>
                </w:tcPr>
                <w:p>
                  <w:pPr>
                    <w:pStyle w:val="82"/>
                    <w:rPr>
                      <w:color w:val="000000"/>
                    </w:rPr>
                  </w:pPr>
                  <w:r>
                    <w:rPr>
                      <w:rFonts w:hint="eastAsia"/>
                      <w:color w:val="000000"/>
                    </w:rPr>
                    <w:t>45</w:t>
                  </w:r>
                </w:p>
              </w:tc>
              <w:tc>
                <w:tcPr>
                  <w:tcW w:w="642" w:type="dxa"/>
                  <w:vAlign w:val="center"/>
                </w:tcPr>
                <w:p>
                  <w:pPr>
                    <w:pStyle w:val="82"/>
                    <w:rPr>
                      <w:color w:val="000000"/>
                    </w:rPr>
                  </w:pPr>
                  <w:r>
                    <w:rPr>
                      <w:rFonts w:hint="eastAsia"/>
                      <w:color w:val="000000"/>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35" w:type="dxa"/>
                  <w:vAlign w:val="center"/>
                </w:tcPr>
                <w:p>
                  <w:pPr>
                    <w:pStyle w:val="82"/>
                    <w:rPr>
                      <w:color w:val="000000"/>
                    </w:rPr>
                  </w:pPr>
                  <w:r>
                    <w:rPr>
                      <w:color w:val="000000"/>
                    </w:rPr>
                    <w:t>设置拦挡设施噪声贡献值dB(A)</w:t>
                  </w:r>
                </w:p>
              </w:tc>
              <w:tc>
                <w:tcPr>
                  <w:tcW w:w="655" w:type="dxa"/>
                  <w:vAlign w:val="center"/>
                </w:tcPr>
                <w:p>
                  <w:pPr>
                    <w:pStyle w:val="82"/>
                    <w:rPr>
                      <w:color w:val="000000"/>
                    </w:rPr>
                  </w:pPr>
                  <w:r>
                    <w:rPr>
                      <w:rFonts w:hint="eastAsia"/>
                      <w:color w:val="000000"/>
                    </w:rPr>
                    <w:t>64</w:t>
                  </w:r>
                </w:p>
              </w:tc>
              <w:tc>
                <w:tcPr>
                  <w:tcW w:w="656" w:type="dxa"/>
                  <w:vAlign w:val="center"/>
                </w:tcPr>
                <w:p>
                  <w:pPr>
                    <w:pStyle w:val="82"/>
                    <w:rPr>
                      <w:color w:val="000000"/>
                    </w:rPr>
                  </w:pPr>
                  <w:r>
                    <w:rPr>
                      <w:color w:val="000000"/>
                    </w:rPr>
                    <w:t>56</w:t>
                  </w:r>
                </w:p>
              </w:tc>
              <w:tc>
                <w:tcPr>
                  <w:tcW w:w="656" w:type="dxa"/>
                  <w:vAlign w:val="center"/>
                </w:tcPr>
                <w:p>
                  <w:pPr>
                    <w:pStyle w:val="82"/>
                    <w:rPr>
                      <w:color w:val="000000"/>
                    </w:rPr>
                  </w:pPr>
                  <w:r>
                    <w:rPr>
                      <w:color w:val="000000"/>
                    </w:rPr>
                    <w:t>54</w:t>
                  </w:r>
                </w:p>
              </w:tc>
              <w:tc>
                <w:tcPr>
                  <w:tcW w:w="656" w:type="dxa"/>
                  <w:vAlign w:val="center"/>
                </w:tcPr>
                <w:p>
                  <w:pPr>
                    <w:pStyle w:val="82"/>
                    <w:rPr>
                      <w:color w:val="000000"/>
                    </w:rPr>
                  </w:pPr>
                  <w:r>
                    <w:rPr>
                      <w:color w:val="000000"/>
                    </w:rPr>
                    <w:t>49</w:t>
                  </w:r>
                </w:p>
              </w:tc>
              <w:tc>
                <w:tcPr>
                  <w:tcW w:w="656" w:type="dxa"/>
                  <w:vAlign w:val="center"/>
                </w:tcPr>
                <w:p>
                  <w:pPr>
                    <w:pStyle w:val="82"/>
                    <w:rPr>
                      <w:color w:val="000000"/>
                    </w:rPr>
                  </w:pPr>
                  <w:r>
                    <w:rPr>
                      <w:color w:val="000000"/>
                    </w:rPr>
                    <w:t>41</w:t>
                  </w:r>
                </w:p>
              </w:tc>
              <w:tc>
                <w:tcPr>
                  <w:tcW w:w="673" w:type="dxa"/>
                  <w:vAlign w:val="center"/>
                </w:tcPr>
                <w:p>
                  <w:pPr>
                    <w:pStyle w:val="82"/>
                    <w:rPr>
                      <w:color w:val="000000"/>
                    </w:rPr>
                  </w:pPr>
                  <w:r>
                    <w:rPr>
                      <w:color w:val="000000"/>
                    </w:rPr>
                    <w:t>40</w:t>
                  </w:r>
                </w:p>
              </w:tc>
              <w:tc>
                <w:tcPr>
                  <w:tcW w:w="642" w:type="dxa"/>
                  <w:vAlign w:val="center"/>
                </w:tcPr>
                <w:p>
                  <w:pPr>
                    <w:pStyle w:val="82"/>
                    <w:rPr>
                      <w:color w:val="000000"/>
                    </w:rPr>
                  </w:pPr>
                  <w:r>
                    <w:rPr>
                      <w:color w:val="000000"/>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35" w:type="dxa"/>
                  <w:vAlign w:val="center"/>
                </w:tcPr>
                <w:p>
                  <w:pPr>
                    <w:pStyle w:val="82"/>
                    <w:rPr>
                      <w:color w:val="000000"/>
                    </w:rPr>
                  </w:pPr>
                  <w:r>
                    <w:rPr>
                      <w:color w:val="000000"/>
                    </w:rPr>
                    <w:t>施工场界噪声标准dB(A)</w:t>
                  </w:r>
                </w:p>
              </w:tc>
              <w:tc>
                <w:tcPr>
                  <w:tcW w:w="4594" w:type="dxa"/>
                  <w:gridSpan w:val="7"/>
                  <w:vAlign w:val="center"/>
                </w:tcPr>
                <w:p>
                  <w:pPr>
                    <w:pStyle w:val="82"/>
                    <w:rPr>
                      <w:color w:val="000000"/>
                    </w:rPr>
                  </w:pPr>
                  <w:r>
                    <w:rPr>
                      <w:color w:val="000000"/>
                    </w:rPr>
                    <w:t>昼间70，夜间55</w:t>
                  </w:r>
                </w:p>
              </w:tc>
            </w:tr>
          </w:tbl>
          <w:p>
            <w:pPr>
              <w:pStyle w:val="18"/>
              <w:ind w:firstLine="420"/>
              <w:rPr>
                <w:rFonts w:eastAsia="宋体"/>
                <w:color w:val="000000"/>
              </w:rPr>
            </w:pPr>
            <w:r>
              <w:rPr>
                <w:rFonts w:eastAsia="宋体"/>
                <w:color w:val="000000"/>
              </w:rPr>
              <w:t>注：按最不利情况假设施工设备距场界5m；</w:t>
            </w:r>
            <w:r>
              <w:rPr>
                <w:rFonts w:hint="eastAsia" w:eastAsia="宋体"/>
                <w:color w:val="000000"/>
              </w:rPr>
              <w:t>拦挡</w:t>
            </w:r>
            <w:r>
              <w:rPr>
                <w:rFonts w:eastAsia="宋体"/>
                <w:color w:val="000000"/>
              </w:rPr>
              <w:t>措施隔声效果为5 dB（A）。</w:t>
            </w:r>
          </w:p>
          <w:p>
            <w:pPr>
              <w:pStyle w:val="11"/>
              <w:rPr>
                <w:color w:val="000000"/>
              </w:rPr>
            </w:pPr>
            <w:r>
              <w:rPr>
                <w:color w:val="000000"/>
              </w:rPr>
              <w:t>由</w:t>
            </w:r>
            <w:r>
              <w:rPr>
                <w:color w:val="000000"/>
              </w:rPr>
              <w:fldChar w:fldCharType="begin"/>
            </w:r>
            <w:r>
              <w:rPr>
                <w:color w:val="000000"/>
              </w:rPr>
              <w:instrText xml:space="preserve"> REF _Ref157204794 \h  \* MERGEFORMAT </w:instrText>
            </w:r>
            <w:r>
              <w:rPr>
                <w:color w:val="000000"/>
              </w:rPr>
              <w:fldChar w:fldCharType="separate"/>
            </w:r>
            <w:r>
              <w:rPr>
                <w:color w:val="000000"/>
              </w:rPr>
              <w:t>表 11</w:t>
            </w:r>
            <w:r>
              <w:rPr>
                <w:color w:val="000000"/>
              </w:rPr>
              <w:fldChar w:fldCharType="end"/>
            </w:r>
            <w:r>
              <w:rPr>
                <w:color w:val="000000"/>
              </w:rPr>
              <w:t>可知，</w:t>
            </w:r>
            <w:r>
              <w:rPr>
                <w:rFonts w:hint="eastAsia"/>
                <w:color w:val="000000"/>
              </w:rPr>
              <w:t>施工区设置围墙后，施工活动对场界噪声贡献值可降至64dB(A)，满足《建筑施工噪声排放标准》（GB12523-2025）中建筑施工场界环境噪声排放限值昼间70dB(A)排放限值的要求，但夜间不能满足55dB(A)排放限值的要求。因此变电站施工过程中应限制夜间施工，减少对外环境的影响。</w:t>
            </w:r>
          </w:p>
          <w:p>
            <w:pPr>
              <w:pStyle w:val="11"/>
              <w:rPr>
                <w:color w:val="000000"/>
              </w:rPr>
            </w:pPr>
            <w:r>
              <w:rPr>
                <w:rFonts w:hint="eastAsia"/>
                <w:color w:val="000000"/>
              </w:rPr>
              <w:t>在采取限制源强、优化施工作业安排、优化施工布置、设置围挡等措施后，本工程施工噪声对周边环境的影响较小，并且施工结束后噪声影响即可消失。</w:t>
            </w:r>
          </w:p>
          <w:p>
            <w:pPr>
              <w:pStyle w:val="11"/>
              <w:rPr>
                <w:color w:val="000000"/>
              </w:rPr>
            </w:pPr>
            <w:r>
              <w:rPr>
                <w:color w:val="000000"/>
              </w:rPr>
              <w:t>（2）输电线路声环境影响分析</w:t>
            </w:r>
          </w:p>
          <w:p>
            <w:pPr>
              <w:pStyle w:val="11"/>
            </w:pPr>
            <w:r>
              <w:rPr>
                <w:color w:val="000000"/>
              </w:rPr>
              <w:t>输电线路工程塔基基础施工、铁塔组立和架线活动过程中，挖掘机、牵张机、绞磨机等机械施工噪声亦可能会对线路附近的敏感点产生影响。但由于本工程</w:t>
            </w:r>
            <w:r>
              <w:rPr>
                <w:rFonts w:hint="eastAsia"/>
                <w:color w:val="000000"/>
              </w:rPr>
              <w:t>新建杆塔占地</w:t>
            </w:r>
            <w:r>
              <w:rPr>
                <w:color w:val="000000"/>
              </w:rPr>
              <w:t>面积小、开挖量小，施工时间短，单位塔基施工周期一般在2个月以内，且夜间一般不进行施工作业，对环境的影响是小范围的、短暂的，并随着施工期的结束，其对环境的影响也将随之消失，故对声环境影响较小。</w:t>
            </w:r>
          </w:p>
          <w:p>
            <w:pPr>
              <w:pStyle w:val="11"/>
              <w:numPr>
                <w:ilvl w:val="1"/>
                <w:numId w:val="20"/>
              </w:numPr>
              <w:ind w:left="987" w:firstLineChars="0"/>
              <w:rPr>
                <w:b/>
                <w:kern w:val="0"/>
                <w:szCs w:val="21"/>
              </w:rPr>
            </w:pPr>
            <w:r>
              <w:rPr>
                <w:b/>
                <w:kern w:val="0"/>
                <w:szCs w:val="21"/>
              </w:rPr>
              <w:t>施工期环境影响分析小结</w:t>
            </w:r>
          </w:p>
          <w:p>
            <w:pPr>
              <w:pStyle w:val="11"/>
              <w:rPr>
                <w:color w:val="FF0000"/>
                <w:highlight w:val="yellow"/>
              </w:rPr>
            </w:pPr>
            <w:r>
              <w:t>综上所述，本工程在施工期的环境影响是短暂的、可逆的，随着施工期的结束而消失，工程施工期对周围环境的影响可接受。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7" w:type="dxa"/>
            <w:tcMar>
              <w:left w:w="28" w:type="dxa"/>
              <w:right w:w="28" w:type="dxa"/>
            </w:tcMar>
            <w:vAlign w:val="center"/>
          </w:tcPr>
          <w:p>
            <w:pPr>
              <w:pStyle w:val="39"/>
              <w:rPr>
                <w:rFonts w:hint="eastAsia"/>
                <w:color w:val="FF0000"/>
                <w:sz w:val="21"/>
                <w:szCs w:val="21"/>
                <w:highlight w:val="yellow"/>
              </w:rPr>
            </w:pPr>
            <w:bookmarkStart w:id="648" w:name="_Toc176763858"/>
            <w:bookmarkStart w:id="649" w:name="_Toc202348366"/>
            <w:bookmarkStart w:id="650" w:name="_Toc206503788"/>
            <w:bookmarkStart w:id="651" w:name="_Toc202348513"/>
            <w:bookmarkStart w:id="652" w:name="_Toc180743646"/>
            <w:r>
              <w:t>运行期生态环境影响分析</w:t>
            </w:r>
            <w:bookmarkEnd w:id="648"/>
            <w:bookmarkEnd w:id="649"/>
            <w:bookmarkEnd w:id="650"/>
            <w:bookmarkEnd w:id="651"/>
            <w:bookmarkEnd w:id="652"/>
          </w:p>
        </w:tc>
        <w:tc>
          <w:tcPr>
            <w:tcW w:w="8528" w:type="dxa"/>
          </w:tcPr>
          <w:p>
            <w:pPr>
              <w:pStyle w:val="11"/>
              <w:numPr>
                <w:ilvl w:val="0"/>
                <w:numId w:val="21"/>
              </w:numPr>
              <w:ind w:left="845" w:firstLineChars="0"/>
              <w:rPr>
                <w:b/>
                <w:kern w:val="0"/>
                <w:szCs w:val="21"/>
              </w:rPr>
            </w:pPr>
            <w:r>
              <w:rPr>
                <w:rFonts w:hint="eastAsia"/>
                <w:b/>
                <w:kern w:val="0"/>
                <w:szCs w:val="21"/>
              </w:rPr>
              <w:t>产污</w:t>
            </w:r>
            <w:r>
              <w:rPr>
                <w:b/>
                <w:kern w:val="0"/>
                <w:szCs w:val="21"/>
              </w:rPr>
              <w:t>环节分析</w:t>
            </w:r>
          </w:p>
          <w:p>
            <w:pPr>
              <w:pStyle w:val="11"/>
            </w:pPr>
            <w:r>
              <w:t>输变电工程运行期</w:t>
            </w:r>
            <w:r>
              <w:rPr>
                <w:rFonts w:hint="eastAsia"/>
                <w:lang w:eastAsia="zh-CN"/>
              </w:rPr>
              <w:t>只</w:t>
            </w:r>
            <w:r>
              <w:t>进行电能电压的转变和电能的输送，其产生的污染影响因子主要为工频电场、工频磁场以及噪声。</w:t>
            </w:r>
            <w:r>
              <w:rPr>
                <w:color w:val="000000"/>
              </w:rPr>
              <w:t>同时变电站主变事故、检修产生的废油可能造成漏油环境风险。</w:t>
            </w:r>
            <w:r>
              <w:rPr>
                <w:rFonts w:hint="eastAsia"/>
                <w:color w:val="000000"/>
              </w:rPr>
              <w:t>变电站</w:t>
            </w:r>
            <w:r>
              <w:rPr>
                <w:color w:val="000000"/>
              </w:rPr>
              <w:t>运行期产污环节参见</w:t>
            </w:r>
            <w:r>
              <w:rPr>
                <w:color w:val="000000"/>
              </w:rPr>
              <w:fldChar w:fldCharType="begin"/>
            </w:r>
            <w:r>
              <w:rPr>
                <w:color w:val="000000"/>
              </w:rPr>
              <w:instrText xml:space="preserve"> REF _Ref176270642 \h </w:instrText>
            </w:r>
            <w:r>
              <w:rPr>
                <w:color w:val="000000"/>
              </w:rPr>
              <w:fldChar w:fldCharType="separate"/>
            </w:r>
            <w:r>
              <w:rPr>
                <w:rFonts w:hint="eastAsia"/>
              </w:rPr>
              <w:t xml:space="preserve">图 </w:t>
            </w:r>
            <w:r>
              <w:t>4</w:t>
            </w:r>
            <w:r>
              <w:rPr>
                <w:color w:val="000000"/>
              </w:rPr>
              <w:fldChar w:fldCharType="end"/>
            </w:r>
            <w:r>
              <w:rPr>
                <w:rFonts w:hint="eastAsia"/>
                <w:color w:val="000000"/>
              </w:rPr>
              <w:t>，</w:t>
            </w:r>
            <w:r>
              <w:t>架空输电线路运行期产污环节参见</w:t>
            </w:r>
            <w:r>
              <w:fldChar w:fldCharType="begin"/>
            </w:r>
            <w:r>
              <w:instrText xml:space="preserve"> REF _Ref157204921 \h  \* MERGEFORMAT </w:instrText>
            </w:r>
            <w:r>
              <w:fldChar w:fldCharType="separate"/>
            </w:r>
            <w:r>
              <w:t>图 5</w:t>
            </w:r>
            <w:r>
              <w:fldChar w:fldCharType="end"/>
            </w:r>
            <w:r>
              <w:t>。</w:t>
            </w:r>
          </w:p>
          <w:p>
            <w:pPr>
              <w:pStyle w:val="11"/>
              <w:keepNext/>
              <w:jc w:val="center"/>
            </w:pPr>
            <w:r>
              <w:rPr>
                <w:color w:val="000000"/>
              </w:rPr>
              <w:drawing>
                <wp:inline distT="0" distB="0" distL="0" distR="0">
                  <wp:extent cx="2646045" cy="2529840"/>
                  <wp:effectExtent l="0" t="0" r="1905" b="3810"/>
                  <wp:docPr id="6606006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00652" name="图片 1"/>
                          <pic:cNvPicPr>
                            <a:picLocks noChangeAspect="1" noChangeArrowheads="1"/>
                          </pic:cNvPicPr>
                        </pic:nvPicPr>
                        <pic:blipFill>
                          <a:blip r:embed="rId20">
                            <a:extLst>
                              <a:ext uri="{28A0092B-C50C-407E-A947-70E740481C1C}">
                                <a14:useLocalDpi xmlns:a14="http://schemas.microsoft.com/office/drawing/2010/main" val="0"/>
                              </a:ext>
                            </a:extLst>
                          </a:blip>
                          <a:srcRect t="7228"/>
                          <a:stretch>
                            <a:fillRect/>
                          </a:stretch>
                        </pic:blipFill>
                        <pic:spPr>
                          <a:xfrm>
                            <a:off x="0" y="0"/>
                            <a:ext cx="2646354" cy="2529840"/>
                          </a:xfrm>
                          <a:prstGeom prst="rect">
                            <a:avLst/>
                          </a:prstGeom>
                          <a:noFill/>
                          <a:ln>
                            <a:noFill/>
                          </a:ln>
                        </pic:spPr>
                      </pic:pic>
                    </a:graphicData>
                  </a:graphic>
                </wp:inline>
              </w:drawing>
            </w:r>
          </w:p>
          <w:p>
            <w:pPr>
              <w:pStyle w:val="18"/>
              <w:ind w:firstLine="420"/>
              <w:jc w:val="center"/>
            </w:pPr>
            <w:bookmarkStart w:id="653" w:name="_Ref176270642"/>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4</w:t>
            </w:r>
            <w:r>
              <w:fldChar w:fldCharType="end"/>
            </w:r>
            <w:bookmarkEnd w:id="653"/>
            <w:r>
              <w:t xml:space="preserve"> 本工程变电站运行期产污节点图</w:t>
            </w:r>
          </w:p>
          <w:p>
            <w:pPr>
              <w:pStyle w:val="11"/>
              <w:keepNext/>
              <w:ind w:firstLine="0" w:firstLineChars="0"/>
              <w:jc w:val="center"/>
            </w:pPr>
            <w:r>
              <w:drawing>
                <wp:inline distT="0" distB="0" distL="0" distR="0">
                  <wp:extent cx="4529455" cy="2392045"/>
                  <wp:effectExtent l="0" t="0" r="4445" b="8255"/>
                  <wp:docPr id="660600653" name="图片 660600653" descr="169512545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00653" name="图片 660600653" descr="16951254514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529455" cy="2392045"/>
                          </a:xfrm>
                          <a:prstGeom prst="rect">
                            <a:avLst/>
                          </a:prstGeom>
                          <a:noFill/>
                          <a:ln>
                            <a:noFill/>
                          </a:ln>
                        </pic:spPr>
                      </pic:pic>
                    </a:graphicData>
                  </a:graphic>
                </wp:inline>
              </w:drawing>
            </w:r>
          </w:p>
          <w:p>
            <w:pPr>
              <w:pStyle w:val="18"/>
              <w:ind w:firstLine="420"/>
              <w:jc w:val="center"/>
              <w:rPr>
                <w:highlight w:val="yellow"/>
              </w:rPr>
            </w:pPr>
            <w:bookmarkStart w:id="654" w:name="_Ref157204921"/>
            <w:r>
              <w:t xml:space="preserve">图 </w:t>
            </w:r>
            <w:r>
              <w:fldChar w:fldCharType="begin"/>
            </w:r>
            <w:r>
              <w:instrText xml:space="preserve"> SEQ 图 \* ARABIC </w:instrText>
            </w:r>
            <w:r>
              <w:fldChar w:fldCharType="separate"/>
            </w:r>
            <w:r>
              <w:t>5</w:t>
            </w:r>
            <w:r>
              <w:fldChar w:fldCharType="end"/>
            </w:r>
            <w:bookmarkEnd w:id="654"/>
            <w:r>
              <w:t xml:space="preserve"> 本工程架空输电线路运行期产污节点图</w:t>
            </w:r>
          </w:p>
          <w:p>
            <w:pPr>
              <w:pStyle w:val="11"/>
              <w:numPr>
                <w:ilvl w:val="0"/>
                <w:numId w:val="21"/>
              </w:numPr>
              <w:ind w:left="845" w:firstLineChars="0"/>
              <w:rPr>
                <w:b/>
                <w:kern w:val="0"/>
                <w:szCs w:val="21"/>
              </w:rPr>
            </w:pPr>
            <w:r>
              <w:rPr>
                <w:rFonts w:hint="eastAsia"/>
                <w:b/>
                <w:kern w:val="0"/>
                <w:szCs w:val="21"/>
              </w:rPr>
              <w:t>污染源分析</w:t>
            </w:r>
          </w:p>
          <w:p>
            <w:pPr>
              <w:pStyle w:val="11"/>
              <w:rPr>
                <w:color w:val="000000"/>
              </w:rPr>
            </w:pPr>
            <w:r>
              <w:rPr>
                <w:color w:val="000000"/>
              </w:rPr>
              <w:t>（1）工频电场、工频磁场</w:t>
            </w:r>
          </w:p>
          <w:p>
            <w:pPr>
              <w:pStyle w:val="11"/>
              <w:rPr>
                <w:color w:val="000000"/>
              </w:rPr>
            </w:pPr>
            <w:r>
              <w:rPr>
                <w:color w:val="000000"/>
              </w:rPr>
              <w:t>工频是指交流电力系统的发电、输电、变电与配电设备以及工业与民用交流电气设备采用的额定频率，单位Hz，我国采用50Hz。本报告工频电场、工频磁场即指50Hz频率下产生的电场和磁场。</w:t>
            </w:r>
          </w:p>
          <w:p>
            <w:pPr>
              <w:pStyle w:val="11"/>
              <w:rPr>
                <w:color w:val="000000"/>
              </w:rPr>
            </w:pPr>
            <w:r>
              <w:rPr>
                <w:color w:val="000000"/>
              </w:rPr>
              <w:t>变电站主要设备及母线线路和输电线路在运行时，电压产生工频电场，电流产生工频磁场，对环境的影响主要为工频电场、工频磁场。</w:t>
            </w:r>
          </w:p>
          <w:p>
            <w:pPr>
              <w:pStyle w:val="11"/>
              <w:rPr>
                <w:color w:val="000000"/>
              </w:rPr>
            </w:pPr>
            <w:r>
              <w:rPr>
                <w:color w:val="000000"/>
              </w:rPr>
              <w:t>（2）噪声</w:t>
            </w:r>
          </w:p>
          <w:p>
            <w:pPr>
              <w:pStyle w:val="11"/>
              <w:rPr>
                <w:color w:val="000000"/>
              </w:rPr>
            </w:pPr>
            <w:r>
              <w:rPr>
                <w:color w:val="000000"/>
              </w:rPr>
              <w:t>变电站内的变压器及其冷却风扇运行会产生连续电磁性和机械性噪声，断路器、火花及电晕放电等会产生暂态的电磁性噪声。</w:t>
            </w:r>
          </w:p>
          <w:p>
            <w:pPr>
              <w:pStyle w:val="11"/>
              <w:rPr>
                <w:color w:val="000000"/>
              </w:rPr>
            </w:pPr>
            <w:r>
              <w:rPr>
                <w:color w:val="000000"/>
              </w:rPr>
              <w:t>输电线路发生电晕时产生的噪声，可能对声环境产生影响。</w:t>
            </w:r>
          </w:p>
          <w:p>
            <w:pPr>
              <w:pStyle w:val="11"/>
              <w:rPr>
                <w:color w:val="000000"/>
              </w:rPr>
            </w:pPr>
            <w:r>
              <w:rPr>
                <w:color w:val="000000"/>
              </w:rPr>
              <w:t>（3）</w:t>
            </w:r>
            <w:r>
              <w:rPr>
                <w:rFonts w:hint="eastAsia"/>
                <w:color w:val="000000"/>
              </w:rPr>
              <w:t>废污水</w:t>
            </w:r>
          </w:p>
          <w:p>
            <w:pPr>
              <w:adjustRightInd w:val="0"/>
              <w:snapToGrid w:val="0"/>
              <w:spacing w:line="360" w:lineRule="auto"/>
              <w:ind w:firstLine="480" w:firstLineChars="200"/>
              <w:rPr>
                <w:color w:val="000000"/>
                <w:sz w:val="24"/>
              </w:rPr>
            </w:pPr>
            <w:r>
              <w:rPr>
                <w:rFonts w:hint="eastAsia"/>
                <w:color w:val="000000"/>
                <w:sz w:val="24"/>
              </w:rPr>
              <w:t>变电站为无人值守的智能化变电站，正常工况下，站内无工业废水产生，变电站内的废污水主要为巡检人员产生的少量生活污水。变电站生活污水经化粪池处理后定期清理。</w:t>
            </w:r>
          </w:p>
          <w:p>
            <w:pPr>
              <w:pStyle w:val="11"/>
              <w:rPr>
                <w:color w:val="000000"/>
              </w:rPr>
            </w:pPr>
            <w:r>
              <w:rPr>
                <w:rFonts w:hint="eastAsia"/>
                <w:color w:val="000000"/>
              </w:rPr>
              <w:t>输电线路运行期不产生废污水，不会对线路沿线水环境造成污染影响。</w:t>
            </w:r>
          </w:p>
          <w:p>
            <w:pPr>
              <w:pStyle w:val="11"/>
              <w:rPr>
                <w:color w:val="000000"/>
              </w:rPr>
            </w:pPr>
            <w:r>
              <w:rPr>
                <w:color w:val="000000"/>
              </w:rPr>
              <w:t>（4）固体废物</w:t>
            </w:r>
          </w:p>
          <w:p>
            <w:pPr>
              <w:adjustRightInd w:val="0"/>
              <w:snapToGrid w:val="0"/>
              <w:spacing w:line="360" w:lineRule="auto"/>
              <w:ind w:firstLine="480" w:firstLineChars="200"/>
              <w:rPr>
                <w:color w:val="000000"/>
                <w:sz w:val="24"/>
              </w:rPr>
            </w:pPr>
            <w:r>
              <w:rPr>
                <w:color w:val="000000"/>
                <w:sz w:val="24"/>
              </w:rPr>
              <w:t>本工程变电站运行固体废物主要为变电站检修人员产生的少量生活垃圾以及废</w:t>
            </w:r>
            <w:r>
              <w:rPr>
                <w:rFonts w:hint="eastAsia"/>
                <w:color w:val="000000"/>
                <w:sz w:val="24"/>
              </w:rPr>
              <w:t>旧</w:t>
            </w:r>
            <w:r>
              <w:rPr>
                <w:color w:val="000000"/>
                <w:sz w:val="24"/>
              </w:rPr>
              <w:t>铅酸蓄电池。</w:t>
            </w:r>
          </w:p>
          <w:p>
            <w:pPr>
              <w:autoSpaceDE w:val="0"/>
              <w:autoSpaceDN w:val="0"/>
              <w:adjustRightInd w:val="0"/>
              <w:snapToGrid w:val="0"/>
              <w:spacing w:line="360" w:lineRule="auto"/>
              <w:ind w:firstLine="480" w:firstLineChars="200"/>
              <w:rPr>
                <w:color w:val="000000"/>
                <w:sz w:val="24"/>
              </w:rPr>
            </w:pPr>
            <w:r>
              <w:rPr>
                <w:color w:val="000000"/>
                <w:sz w:val="24"/>
              </w:rPr>
              <w:t>变电站内蓄电池达到寿命周期后及时交由有资质单位处置。</w:t>
            </w:r>
          </w:p>
          <w:p>
            <w:pPr>
              <w:adjustRightInd w:val="0"/>
              <w:snapToGrid w:val="0"/>
              <w:spacing w:line="360" w:lineRule="auto"/>
              <w:ind w:firstLine="480" w:firstLineChars="200"/>
              <w:rPr>
                <w:color w:val="000000"/>
                <w:sz w:val="24"/>
              </w:rPr>
            </w:pPr>
            <w:r>
              <w:rPr>
                <w:color w:val="000000"/>
                <w:sz w:val="24"/>
              </w:rPr>
              <w:t>在输电线路运行期，定期巡线过程中，线路的检修可能产生少量固体废物，运行维护过程中产生的废弃绝缘子、生活垃圾等废物不得随意丢弃，线路运</w:t>
            </w:r>
            <w:r>
              <w:rPr>
                <w:rFonts w:hint="eastAsia"/>
                <w:color w:val="000000"/>
                <w:sz w:val="24"/>
              </w:rPr>
              <w:t>行</w:t>
            </w:r>
            <w:r>
              <w:rPr>
                <w:color w:val="000000"/>
                <w:sz w:val="24"/>
              </w:rPr>
              <w:t>维护人员应将生活垃圾带至垃圾集中收集点妥善处置，废弃绝缘子等废物回收处理</w:t>
            </w:r>
            <w:r>
              <w:rPr>
                <w:sz w:val="24"/>
              </w:rPr>
              <w:t>。</w:t>
            </w:r>
          </w:p>
          <w:p>
            <w:pPr>
              <w:pStyle w:val="11"/>
              <w:rPr>
                <w:color w:val="000000"/>
              </w:rPr>
            </w:pPr>
            <w:r>
              <w:rPr>
                <w:color w:val="000000"/>
              </w:rPr>
              <w:t>（5）</w:t>
            </w:r>
            <w:r>
              <w:rPr>
                <w:rFonts w:hint="eastAsia"/>
                <w:color w:val="000000"/>
              </w:rPr>
              <w:t>事故</w:t>
            </w:r>
            <w:r>
              <w:rPr>
                <w:color w:val="000000"/>
              </w:rPr>
              <w:t>漏油风险</w:t>
            </w:r>
          </w:p>
          <w:p>
            <w:pPr>
              <w:pStyle w:val="11"/>
            </w:pPr>
            <w:r>
              <w:rPr>
                <w:color w:val="000000"/>
              </w:rPr>
              <w:t>变电站主变压器等电气设备为了绝缘和冷却的需要，其外壳内装有变压器油，正常情况下变压器油不外排，在事故和检修过程中的失控状态下可能造成变压器油的泄漏。</w:t>
            </w:r>
          </w:p>
          <w:p>
            <w:pPr>
              <w:pStyle w:val="11"/>
              <w:numPr>
                <w:ilvl w:val="0"/>
                <w:numId w:val="21"/>
              </w:numPr>
              <w:ind w:left="845" w:firstLineChars="0"/>
              <w:rPr>
                <w:b/>
                <w:kern w:val="0"/>
                <w:szCs w:val="21"/>
              </w:rPr>
            </w:pPr>
            <w:r>
              <w:rPr>
                <w:rFonts w:hint="eastAsia"/>
                <w:b/>
                <w:kern w:val="0"/>
                <w:szCs w:val="21"/>
              </w:rPr>
              <w:t>工程环保特点</w:t>
            </w:r>
          </w:p>
          <w:p>
            <w:pPr>
              <w:pStyle w:val="11"/>
            </w:pPr>
            <w:r>
              <w:t>本工程为</w:t>
            </w:r>
            <w:r>
              <w:rPr>
                <w:rFonts w:hint="eastAsia"/>
              </w:rPr>
              <w:t>11</w:t>
            </w:r>
            <w:r>
              <w:t>0kV</w:t>
            </w:r>
            <w:r>
              <w:rPr>
                <w:color w:val="000000"/>
              </w:rPr>
              <w:t>输变电工程，</w:t>
            </w:r>
            <w:r>
              <w:rPr>
                <w:rFonts w:hint="eastAsia"/>
                <w:color w:val="000000"/>
              </w:rPr>
              <w:t>运行</w:t>
            </w:r>
            <w:r>
              <w:rPr>
                <w:color w:val="000000"/>
              </w:rPr>
              <w:t>期环境影响因子主要为工频电场、工频磁场及噪声。同时，还存在少量生活污水、固体废物、变压器</w:t>
            </w:r>
            <w:r>
              <w:rPr>
                <w:rFonts w:hint="eastAsia"/>
                <w:color w:val="000000"/>
              </w:rPr>
              <w:t>漏油</w:t>
            </w:r>
            <w:r>
              <w:rPr>
                <w:color w:val="000000"/>
              </w:rPr>
              <w:t>可能造成的环境影响</w:t>
            </w:r>
            <w:r>
              <w:t>。</w:t>
            </w:r>
          </w:p>
          <w:p>
            <w:pPr>
              <w:pStyle w:val="11"/>
              <w:numPr>
                <w:ilvl w:val="0"/>
                <w:numId w:val="21"/>
              </w:numPr>
              <w:ind w:left="845" w:firstLineChars="0"/>
              <w:rPr>
                <w:b/>
                <w:kern w:val="0"/>
                <w:szCs w:val="21"/>
              </w:rPr>
            </w:pPr>
            <w:r>
              <w:rPr>
                <w:rFonts w:hint="eastAsia"/>
                <w:b/>
                <w:kern w:val="0"/>
                <w:szCs w:val="21"/>
              </w:rPr>
              <w:t>运行期各环境要素影响分析</w:t>
            </w:r>
          </w:p>
          <w:p>
            <w:pPr>
              <w:pStyle w:val="11"/>
              <w:numPr>
                <w:ilvl w:val="1"/>
                <w:numId w:val="21"/>
              </w:numPr>
              <w:ind w:left="987" w:firstLineChars="0"/>
              <w:rPr>
                <w:b/>
                <w:kern w:val="0"/>
                <w:szCs w:val="21"/>
              </w:rPr>
            </w:pPr>
            <w:r>
              <w:rPr>
                <w:b/>
                <w:kern w:val="0"/>
                <w:szCs w:val="21"/>
              </w:rPr>
              <w:t>运行期生态环境影响分析</w:t>
            </w:r>
          </w:p>
          <w:p>
            <w:pPr>
              <w:pStyle w:val="11"/>
            </w:pPr>
            <w:r>
              <w:rPr>
                <w:color w:val="000000"/>
              </w:rPr>
              <w:t>本工程进入运行期后，变电站运行维护活动</w:t>
            </w:r>
            <w:r>
              <w:rPr>
                <w:rFonts w:hint="eastAsia"/>
                <w:color w:val="000000"/>
              </w:rPr>
              <w:t>主要</w:t>
            </w:r>
            <w:r>
              <w:rPr>
                <w:color w:val="000000"/>
              </w:rPr>
              <w:t>在站内，不影响变电站周边生态环境。输电线路巡检基本沿已有的道路进行，</w:t>
            </w:r>
            <w:r>
              <w:rPr>
                <w:rFonts w:hint="eastAsia"/>
                <w:color w:val="000000"/>
              </w:rPr>
              <w:t>对</w:t>
            </w:r>
            <w:r>
              <w:rPr>
                <w:color w:val="000000"/>
              </w:rPr>
              <w:t>周边生态环境影响较小。</w:t>
            </w:r>
          </w:p>
          <w:p>
            <w:pPr>
              <w:pStyle w:val="11"/>
              <w:numPr>
                <w:ilvl w:val="1"/>
                <w:numId w:val="21"/>
              </w:numPr>
              <w:ind w:left="987" w:firstLineChars="0"/>
              <w:rPr>
                <w:b/>
                <w:kern w:val="0"/>
                <w:szCs w:val="21"/>
              </w:rPr>
            </w:pPr>
            <w:r>
              <w:rPr>
                <w:b/>
                <w:kern w:val="0"/>
                <w:szCs w:val="21"/>
              </w:rPr>
              <w:t>运行期电磁环境影响分析及评价</w:t>
            </w:r>
          </w:p>
          <w:p>
            <w:pPr>
              <w:pStyle w:val="11"/>
              <w:rPr>
                <w:kern w:val="0"/>
                <w:szCs w:val="21"/>
              </w:rPr>
            </w:pPr>
            <w:r>
              <w:rPr>
                <w:rFonts w:hint="eastAsia"/>
                <w:kern w:val="0"/>
                <w:szCs w:val="21"/>
              </w:rPr>
              <w:t>本工程电磁环境影响分析内容详见电磁环境影响专题评价，结论如下：</w:t>
            </w:r>
          </w:p>
          <w:p>
            <w:pPr>
              <w:pStyle w:val="11"/>
              <w:numPr>
                <w:ilvl w:val="2"/>
                <w:numId w:val="21"/>
              </w:numPr>
              <w:ind w:left="1129" w:firstLineChars="0"/>
              <w:rPr>
                <w:b/>
                <w:kern w:val="0"/>
                <w:szCs w:val="21"/>
              </w:rPr>
            </w:pPr>
            <w:r>
              <w:rPr>
                <w:rFonts w:hint="eastAsia"/>
                <w:b/>
                <w:kern w:val="0"/>
                <w:szCs w:val="21"/>
              </w:rPr>
              <w:t>东环110千伏变电站新建工程</w:t>
            </w:r>
          </w:p>
          <w:p>
            <w:pPr>
              <w:pStyle w:val="11"/>
              <w:rPr>
                <w:color w:val="000000" w:themeColor="text1"/>
                <w14:textFill>
                  <w14:solidFill>
                    <w14:schemeClr w14:val="tx1"/>
                  </w14:solidFill>
                </w14:textFill>
              </w:rPr>
            </w:pPr>
            <w:r>
              <w:rPr>
                <w:rFonts w:hint="eastAsia"/>
                <w:szCs w:val="24"/>
              </w:rPr>
              <w:t>本工程</w:t>
            </w:r>
            <w:r>
              <w:rPr>
                <w:szCs w:val="24"/>
              </w:rPr>
              <w:t>选用</w:t>
            </w:r>
            <w:r>
              <w:rPr>
                <w:rFonts w:hint="eastAsia"/>
                <w:szCs w:val="24"/>
              </w:rPr>
              <w:t>水磨沟</w:t>
            </w:r>
            <w:r>
              <w:rPr>
                <w:szCs w:val="24"/>
              </w:rPr>
              <w:t>110</w:t>
            </w:r>
            <w:r>
              <w:rPr>
                <w:rFonts w:hint="eastAsia"/>
                <w:szCs w:val="24"/>
              </w:rPr>
              <w:t>kV</w:t>
            </w:r>
            <w:r>
              <w:rPr>
                <w:szCs w:val="24"/>
              </w:rPr>
              <w:t>变电站作为</w:t>
            </w:r>
            <w:r>
              <w:rPr>
                <w:rFonts w:hint="eastAsia"/>
                <w:szCs w:val="24"/>
              </w:rPr>
              <w:t>东环</w:t>
            </w:r>
            <w:r>
              <w:rPr>
                <w:szCs w:val="24"/>
              </w:rPr>
              <w:t>110</w:t>
            </w:r>
            <w:r>
              <w:rPr>
                <w:rFonts w:hint="eastAsia"/>
                <w:szCs w:val="24"/>
              </w:rPr>
              <w:t>kV</w:t>
            </w:r>
            <w:r>
              <w:rPr>
                <w:szCs w:val="24"/>
              </w:rPr>
              <w:t>变电站的类比</w:t>
            </w:r>
            <w:r>
              <w:rPr>
                <w:rFonts w:hint="eastAsia"/>
                <w:szCs w:val="24"/>
              </w:rPr>
              <w:t>对象</w:t>
            </w:r>
            <w:r>
              <w:rPr>
                <w:szCs w:val="24"/>
              </w:rPr>
              <w:t>。由类比</w:t>
            </w:r>
            <w:r>
              <w:rPr>
                <w:rFonts w:hint="eastAsia"/>
                <w:szCs w:val="24"/>
              </w:rPr>
              <w:t>可行性</w:t>
            </w:r>
            <w:r>
              <w:rPr>
                <w:szCs w:val="24"/>
              </w:rPr>
              <w:t>分析可知，</w:t>
            </w:r>
            <w:r>
              <w:rPr>
                <w:rFonts w:hint="eastAsia"/>
                <w:szCs w:val="24"/>
              </w:rPr>
              <w:t>水磨沟</w:t>
            </w:r>
            <w:r>
              <w:rPr>
                <w:szCs w:val="24"/>
              </w:rPr>
              <w:t>110</w:t>
            </w:r>
            <w:r>
              <w:rPr>
                <w:rFonts w:hint="eastAsia"/>
                <w:szCs w:val="24"/>
              </w:rPr>
              <w:t>kV</w:t>
            </w:r>
            <w:r>
              <w:rPr>
                <w:szCs w:val="24"/>
              </w:rPr>
              <w:t>变电站运行期产生的工频电场、工频磁场水平能够反映</w:t>
            </w:r>
            <w:r>
              <w:rPr>
                <w:rFonts w:hint="eastAsia"/>
                <w:szCs w:val="24"/>
              </w:rPr>
              <w:t>东环110kV变</w:t>
            </w:r>
            <w:r>
              <w:rPr>
                <w:szCs w:val="24"/>
              </w:rPr>
              <w:t>电站</w:t>
            </w:r>
            <w:r>
              <w:rPr>
                <w:rFonts w:hint="eastAsia"/>
                <w:szCs w:val="24"/>
              </w:rPr>
              <w:t>本期投运</w:t>
            </w:r>
            <w:r>
              <w:rPr>
                <w:szCs w:val="24"/>
              </w:rPr>
              <w:t>后产生的工频电场、工频磁场。由类比监测结果可知，类比监测的</w:t>
            </w:r>
            <w:r>
              <w:rPr>
                <w:rFonts w:hint="eastAsia"/>
                <w:szCs w:val="24"/>
              </w:rPr>
              <w:t>水磨沟</w:t>
            </w:r>
            <w:r>
              <w:rPr>
                <w:szCs w:val="24"/>
              </w:rPr>
              <w:t>110</w:t>
            </w:r>
            <w:r>
              <w:rPr>
                <w:rFonts w:hint="eastAsia"/>
                <w:szCs w:val="24"/>
              </w:rPr>
              <w:t>kV</w:t>
            </w:r>
            <w:r>
              <w:rPr>
                <w:szCs w:val="24"/>
              </w:rPr>
              <w:t>变电站厂界的工频电场、工频磁感应强度能够满足相应环境标准的限值要求。因此，可以预测</w:t>
            </w:r>
            <w:r>
              <w:rPr>
                <w:rFonts w:hint="eastAsia"/>
                <w:szCs w:val="24"/>
              </w:rPr>
              <w:t>东环110kV变</w:t>
            </w:r>
            <w:r>
              <w:rPr>
                <w:szCs w:val="24"/>
              </w:rPr>
              <w:t>电站本期</w:t>
            </w:r>
            <w:r>
              <w:rPr>
                <w:rFonts w:hint="eastAsia"/>
                <w:szCs w:val="24"/>
              </w:rPr>
              <w:t>投运</w:t>
            </w:r>
            <w:r>
              <w:rPr>
                <w:szCs w:val="24"/>
              </w:rPr>
              <w:t>后厂界的工频电场、工频磁感应强度水平也能够满足4000V/m和100μT的公众曝露限值要求。</w:t>
            </w:r>
            <w:r>
              <w:rPr>
                <w:rFonts w:hint="eastAsia"/>
                <w:szCs w:val="24"/>
              </w:rPr>
              <w:t>东环</w:t>
            </w:r>
            <w:r>
              <w:rPr>
                <w:szCs w:val="24"/>
              </w:rPr>
              <w:t>110</w:t>
            </w:r>
            <w:r>
              <w:rPr>
                <w:rFonts w:hint="eastAsia"/>
                <w:szCs w:val="24"/>
              </w:rPr>
              <w:t>kV</w:t>
            </w:r>
            <w:r>
              <w:rPr>
                <w:szCs w:val="24"/>
              </w:rPr>
              <w:t>变电站</w:t>
            </w:r>
            <w:r>
              <w:rPr>
                <w:rFonts w:hint="eastAsia"/>
                <w:szCs w:val="24"/>
              </w:rPr>
              <w:t>电磁环境影响评价范围内无电磁环境敏感目标</w:t>
            </w:r>
            <w:r>
              <w:rPr>
                <w:rFonts w:hint="eastAsia"/>
              </w:rPr>
              <w:t>。</w:t>
            </w:r>
          </w:p>
          <w:p>
            <w:pPr>
              <w:pStyle w:val="11"/>
              <w:numPr>
                <w:ilvl w:val="2"/>
                <w:numId w:val="21"/>
              </w:numPr>
              <w:ind w:left="1129" w:firstLineChars="0"/>
              <w:rPr>
                <w:b/>
                <w:kern w:val="0"/>
                <w:szCs w:val="21"/>
              </w:rPr>
            </w:pPr>
            <w:r>
              <w:rPr>
                <w:rFonts w:hint="eastAsia"/>
                <w:b/>
                <w:color w:val="000000"/>
              </w:rPr>
              <w:t>新建11</w:t>
            </w:r>
            <w:r>
              <w:rPr>
                <w:b/>
                <w:color w:val="000000"/>
              </w:rPr>
              <w:t>0kV输电</w:t>
            </w:r>
            <w:r>
              <w:rPr>
                <w:rFonts w:hint="eastAsia"/>
                <w:b/>
                <w:color w:val="000000"/>
              </w:rPr>
              <w:t>线路工程</w:t>
            </w:r>
          </w:p>
          <w:p>
            <w:pPr>
              <w:spacing w:line="360" w:lineRule="auto"/>
              <w:ind w:firstLine="480" w:firstLineChars="200"/>
              <w:rPr>
                <w:color w:val="000000"/>
                <w:sz w:val="24"/>
              </w:rPr>
            </w:pPr>
            <w:r>
              <w:rPr>
                <w:rFonts w:hint="eastAsia"/>
                <w:color w:val="000000"/>
                <w:sz w:val="24"/>
              </w:rPr>
              <w:t>（1）110kV单回线路架设段</w:t>
            </w:r>
          </w:p>
          <w:p>
            <w:pPr>
              <w:spacing w:line="360" w:lineRule="auto"/>
              <w:ind w:firstLine="480" w:firstLineChars="200"/>
              <w:rPr>
                <w:color w:val="000000"/>
                <w:sz w:val="24"/>
              </w:rPr>
            </w:pPr>
            <w:r>
              <w:rPr>
                <w:rFonts w:hint="eastAsia"/>
                <w:color w:val="000000"/>
                <w:sz w:val="24"/>
              </w:rPr>
              <w:t>①</w:t>
            </w:r>
            <w:r>
              <w:rPr>
                <w:color w:val="000000"/>
                <w:sz w:val="24"/>
              </w:rPr>
              <w:t>工频电场</w:t>
            </w:r>
          </w:p>
          <w:p>
            <w:pPr>
              <w:spacing w:line="360" w:lineRule="auto"/>
              <w:ind w:firstLine="480" w:firstLineChars="200"/>
              <w:rPr>
                <w:color w:val="000000"/>
                <w:sz w:val="24"/>
              </w:rPr>
            </w:pPr>
            <w:r>
              <w:rPr>
                <w:color w:val="000000"/>
                <w:sz w:val="24"/>
              </w:rPr>
              <w:t>本工程110kV单回线路经过非居民区，导线对地最小距离为6m，线下距离地面1.5m高度处的工频电场强度最大值为2.67kV/m，满足《电磁环境控制限值》（GB8702-2014）中10kV/m的控制限值。</w:t>
            </w:r>
          </w:p>
          <w:p>
            <w:pPr>
              <w:spacing w:line="360" w:lineRule="auto"/>
              <w:ind w:firstLine="480" w:firstLineChars="200"/>
              <w:rPr>
                <w:color w:val="000000"/>
                <w:sz w:val="24"/>
              </w:rPr>
            </w:pPr>
            <w:r>
              <w:rPr>
                <w:color w:val="000000"/>
                <w:sz w:val="24"/>
              </w:rPr>
              <w:t>本工程110kV单回线路经过居民区，导线对地最小距离为7m，边导线2m外、线下距离地面1.5m、4.5m高度处的工频电场强度最大值分别为1.97kV/m、3.02kV/m，均满足《电磁环境控制限值》（GB8702-2014）中4000V/m的公众曝露控制限值。</w:t>
            </w:r>
          </w:p>
          <w:p>
            <w:pPr>
              <w:spacing w:line="360" w:lineRule="auto"/>
              <w:ind w:firstLine="480" w:firstLineChars="200"/>
              <w:rPr>
                <w:color w:val="000000"/>
                <w:sz w:val="24"/>
              </w:rPr>
            </w:pPr>
            <w:r>
              <w:rPr>
                <w:rFonts w:hint="eastAsia"/>
                <w:color w:val="000000"/>
                <w:sz w:val="24"/>
              </w:rPr>
              <w:t>②</w:t>
            </w:r>
            <w:r>
              <w:rPr>
                <w:color w:val="000000"/>
                <w:sz w:val="24"/>
              </w:rPr>
              <w:t>工频磁场</w:t>
            </w:r>
          </w:p>
          <w:p>
            <w:pPr>
              <w:spacing w:line="360" w:lineRule="auto"/>
              <w:ind w:firstLine="480" w:firstLineChars="200"/>
              <w:rPr>
                <w:color w:val="000000"/>
                <w:sz w:val="24"/>
              </w:rPr>
            </w:pPr>
            <w:r>
              <w:rPr>
                <w:color w:val="000000"/>
                <w:sz w:val="24"/>
              </w:rPr>
              <w:t>本工程110kV单回线路经过非居民区，导线对地最小距离为6m，线下距离地面1.5m高度处的工频磁感应强度最大值为29.10μT，满足《电磁环境控制限值》（GB8702-2014）中100μT的控制限值。</w:t>
            </w:r>
          </w:p>
          <w:p>
            <w:pPr>
              <w:spacing w:line="360" w:lineRule="auto"/>
              <w:ind w:firstLine="480" w:firstLineChars="200"/>
              <w:rPr>
                <w:color w:val="000000"/>
                <w:sz w:val="24"/>
              </w:rPr>
            </w:pPr>
            <w:r>
              <w:rPr>
                <w:color w:val="000000"/>
                <w:sz w:val="24"/>
              </w:rPr>
              <w:t>本工程110kV单回线路经过居民区，导线对地最小距离为7m，边导线2m外、线下距离地面1.5m、4.5m高度处的工频磁感应强度最大值分别为15.79μT、</w:t>
            </w:r>
            <w:r>
              <w:rPr>
                <w:rFonts w:hint="eastAsia"/>
                <w:color w:val="000000"/>
                <w:sz w:val="24"/>
              </w:rPr>
              <w:t>3</w:t>
            </w:r>
            <w:r>
              <w:rPr>
                <w:color w:val="000000"/>
                <w:sz w:val="24"/>
              </w:rPr>
              <w:t>0.99μT，均满足《电磁环境控制限值》（GB8702-2014）中100μT的公众曝露控制限值</w:t>
            </w:r>
            <w:r>
              <w:rPr>
                <w:rFonts w:hint="eastAsia"/>
                <w:color w:val="000000"/>
                <w:sz w:val="24"/>
              </w:rPr>
              <w:t>。</w:t>
            </w:r>
          </w:p>
          <w:p>
            <w:pPr>
              <w:spacing w:line="360" w:lineRule="auto"/>
              <w:ind w:firstLine="480" w:firstLineChars="200"/>
              <w:rPr>
                <w:color w:val="000000"/>
                <w:sz w:val="24"/>
              </w:rPr>
            </w:pPr>
            <w:r>
              <w:rPr>
                <w:rFonts w:hint="eastAsia"/>
                <w:color w:val="000000"/>
                <w:sz w:val="24"/>
              </w:rPr>
              <w:t>（2）110kV同塔双回线路架设段</w:t>
            </w:r>
          </w:p>
          <w:p>
            <w:pPr>
              <w:spacing w:line="360" w:lineRule="auto"/>
              <w:ind w:firstLine="480" w:firstLineChars="200"/>
              <w:rPr>
                <w:color w:val="000000"/>
                <w:sz w:val="24"/>
              </w:rPr>
            </w:pPr>
            <w:r>
              <w:rPr>
                <w:rFonts w:hint="eastAsia"/>
                <w:color w:val="000000"/>
                <w:sz w:val="24"/>
              </w:rPr>
              <w:t>①</w:t>
            </w:r>
            <w:r>
              <w:rPr>
                <w:color w:val="000000"/>
                <w:sz w:val="24"/>
              </w:rPr>
              <w:t>工频电场</w:t>
            </w:r>
          </w:p>
          <w:p>
            <w:pPr>
              <w:spacing w:line="360" w:lineRule="auto"/>
              <w:ind w:firstLine="480" w:firstLineChars="200"/>
              <w:rPr>
                <w:color w:val="000000"/>
                <w:sz w:val="24"/>
              </w:rPr>
            </w:pPr>
            <w:r>
              <w:rPr>
                <w:color w:val="000000"/>
                <w:sz w:val="24"/>
              </w:rPr>
              <w:t>本工程110kV单回线路经过非居民区，导线对地最小距离为6m，线下距离地面1.5m高度处的工频电场强度最大值为2.97kV/m，满足《电磁环境控制限值》（GB8702-2014）中10kV/m的控制限值。</w:t>
            </w:r>
          </w:p>
          <w:p>
            <w:pPr>
              <w:spacing w:line="360" w:lineRule="auto"/>
              <w:ind w:firstLine="480" w:firstLineChars="200"/>
              <w:rPr>
                <w:color w:val="000000"/>
                <w:sz w:val="24"/>
              </w:rPr>
            </w:pPr>
            <w:r>
              <w:rPr>
                <w:rFonts w:hint="eastAsia"/>
                <w:color w:val="000000"/>
                <w:sz w:val="24"/>
              </w:rPr>
              <w:t>②</w:t>
            </w:r>
            <w:r>
              <w:rPr>
                <w:color w:val="000000"/>
                <w:sz w:val="24"/>
              </w:rPr>
              <w:t>工频磁场</w:t>
            </w:r>
          </w:p>
          <w:p>
            <w:pPr>
              <w:pStyle w:val="11"/>
              <w:rPr>
                <w:color w:val="000000" w:themeColor="text1"/>
                <w14:textFill>
                  <w14:solidFill>
                    <w14:schemeClr w14:val="tx1"/>
                  </w14:solidFill>
                </w14:textFill>
              </w:rPr>
            </w:pPr>
            <w:r>
              <w:rPr>
                <w:color w:val="000000"/>
              </w:rPr>
              <w:t>本工程110kV单回线路经过非居民区，导线对地最小距离为6m，线下距离地面1.5m高度处的工频磁感应强度最大值为21.95μT，满足《电磁环境控制限值》（GB8702-2014）中100μT的控制限值</w:t>
            </w:r>
            <w:r>
              <w:rPr>
                <w:color w:val="000000" w:themeColor="text1"/>
                <w14:textFill>
                  <w14:solidFill>
                    <w14:schemeClr w14:val="tx1"/>
                  </w14:solidFill>
                </w14:textFill>
              </w:rPr>
              <w:t>。</w:t>
            </w:r>
          </w:p>
          <w:p>
            <w:pPr>
              <w:pStyle w:val="11"/>
              <w:rPr>
                <w:color w:val="000000"/>
              </w:rPr>
            </w:pPr>
            <w:r>
              <w:rPr>
                <w:rFonts w:hint="eastAsia"/>
                <w:color w:val="000000"/>
              </w:rPr>
              <w:t>（3）电磁环境敏感目标</w:t>
            </w:r>
          </w:p>
          <w:p>
            <w:pPr>
              <w:pStyle w:val="11"/>
            </w:pPr>
            <w:r>
              <w:rPr>
                <w:rFonts w:hint="eastAsia"/>
                <w:color w:val="000000"/>
              </w:rPr>
              <w:t>本工程拟建1</w:t>
            </w:r>
            <w:r>
              <w:rPr>
                <w:color w:val="000000"/>
              </w:rPr>
              <w:t>10kV单回</w:t>
            </w:r>
            <w:r>
              <w:rPr>
                <w:rFonts w:hint="eastAsia"/>
                <w:color w:val="000000"/>
              </w:rPr>
              <w:t>输电线路评价范围内</w:t>
            </w:r>
            <w:r>
              <w:rPr>
                <w:rFonts w:hint="eastAsia"/>
                <w:color w:val="000000" w:themeColor="text1"/>
                <w14:textFill>
                  <w14:solidFill>
                    <w14:schemeClr w14:val="tx1"/>
                  </w14:solidFill>
                </w14:textFill>
              </w:rPr>
              <w:t>电磁环境敏感目标处</w:t>
            </w:r>
            <w:r>
              <w:rPr>
                <w:rFonts w:hint="eastAsia"/>
                <w:color w:val="000000"/>
              </w:rPr>
              <w:t>工频电场强度为0</w:t>
            </w:r>
            <w:r>
              <w:rPr>
                <w:color w:val="000000"/>
              </w:rPr>
              <w:t>.59~</w:t>
            </w:r>
            <w:r>
              <w:rPr>
                <w:rFonts w:hint="eastAsia"/>
                <w:color w:val="000000"/>
              </w:rPr>
              <w:t>0</w:t>
            </w:r>
            <w:r>
              <w:rPr>
                <w:color w:val="000000"/>
              </w:rPr>
              <w:t>.62</w:t>
            </w:r>
            <w:r>
              <w:rPr>
                <w:rFonts w:hint="eastAsia"/>
                <w:color w:val="000000"/>
              </w:rPr>
              <w:t>kV/m，工频磁感应强度为</w:t>
            </w:r>
            <w:r>
              <w:rPr>
                <w:color w:val="000000"/>
              </w:rPr>
              <w:t>5.21~5.91</w:t>
            </w:r>
            <w:r>
              <w:rPr>
                <w:bCs/>
                <w:szCs w:val="21"/>
              </w:rPr>
              <w:t>μT</w:t>
            </w:r>
            <w:r>
              <w:rPr>
                <w:rFonts w:hint="eastAsia"/>
                <w:bCs/>
                <w:szCs w:val="21"/>
              </w:rPr>
              <w:t>，</w:t>
            </w:r>
            <w:r>
              <w:rPr>
                <w:rFonts w:hint="eastAsia"/>
                <w:color w:val="000000" w:themeColor="text1"/>
                <w14:textFill>
                  <w14:solidFill>
                    <w14:schemeClr w14:val="tx1"/>
                  </w14:solidFill>
                </w14:textFill>
              </w:rPr>
              <w:t>工频电场强度、工频磁感应强度均满足《电磁环境控制限值》（</w:t>
            </w:r>
            <w:r>
              <w:rPr>
                <w:color w:val="000000" w:themeColor="text1"/>
                <w14:textFill>
                  <w14:solidFill>
                    <w14:schemeClr w14:val="tx1"/>
                  </w14:solidFill>
                </w14:textFill>
              </w:rPr>
              <w:t>GB8702-2014</w:t>
            </w:r>
            <w:r>
              <w:rPr>
                <w:rFonts w:hint="eastAsia"/>
                <w:color w:val="000000" w:themeColor="text1"/>
                <w14:textFill>
                  <w14:solidFill>
                    <w14:schemeClr w14:val="tx1"/>
                  </w14:solidFill>
                </w14:textFill>
              </w:rPr>
              <w:t>）中</w:t>
            </w:r>
            <w:r>
              <w:rPr>
                <w:color w:val="000000" w:themeColor="text1"/>
                <w14:textFill>
                  <w14:solidFill>
                    <w14:schemeClr w14:val="tx1"/>
                  </w14:solidFill>
                </w14:textFill>
              </w:rPr>
              <w:t>4000V/m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100μT</w:t>
            </w:r>
            <w:r>
              <w:rPr>
                <w:rFonts w:hint="eastAsia"/>
                <w:color w:val="000000" w:themeColor="text1"/>
                <w14:textFill>
                  <w14:solidFill>
                    <w14:schemeClr w14:val="tx1"/>
                  </w14:solidFill>
                </w14:textFill>
              </w:rPr>
              <w:t>的标准限值。</w:t>
            </w:r>
          </w:p>
          <w:p>
            <w:pPr>
              <w:pStyle w:val="11"/>
              <w:numPr>
                <w:ilvl w:val="1"/>
                <w:numId w:val="21"/>
              </w:numPr>
              <w:ind w:left="987" w:firstLineChars="0"/>
              <w:rPr>
                <w:b/>
                <w:kern w:val="0"/>
                <w:szCs w:val="21"/>
              </w:rPr>
            </w:pPr>
            <w:r>
              <w:rPr>
                <w:b/>
                <w:kern w:val="0"/>
                <w:szCs w:val="21"/>
              </w:rPr>
              <w:t>运行期声环境影响分析</w:t>
            </w:r>
          </w:p>
          <w:p>
            <w:pPr>
              <w:pStyle w:val="11"/>
              <w:numPr>
                <w:ilvl w:val="2"/>
                <w:numId w:val="21"/>
              </w:numPr>
              <w:ind w:left="1129" w:firstLineChars="0"/>
              <w:rPr>
                <w:b/>
                <w:kern w:val="0"/>
                <w:szCs w:val="21"/>
              </w:rPr>
            </w:pPr>
            <w:r>
              <w:rPr>
                <w:b/>
                <w:kern w:val="0"/>
                <w:szCs w:val="21"/>
              </w:rPr>
              <w:t>声环境影响评价方法</w:t>
            </w:r>
          </w:p>
          <w:p>
            <w:pPr>
              <w:pStyle w:val="11"/>
              <w:rPr>
                <w:color w:val="000000"/>
              </w:rPr>
            </w:pPr>
            <w:r>
              <w:rPr>
                <w:color w:val="000000"/>
              </w:rPr>
              <w:t>（1）变电站</w:t>
            </w:r>
            <w:r>
              <w:rPr>
                <w:rFonts w:hint="eastAsia"/>
                <w:color w:val="000000"/>
              </w:rPr>
              <w:t>新建</w:t>
            </w:r>
            <w:r>
              <w:rPr>
                <w:color w:val="000000"/>
              </w:rPr>
              <w:t>工程：采用模式预测的</w:t>
            </w:r>
            <w:r>
              <w:rPr>
                <w:rFonts w:hint="eastAsia"/>
                <w:color w:val="000000"/>
              </w:rPr>
              <w:t>方式</w:t>
            </w:r>
            <w:r>
              <w:rPr>
                <w:color w:val="000000"/>
              </w:rPr>
              <w:t>评价。</w:t>
            </w:r>
          </w:p>
          <w:p>
            <w:pPr>
              <w:pStyle w:val="11"/>
            </w:pPr>
            <w:r>
              <w:rPr>
                <w:color w:val="000000"/>
              </w:rPr>
              <w:t>（2）线路工程：</w:t>
            </w:r>
            <w:r>
              <w:rPr>
                <w:rFonts w:hint="eastAsia"/>
                <w:color w:val="000000"/>
              </w:rPr>
              <w:t>11</w:t>
            </w:r>
            <w:r>
              <w:t>0</w:t>
            </w:r>
            <w:r>
              <w:rPr>
                <w:snapToGrid w:val="0"/>
                <w:color w:val="000000"/>
                <w:kern w:val="0"/>
              </w:rPr>
              <w:t>kV架空线路</w:t>
            </w:r>
            <w:r>
              <w:rPr>
                <w:color w:val="000000"/>
              </w:rPr>
              <w:t>声环境影响</w:t>
            </w:r>
            <w:r>
              <w:rPr>
                <w:rFonts w:hint="eastAsia"/>
                <w:color w:val="000000"/>
              </w:rPr>
              <w:t>采用</w:t>
            </w:r>
            <w:r>
              <w:rPr>
                <w:color w:val="000000"/>
              </w:rPr>
              <w:t>类比监测分析方式评价</w:t>
            </w:r>
            <w:r>
              <w:t>。</w:t>
            </w:r>
          </w:p>
          <w:p>
            <w:pPr>
              <w:pStyle w:val="11"/>
              <w:numPr>
                <w:ilvl w:val="2"/>
                <w:numId w:val="21"/>
              </w:numPr>
              <w:ind w:left="1129" w:firstLineChars="0"/>
              <w:rPr>
                <w:b/>
                <w:kern w:val="0"/>
                <w:szCs w:val="21"/>
              </w:rPr>
            </w:pPr>
            <w:r>
              <w:rPr>
                <w:rFonts w:hint="eastAsia"/>
                <w:b/>
                <w:kern w:val="0"/>
                <w:szCs w:val="21"/>
              </w:rPr>
              <w:t>东环110kV变电站</w:t>
            </w:r>
            <w:r>
              <w:rPr>
                <w:b/>
                <w:kern w:val="0"/>
                <w:szCs w:val="21"/>
              </w:rPr>
              <w:t>声环境影响分析</w:t>
            </w:r>
          </w:p>
          <w:p>
            <w:pPr>
              <w:pStyle w:val="11"/>
              <w:numPr>
                <w:ilvl w:val="3"/>
                <w:numId w:val="21"/>
              </w:numPr>
              <w:ind w:left="1270" w:firstLineChars="0"/>
              <w:rPr>
                <w:b/>
                <w:kern w:val="0"/>
                <w:szCs w:val="21"/>
              </w:rPr>
            </w:pPr>
            <w:r>
              <w:rPr>
                <w:rFonts w:hint="eastAsia"/>
                <w:b/>
                <w:kern w:val="0"/>
                <w:szCs w:val="21"/>
              </w:rPr>
              <w:t>预测模式</w:t>
            </w:r>
          </w:p>
          <w:p>
            <w:pPr>
              <w:pStyle w:val="11"/>
              <w:rPr>
                <w:rFonts w:hint="eastAsia" w:ascii="宋体" w:hAnsi="宋体" w:cs="宋体"/>
                <w:bCs/>
                <w:color w:val="000000" w:themeColor="text1"/>
                <w:szCs w:val="24"/>
                <w14:textFill>
                  <w14:solidFill>
                    <w14:schemeClr w14:val="tx1"/>
                  </w14:solidFill>
                </w14:textFill>
              </w:rPr>
            </w:pPr>
            <w:r>
              <w:rPr>
                <w:rFonts w:hint="eastAsia" w:ascii="宋体" w:hAnsi="宋体" w:cs="宋体"/>
                <w:bCs/>
                <w:color w:val="000000" w:themeColor="text1"/>
                <w:szCs w:val="24"/>
                <w14:textFill>
                  <w14:solidFill>
                    <w14:schemeClr w14:val="tx1"/>
                  </w14:solidFill>
                </w14:textFill>
              </w:rPr>
              <w:t>采用《环境影响评价技术导则－声环境》</w:t>
            </w:r>
            <w:r>
              <w:rPr>
                <w:bCs/>
                <w:color w:val="000000" w:themeColor="text1"/>
                <w:szCs w:val="24"/>
                <w14:textFill>
                  <w14:solidFill>
                    <w14:schemeClr w14:val="tx1"/>
                  </w14:solidFill>
                </w14:textFill>
              </w:rPr>
              <w:t>（HJ2.4-2021）</w:t>
            </w:r>
            <w:r>
              <w:rPr>
                <w:rFonts w:hint="eastAsia" w:ascii="宋体" w:hAnsi="宋体" w:cs="宋体"/>
                <w:bCs/>
                <w:color w:val="000000" w:themeColor="text1"/>
                <w:szCs w:val="24"/>
                <w14:textFill>
                  <w14:solidFill>
                    <w14:schemeClr w14:val="tx1"/>
                  </w14:solidFill>
                </w14:textFill>
              </w:rPr>
              <w:t>中的室外工业噪声预测模式。相关计算模式如下：</w:t>
            </w:r>
          </w:p>
          <w:p>
            <w:pPr>
              <w:pStyle w:val="11"/>
              <w:numPr>
                <w:ilvl w:val="0"/>
                <w:numId w:val="22"/>
              </w:numPr>
              <w:adjustRightInd w:val="0"/>
              <w:snapToGrid w:val="0"/>
              <w:ind w:firstLineChars="0"/>
              <w:rPr>
                <w:color w:val="080808"/>
              </w:rPr>
            </w:pPr>
            <w:r>
              <w:rPr>
                <w:color w:val="080808"/>
              </w:rPr>
              <w:t>计算某个声源在预测点的倍频带声压级</w:t>
            </w:r>
          </w:p>
          <w:p>
            <w:pPr>
              <w:pStyle w:val="11"/>
              <w:rPr>
                <w:color w:val="080808"/>
              </w:rPr>
            </w:pPr>
            <w:r>
              <w:rPr>
                <w:color w:val="080808"/>
              </w:rPr>
              <w:drawing>
                <wp:inline distT="0" distB="0" distL="114300" distR="114300">
                  <wp:extent cx="1134110" cy="238125"/>
                  <wp:effectExtent l="0" t="0" r="0" b="0"/>
                  <wp:docPr id="66060065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00654" name="图片 52"/>
                          <pic:cNvPicPr>
                            <a:picLocks noChangeAspect="1"/>
                          </pic:cNvPicPr>
                        </pic:nvPicPr>
                        <pic:blipFill>
                          <a:blip r:embed="rId22"/>
                          <a:stretch>
                            <a:fillRect/>
                          </a:stretch>
                        </pic:blipFill>
                        <pic:spPr>
                          <a:xfrm>
                            <a:off x="0" y="0"/>
                            <a:ext cx="1134110" cy="238125"/>
                          </a:xfrm>
                          <a:prstGeom prst="rect">
                            <a:avLst/>
                          </a:prstGeom>
                          <a:noFill/>
                          <a:ln>
                            <a:noFill/>
                          </a:ln>
                        </pic:spPr>
                      </pic:pic>
                    </a:graphicData>
                  </a:graphic>
                </wp:inline>
              </w:drawing>
            </w:r>
          </w:p>
          <w:p>
            <w:pPr>
              <w:pStyle w:val="11"/>
              <w:rPr>
                <w:color w:val="080808"/>
              </w:rPr>
            </w:pPr>
            <w:r>
              <w:rPr>
                <w:color w:val="080808"/>
              </w:rPr>
              <w:drawing>
                <wp:inline distT="0" distB="0" distL="114300" distR="114300">
                  <wp:extent cx="1799590" cy="238125"/>
                  <wp:effectExtent l="0" t="0" r="0" b="0"/>
                  <wp:docPr id="66060065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00655" name="图片 53"/>
                          <pic:cNvPicPr>
                            <a:picLocks noChangeAspect="1"/>
                          </pic:cNvPicPr>
                        </pic:nvPicPr>
                        <pic:blipFill>
                          <a:blip r:embed="rId23"/>
                          <a:stretch>
                            <a:fillRect/>
                          </a:stretch>
                        </pic:blipFill>
                        <pic:spPr>
                          <a:xfrm>
                            <a:off x="0" y="0"/>
                            <a:ext cx="1799590" cy="238125"/>
                          </a:xfrm>
                          <a:prstGeom prst="rect">
                            <a:avLst/>
                          </a:prstGeom>
                          <a:noFill/>
                          <a:ln>
                            <a:noFill/>
                          </a:ln>
                        </pic:spPr>
                      </pic:pic>
                    </a:graphicData>
                  </a:graphic>
                </wp:inline>
              </w:drawing>
            </w:r>
          </w:p>
          <w:p>
            <w:pPr>
              <w:pStyle w:val="11"/>
              <w:rPr>
                <w:color w:val="080808"/>
              </w:rPr>
            </w:pPr>
            <w:r>
              <w:rPr>
                <w:color w:val="080808"/>
              </w:rPr>
              <w:t>式中：</w:t>
            </w:r>
          </w:p>
          <w:p>
            <w:pPr>
              <w:pStyle w:val="11"/>
              <w:rPr>
                <w:color w:val="080808"/>
              </w:rPr>
            </w:pPr>
            <w:r>
              <w:rPr>
                <w:color w:val="080808"/>
              </w:rPr>
              <w:object>
                <v:shape id="_x0000_i1026" o:spt="75" type="#_x0000_t75" style="height:17.25pt;width:17.25pt;" o:ole="t" filled="f" o:preferrelative="t" stroked="f" coordsize="21600,21600">
                  <v:path/>
                  <v:fill on="f" focussize="0,0"/>
                  <v:stroke on="f" joinstyle="miter"/>
                  <v:imagedata r:id="rId25" o:title=""/>
                  <o:lock v:ext="edit" aspectratio="t"/>
                  <w10:wrap type="none"/>
                  <w10:anchorlock/>
                </v:shape>
                <o:OLEObject Type="Embed" ProgID="Equation.DSMT4" ShapeID="_x0000_i1026" DrawAspect="Content" ObjectID="_1468075726" r:id="rId24">
                  <o:LockedField>false</o:LockedField>
                </o:OLEObject>
              </w:object>
            </w:r>
            <w:r>
              <w:rPr>
                <w:color w:val="080808"/>
              </w:rPr>
              <w:t>——倍频带声功率级，dB；</w:t>
            </w:r>
          </w:p>
          <w:p>
            <w:pPr>
              <w:pStyle w:val="11"/>
              <w:rPr>
                <w:color w:val="080808"/>
              </w:rPr>
            </w:pPr>
            <w:r>
              <w:rPr>
                <w:color w:val="080808"/>
                <w:position w:val="-10"/>
              </w:rPr>
              <w:object>
                <v:shape id="_x0000_i1027" o:spt="75" type="#_x0000_t75" style="height:17.25pt;width:17.25pt;" o:ole="t" filled="f" o:preferrelative="t" stroked="f" coordsize="21600,21600">
                  <v:path/>
                  <v:fill on="f" focussize="0,0"/>
                  <v:stroke on="f" joinstyle="miter"/>
                  <v:imagedata r:id="rId27" o:title=""/>
                  <o:lock v:ext="edit" aspectratio="t"/>
                  <w10:wrap type="none"/>
                  <w10:anchorlock/>
                </v:shape>
                <o:OLEObject Type="Embed" ProgID="Equation.DSMT4" ShapeID="_x0000_i1027" DrawAspect="Content" ObjectID="_1468075727" r:id="rId26">
                  <o:LockedField>false</o:LockedField>
                </o:OLEObject>
              </w:object>
            </w:r>
            <w:r>
              <w:rPr>
                <w:color w:val="080808"/>
              </w:rPr>
              <w:t>——指向性校正，dB，它描述点声源的等效连续声压级与产生声功率级</w:t>
            </w:r>
            <w:r>
              <w:rPr>
                <w:color w:val="080808"/>
                <w:position w:val="-10"/>
              </w:rPr>
              <w:object>
                <v:shape id="_x0000_i1028" o:spt="75" type="#_x0000_t75" style="height:17.25pt;width:17.25pt;" o:ole="t" filled="f" o:preferrelative="t" stroked="f" coordsize="21600,21600">
                  <v:path/>
                  <v:fill on="f" focussize="0,0"/>
                  <v:stroke on="f" joinstyle="miter"/>
                  <v:imagedata r:id="rId25" o:title=""/>
                  <o:lock v:ext="edit" aspectratio="t"/>
                  <w10:wrap type="none"/>
                  <w10:anchorlock/>
                </v:shape>
                <o:OLEObject Type="Embed" ProgID="Equation.DSMT4" ShapeID="_x0000_i1028" DrawAspect="Content" ObjectID="_1468075728" r:id="rId28">
                  <o:LockedField>false</o:LockedField>
                </o:OLEObject>
              </w:object>
            </w:r>
            <w:r>
              <w:rPr>
                <w:color w:val="080808"/>
              </w:rPr>
              <w:t>的全向点声源在规定方向的偏差程度。指向性校正等于点声源的指向性指数</w:t>
            </w:r>
            <w:r>
              <w:rPr>
                <w:color w:val="080808"/>
                <w:position w:val="-10"/>
              </w:rPr>
              <w:object>
                <v:shape id="_x0000_i1029" o:spt="75" type="#_x0000_t75" style="height:17.25pt;width:17.25pt;" o:ole="t" filled="f" o:preferrelative="t" stroked="f" coordsize="21600,21600">
                  <v:path/>
                  <v:fill on="f" focussize="0,0"/>
                  <v:stroke on="f" joinstyle="miter"/>
                  <v:imagedata r:id="rId30" o:title=""/>
                  <o:lock v:ext="edit" aspectratio="t"/>
                  <w10:wrap type="none"/>
                  <w10:anchorlock/>
                </v:shape>
                <o:OLEObject Type="Embed" ProgID="Equation.DSMT4" ShapeID="_x0000_i1029" DrawAspect="Content" ObjectID="_1468075729" r:id="rId29">
                  <o:LockedField>false</o:LockedField>
                </o:OLEObject>
              </w:object>
            </w:r>
            <w:r>
              <w:rPr>
                <w:color w:val="080808"/>
              </w:rPr>
              <w:t>加上计到小于4π球面度（sr）立体角内的声传播指数</w:t>
            </w:r>
            <w:r>
              <w:rPr>
                <w:color w:val="080808"/>
                <w:position w:val="-10"/>
              </w:rPr>
              <w:object>
                <v:shape id="_x0000_i1030" o:spt="75" type="#_x0000_t75" style="height:17.25pt;width:17.25pt;" o:ole="t" filled="f" o:preferrelative="t" stroked="f" coordsize="21600,21600">
                  <v:path/>
                  <v:fill on="f" focussize="0,0"/>
                  <v:stroke on="f" joinstyle="miter"/>
                  <v:imagedata r:id="rId32" o:title=""/>
                  <o:lock v:ext="edit" aspectratio="t"/>
                  <w10:wrap type="none"/>
                  <w10:anchorlock/>
                </v:shape>
                <o:OLEObject Type="Embed" ProgID="Equation.DSMT4" ShapeID="_x0000_i1030" DrawAspect="Content" ObjectID="_1468075730" r:id="rId31">
                  <o:LockedField>false</o:LockedField>
                </o:OLEObject>
              </w:object>
            </w:r>
            <w:r>
              <w:rPr>
                <w:color w:val="080808"/>
              </w:rPr>
              <w:t>。对辐射到自由空间的全向点声源，</w:t>
            </w:r>
            <w:r>
              <w:rPr>
                <w:color w:val="080808"/>
                <w:position w:val="-10"/>
              </w:rPr>
              <w:object>
                <v:shape id="_x0000_i1031" o:spt="75" type="#_x0000_t75" style="height:17.25pt;width:44.25pt;" o:ole="t" filled="f" o:preferrelative="t" stroked="f" coordsize="21600,21600">
                  <v:path/>
                  <v:fill on="f" focussize="0,0"/>
                  <v:stroke on="f" joinstyle="miter"/>
                  <v:imagedata r:id="rId34" o:title=""/>
                  <o:lock v:ext="edit" aspectratio="t"/>
                  <w10:wrap type="none"/>
                  <w10:anchorlock/>
                </v:shape>
                <o:OLEObject Type="Embed" ProgID="Equation.DSMT4" ShapeID="_x0000_i1031" DrawAspect="Content" ObjectID="_1468075731" r:id="rId33">
                  <o:LockedField>false</o:LockedField>
                </o:OLEObject>
              </w:object>
            </w:r>
            <w:r>
              <w:rPr>
                <w:color w:val="080808"/>
              </w:rPr>
              <w:t>；</w:t>
            </w:r>
          </w:p>
          <w:p>
            <w:pPr>
              <w:pStyle w:val="11"/>
              <w:rPr>
                <w:color w:val="080808"/>
              </w:rPr>
            </w:pPr>
            <w:r>
              <w:rPr>
                <w:color w:val="080808"/>
              </w:rPr>
              <w:object>
                <v:shape id="_x0000_i1032" o:spt="75" type="#_x0000_t75" style="height:13.5pt;width:10.5pt;" o:ole="t" filled="f" o:preferrelative="t" stroked="f" coordsize="21600,21600">
                  <v:path/>
                  <v:fill on="f" focussize="0,0"/>
                  <v:stroke on="f" joinstyle="miter"/>
                  <v:imagedata r:id="rId36" o:title=""/>
                  <o:lock v:ext="edit" aspectratio="t"/>
                  <w10:wrap type="none"/>
                  <w10:anchorlock/>
                </v:shape>
                <o:OLEObject Type="Embed" ProgID="Equation.DSMT4" ShapeID="_x0000_i1032" DrawAspect="Content" ObjectID="_1468075732" r:id="rId35">
                  <o:LockedField>false</o:LockedField>
                </o:OLEObject>
              </w:object>
            </w:r>
            <w:r>
              <w:rPr>
                <w:color w:val="080808"/>
              </w:rPr>
              <w:t>——倍频带衰减，dB；</w:t>
            </w:r>
          </w:p>
          <w:p>
            <w:pPr>
              <w:pStyle w:val="11"/>
              <w:rPr>
                <w:color w:val="080808"/>
              </w:rPr>
            </w:pPr>
            <w:r>
              <w:rPr>
                <w:color w:val="080808"/>
                <w:position w:val="-10"/>
              </w:rPr>
              <w:object>
                <v:shape id="_x0000_i1033" o:spt="75" type="#_x0000_t75" style="height:17.25pt;width:21pt;" o:ole="t" filled="f" o:preferrelative="t" stroked="f" coordsize="21600,21600">
                  <v:path/>
                  <v:fill on="f" focussize="0,0"/>
                  <v:stroke on="f" joinstyle="miter"/>
                  <v:imagedata r:id="rId38" o:title=""/>
                  <o:lock v:ext="edit" aspectratio="t"/>
                  <w10:wrap type="none"/>
                  <w10:anchorlock/>
                </v:shape>
                <o:OLEObject Type="Embed" ProgID="Equation.DSMT4" ShapeID="_x0000_i1033" DrawAspect="Content" ObjectID="_1468075733" r:id="rId37">
                  <o:LockedField>false</o:LockedField>
                </o:OLEObject>
              </w:object>
            </w:r>
            <w:r>
              <w:rPr>
                <w:color w:val="080808"/>
              </w:rPr>
              <w:t>——几何发散引起的倍频带衰减，dB；</w:t>
            </w:r>
          </w:p>
          <w:p>
            <w:pPr>
              <w:pStyle w:val="11"/>
              <w:rPr>
                <w:color w:val="080808"/>
              </w:rPr>
            </w:pPr>
            <w:r>
              <w:rPr>
                <w:color w:val="080808"/>
                <w:position w:val="-10"/>
              </w:rPr>
              <w:object>
                <v:shape id="_x0000_i1034" o:spt="75" type="#_x0000_t75" style="height:17.25pt;width:21pt;" o:ole="t" filled="f" o:preferrelative="t" stroked="f" coordsize="21600,21600">
                  <v:path/>
                  <v:fill on="f" focussize="0,0"/>
                  <v:stroke on="f" joinstyle="miter"/>
                  <v:imagedata r:id="rId40" o:title=""/>
                  <o:lock v:ext="edit" aspectratio="t"/>
                  <w10:wrap type="none"/>
                  <w10:anchorlock/>
                </v:shape>
                <o:OLEObject Type="Embed" ProgID="Equation.DSMT4" ShapeID="_x0000_i1034" DrawAspect="Content" ObjectID="_1468075734" r:id="rId39">
                  <o:LockedField>false</o:LockedField>
                </o:OLEObject>
              </w:object>
            </w:r>
            <w:r>
              <w:rPr>
                <w:color w:val="080808"/>
              </w:rPr>
              <w:t>——大气吸收引起的倍频带衰减，dB；</w:t>
            </w:r>
          </w:p>
          <w:p>
            <w:pPr>
              <w:pStyle w:val="11"/>
              <w:rPr>
                <w:color w:val="080808"/>
              </w:rPr>
            </w:pPr>
            <w:r>
              <w:rPr>
                <w:color w:val="080808"/>
                <w:position w:val="-14"/>
              </w:rPr>
              <w:object>
                <v:shape id="_x0000_i1035" o:spt="75" type="#_x0000_t75" style="height:21pt;width:17.25pt;" o:ole="t" filled="f" o:preferrelative="t" stroked="f" coordsize="21600,21600">
                  <v:path/>
                  <v:fill on="f" focussize="0,0"/>
                  <v:stroke on="f" joinstyle="miter"/>
                  <v:imagedata r:id="rId42" o:title=""/>
                  <o:lock v:ext="edit" aspectratio="t"/>
                  <w10:wrap type="none"/>
                  <w10:anchorlock/>
                </v:shape>
                <o:OLEObject Type="Embed" ProgID="Equation.DSMT4" ShapeID="_x0000_i1035" DrawAspect="Content" ObjectID="_1468075735" r:id="rId41">
                  <o:LockedField>false</o:LockedField>
                </o:OLEObject>
              </w:object>
            </w:r>
            <w:r>
              <w:rPr>
                <w:color w:val="080808"/>
              </w:rPr>
              <w:t>——地面效应引起的倍频带衰减，dB；</w:t>
            </w:r>
          </w:p>
          <w:p>
            <w:pPr>
              <w:pStyle w:val="11"/>
              <w:rPr>
                <w:color w:val="080808"/>
              </w:rPr>
            </w:pPr>
            <w:r>
              <w:rPr>
                <w:color w:val="080808"/>
                <w:position w:val="-10"/>
              </w:rPr>
              <w:object>
                <v:shape id="_x0000_i1036" o:spt="75" type="#_x0000_t75" style="height:17.25pt;width:21pt;" o:ole="t" filled="f" o:preferrelative="t" stroked="f" coordsize="21600,21600">
                  <v:path/>
                  <v:fill on="f" focussize="0,0"/>
                  <v:stroke on="f" joinstyle="miter"/>
                  <v:imagedata r:id="rId44" o:title=""/>
                  <o:lock v:ext="edit" aspectratio="t"/>
                  <w10:wrap type="none"/>
                  <w10:anchorlock/>
                </v:shape>
                <o:OLEObject Type="Embed" ProgID="Equation.DSMT4" ShapeID="_x0000_i1036" DrawAspect="Content" ObjectID="_1468075736" r:id="rId43">
                  <o:LockedField>false</o:LockedField>
                </o:OLEObject>
              </w:object>
            </w:r>
            <w:r>
              <w:rPr>
                <w:color w:val="080808"/>
              </w:rPr>
              <w:t>——声屏障引起的倍频带衰减，dB；</w:t>
            </w:r>
          </w:p>
          <w:p>
            <w:pPr>
              <w:pStyle w:val="11"/>
              <w:rPr>
                <w:color w:val="080808"/>
              </w:rPr>
            </w:pPr>
            <w:r>
              <w:rPr>
                <w:color w:val="080808"/>
                <w:position w:val="-10"/>
              </w:rPr>
              <w:object>
                <v:shape id="_x0000_i1037" o:spt="75" type="#_x0000_t75" style="height:17.25pt;width:22.5pt;" o:ole="t" filled="f" o:preferrelative="t" stroked="f" coordsize="21600,21600">
                  <v:path/>
                  <v:fill on="f" focussize="0,0"/>
                  <v:stroke on="f" joinstyle="miter"/>
                  <v:imagedata r:id="rId46" o:title=""/>
                  <o:lock v:ext="edit" aspectratio="t"/>
                  <w10:wrap type="none"/>
                  <w10:anchorlock/>
                </v:shape>
                <o:OLEObject Type="Embed" ProgID="Equation.DSMT4" ShapeID="_x0000_i1037" DrawAspect="Content" ObjectID="_1468075737" r:id="rId45">
                  <o:LockedField>false</o:LockedField>
                </o:OLEObject>
              </w:object>
            </w:r>
            <w:r>
              <w:rPr>
                <w:color w:val="080808"/>
              </w:rPr>
              <w:t>——其它多方面效应引起的倍频带衰减，dB。</w:t>
            </w:r>
          </w:p>
          <w:p>
            <w:pPr>
              <w:pStyle w:val="11"/>
              <w:numPr>
                <w:ilvl w:val="0"/>
                <w:numId w:val="22"/>
              </w:numPr>
              <w:adjustRightInd w:val="0"/>
              <w:snapToGrid w:val="0"/>
              <w:ind w:left="860" w:firstLineChars="0"/>
              <w:rPr>
                <w:color w:val="080808"/>
              </w:rPr>
            </w:pPr>
            <w:r>
              <w:rPr>
                <w:color w:val="080808"/>
              </w:rPr>
              <w:t>已知靠近声源处某点的倍频带声压级</w:t>
            </w:r>
            <w:r>
              <w:rPr>
                <w:color w:val="080808"/>
                <w:position w:val="-14"/>
              </w:rPr>
              <w:object>
                <v:shape id="_x0000_i1038" o:spt="75" type="#_x0000_t75" style="height:21pt;width:30.75pt;" o:ole="t" filled="f" o:preferrelative="t" stroked="f" coordsize="21600,21600">
                  <v:path/>
                  <v:fill on="f" focussize="0,0"/>
                  <v:stroke on="f" joinstyle="miter"/>
                  <v:imagedata r:id="rId48" o:title=""/>
                  <o:lock v:ext="edit" aspectratio="t"/>
                  <w10:wrap type="none"/>
                  <w10:anchorlock/>
                </v:shape>
                <o:OLEObject Type="Embed" ProgID="Equation.DSMT4" ShapeID="_x0000_i1038" DrawAspect="Content" ObjectID="_1468075738" r:id="rId47">
                  <o:LockedField>false</o:LockedField>
                </o:OLEObject>
              </w:object>
            </w:r>
            <w:r>
              <w:rPr>
                <w:color w:val="080808"/>
              </w:rPr>
              <w:t>，计算相同方向预测点位置的倍频带声压级</w:t>
            </w:r>
          </w:p>
          <w:p>
            <w:pPr>
              <w:pStyle w:val="11"/>
              <w:rPr>
                <w:color w:val="080808"/>
              </w:rPr>
            </w:pPr>
            <w:r>
              <w:rPr>
                <w:color w:val="080808"/>
              </w:rPr>
              <w:object>
                <v:shape id="_x0000_i1039" o:spt="75" type="#_x0000_t75" style="height:21pt;width:81pt;" o:ole="t" filled="f" o:preferrelative="t" stroked="f" coordsize="21600,21600">
                  <v:path/>
                  <v:fill on="f" focussize="0,0"/>
                  <v:stroke on="f" joinstyle="miter"/>
                  <v:imagedata r:id="rId50" o:title=""/>
                  <o:lock v:ext="edit" aspectratio="t"/>
                  <w10:wrap type="none"/>
                  <w10:anchorlock/>
                </v:shape>
                <o:OLEObject Type="Embed" ProgID="Equation.DSMT4" ShapeID="_x0000_i1039" DrawAspect="Content" ObjectID="_1468075739" r:id="rId49">
                  <o:LockedField>false</o:LockedField>
                </o:OLEObject>
              </w:object>
            </w:r>
          </w:p>
          <w:p>
            <w:pPr>
              <w:pStyle w:val="11"/>
              <w:rPr>
                <w:color w:val="080808"/>
              </w:rPr>
            </w:pPr>
            <w:r>
              <w:rPr>
                <w:color w:val="080808"/>
              </w:rPr>
              <w:t>预测点的A声级</w:t>
            </w:r>
            <w:r>
              <w:rPr>
                <w:color w:val="080808"/>
                <w:position w:val="-10"/>
              </w:rPr>
              <w:object>
                <v:shape id="_x0000_i1040" o:spt="75" type="#_x0000_t75" style="height:17.25pt;width:26.25pt;" o:ole="t" filled="f" o:preferrelative="t" stroked="f" coordsize="21600,21600">
                  <v:path/>
                  <v:fill on="f" focussize="0,0"/>
                  <v:stroke on="f" joinstyle="miter"/>
                  <v:imagedata r:id="rId52" o:title=""/>
                  <o:lock v:ext="edit" aspectratio="t"/>
                  <w10:wrap type="none"/>
                  <w10:anchorlock/>
                </v:shape>
                <o:OLEObject Type="Embed" ProgID="Equation.DSMT4" ShapeID="_x0000_i1040" DrawAspect="Content" ObjectID="_1468075740" r:id="rId51">
                  <o:LockedField>false</o:LockedField>
                </o:OLEObject>
              </w:object>
            </w:r>
            <w:r>
              <w:rPr>
                <w:color w:val="080808"/>
              </w:rPr>
              <w:t>，可利用8个倍频带的声压级按如下计算：</w:t>
            </w:r>
          </w:p>
          <w:p>
            <w:pPr>
              <w:pStyle w:val="11"/>
              <w:rPr>
                <w:color w:val="080808"/>
              </w:rPr>
            </w:pPr>
            <w:r>
              <w:rPr>
                <w:color w:val="080808"/>
              </w:rPr>
              <w:object>
                <v:shape id="_x0000_i1041" o:spt="75" type="#_x0000_t75" style="height:34.5pt;width:133.5pt;" o:ole="t" filled="f" o:preferrelative="t" stroked="f" coordsize="21600,21600">
                  <v:path/>
                  <v:fill on="f" focussize="0,0"/>
                  <v:stroke on="f" joinstyle="miter"/>
                  <v:imagedata r:id="rId54" o:title=""/>
                  <o:lock v:ext="edit" aspectratio="t"/>
                  <w10:wrap type="none"/>
                  <w10:anchorlock/>
                </v:shape>
                <o:OLEObject Type="Embed" ProgID="Equation.DSMT4" ShapeID="_x0000_i1041" DrawAspect="Content" ObjectID="_1468075741" r:id="rId53">
                  <o:LockedField>false</o:LockedField>
                </o:OLEObject>
              </w:object>
            </w:r>
          </w:p>
          <w:p>
            <w:pPr>
              <w:pStyle w:val="11"/>
              <w:rPr>
                <w:color w:val="080808"/>
              </w:rPr>
            </w:pPr>
            <w:r>
              <w:rPr>
                <w:color w:val="080808"/>
              </w:rPr>
              <w:t>式中：</w:t>
            </w:r>
          </w:p>
          <w:p>
            <w:pPr>
              <w:pStyle w:val="11"/>
              <w:rPr>
                <w:color w:val="080808"/>
              </w:rPr>
            </w:pPr>
            <w:r>
              <w:rPr>
                <w:color w:val="080808"/>
                <w:position w:val="-14"/>
              </w:rPr>
              <w:object>
                <v:shape id="_x0000_i1042" o:spt="75" type="#_x0000_t75" style="height:21pt;width:30.75pt;" o:ole="t" filled="f" o:preferrelative="t" stroked="f" coordsize="21600,21600">
                  <v:path/>
                  <v:fill on="f" focussize="0,0"/>
                  <v:stroke on="f" joinstyle="miter"/>
                  <v:imagedata r:id="rId56" o:title=""/>
                  <o:lock v:ext="edit" aspectratio="t"/>
                  <w10:wrap type="none"/>
                  <w10:anchorlock/>
                </v:shape>
                <o:OLEObject Type="Embed" ProgID="Equation.DSMT4" ShapeID="_x0000_i1042" DrawAspect="Content" ObjectID="_1468075742" r:id="rId55">
                  <o:LockedField>false</o:LockedField>
                </o:OLEObject>
              </w:object>
            </w:r>
            <w:r>
              <w:rPr>
                <w:color w:val="080808"/>
              </w:rPr>
              <w:t>——预测点（</w:t>
            </w:r>
            <w:r>
              <w:rPr>
                <w:i/>
                <w:color w:val="080808"/>
              </w:rPr>
              <w:t>r</w:t>
            </w:r>
            <w:r>
              <w:rPr>
                <w:color w:val="080808"/>
              </w:rPr>
              <w:t>）处，第</w:t>
            </w:r>
            <w:r>
              <w:rPr>
                <w:i/>
                <w:color w:val="080808"/>
              </w:rPr>
              <w:t>i</w:t>
            </w:r>
            <w:r>
              <w:rPr>
                <w:color w:val="080808"/>
              </w:rPr>
              <w:t>倍频带声压级，dB；</w:t>
            </w:r>
          </w:p>
          <w:p>
            <w:pPr>
              <w:pStyle w:val="11"/>
              <w:rPr>
                <w:color w:val="080808"/>
              </w:rPr>
            </w:pPr>
            <w:r>
              <w:rPr>
                <w:color w:val="080808"/>
                <w:position w:val="-10"/>
              </w:rPr>
              <w:object>
                <v:shape id="_x0000_i1043" o:spt="75" type="#_x0000_t75" style="height:17.25pt;width:21pt;" o:ole="t" filled="f" o:preferrelative="t" stroked="f" coordsize="21600,21600">
                  <v:path/>
                  <v:fill on="f" focussize="0,0"/>
                  <v:stroke on="f" joinstyle="miter"/>
                  <v:imagedata r:id="rId58" o:title=""/>
                  <o:lock v:ext="edit" aspectratio="t"/>
                  <w10:wrap type="none"/>
                  <w10:anchorlock/>
                </v:shape>
                <o:OLEObject Type="Embed" ProgID="Equation.DSMT4" ShapeID="_x0000_i1043" DrawAspect="Content" ObjectID="_1468075743" r:id="rId57">
                  <o:LockedField>false</o:LockedField>
                </o:OLEObject>
              </w:object>
            </w:r>
            <w:r>
              <w:rPr>
                <w:color w:val="080808"/>
              </w:rPr>
              <w:t>——</w:t>
            </w:r>
            <w:r>
              <w:rPr>
                <w:i/>
                <w:color w:val="080808"/>
              </w:rPr>
              <w:t>i</w:t>
            </w:r>
            <w:r>
              <w:rPr>
                <w:color w:val="080808"/>
              </w:rPr>
              <w:t>倍频带A计权网络修正值，dB。</w:t>
            </w:r>
          </w:p>
          <w:p>
            <w:pPr>
              <w:pStyle w:val="11"/>
              <w:rPr>
                <w:color w:val="080808"/>
              </w:rPr>
            </w:pPr>
            <w:r>
              <w:rPr>
                <w:color w:val="080808"/>
              </w:rPr>
              <w:t>在不能取得声源倍频带声功率级或倍频带声压，只能获得A声功率级或某点的A声级时，按如下公式近似计算；</w:t>
            </w:r>
          </w:p>
          <w:p>
            <w:pPr>
              <w:pStyle w:val="11"/>
              <w:rPr>
                <w:color w:val="080808"/>
              </w:rPr>
            </w:pPr>
            <w:r>
              <w:rPr>
                <w:color w:val="080808"/>
              </w:rPr>
              <w:object>
                <v:shape id="_x0000_i1044" o:spt="75" type="#_x0000_t75" style="height:17.25pt;width:90pt;" o:ole="t" filled="f" o:preferrelative="t" stroked="f" coordsize="21600,21600">
                  <v:path/>
                  <v:fill on="f" focussize="0,0"/>
                  <v:stroke on="f" joinstyle="miter"/>
                  <v:imagedata r:id="rId60" o:title=""/>
                  <o:lock v:ext="edit" aspectratio="t"/>
                  <w10:wrap type="none"/>
                  <w10:anchorlock/>
                </v:shape>
                <o:OLEObject Type="Embed" ProgID="Equation.DSMT4" ShapeID="_x0000_i1044" DrawAspect="Content" ObjectID="_1468075744" r:id="rId59">
                  <o:LockedField>false</o:LockedField>
                </o:OLEObject>
              </w:object>
            </w:r>
            <w:r>
              <w:rPr>
                <w:color w:val="080808"/>
              </w:rPr>
              <w:t xml:space="preserve"> 或 </w:t>
            </w:r>
            <w:r>
              <w:rPr>
                <w:color w:val="080808"/>
              </w:rPr>
              <w:object>
                <v:shape id="_x0000_i1045" o:spt="75" type="#_x0000_t75" style="height:17.25pt;width:81pt;" o:ole="t" filled="f" o:preferrelative="t" stroked="f" coordsize="21600,21600">
                  <v:path/>
                  <v:fill on="f" focussize="0,0"/>
                  <v:stroke on="f" joinstyle="miter"/>
                  <v:imagedata r:id="rId62" o:title=""/>
                  <o:lock v:ext="edit" aspectratio="t"/>
                  <w10:wrap type="none"/>
                  <w10:anchorlock/>
                </v:shape>
                <o:OLEObject Type="Embed" ProgID="Equation.DSMT4" ShapeID="_x0000_i1045" DrawAspect="Content" ObjectID="_1468075745" r:id="rId61">
                  <o:LockedField>false</o:LockedField>
                </o:OLEObject>
              </w:object>
            </w:r>
          </w:p>
          <w:p>
            <w:pPr>
              <w:pStyle w:val="11"/>
              <w:rPr>
                <w:color w:val="080808"/>
              </w:rPr>
            </w:pPr>
            <w:r>
              <w:rPr>
                <w:color w:val="080808"/>
              </w:rPr>
              <w:t>A可选择对A声级影响最大的倍频带计算，一般可选中心频率为500Hz的倍频带作估算。本次预测计算即选用中心频率为500Hz的倍频带作估算。</w:t>
            </w:r>
          </w:p>
          <w:p>
            <w:pPr>
              <w:pStyle w:val="11"/>
              <w:numPr>
                <w:ilvl w:val="0"/>
                <w:numId w:val="22"/>
              </w:numPr>
              <w:adjustRightInd w:val="0"/>
              <w:snapToGrid w:val="0"/>
              <w:ind w:left="860" w:firstLineChars="0"/>
              <w:rPr>
                <w:color w:val="080808"/>
              </w:rPr>
            </w:pPr>
            <w:r>
              <w:rPr>
                <w:color w:val="080808"/>
              </w:rPr>
              <w:t>各种因素引起的衰减量计算</w:t>
            </w:r>
          </w:p>
          <w:p>
            <w:pPr>
              <w:pStyle w:val="11"/>
              <w:rPr>
                <w:color w:val="080808"/>
              </w:rPr>
            </w:pPr>
            <w:r>
              <w:rPr>
                <w:color w:val="080808"/>
              </w:rPr>
              <w:t>a 几何发散衰减</w:t>
            </w:r>
          </w:p>
          <w:p>
            <w:pPr>
              <w:pStyle w:val="11"/>
              <w:rPr>
                <w:color w:val="080808"/>
              </w:rPr>
            </w:pPr>
            <w:r>
              <w:rPr>
                <w:color w:val="080808"/>
              </w:rPr>
              <w:object>
                <v:shape id="_x0000_i1046" o:spt="75" type="#_x0000_t75" style="height:17.25pt;width:77.25pt;" o:ole="t" filled="f" o:preferrelative="t" stroked="f" coordsize="21600,21600">
                  <v:path/>
                  <v:fill on="f" focussize="0,0"/>
                  <v:stroke on="f" joinstyle="miter"/>
                  <v:imagedata r:id="rId64" o:title=""/>
                  <o:lock v:ext="edit" aspectratio="t"/>
                  <w10:wrap type="none"/>
                  <w10:anchorlock/>
                </v:shape>
                <o:OLEObject Type="Embed" ProgID="Equation.DSMT4" ShapeID="_x0000_i1046" DrawAspect="Content" ObjectID="_1468075746" r:id="rId63">
                  <o:LockedField>false</o:LockedField>
                </o:OLEObject>
              </w:object>
            </w:r>
          </w:p>
          <w:p>
            <w:pPr>
              <w:pStyle w:val="11"/>
              <w:rPr>
                <w:color w:val="080808"/>
              </w:rPr>
            </w:pPr>
            <w:r>
              <w:rPr>
                <w:color w:val="080808"/>
              </w:rPr>
              <w:t>b 空气吸收引起的衰减量：</w:t>
            </w:r>
          </w:p>
          <w:p>
            <w:pPr>
              <w:pStyle w:val="11"/>
              <w:rPr>
                <w:color w:val="080808"/>
              </w:rPr>
            </w:pPr>
            <w:r>
              <w:rPr>
                <w:color w:val="080808"/>
              </w:rPr>
              <w:object>
                <v:shape id="_x0000_i1047" o:spt="75" type="#_x0000_t75" style="height:17.25pt;width:90.75pt;" o:ole="t" filled="f" o:preferrelative="t" stroked="f" coordsize="21600,21600">
                  <v:path/>
                  <v:fill on="f" focussize="0,0"/>
                  <v:stroke on="f" joinstyle="miter"/>
                  <v:imagedata r:id="rId66" o:title=""/>
                  <o:lock v:ext="edit" aspectratio="t"/>
                  <w10:wrap type="none"/>
                  <w10:anchorlock/>
                </v:shape>
                <o:OLEObject Type="Embed" ProgID="Equation.DSMT4" ShapeID="_x0000_i1047" DrawAspect="Content" ObjectID="_1468075747" r:id="rId65">
                  <o:LockedField>false</o:LockedField>
                </o:OLEObject>
              </w:object>
            </w:r>
          </w:p>
          <w:p>
            <w:pPr>
              <w:pStyle w:val="11"/>
              <w:rPr>
                <w:color w:val="080808"/>
              </w:rPr>
            </w:pPr>
            <w:r>
              <w:rPr>
                <w:color w:val="080808"/>
              </w:rPr>
              <w:t>式中：</w:t>
            </w:r>
            <w:r>
              <w:rPr>
                <w:i/>
                <w:color w:val="080808"/>
              </w:rPr>
              <w:t>a</w:t>
            </w:r>
            <w:r>
              <w:rPr>
                <w:color w:val="080808"/>
              </w:rPr>
              <w:t>——空气吸收系数，km/dB。</w:t>
            </w:r>
          </w:p>
          <w:p>
            <w:pPr>
              <w:pStyle w:val="11"/>
              <w:rPr>
                <w:color w:val="080808"/>
              </w:rPr>
            </w:pPr>
            <w:r>
              <w:rPr>
                <w:color w:val="080808"/>
              </w:rPr>
              <w:t>c 地面效应引起的衰减量：</w:t>
            </w:r>
          </w:p>
          <w:p>
            <w:pPr>
              <w:pStyle w:val="11"/>
              <w:rPr>
                <w:color w:val="080808"/>
              </w:rPr>
            </w:pPr>
            <w:r>
              <w:rPr>
                <w:color w:val="080808"/>
              </w:rPr>
              <w:object>
                <v:shape id="_x0000_i1048" o:spt="75" type="#_x0000_t75" style="height:21pt;width:146.25pt;" o:ole="t" filled="f" o:preferrelative="t" stroked="f" coordsize="21600,21600">
                  <v:path/>
                  <v:fill on="f" focussize="0,0"/>
                  <v:stroke on="f" joinstyle="miter"/>
                  <v:imagedata r:id="rId68" o:title=""/>
                  <o:lock v:ext="edit" aspectratio="t"/>
                  <w10:wrap type="none"/>
                  <w10:anchorlock/>
                </v:shape>
                <o:OLEObject Type="Embed" ProgID="Equation.DSMT4" ShapeID="_x0000_i1048" DrawAspect="Content" ObjectID="_1468075748" r:id="rId67">
                  <o:LockedField>false</o:LockedField>
                </o:OLEObject>
              </w:object>
            </w:r>
          </w:p>
          <w:p>
            <w:pPr>
              <w:pStyle w:val="11"/>
              <w:rPr>
                <w:color w:val="080808"/>
              </w:rPr>
            </w:pPr>
            <w:r>
              <w:rPr>
                <w:color w:val="080808"/>
              </w:rPr>
              <w:t>式中：</w:t>
            </w:r>
          </w:p>
          <w:p>
            <w:pPr>
              <w:pStyle w:val="11"/>
              <w:rPr>
                <w:color w:val="080808"/>
              </w:rPr>
            </w:pPr>
            <w:r>
              <w:rPr>
                <w:i/>
                <w:color w:val="080808"/>
              </w:rPr>
              <w:t>r</w:t>
            </w:r>
            <w:r>
              <w:rPr>
                <w:color w:val="080808"/>
              </w:rPr>
              <w:t>——声源到预测点的距离，m；</w:t>
            </w:r>
          </w:p>
          <w:p>
            <w:pPr>
              <w:pStyle w:val="11"/>
              <w:rPr>
                <w:color w:val="080808"/>
              </w:rPr>
            </w:pPr>
            <w:r>
              <w:rPr>
                <w:color w:val="080808"/>
              </w:rPr>
              <w:object>
                <v:shape id="_x0000_i1049" o:spt="75" type="#_x0000_t75" style="height:17.25pt;width:13.5pt;" o:ole="t" filled="f" o:preferrelative="t" stroked="f" coordsize="21600,21600">
                  <v:path/>
                  <v:fill on="f" focussize="0,0"/>
                  <v:stroke on="f" joinstyle="miter"/>
                  <v:imagedata r:id="rId70" o:title=""/>
                  <o:lock v:ext="edit" aspectratio="t"/>
                  <w10:wrap type="none"/>
                  <w10:anchorlock/>
                </v:shape>
                <o:OLEObject Type="Embed" ProgID="Equation.DSMT4" ShapeID="_x0000_i1049" DrawAspect="Content" ObjectID="_1468075749" r:id="rId69">
                  <o:LockedField>false</o:LockedField>
                </o:OLEObject>
              </w:object>
            </w:r>
            <w:r>
              <w:rPr>
                <w:color w:val="080808"/>
              </w:rPr>
              <w:t>——传播路径的平均离地高度。</w:t>
            </w:r>
          </w:p>
          <w:p>
            <w:pPr>
              <w:pStyle w:val="11"/>
              <w:numPr>
                <w:ilvl w:val="0"/>
                <w:numId w:val="22"/>
              </w:numPr>
              <w:adjustRightInd w:val="0"/>
              <w:snapToGrid w:val="0"/>
              <w:ind w:left="860" w:firstLineChars="0"/>
              <w:rPr>
                <w:color w:val="080808"/>
              </w:rPr>
            </w:pPr>
            <w:r>
              <w:rPr>
                <w:color w:val="080808"/>
              </w:rPr>
              <w:t>贡献值计算</w:t>
            </w:r>
          </w:p>
          <w:p>
            <w:pPr>
              <w:pStyle w:val="11"/>
              <w:rPr>
                <w:color w:val="080808"/>
              </w:rPr>
            </w:pPr>
            <w:r>
              <w:rPr>
                <w:color w:val="080808"/>
              </w:rPr>
              <w:object>
                <v:shape id="_x0000_i1050" o:spt="75" type="#_x0000_t75" style="height:30.75pt;width:174.75pt;" o:ole="t" filled="f" o:preferrelative="t" stroked="f" coordsize="21600,21600">
                  <v:path/>
                  <v:fill on="f" focussize="0,0"/>
                  <v:stroke on="f" joinstyle="miter"/>
                  <v:imagedata r:id="rId72" o:title=""/>
                  <o:lock v:ext="edit" aspectratio="t"/>
                  <w10:wrap type="none"/>
                  <w10:anchorlock/>
                </v:shape>
                <o:OLEObject Type="Embed" ProgID="Equation.DSMT4" ShapeID="_x0000_i1050" DrawAspect="Content" ObjectID="_1468075750" r:id="rId71">
                  <o:LockedField>false</o:LockedField>
                </o:OLEObject>
              </w:object>
            </w:r>
          </w:p>
          <w:p>
            <w:pPr>
              <w:pStyle w:val="11"/>
              <w:rPr>
                <w:color w:val="080808"/>
              </w:rPr>
            </w:pPr>
            <w:r>
              <w:rPr>
                <w:color w:val="080808"/>
              </w:rPr>
              <w:t>式中：</w:t>
            </w:r>
          </w:p>
          <w:p>
            <w:pPr>
              <w:pStyle w:val="11"/>
              <w:rPr>
                <w:color w:val="080808"/>
              </w:rPr>
            </w:pPr>
            <w:r>
              <w:rPr>
                <w:color w:val="080808"/>
                <w:position w:val="-14"/>
              </w:rPr>
              <w:object>
                <v:shape id="_x0000_i1051" o:spt="75" type="#_x0000_t75" style="height:21pt;width:10.5pt;" o:ole="t" filled="f" o:preferrelative="t" stroked="f" coordsize="21600,21600">
                  <v:path/>
                  <v:fill on="f" focussize="0,0"/>
                  <v:stroke on="f" joinstyle="miter"/>
                  <v:imagedata r:id="rId74" o:title=""/>
                  <o:lock v:ext="edit" aspectratio="t"/>
                  <w10:wrap type="none"/>
                  <w10:anchorlock/>
                </v:shape>
                <o:OLEObject Type="Embed" ProgID="Equation.DSMT4" ShapeID="_x0000_i1051" DrawAspect="Content" ObjectID="_1468075751" r:id="rId73">
                  <o:LockedField>false</o:LockedField>
                </o:OLEObject>
              </w:object>
            </w:r>
            <w:r>
              <w:rPr>
                <w:color w:val="080808"/>
              </w:rPr>
              <w:t>——在</w:t>
            </w:r>
            <w:r>
              <w:rPr>
                <w:i/>
                <w:color w:val="080808"/>
              </w:rPr>
              <w:t>T</w:t>
            </w:r>
            <w:r>
              <w:rPr>
                <w:color w:val="080808"/>
              </w:rPr>
              <w:t>时间内</w:t>
            </w:r>
            <w:r>
              <w:rPr>
                <w:i/>
                <w:color w:val="080808"/>
              </w:rPr>
              <w:t>j</w:t>
            </w:r>
            <w:r>
              <w:rPr>
                <w:color w:val="080808"/>
              </w:rPr>
              <w:t>声源工作时间，s；</w:t>
            </w:r>
          </w:p>
          <w:p>
            <w:pPr>
              <w:pStyle w:val="11"/>
              <w:rPr>
                <w:color w:val="080808"/>
              </w:rPr>
            </w:pPr>
            <w:r>
              <w:rPr>
                <w:color w:val="080808"/>
                <w:position w:val="-10"/>
              </w:rPr>
              <w:object>
                <v:shape id="_x0000_i1052" o:spt="75" type="#_x0000_t75" style="height:17.25pt;width:8.25pt;" o:ole="t" filled="f" o:preferrelative="t" stroked="f" coordsize="21600,21600">
                  <v:path/>
                  <v:fill on="f" focussize="0,0"/>
                  <v:stroke on="f" joinstyle="miter"/>
                  <v:imagedata r:id="rId76" o:title=""/>
                  <o:lock v:ext="edit" aspectratio="t"/>
                  <w10:wrap type="none"/>
                  <w10:anchorlock/>
                </v:shape>
                <o:OLEObject Type="Embed" ProgID="Equation.DSMT4" ShapeID="_x0000_i1052" DrawAspect="Content" ObjectID="_1468075752" r:id="rId75">
                  <o:LockedField>false</o:LockedField>
                </o:OLEObject>
              </w:object>
            </w:r>
            <w:r>
              <w:rPr>
                <w:color w:val="080808"/>
              </w:rPr>
              <w:t>——在</w:t>
            </w:r>
            <w:r>
              <w:rPr>
                <w:i/>
                <w:color w:val="080808"/>
              </w:rPr>
              <w:t>T</w:t>
            </w:r>
            <w:r>
              <w:rPr>
                <w:color w:val="080808"/>
              </w:rPr>
              <w:t>时间内</w:t>
            </w:r>
            <w:r>
              <w:rPr>
                <w:i/>
                <w:color w:val="080808"/>
              </w:rPr>
              <w:t>i</w:t>
            </w:r>
            <w:r>
              <w:rPr>
                <w:color w:val="080808"/>
              </w:rPr>
              <w:t>声源工作时间，s j；</w:t>
            </w:r>
          </w:p>
          <w:p>
            <w:pPr>
              <w:pStyle w:val="11"/>
              <w:rPr>
                <w:color w:val="080808"/>
              </w:rPr>
            </w:pPr>
            <w:r>
              <w:rPr>
                <w:color w:val="080808"/>
                <w:position w:val="-4"/>
              </w:rPr>
              <w:object>
                <v:shape id="_x0000_i1053" o:spt="75" type="#_x0000_t75" style="height:13.5pt;width:8.25pt;" o:ole="t" filled="f" o:preferrelative="t" stroked="f" coordsize="21600,21600">
                  <v:path/>
                  <v:fill on="f" focussize="0,0"/>
                  <v:stroke on="f" joinstyle="miter"/>
                  <v:imagedata r:id="rId78" o:title=""/>
                  <o:lock v:ext="edit" aspectratio="t"/>
                  <w10:wrap type="none"/>
                  <w10:anchorlock/>
                </v:shape>
                <o:OLEObject Type="Embed" ProgID="Equation.DSMT4" ShapeID="_x0000_i1053" DrawAspect="Content" ObjectID="_1468075753" r:id="rId77">
                  <o:LockedField>false</o:LockedField>
                </o:OLEObject>
              </w:object>
            </w:r>
            <w:r>
              <w:rPr>
                <w:color w:val="080808"/>
              </w:rPr>
              <w:t>——用于计算等效声级的时间，s；</w:t>
            </w:r>
          </w:p>
          <w:p>
            <w:pPr>
              <w:pStyle w:val="11"/>
              <w:rPr>
                <w:color w:val="080808"/>
              </w:rPr>
            </w:pPr>
            <w:r>
              <w:rPr>
                <w:color w:val="080808"/>
              </w:rPr>
              <w:object>
                <v:shape id="_x0000_i1054" o:spt="75" type="#_x0000_t75" style="height:13.5pt;width:13.5pt;" o:ole="t" filled="f" o:preferrelative="t" stroked="f" coordsize="21600,21600">
                  <v:path/>
                  <v:fill on="f" focussize="0,0"/>
                  <v:stroke on="f" joinstyle="miter"/>
                  <v:imagedata r:id="rId80" o:title=""/>
                  <o:lock v:ext="edit" aspectratio="t"/>
                  <w10:wrap type="none"/>
                  <w10:anchorlock/>
                </v:shape>
                <o:OLEObject Type="Embed" ProgID="Equation.DSMT4" ShapeID="_x0000_i1054" DrawAspect="Content" ObjectID="_1468075754" r:id="rId79">
                  <o:LockedField>false</o:LockedField>
                </o:OLEObject>
              </w:object>
            </w:r>
            <w:r>
              <w:rPr>
                <w:color w:val="080808"/>
              </w:rPr>
              <w:t>——室外声源个数；</w:t>
            </w:r>
          </w:p>
          <w:p>
            <w:pPr>
              <w:pStyle w:val="11"/>
              <w:rPr>
                <w:color w:val="080808"/>
              </w:rPr>
            </w:pPr>
            <w:r>
              <w:rPr>
                <w:color w:val="080808"/>
              </w:rPr>
              <w:object>
                <v:shape id="_x0000_i1055" o:spt="75" type="#_x0000_t75" style="height:13.5pt;width:17.25pt;" o:ole="t" filled="f" o:preferrelative="t" stroked="f" coordsize="21600,21600">
                  <v:path/>
                  <v:fill on="f" focussize="0,0"/>
                  <v:stroke on="f" joinstyle="miter"/>
                  <v:imagedata r:id="rId82" o:title=""/>
                  <o:lock v:ext="edit" aspectratio="t"/>
                  <w10:wrap type="none"/>
                  <w10:anchorlock/>
                </v:shape>
                <o:OLEObject Type="Embed" ProgID="Equation.DSMT4" ShapeID="_x0000_i1055" DrawAspect="Content" ObjectID="_1468075755" r:id="rId81">
                  <o:LockedField>false</o:LockedField>
                </o:OLEObject>
              </w:object>
            </w:r>
            <w:r>
              <w:rPr>
                <w:color w:val="080808"/>
              </w:rPr>
              <w:t>——等效室外声源个数。</w:t>
            </w:r>
          </w:p>
          <w:p>
            <w:pPr>
              <w:pStyle w:val="108"/>
              <w:adjustRightInd w:val="0"/>
              <w:snapToGrid w:val="0"/>
              <w:ind w:firstLine="480"/>
              <w:rPr>
                <w:color w:val="000000"/>
                <w:szCs w:val="24"/>
              </w:rPr>
            </w:pPr>
            <w:r>
              <w:rPr>
                <w:color w:val="000000"/>
                <w:szCs w:val="24"/>
              </w:rPr>
              <w:t>5）噪声叠加值计算</w:t>
            </w:r>
          </w:p>
          <w:p>
            <w:pPr>
              <w:pStyle w:val="108"/>
              <w:adjustRightInd w:val="0"/>
              <w:snapToGrid w:val="0"/>
              <w:ind w:firstLine="480"/>
              <w:jc w:val="center"/>
              <w:rPr>
                <w:color w:val="000000"/>
                <w:szCs w:val="24"/>
              </w:rPr>
            </w:pPr>
            <w:r>
              <w:rPr>
                <w:color w:val="000000"/>
                <w:position w:val="-16"/>
                <w:szCs w:val="24"/>
              </w:rPr>
              <w:object>
                <v:shape id="_x0000_i1056" o:spt="75" type="#_x0000_t75" style="height:24.75pt;width:144pt;" o:ole="t" filled="f" o:preferrelative="t" stroked="f" coordsize="21600,21600">
                  <v:path/>
                  <v:fill on="f" focussize="0,0"/>
                  <v:stroke on="f" joinstyle="miter"/>
                  <v:imagedata r:id="rId84" o:title=""/>
                  <o:lock v:ext="edit" aspectratio="t"/>
                  <w10:wrap type="none"/>
                  <w10:anchorlock/>
                </v:shape>
                <o:OLEObject Type="Embed" ProgID="Equation.3" ShapeID="_x0000_i1056" DrawAspect="Content" ObjectID="_1468075756" r:id="rId83">
                  <o:LockedField>false</o:LockedField>
                </o:OLEObject>
              </w:object>
            </w:r>
          </w:p>
          <w:p>
            <w:pPr>
              <w:pStyle w:val="108"/>
              <w:adjustRightInd w:val="0"/>
              <w:snapToGrid w:val="0"/>
              <w:ind w:firstLine="480"/>
              <w:rPr>
                <w:color w:val="000000"/>
                <w:szCs w:val="24"/>
              </w:rPr>
            </w:pPr>
            <w:r>
              <w:rPr>
                <w:color w:val="000000"/>
                <w:szCs w:val="24"/>
              </w:rPr>
              <w:t>式中：</w:t>
            </w:r>
          </w:p>
          <w:p>
            <w:pPr>
              <w:pStyle w:val="108"/>
              <w:adjustRightInd w:val="0"/>
              <w:snapToGrid w:val="0"/>
              <w:ind w:firstLine="480"/>
              <w:rPr>
                <w:color w:val="000000"/>
                <w:szCs w:val="24"/>
              </w:rPr>
            </w:pPr>
            <w:r>
              <w:rPr>
                <w:color w:val="000000"/>
                <w:szCs w:val="24"/>
              </w:rPr>
              <w:t>L</w:t>
            </w:r>
            <w:r>
              <w:rPr>
                <w:color w:val="000000"/>
                <w:szCs w:val="24"/>
                <w:vertAlign w:val="subscript"/>
              </w:rPr>
              <w:t>eqg</w:t>
            </w:r>
            <w:r>
              <w:rPr>
                <w:color w:val="000000"/>
                <w:szCs w:val="24"/>
              </w:rPr>
              <w:t>——建设项目声源在预测点的等效声级贡献值，dB（A）；</w:t>
            </w:r>
          </w:p>
          <w:p>
            <w:pPr>
              <w:pStyle w:val="11"/>
            </w:pPr>
            <w:r>
              <w:rPr>
                <w:color w:val="000000"/>
              </w:rPr>
              <w:t>L</w:t>
            </w:r>
            <w:r>
              <w:rPr>
                <w:color w:val="000000"/>
                <w:vertAlign w:val="subscript"/>
              </w:rPr>
              <w:t>eqb</w:t>
            </w:r>
            <w:r>
              <w:rPr>
                <w:color w:val="000000"/>
              </w:rPr>
              <w:t>——预测点的</w:t>
            </w:r>
            <w:r>
              <w:rPr>
                <w:rFonts w:hint="eastAsia"/>
                <w:color w:val="000000"/>
              </w:rPr>
              <w:t>背景</w:t>
            </w:r>
            <w:r>
              <w:rPr>
                <w:color w:val="000000"/>
              </w:rPr>
              <w:t>值，dB（A）</w:t>
            </w:r>
            <w:r>
              <w:rPr>
                <w:rFonts w:hint="eastAsia"/>
              </w:rPr>
              <w:t>。</w:t>
            </w:r>
          </w:p>
          <w:p>
            <w:pPr>
              <w:pStyle w:val="11"/>
              <w:numPr>
                <w:ilvl w:val="3"/>
                <w:numId w:val="21"/>
              </w:numPr>
              <w:ind w:left="1270" w:firstLineChars="0"/>
              <w:rPr>
                <w:b/>
                <w:kern w:val="0"/>
                <w:szCs w:val="21"/>
              </w:rPr>
            </w:pPr>
            <w:r>
              <w:rPr>
                <w:rFonts w:hint="eastAsia"/>
                <w:b/>
                <w:kern w:val="0"/>
                <w:szCs w:val="21"/>
              </w:rPr>
              <w:t>参数选取</w:t>
            </w:r>
          </w:p>
          <w:p>
            <w:pPr>
              <w:pStyle w:val="11"/>
              <w:rPr>
                <w:rFonts w:cs="宋体"/>
                <w:color w:val="000000"/>
              </w:rPr>
            </w:pPr>
            <w:r>
              <w:rPr>
                <w:rFonts w:hint="eastAsia" w:cs="宋体"/>
                <w:color w:val="000000"/>
              </w:rPr>
              <w:t>（1）噪声源</w:t>
            </w:r>
          </w:p>
          <w:p>
            <w:pPr>
              <w:pStyle w:val="11"/>
              <w:rPr>
                <w:rFonts w:cs="宋体"/>
                <w:color w:val="000000"/>
              </w:rPr>
            </w:pPr>
            <w:r>
              <w:rPr>
                <w:rFonts w:cs="宋体"/>
                <w:color w:val="000000"/>
              </w:rPr>
              <w:t>本工程</w:t>
            </w:r>
            <w:r>
              <w:rPr>
                <w:rFonts w:hint="eastAsia" w:cs="宋体"/>
                <w:color w:val="000000"/>
              </w:rPr>
              <w:t>东环110kV变电站本期拟建#1、#</w:t>
            </w:r>
            <w:r>
              <w:rPr>
                <w:rFonts w:cs="宋体"/>
                <w:color w:val="000000"/>
              </w:rPr>
              <w:t>2</w:t>
            </w:r>
            <w:r>
              <w:rPr>
                <w:rFonts w:hint="eastAsia"/>
                <w:color w:val="000000"/>
              </w:rPr>
              <w:t>主变压器户外布置</w:t>
            </w:r>
            <w:r>
              <w:rPr>
                <w:rFonts w:hint="eastAsia" w:cs="宋体"/>
                <w:color w:val="000000"/>
              </w:rPr>
              <w:t>。变电站运行期间的噪声源主要为主变压器。根据</w:t>
            </w:r>
            <w:r>
              <w:rPr>
                <w:rFonts w:hint="eastAsia"/>
              </w:rPr>
              <w:t>《变电站噪声控制技术导则》（D</w:t>
            </w:r>
            <w:r>
              <w:t>L/T 1518-2016</w:t>
            </w:r>
            <w:r>
              <w:rPr>
                <w:rFonts w:hint="eastAsia"/>
              </w:rPr>
              <w:t>）</w:t>
            </w:r>
            <w:r>
              <w:rPr>
                <w:rFonts w:hint="eastAsia" w:cs="宋体"/>
                <w:color w:val="000000"/>
              </w:rPr>
              <w:t>，</w:t>
            </w:r>
            <w:r>
              <w:rPr>
                <w:rFonts w:cs="宋体"/>
                <w:color w:val="000000"/>
              </w:rPr>
              <w:t>110kV</w:t>
            </w:r>
            <w:r>
              <w:rPr>
                <w:rFonts w:hint="eastAsia" w:cs="宋体"/>
                <w:color w:val="000000"/>
              </w:rPr>
              <w:t>变压器外</w:t>
            </w:r>
            <w:r>
              <w:rPr>
                <w:rFonts w:cs="宋体"/>
                <w:color w:val="000000"/>
              </w:rPr>
              <w:t>1m</w:t>
            </w:r>
            <w:r>
              <w:rPr>
                <w:rFonts w:hint="eastAsia" w:cs="宋体"/>
                <w:color w:val="000000"/>
              </w:rPr>
              <w:t>处声压级一般不超过</w:t>
            </w:r>
            <w:r>
              <w:rPr>
                <w:rFonts w:cs="宋体"/>
                <w:color w:val="000000"/>
              </w:rPr>
              <w:t>63.7dB</w:t>
            </w:r>
            <w:r>
              <w:rPr>
                <w:rFonts w:hint="eastAsia" w:cs="宋体"/>
                <w:color w:val="000000"/>
              </w:rPr>
              <w:t>（</w:t>
            </w:r>
            <w:r>
              <w:rPr>
                <w:rFonts w:cs="宋体"/>
                <w:color w:val="000000"/>
              </w:rPr>
              <w:t>A</w:t>
            </w:r>
            <w:r>
              <w:rPr>
                <w:rFonts w:hint="eastAsia" w:cs="宋体"/>
                <w:color w:val="000000"/>
              </w:rPr>
              <w:t>），</w:t>
            </w:r>
            <w:r>
              <w:rPr>
                <w:rFonts w:hint="eastAsia"/>
                <w:bCs/>
                <w:color w:val="000000" w:themeColor="text1"/>
                <w:szCs w:val="24"/>
                <w14:textFill>
                  <w14:solidFill>
                    <w14:schemeClr w14:val="tx1"/>
                  </w14:solidFill>
                </w14:textFill>
              </w:rPr>
              <w:t>按面声源进行预测</w:t>
            </w:r>
            <w:r>
              <w:rPr>
                <w:rFonts w:hint="eastAsia" w:cs="宋体"/>
                <w:color w:val="000000"/>
              </w:rPr>
              <w:t>。以变电站西南侧厂界地面为坐标原点进行建系，本工程声源详细参数见</w:t>
            </w:r>
            <w:r>
              <w:rPr>
                <w:rFonts w:cs="宋体"/>
                <w:color w:val="000000"/>
              </w:rPr>
              <w:fldChar w:fldCharType="begin"/>
            </w:r>
            <w:r>
              <w:rPr>
                <w:rFonts w:cs="宋体"/>
                <w:color w:val="000000"/>
              </w:rPr>
              <w:instrText xml:space="preserve"> </w:instrText>
            </w:r>
            <w:r>
              <w:rPr>
                <w:rFonts w:hint="eastAsia" w:cs="宋体"/>
                <w:color w:val="000000"/>
              </w:rPr>
              <w:instrText xml:space="preserve">REF _Ref176181664 \h</w:instrText>
            </w:r>
            <w:r>
              <w:rPr>
                <w:rFonts w:cs="宋体"/>
                <w:color w:val="000000"/>
              </w:rPr>
              <w:instrText xml:space="preserve"> </w:instrText>
            </w:r>
            <w:r>
              <w:rPr>
                <w:rFonts w:cs="宋体"/>
                <w:color w:val="000000"/>
              </w:rPr>
              <w:fldChar w:fldCharType="separate"/>
            </w:r>
            <w:r>
              <w:rPr>
                <w:rFonts w:hint="eastAsia"/>
              </w:rPr>
              <w:t xml:space="preserve">表 </w:t>
            </w:r>
            <w:r>
              <w:t>12</w:t>
            </w:r>
            <w:r>
              <w:rPr>
                <w:rFonts w:cs="宋体"/>
                <w:color w:val="000000"/>
              </w:rPr>
              <w:fldChar w:fldCharType="end"/>
            </w:r>
            <w:r>
              <w:rPr>
                <w:rFonts w:hint="eastAsia" w:cs="宋体"/>
                <w:color w:val="000000"/>
              </w:rPr>
              <w:t>。</w:t>
            </w:r>
          </w:p>
          <w:p>
            <w:pPr>
              <w:pStyle w:val="18"/>
              <w:ind w:firstLine="420"/>
            </w:pPr>
            <w:bookmarkStart w:id="655" w:name="_Ref176181664"/>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t>12</w:t>
            </w:r>
            <w:r>
              <w:fldChar w:fldCharType="end"/>
            </w:r>
            <w:bookmarkEnd w:id="655"/>
            <w:r>
              <w:t xml:space="preserve">              </w:t>
            </w:r>
            <w:r>
              <w:rPr>
                <w:rFonts w:hint="eastAsia"/>
              </w:rPr>
              <w:t>拟建东环110kV变电站本期主要声源一览表</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611"/>
              <w:gridCol w:w="749"/>
              <w:gridCol w:w="1537"/>
              <w:gridCol w:w="1537"/>
              <w:gridCol w:w="535"/>
              <w:gridCol w:w="826"/>
              <w:gridCol w:w="830"/>
              <w:gridCol w:w="711"/>
              <w:gridCol w:w="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36" w:type="dxa"/>
                  <w:vMerge w:val="restart"/>
                  <w:vAlign w:val="center"/>
                </w:tcPr>
                <w:p>
                  <w:pPr>
                    <w:widowControl/>
                    <w:jc w:val="center"/>
                    <w:rPr>
                      <w:color w:val="000000"/>
                      <w:kern w:val="0"/>
                      <w:sz w:val="22"/>
                    </w:rPr>
                  </w:pPr>
                  <w:r>
                    <w:rPr>
                      <w:color w:val="000000"/>
                      <w:kern w:val="0"/>
                      <w:sz w:val="22"/>
                    </w:rPr>
                    <w:t>序号</w:t>
                  </w:r>
                </w:p>
              </w:tc>
              <w:tc>
                <w:tcPr>
                  <w:tcW w:w="611" w:type="dxa"/>
                  <w:vMerge w:val="restart"/>
                  <w:vAlign w:val="center"/>
                </w:tcPr>
                <w:p>
                  <w:pPr>
                    <w:widowControl/>
                    <w:jc w:val="center"/>
                    <w:rPr>
                      <w:color w:val="000000"/>
                      <w:kern w:val="0"/>
                      <w:sz w:val="22"/>
                    </w:rPr>
                  </w:pPr>
                  <w:r>
                    <w:rPr>
                      <w:color w:val="000000"/>
                      <w:kern w:val="0"/>
                      <w:sz w:val="22"/>
                    </w:rPr>
                    <w:t>声源名称</w:t>
                  </w:r>
                </w:p>
              </w:tc>
              <w:tc>
                <w:tcPr>
                  <w:tcW w:w="749" w:type="dxa"/>
                  <w:vMerge w:val="restart"/>
                  <w:vAlign w:val="center"/>
                </w:tcPr>
                <w:p>
                  <w:pPr>
                    <w:widowControl/>
                    <w:jc w:val="center"/>
                    <w:rPr>
                      <w:color w:val="000000"/>
                      <w:kern w:val="0"/>
                      <w:sz w:val="22"/>
                    </w:rPr>
                  </w:pPr>
                  <w:r>
                    <w:rPr>
                      <w:color w:val="000000"/>
                      <w:kern w:val="0"/>
                      <w:sz w:val="22"/>
                    </w:rPr>
                    <w:t>型号</w:t>
                  </w:r>
                </w:p>
              </w:tc>
              <w:tc>
                <w:tcPr>
                  <w:tcW w:w="3609" w:type="dxa"/>
                  <w:gridSpan w:val="3"/>
                  <w:vAlign w:val="center"/>
                </w:tcPr>
                <w:p>
                  <w:pPr>
                    <w:widowControl/>
                    <w:jc w:val="center"/>
                    <w:rPr>
                      <w:color w:val="000000"/>
                      <w:kern w:val="0"/>
                      <w:sz w:val="22"/>
                    </w:rPr>
                  </w:pPr>
                  <w:r>
                    <w:rPr>
                      <w:color w:val="000000"/>
                      <w:kern w:val="0"/>
                      <w:sz w:val="22"/>
                    </w:rPr>
                    <w:t>空间相对位置</w:t>
                  </w:r>
                  <w:r>
                    <w:rPr>
                      <w:rFonts w:hint="eastAsia"/>
                      <w:color w:val="000000"/>
                      <w:kern w:val="0"/>
                      <w:sz w:val="22"/>
                    </w:rPr>
                    <w:t>（中心坐标（m））</w:t>
                  </w:r>
                </w:p>
              </w:tc>
              <w:tc>
                <w:tcPr>
                  <w:tcW w:w="1656" w:type="dxa"/>
                  <w:gridSpan w:val="2"/>
                  <w:vAlign w:val="center"/>
                </w:tcPr>
                <w:p>
                  <w:pPr>
                    <w:widowControl/>
                    <w:jc w:val="center"/>
                    <w:rPr>
                      <w:color w:val="000000"/>
                      <w:kern w:val="0"/>
                      <w:sz w:val="22"/>
                    </w:rPr>
                  </w:pPr>
                  <w:r>
                    <w:rPr>
                      <w:color w:val="000000"/>
                      <w:kern w:val="0"/>
                      <w:sz w:val="22"/>
                    </w:rPr>
                    <w:t>声源源强</w:t>
                  </w:r>
                </w:p>
              </w:tc>
              <w:tc>
                <w:tcPr>
                  <w:tcW w:w="711" w:type="dxa"/>
                  <w:vMerge w:val="restart"/>
                  <w:vAlign w:val="center"/>
                </w:tcPr>
                <w:p>
                  <w:pPr>
                    <w:widowControl/>
                    <w:jc w:val="center"/>
                    <w:rPr>
                      <w:color w:val="000000"/>
                      <w:kern w:val="0"/>
                      <w:sz w:val="22"/>
                    </w:rPr>
                  </w:pPr>
                  <w:r>
                    <w:rPr>
                      <w:color w:val="000000"/>
                      <w:kern w:val="0"/>
                      <w:sz w:val="22"/>
                    </w:rPr>
                    <w:t>声源控制措施</w:t>
                  </w:r>
                </w:p>
              </w:tc>
              <w:tc>
                <w:tcPr>
                  <w:tcW w:w="530" w:type="dxa"/>
                  <w:vMerge w:val="restart"/>
                  <w:vAlign w:val="center"/>
                </w:tcPr>
                <w:p>
                  <w:pPr>
                    <w:widowControl/>
                    <w:jc w:val="center"/>
                    <w:rPr>
                      <w:color w:val="000000"/>
                      <w:kern w:val="0"/>
                      <w:sz w:val="22"/>
                    </w:rPr>
                  </w:pPr>
                  <w:r>
                    <w:rPr>
                      <w:color w:val="000000"/>
                      <w:kern w:val="0"/>
                      <w:sz w:val="22"/>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36" w:type="dxa"/>
                  <w:vMerge w:val="continue"/>
                  <w:vAlign w:val="center"/>
                </w:tcPr>
                <w:p>
                  <w:pPr>
                    <w:widowControl/>
                    <w:jc w:val="center"/>
                    <w:rPr>
                      <w:color w:val="000000"/>
                      <w:kern w:val="0"/>
                      <w:sz w:val="22"/>
                    </w:rPr>
                  </w:pPr>
                </w:p>
              </w:tc>
              <w:tc>
                <w:tcPr>
                  <w:tcW w:w="611" w:type="dxa"/>
                  <w:vMerge w:val="continue"/>
                  <w:vAlign w:val="center"/>
                </w:tcPr>
                <w:p>
                  <w:pPr>
                    <w:widowControl/>
                    <w:jc w:val="center"/>
                    <w:rPr>
                      <w:color w:val="000000"/>
                      <w:kern w:val="0"/>
                      <w:sz w:val="22"/>
                    </w:rPr>
                  </w:pPr>
                </w:p>
              </w:tc>
              <w:tc>
                <w:tcPr>
                  <w:tcW w:w="749" w:type="dxa"/>
                  <w:vMerge w:val="continue"/>
                  <w:vAlign w:val="center"/>
                </w:tcPr>
                <w:p>
                  <w:pPr>
                    <w:widowControl/>
                    <w:jc w:val="center"/>
                    <w:rPr>
                      <w:color w:val="000000"/>
                      <w:kern w:val="0"/>
                      <w:sz w:val="22"/>
                    </w:rPr>
                  </w:pPr>
                </w:p>
              </w:tc>
              <w:tc>
                <w:tcPr>
                  <w:tcW w:w="1537" w:type="dxa"/>
                  <w:vAlign w:val="center"/>
                </w:tcPr>
                <w:p>
                  <w:pPr>
                    <w:widowControl/>
                    <w:jc w:val="center"/>
                    <w:rPr>
                      <w:color w:val="000000"/>
                      <w:kern w:val="0"/>
                      <w:sz w:val="22"/>
                    </w:rPr>
                  </w:pPr>
                  <w:r>
                    <w:rPr>
                      <w:color w:val="000000"/>
                      <w:kern w:val="0"/>
                      <w:sz w:val="22"/>
                    </w:rPr>
                    <w:t>X</w:t>
                  </w:r>
                </w:p>
              </w:tc>
              <w:tc>
                <w:tcPr>
                  <w:tcW w:w="1537" w:type="dxa"/>
                  <w:vAlign w:val="center"/>
                </w:tcPr>
                <w:p>
                  <w:pPr>
                    <w:widowControl/>
                    <w:jc w:val="center"/>
                    <w:rPr>
                      <w:color w:val="000000"/>
                      <w:kern w:val="0"/>
                      <w:sz w:val="22"/>
                    </w:rPr>
                  </w:pPr>
                  <w:r>
                    <w:rPr>
                      <w:color w:val="000000"/>
                      <w:kern w:val="0"/>
                      <w:sz w:val="22"/>
                    </w:rPr>
                    <w:t>Y</w:t>
                  </w:r>
                </w:p>
              </w:tc>
              <w:tc>
                <w:tcPr>
                  <w:tcW w:w="535" w:type="dxa"/>
                  <w:vAlign w:val="center"/>
                </w:tcPr>
                <w:p>
                  <w:pPr>
                    <w:widowControl/>
                    <w:jc w:val="center"/>
                    <w:rPr>
                      <w:color w:val="000000"/>
                      <w:kern w:val="0"/>
                      <w:sz w:val="22"/>
                    </w:rPr>
                  </w:pPr>
                  <w:r>
                    <w:rPr>
                      <w:color w:val="000000"/>
                      <w:kern w:val="0"/>
                      <w:sz w:val="22"/>
                    </w:rPr>
                    <w:t>Z</w:t>
                  </w:r>
                </w:p>
              </w:tc>
              <w:tc>
                <w:tcPr>
                  <w:tcW w:w="826" w:type="dxa"/>
                  <w:vAlign w:val="center"/>
                </w:tcPr>
                <w:p>
                  <w:pPr>
                    <w:widowControl/>
                    <w:jc w:val="center"/>
                    <w:rPr>
                      <w:color w:val="000000"/>
                      <w:kern w:val="0"/>
                      <w:sz w:val="22"/>
                    </w:rPr>
                  </w:pPr>
                  <w:r>
                    <w:rPr>
                      <w:color w:val="000000"/>
                      <w:kern w:val="0"/>
                      <w:sz w:val="22"/>
                    </w:rPr>
                    <w:t>声压级</w:t>
                  </w:r>
                </w:p>
                <w:p>
                  <w:pPr>
                    <w:widowControl/>
                    <w:jc w:val="center"/>
                    <w:rPr>
                      <w:color w:val="000000"/>
                      <w:kern w:val="0"/>
                      <w:sz w:val="22"/>
                    </w:rPr>
                  </w:pPr>
                  <w:r>
                    <w:rPr>
                      <w:rFonts w:hint="eastAsia"/>
                      <w:color w:val="000000"/>
                      <w:kern w:val="0"/>
                      <w:sz w:val="22"/>
                    </w:rPr>
                    <w:t>/</w:t>
                  </w:r>
                  <w:r>
                    <w:rPr>
                      <w:color w:val="000000"/>
                      <w:kern w:val="0"/>
                      <w:sz w:val="22"/>
                    </w:rPr>
                    <w:t>dB（A）</w:t>
                  </w:r>
                </w:p>
              </w:tc>
              <w:tc>
                <w:tcPr>
                  <w:tcW w:w="830" w:type="dxa"/>
                  <w:vAlign w:val="center"/>
                </w:tcPr>
                <w:p>
                  <w:pPr>
                    <w:widowControl/>
                    <w:jc w:val="center"/>
                    <w:rPr>
                      <w:color w:val="000000"/>
                      <w:kern w:val="0"/>
                      <w:sz w:val="22"/>
                    </w:rPr>
                  </w:pPr>
                  <w:r>
                    <w:rPr>
                      <w:color w:val="000000"/>
                      <w:kern w:val="0"/>
                      <w:sz w:val="22"/>
                    </w:rPr>
                    <w:t>与声源距离（m）</w:t>
                  </w:r>
                </w:p>
              </w:tc>
              <w:tc>
                <w:tcPr>
                  <w:tcW w:w="711" w:type="dxa"/>
                  <w:vMerge w:val="continue"/>
                  <w:vAlign w:val="center"/>
                </w:tcPr>
                <w:p>
                  <w:pPr>
                    <w:pStyle w:val="11"/>
                    <w:ind w:firstLine="0" w:firstLineChars="0"/>
                    <w:jc w:val="center"/>
                    <w:rPr>
                      <w:color w:val="000000"/>
                      <w:sz w:val="21"/>
                    </w:rPr>
                  </w:pPr>
                </w:p>
              </w:tc>
              <w:tc>
                <w:tcPr>
                  <w:tcW w:w="530" w:type="dxa"/>
                  <w:vMerge w:val="continue"/>
                  <w:vAlign w:val="center"/>
                </w:tcPr>
                <w:p>
                  <w:pPr>
                    <w:pStyle w:val="11"/>
                    <w:ind w:firstLine="0" w:firstLineChars="0"/>
                    <w:jc w:val="center"/>
                    <w:rPr>
                      <w:color w:val="00000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trPr>
              <w:tc>
                <w:tcPr>
                  <w:tcW w:w="436" w:type="dxa"/>
                  <w:vAlign w:val="center"/>
                </w:tcPr>
                <w:p>
                  <w:pPr>
                    <w:widowControl/>
                    <w:jc w:val="center"/>
                    <w:rPr>
                      <w:color w:val="000000"/>
                      <w:kern w:val="0"/>
                      <w:sz w:val="22"/>
                    </w:rPr>
                  </w:pPr>
                  <w:r>
                    <w:rPr>
                      <w:rFonts w:hint="eastAsia"/>
                      <w:color w:val="000000"/>
                      <w:kern w:val="0"/>
                      <w:sz w:val="22"/>
                    </w:rPr>
                    <w:t>1</w:t>
                  </w:r>
                </w:p>
              </w:tc>
              <w:tc>
                <w:tcPr>
                  <w:tcW w:w="611" w:type="dxa"/>
                  <w:vAlign w:val="center"/>
                </w:tcPr>
                <w:p>
                  <w:pPr>
                    <w:widowControl/>
                    <w:jc w:val="center"/>
                    <w:rPr>
                      <w:color w:val="000000"/>
                      <w:kern w:val="0"/>
                      <w:sz w:val="22"/>
                    </w:rPr>
                  </w:pPr>
                  <w:r>
                    <w:rPr>
                      <w:rFonts w:hint="eastAsia"/>
                      <w:color w:val="000000"/>
                      <w:kern w:val="0"/>
                      <w:sz w:val="22"/>
                    </w:rPr>
                    <w:t>#1主变压器</w:t>
                  </w:r>
                </w:p>
              </w:tc>
              <w:tc>
                <w:tcPr>
                  <w:tcW w:w="749" w:type="dxa"/>
                  <w:vMerge w:val="restart"/>
                  <w:vAlign w:val="center"/>
                </w:tcPr>
                <w:p>
                  <w:pPr>
                    <w:jc w:val="center"/>
                    <w:rPr>
                      <w:color w:val="000000"/>
                      <w:kern w:val="0"/>
                      <w:sz w:val="22"/>
                    </w:rPr>
                  </w:pPr>
                  <w:r>
                    <w:rPr>
                      <w:rFonts w:hint="eastAsia"/>
                      <w:color w:val="000000"/>
                      <w:kern w:val="0"/>
                      <w:sz w:val="22"/>
                    </w:rPr>
                    <w:t>三相三线有载调压变压器</w:t>
                  </w:r>
                </w:p>
              </w:tc>
              <w:tc>
                <w:tcPr>
                  <w:tcW w:w="1537" w:type="dxa"/>
                  <w:vAlign w:val="center"/>
                </w:tcPr>
                <w:p>
                  <w:pPr>
                    <w:widowControl/>
                    <w:jc w:val="center"/>
                    <w:rPr>
                      <w:color w:val="000000"/>
                      <w:kern w:val="0"/>
                      <w:sz w:val="22"/>
                    </w:rPr>
                  </w:pPr>
                  <w:r>
                    <w:rPr>
                      <w:color w:val="000000"/>
                      <w:kern w:val="0"/>
                      <w:sz w:val="22"/>
                    </w:rPr>
                    <w:t>412.2~417.2</w:t>
                  </w:r>
                </w:p>
              </w:tc>
              <w:tc>
                <w:tcPr>
                  <w:tcW w:w="1537" w:type="dxa"/>
                  <w:vAlign w:val="center"/>
                </w:tcPr>
                <w:p>
                  <w:pPr>
                    <w:widowControl/>
                    <w:jc w:val="center"/>
                    <w:rPr>
                      <w:color w:val="000000"/>
                      <w:kern w:val="0"/>
                      <w:sz w:val="22"/>
                    </w:rPr>
                  </w:pPr>
                  <w:r>
                    <w:rPr>
                      <w:color w:val="000000"/>
                      <w:kern w:val="0"/>
                      <w:sz w:val="22"/>
                    </w:rPr>
                    <w:t>515.0~519.0</w:t>
                  </w:r>
                </w:p>
              </w:tc>
              <w:tc>
                <w:tcPr>
                  <w:tcW w:w="535" w:type="dxa"/>
                  <w:vAlign w:val="center"/>
                </w:tcPr>
                <w:p>
                  <w:pPr>
                    <w:widowControl/>
                    <w:jc w:val="center"/>
                    <w:rPr>
                      <w:color w:val="000000"/>
                      <w:kern w:val="0"/>
                      <w:sz w:val="22"/>
                    </w:rPr>
                  </w:pPr>
                  <w:r>
                    <w:rPr>
                      <w:rFonts w:hint="eastAsia"/>
                      <w:color w:val="000000"/>
                      <w:kern w:val="0"/>
                      <w:sz w:val="22"/>
                    </w:rPr>
                    <w:t>3.5</w:t>
                  </w:r>
                </w:p>
              </w:tc>
              <w:tc>
                <w:tcPr>
                  <w:tcW w:w="826" w:type="dxa"/>
                  <w:vAlign w:val="center"/>
                </w:tcPr>
                <w:p>
                  <w:pPr>
                    <w:widowControl/>
                    <w:jc w:val="center"/>
                    <w:rPr>
                      <w:color w:val="000000"/>
                      <w:kern w:val="0"/>
                      <w:sz w:val="22"/>
                    </w:rPr>
                  </w:pPr>
                  <w:r>
                    <w:rPr>
                      <w:rFonts w:hint="eastAsia"/>
                      <w:color w:val="000000"/>
                      <w:kern w:val="0"/>
                      <w:sz w:val="22"/>
                    </w:rPr>
                    <w:t>63.7</w:t>
                  </w:r>
                </w:p>
              </w:tc>
              <w:tc>
                <w:tcPr>
                  <w:tcW w:w="830" w:type="dxa"/>
                  <w:vAlign w:val="center"/>
                </w:tcPr>
                <w:p>
                  <w:pPr>
                    <w:widowControl/>
                    <w:jc w:val="center"/>
                    <w:rPr>
                      <w:color w:val="000000"/>
                      <w:kern w:val="0"/>
                      <w:sz w:val="22"/>
                    </w:rPr>
                  </w:pPr>
                  <w:r>
                    <w:rPr>
                      <w:rFonts w:hint="eastAsia"/>
                      <w:color w:val="000000"/>
                      <w:kern w:val="0"/>
                      <w:sz w:val="22"/>
                    </w:rPr>
                    <w:t>1</w:t>
                  </w:r>
                </w:p>
              </w:tc>
              <w:tc>
                <w:tcPr>
                  <w:tcW w:w="711" w:type="dxa"/>
                  <w:vMerge w:val="restart"/>
                  <w:vAlign w:val="center"/>
                </w:tcPr>
                <w:p>
                  <w:pPr>
                    <w:jc w:val="center"/>
                    <w:rPr>
                      <w:color w:val="000000"/>
                      <w:kern w:val="0"/>
                      <w:sz w:val="22"/>
                    </w:rPr>
                  </w:pPr>
                  <w:r>
                    <w:rPr>
                      <w:rFonts w:hint="eastAsia"/>
                      <w:color w:val="000000"/>
                      <w:kern w:val="0"/>
                      <w:sz w:val="22"/>
                    </w:rPr>
                    <w:t>低噪声设备</w:t>
                  </w:r>
                </w:p>
              </w:tc>
              <w:tc>
                <w:tcPr>
                  <w:tcW w:w="530" w:type="dxa"/>
                  <w:vMerge w:val="restart"/>
                  <w:vAlign w:val="center"/>
                </w:tcPr>
                <w:p>
                  <w:pPr>
                    <w:jc w:val="center"/>
                    <w:rPr>
                      <w:color w:val="000000"/>
                      <w:kern w:val="0"/>
                      <w:sz w:val="22"/>
                    </w:rPr>
                  </w:pPr>
                  <w:r>
                    <w:rPr>
                      <w:rFonts w:hint="eastAsia"/>
                      <w:color w:val="000000"/>
                      <w:kern w:val="0"/>
                      <w:sz w:val="22"/>
                    </w:rPr>
                    <w:t>全时段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trPr>
              <w:tc>
                <w:tcPr>
                  <w:tcW w:w="436" w:type="dxa"/>
                  <w:vAlign w:val="center"/>
                </w:tcPr>
                <w:p>
                  <w:pPr>
                    <w:widowControl/>
                    <w:jc w:val="center"/>
                    <w:rPr>
                      <w:color w:val="000000"/>
                      <w:kern w:val="0"/>
                      <w:sz w:val="22"/>
                    </w:rPr>
                  </w:pPr>
                  <w:r>
                    <w:rPr>
                      <w:rFonts w:hint="eastAsia"/>
                      <w:color w:val="000000"/>
                      <w:kern w:val="0"/>
                      <w:sz w:val="22"/>
                    </w:rPr>
                    <w:t>2</w:t>
                  </w:r>
                </w:p>
              </w:tc>
              <w:tc>
                <w:tcPr>
                  <w:tcW w:w="611" w:type="dxa"/>
                  <w:vAlign w:val="center"/>
                </w:tcPr>
                <w:p>
                  <w:pPr>
                    <w:widowControl/>
                    <w:jc w:val="center"/>
                    <w:rPr>
                      <w:color w:val="000000"/>
                      <w:kern w:val="0"/>
                      <w:sz w:val="22"/>
                    </w:rPr>
                  </w:pPr>
                  <w:r>
                    <w:rPr>
                      <w:rFonts w:hint="eastAsia"/>
                      <w:color w:val="000000"/>
                      <w:kern w:val="0"/>
                      <w:sz w:val="22"/>
                    </w:rPr>
                    <w:t>#</w:t>
                  </w:r>
                  <w:r>
                    <w:rPr>
                      <w:color w:val="000000"/>
                      <w:kern w:val="0"/>
                      <w:sz w:val="22"/>
                    </w:rPr>
                    <w:t>2</w:t>
                  </w:r>
                  <w:r>
                    <w:rPr>
                      <w:rFonts w:hint="eastAsia"/>
                      <w:color w:val="000000"/>
                      <w:kern w:val="0"/>
                      <w:sz w:val="22"/>
                    </w:rPr>
                    <w:t>主变压器</w:t>
                  </w:r>
                </w:p>
              </w:tc>
              <w:tc>
                <w:tcPr>
                  <w:tcW w:w="749" w:type="dxa"/>
                  <w:vMerge w:val="continue"/>
                  <w:vAlign w:val="center"/>
                </w:tcPr>
                <w:p>
                  <w:pPr>
                    <w:widowControl/>
                    <w:jc w:val="center"/>
                    <w:rPr>
                      <w:color w:val="000000"/>
                      <w:kern w:val="0"/>
                      <w:sz w:val="22"/>
                    </w:rPr>
                  </w:pPr>
                </w:p>
              </w:tc>
              <w:tc>
                <w:tcPr>
                  <w:tcW w:w="1537" w:type="dxa"/>
                  <w:vAlign w:val="center"/>
                </w:tcPr>
                <w:p>
                  <w:pPr>
                    <w:widowControl/>
                    <w:jc w:val="center"/>
                    <w:rPr>
                      <w:color w:val="000000"/>
                      <w:kern w:val="0"/>
                      <w:sz w:val="22"/>
                    </w:rPr>
                  </w:pPr>
                  <w:r>
                    <w:rPr>
                      <w:color w:val="000000"/>
                      <w:kern w:val="0"/>
                      <w:sz w:val="22"/>
                    </w:rPr>
                    <w:t>397.1~402.1</w:t>
                  </w:r>
                </w:p>
              </w:tc>
              <w:tc>
                <w:tcPr>
                  <w:tcW w:w="1537" w:type="dxa"/>
                  <w:vAlign w:val="center"/>
                </w:tcPr>
                <w:p>
                  <w:pPr>
                    <w:widowControl/>
                    <w:jc w:val="center"/>
                    <w:rPr>
                      <w:color w:val="000000"/>
                      <w:kern w:val="0"/>
                      <w:sz w:val="22"/>
                    </w:rPr>
                  </w:pPr>
                  <w:r>
                    <w:rPr>
                      <w:color w:val="000000"/>
                      <w:kern w:val="0"/>
                      <w:sz w:val="22"/>
                    </w:rPr>
                    <w:t>515.0~519.0</w:t>
                  </w:r>
                </w:p>
              </w:tc>
              <w:tc>
                <w:tcPr>
                  <w:tcW w:w="535" w:type="dxa"/>
                  <w:vAlign w:val="center"/>
                </w:tcPr>
                <w:p>
                  <w:pPr>
                    <w:widowControl/>
                    <w:jc w:val="center"/>
                    <w:rPr>
                      <w:color w:val="000000"/>
                      <w:kern w:val="0"/>
                      <w:sz w:val="22"/>
                    </w:rPr>
                  </w:pPr>
                  <w:r>
                    <w:rPr>
                      <w:rFonts w:hint="eastAsia"/>
                      <w:color w:val="000000"/>
                      <w:kern w:val="0"/>
                      <w:sz w:val="22"/>
                    </w:rPr>
                    <w:t>3</w:t>
                  </w:r>
                  <w:r>
                    <w:rPr>
                      <w:color w:val="000000"/>
                      <w:kern w:val="0"/>
                      <w:sz w:val="22"/>
                    </w:rPr>
                    <w:t>.5</w:t>
                  </w:r>
                </w:p>
              </w:tc>
              <w:tc>
                <w:tcPr>
                  <w:tcW w:w="826" w:type="dxa"/>
                  <w:vAlign w:val="center"/>
                </w:tcPr>
                <w:p>
                  <w:pPr>
                    <w:widowControl/>
                    <w:jc w:val="center"/>
                    <w:rPr>
                      <w:color w:val="000000"/>
                      <w:kern w:val="0"/>
                      <w:sz w:val="22"/>
                    </w:rPr>
                  </w:pPr>
                  <w:r>
                    <w:rPr>
                      <w:color w:val="000000"/>
                      <w:kern w:val="0"/>
                      <w:sz w:val="22"/>
                    </w:rPr>
                    <w:t>63.7</w:t>
                  </w:r>
                </w:p>
              </w:tc>
              <w:tc>
                <w:tcPr>
                  <w:tcW w:w="830" w:type="dxa"/>
                  <w:vAlign w:val="center"/>
                </w:tcPr>
                <w:p>
                  <w:pPr>
                    <w:widowControl/>
                    <w:jc w:val="center"/>
                    <w:rPr>
                      <w:color w:val="000000"/>
                      <w:kern w:val="0"/>
                      <w:sz w:val="22"/>
                    </w:rPr>
                  </w:pPr>
                  <w:r>
                    <w:rPr>
                      <w:rFonts w:hint="eastAsia"/>
                      <w:color w:val="000000"/>
                      <w:kern w:val="0"/>
                      <w:sz w:val="22"/>
                    </w:rPr>
                    <w:t>1</w:t>
                  </w:r>
                </w:p>
              </w:tc>
              <w:tc>
                <w:tcPr>
                  <w:tcW w:w="711" w:type="dxa"/>
                  <w:vMerge w:val="continue"/>
                  <w:vAlign w:val="center"/>
                </w:tcPr>
                <w:p>
                  <w:pPr>
                    <w:jc w:val="center"/>
                    <w:rPr>
                      <w:color w:val="000000"/>
                      <w:kern w:val="0"/>
                      <w:sz w:val="22"/>
                    </w:rPr>
                  </w:pPr>
                </w:p>
              </w:tc>
              <w:tc>
                <w:tcPr>
                  <w:tcW w:w="530" w:type="dxa"/>
                  <w:vMerge w:val="continue"/>
                  <w:vAlign w:val="center"/>
                </w:tcPr>
                <w:p>
                  <w:pPr>
                    <w:widowControl/>
                    <w:jc w:val="center"/>
                    <w:rPr>
                      <w:color w:val="000000"/>
                      <w:kern w:val="0"/>
                      <w:sz w:val="22"/>
                    </w:rPr>
                  </w:pPr>
                </w:p>
              </w:tc>
            </w:tr>
          </w:tbl>
          <w:p>
            <w:pPr>
              <w:pStyle w:val="11"/>
              <w:spacing w:line="240" w:lineRule="auto"/>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注：声源空间相对位置的坐标系对应</w:t>
            </w:r>
            <w:r>
              <w:rPr>
                <w:color w:val="000000" w:themeColor="text1"/>
                <w:sz w:val="21"/>
                <w:szCs w:val="21"/>
                <w14:textFill>
                  <w14:solidFill>
                    <w14:schemeClr w14:val="tx1"/>
                  </w14:solidFill>
                </w14:textFill>
              </w:rPr>
              <w:t>110kV</w:t>
            </w:r>
            <w:r>
              <w:rPr>
                <w:rFonts w:hint="eastAsia"/>
                <w:color w:val="000000" w:themeColor="text1"/>
                <w:sz w:val="21"/>
                <w:szCs w:val="21"/>
                <w14:textFill>
                  <w14:solidFill>
                    <w14:schemeClr w14:val="tx1"/>
                  </w14:solidFill>
                </w14:textFill>
              </w:rPr>
              <w:t>东环变电站厂界西南角的坐标（X，Y，Z）为（</w:t>
            </w:r>
            <w:r>
              <w:rPr>
                <w:color w:val="000000" w:themeColor="text1"/>
                <w:sz w:val="21"/>
                <w:szCs w:val="21"/>
                <w14:textFill>
                  <w14:solidFill>
                    <w14:schemeClr w14:val="tx1"/>
                  </w14:solidFill>
                </w14:textFill>
              </w:rPr>
              <w:t>372</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492</w:t>
            </w:r>
            <w:r>
              <w:rPr>
                <w:rFonts w:hint="eastAsia"/>
                <w:color w:val="000000" w:themeColor="text1"/>
                <w:sz w:val="21"/>
                <w:szCs w:val="21"/>
                <w14:textFill>
                  <w14:solidFill>
                    <w14:schemeClr w14:val="tx1"/>
                  </w14:solidFill>
                </w14:textFill>
              </w:rPr>
              <w:t>，0），单位m，东向为X轴正方向，北向为Y轴正方向，竖直向上为Z轴正方向。</w:t>
            </w:r>
          </w:p>
          <w:p>
            <w:pPr>
              <w:pStyle w:val="199"/>
              <w:spacing w:before="120" w:beforeLines="50"/>
            </w:pPr>
            <w:r>
              <w:rPr>
                <w:rFonts w:hint="eastAsia"/>
              </w:rPr>
              <w:t>（2）频谱信息</w:t>
            </w:r>
          </w:p>
          <w:p>
            <w:pPr>
              <w:pStyle w:val="199"/>
            </w:pPr>
            <w:r>
              <w:rPr>
                <w:rFonts w:hint="eastAsia"/>
              </w:rPr>
              <w:t>本次预测采用主要噪声源倍频带中心频率的声压级进行计算，频谱信息见</w:t>
            </w:r>
            <w:r>
              <w:fldChar w:fldCharType="begin"/>
            </w:r>
            <w:r>
              <w:instrText xml:space="preserve"> </w:instrText>
            </w:r>
            <w:r>
              <w:rPr>
                <w:rFonts w:hint="eastAsia"/>
              </w:rPr>
              <w:instrText xml:space="preserve">REF _Ref187414706 \h</w:instrText>
            </w:r>
            <w:r>
              <w:instrText xml:space="preserve"> </w:instrText>
            </w:r>
            <w:r>
              <w:fldChar w:fldCharType="separate"/>
            </w:r>
            <w:r>
              <w:rPr>
                <w:rFonts w:hint="eastAsia"/>
              </w:rPr>
              <w:t xml:space="preserve">表 </w:t>
            </w:r>
            <w:r>
              <w:t>13</w:t>
            </w:r>
            <w:r>
              <w:fldChar w:fldCharType="end"/>
            </w:r>
            <w:r>
              <w:rPr>
                <w:rFonts w:hint="eastAsia"/>
              </w:rPr>
              <w:t>。</w:t>
            </w:r>
          </w:p>
          <w:p>
            <w:pPr>
              <w:pStyle w:val="18"/>
              <w:ind w:firstLine="420"/>
            </w:pPr>
            <w:bookmarkStart w:id="656" w:name="_Ref187414706"/>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t>13</w:t>
            </w:r>
            <w:r>
              <w:fldChar w:fldCharType="end"/>
            </w:r>
            <w:bookmarkEnd w:id="656"/>
            <w:r>
              <w:t xml:space="preserve">                       </w:t>
            </w:r>
            <w:r>
              <w:rPr>
                <w:rFonts w:hint="eastAsia"/>
              </w:rPr>
              <w:t>本工程拟建主变噪声预测频谱信息</w:t>
            </w:r>
          </w:p>
          <w:tbl>
            <w:tblPr>
              <w:tblStyle w:val="4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96"/>
              <w:gridCol w:w="671"/>
              <w:gridCol w:w="776"/>
              <w:gridCol w:w="776"/>
              <w:gridCol w:w="776"/>
              <w:gridCol w:w="671"/>
              <w:gridCol w:w="671"/>
              <w:gridCol w:w="671"/>
              <w:gridCol w:w="671"/>
              <w:gridCol w:w="11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13" w:type="pct"/>
                  <w:vMerge w:val="restart"/>
                  <w:vAlign w:val="center"/>
                </w:tcPr>
                <w:p>
                  <w:pPr>
                    <w:snapToGrid w:val="0"/>
                    <w:jc w:val="center"/>
                    <w:rPr>
                      <w:bCs/>
                      <w:szCs w:val="21"/>
                    </w:rPr>
                  </w:pPr>
                  <w:r>
                    <w:rPr>
                      <w:bCs/>
                      <w:szCs w:val="21"/>
                    </w:rPr>
                    <w:t>设备名称</w:t>
                  </w:r>
                </w:p>
              </w:tc>
              <w:tc>
                <w:tcPr>
                  <w:tcW w:w="3399" w:type="pct"/>
                  <w:gridSpan w:val="8"/>
                  <w:tcBorders>
                    <w:right w:val="single" w:color="auto" w:sz="4" w:space="0"/>
                  </w:tcBorders>
                  <w:vAlign w:val="center"/>
                </w:tcPr>
                <w:p>
                  <w:pPr>
                    <w:snapToGrid w:val="0"/>
                    <w:jc w:val="center"/>
                    <w:rPr>
                      <w:bCs/>
                      <w:szCs w:val="21"/>
                    </w:rPr>
                  </w:pPr>
                  <w:r>
                    <w:rPr>
                      <w:bCs/>
                      <w:szCs w:val="21"/>
                    </w:rPr>
                    <w:t>倍频程中心频率的</w:t>
                  </w:r>
                  <w:r>
                    <w:rPr>
                      <w:rFonts w:hint="eastAsia"/>
                      <w:bCs/>
                      <w:szCs w:val="21"/>
                    </w:rPr>
                    <w:t>声压级</w:t>
                  </w:r>
                  <w:r>
                    <w:rPr>
                      <w:bCs/>
                      <w:szCs w:val="21"/>
                    </w:rPr>
                    <w:t>dB</w:t>
                  </w:r>
                </w:p>
              </w:tc>
              <w:tc>
                <w:tcPr>
                  <w:tcW w:w="688" w:type="pct"/>
                  <w:vMerge w:val="restart"/>
                  <w:vAlign w:val="center"/>
                </w:tcPr>
                <w:p>
                  <w:pPr>
                    <w:snapToGrid w:val="0"/>
                    <w:jc w:val="center"/>
                    <w:rPr>
                      <w:bCs/>
                      <w:szCs w:val="21"/>
                    </w:rPr>
                  </w:pPr>
                  <w:r>
                    <w:rPr>
                      <w:bCs/>
                      <w:szCs w:val="21"/>
                    </w:rPr>
                    <w:t>声</w:t>
                  </w:r>
                  <w:r>
                    <w:rPr>
                      <w:rFonts w:hint="eastAsia"/>
                      <w:bCs/>
                      <w:szCs w:val="21"/>
                    </w:rPr>
                    <w:t>压</w:t>
                  </w:r>
                  <w:r>
                    <w:rPr>
                      <w:bCs/>
                      <w:szCs w:val="21"/>
                    </w:rPr>
                    <w:t>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13" w:type="pct"/>
                  <w:vMerge w:val="continue"/>
                  <w:vAlign w:val="center"/>
                </w:tcPr>
                <w:p>
                  <w:pPr>
                    <w:snapToGrid w:val="0"/>
                    <w:jc w:val="center"/>
                    <w:rPr>
                      <w:bCs/>
                      <w:szCs w:val="21"/>
                    </w:rPr>
                  </w:pPr>
                </w:p>
              </w:tc>
              <w:tc>
                <w:tcPr>
                  <w:tcW w:w="401" w:type="pct"/>
                  <w:tcBorders>
                    <w:right w:val="single" w:color="auto" w:sz="4" w:space="0"/>
                  </w:tcBorders>
                  <w:vAlign w:val="center"/>
                </w:tcPr>
                <w:p>
                  <w:pPr>
                    <w:snapToGrid w:val="0"/>
                    <w:jc w:val="center"/>
                    <w:rPr>
                      <w:bCs/>
                      <w:szCs w:val="21"/>
                    </w:rPr>
                  </w:pPr>
                  <w:r>
                    <w:rPr>
                      <w:bCs/>
                      <w:szCs w:val="21"/>
                    </w:rPr>
                    <w:t>63Hz</w:t>
                  </w:r>
                </w:p>
              </w:tc>
              <w:tc>
                <w:tcPr>
                  <w:tcW w:w="464" w:type="pct"/>
                  <w:tcBorders>
                    <w:left w:val="single" w:color="auto" w:sz="4" w:space="0"/>
                  </w:tcBorders>
                  <w:vAlign w:val="center"/>
                </w:tcPr>
                <w:p>
                  <w:pPr>
                    <w:snapToGrid w:val="0"/>
                    <w:jc w:val="center"/>
                    <w:rPr>
                      <w:bCs/>
                      <w:szCs w:val="21"/>
                    </w:rPr>
                  </w:pPr>
                  <w:r>
                    <w:rPr>
                      <w:bCs/>
                      <w:szCs w:val="21"/>
                    </w:rPr>
                    <w:t>125Hz</w:t>
                  </w:r>
                </w:p>
              </w:tc>
              <w:tc>
                <w:tcPr>
                  <w:tcW w:w="464" w:type="pct"/>
                  <w:vAlign w:val="center"/>
                </w:tcPr>
                <w:p>
                  <w:pPr>
                    <w:snapToGrid w:val="0"/>
                    <w:jc w:val="center"/>
                    <w:rPr>
                      <w:bCs/>
                      <w:szCs w:val="21"/>
                    </w:rPr>
                  </w:pPr>
                  <w:r>
                    <w:rPr>
                      <w:bCs/>
                      <w:szCs w:val="21"/>
                    </w:rPr>
                    <w:t>250Hz</w:t>
                  </w:r>
                </w:p>
              </w:tc>
              <w:tc>
                <w:tcPr>
                  <w:tcW w:w="464" w:type="pct"/>
                  <w:vAlign w:val="center"/>
                </w:tcPr>
                <w:p>
                  <w:pPr>
                    <w:snapToGrid w:val="0"/>
                    <w:jc w:val="center"/>
                    <w:rPr>
                      <w:bCs/>
                      <w:szCs w:val="21"/>
                    </w:rPr>
                  </w:pPr>
                  <w:r>
                    <w:rPr>
                      <w:bCs/>
                      <w:szCs w:val="21"/>
                    </w:rPr>
                    <w:t>500Hz</w:t>
                  </w:r>
                </w:p>
              </w:tc>
              <w:tc>
                <w:tcPr>
                  <w:tcW w:w="401" w:type="pct"/>
                  <w:vAlign w:val="center"/>
                </w:tcPr>
                <w:p>
                  <w:pPr>
                    <w:snapToGrid w:val="0"/>
                    <w:jc w:val="center"/>
                    <w:rPr>
                      <w:bCs/>
                      <w:szCs w:val="21"/>
                    </w:rPr>
                  </w:pPr>
                  <w:r>
                    <w:rPr>
                      <w:bCs/>
                      <w:szCs w:val="21"/>
                    </w:rPr>
                    <w:t>1</w:t>
                  </w:r>
                  <w:r>
                    <w:rPr>
                      <w:rFonts w:hint="eastAsia"/>
                      <w:bCs/>
                      <w:szCs w:val="21"/>
                    </w:rPr>
                    <w:t>k</w:t>
                  </w:r>
                  <w:r>
                    <w:rPr>
                      <w:bCs/>
                      <w:szCs w:val="21"/>
                    </w:rPr>
                    <w:t>Hz</w:t>
                  </w:r>
                </w:p>
              </w:tc>
              <w:tc>
                <w:tcPr>
                  <w:tcW w:w="401" w:type="pct"/>
                  <w:vAlign w:val="center"/>
                </w:tcPr>
                <w:p>
                  <w:pPr>
                    <w:snapToGrid w:val="0"/>
                    <w:jc w:val="center"/>
                    <w:rPr>
                      <w:bCs/>
                      <w:szCs w:val="21"/>
                    </w:rPr>
                  </w:pPr>
                  <w:r>
                    <w:rPr>
                      <w:bCs/>
                      <w:szCs w:val="21"/>
                    </w:rPr>
                    <w:t>2</w:t>
                  </w:r>
                  <w:r>
                    <w:rPr>
                      <w:rFonts w:hint="eastAsia"/>
                      <w:bCs/>
                      <w:szCs w:val="21"/>
                    </w:rPr>
                    <w:t>k</w:t>
                  </w:r>
                  <w:r>
                    <w:rPr>
                      <w:bCs/>
                      <w:szCs w:val="21"/>
                    </w:rPr>
                    <w:t>Hz</w:t>
                  </w:r>
                </w:p>
              </w:tc>
              <w:tc>
                <w:tcPr>
                  <w:tcW w:w="401" w:type="pct"/>
                  <w:vAlign w:val="center"/>
                </w:tcPr>
                <w:p>
                  <w:pPr>
                    <w:snapToGrid w:val="0"/>
                    <w:jc w:val="center"/>
                    <w:rPr>
                      <w:bCs/>
                      <w:szCs w:val="21"/>
                    </w:rPr>
                  </w:pPr>
                  <w:r>
                    <w:rPr>
                      <w:bCs/>
                      <w:szCs w:val="21"/>
                    </w:rPr>
                    <w:t>4</w:t>
                  </w:r>
                  <w:r>
                    <w:rPr>
                      <w:rFonts w:hint="eastAsia"/>
                      <w:bCs/>
                      <w:szCs w:val="21"/>
                    </w:rPr>
                    <w:t>k</w:t>
                  </w:r>
                  <w:r>
                    <w:rPr>
                      <w:bCs/>
                      <w:szCs w:val="21"/>
                    </w:rPr>
                    <w:t>Hz</w:t>
                  </w:r>
                </w:p>
              </w:tc>
              <w:tc>
                <w:tcPr>
                  <w:tcW w:w="401" w:type="pct"/>
                  <w:tcBorders>
                    <w:right w:val="single" w:color="auto" w:sz="4" w:space="0"/>
                  </w:tcBorders>
                  <w:vAlign w:val="center"/>
                </w:tcPr>
                <w:p>
                  <w:pPr>
                    <w:snapToGrid w:val="0"/>
                    <w:jc w:val="center"/>
                    <w:rPr>
                      <w:bCs/>
                      <w:szCs w:val="21"/>
                    </w:rPr>
                  </w:pPr>
                  <w:r>
                    <w:rPr>
                      <w:bCs/>
                      <w:szCs w:val="21"/>
                    </w:rPr>
                    <w:t>8</w:t>
                  </w:r>
                  <w:r>
                    <w:rPr>
                      <w:rFonts w:hint="eastAsia"/>
                      <w:bCs/>
                      <w:szCs w:val="21"/>
                    </w:rPr>
                    <w:t>k</w:t>
                  </w:r>
                  <w:r>
                    <w:rPr>
                      <w:bCs/>
                      <w:szCs w:val="21"/>
                    </w:rPr>
                    <w:t>Hz</w:t>
                  </w:r>
                </w:p>
              </w:tc>
              <w:tc>
                <w:tcPr>
                  <w:tcW w:w="688" w:type="pct"/>
                  <w:vMerge w:val="continue"/>
                  <w:vAlign w:val="center"/>
                </w:tcPr>
                <w:p>
                  <w:pPr>
                    <w:snapToGrid w:val="0"/>
                    <w:jc w:val="center"/>
                    <w:rPr>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13" w:type="pct"/>
                  <w:vAlign w:val="center"/>
                </w:tcPr>
                <w:p>
                  <w:pPr>
                    <w:snapToGrid w:val="0"/>
                    <w:jc w:val="center"/>
                    <w:rPr>
                      <w:bCs/>
                      <w:i/>
                      <w:szCs w:val="21"/>
                    </w:rPr>
                  </w:pPr>
                  <w:r>
                    <w:rPr>
                      <w:bCs/>
                      <w:snapToGrid w:val="0"/>
                      <w:szCs w:val="21"/>
                    </w:rPr>
                    <w:t>110kV</w:t>
                  </w:r>
                  <w:r>
                    <w:rPr>
                      <w:rFonts w:hint="eastAsia"/>
                      <w:bCs/>
                      <w:snapToGrid w:val="0"/>
                      <w:szCs w:val="21"/>
                    </w:rPr>
                    <w:t>主变</w:t>
                  </w:r>
                </w:p>
              </w:tc>
              <w:tc>
                <w:tcPr>
                  <w:tcW w:w="401" w:type="pct"/>
                  <w:tcBorders>
                    <w:right w:val="single" w:color="auto" w:sz="4" w:space="0"/>
                  </w:tcBorders>
                  <w:vAlign w:val="center"/>
                </w:tcPr>
                <w:p>
                  <w:pPr>
                    <w:snapToGrid w:val="0"/>
                    <w:jc w:val="center"/>
                    <w:rPr>
                      <w:bCs/>
                      <w:szCs w:val="21"/>
                    </w:rPr>
                  </w:pPr>
                  <w:r>
                    <w:rPr>
                      <w:rFonts w:hint="eastAsia"/>
                      <w:bCs/>
                      <w:szCs w:val="21"/>
                    </w:rPr>
                    <w:t>4</w:t>
                  </w:r>
                  <w:r>
                    <w:rPr>
                      <w:bCs/>
                      <w:szCs w:val="21"/>
                    </w:rPr>
                    <w:t>5.7</w:t>
                  </w:r>
                </w:p>
              </w:tc>
              <w:tc>
                <w:tcPr>
                  <w:tcW w:w="464" w:type="pct"/>
                  <w:tcBorders>
                    <w:left w:val="single" w:color="auto" w:sz="4" w:space="0"/>
                  </w:tcBorders>
                  <w:vAlign w:val="center"/>
                </w:tcPr>
                <w:p>
                  <w:pPr>
                    <w:snapToGrid w:val="0"/>
                    <w:jc w:val="center"/>
                    <w:rPr>
                      <w:bCs/>
                      <w:szCs w:val="21"/>
                    </w:rPr>
                  </w:pPr>
                  <w:r>
                    <w:rPr>
                      <w:rFonts w:hint="eastAsia"/>
                      <w:bCs/>
                      <w:szCs w:val="21"/>
                    </w:rPr>
                    <w:t>5</w:t>
                  </w:r>
                  <w:r>
                    <w:rPr>
                      <w:bCs/>
                      <w:szCs w:val="21"/>
                    </w:rPr>
                    <w:t>8.3</w:t>
                  </w:r>
                </w:p>
              </w:tc>
              <w:tc>
                <w:tcPr>
                  <w:tcW w:w="464" w:type="pct"/>
                  <w:vAlign w:val="center"/>
                </w:tcPr>
                <w:p>
                  <w:pPr>
                    <w:snapToGrid w:val="0"/>
                    <w:jc w:val="center"/>
                    <w:rPr>
                      <w:bCs/>
                      <w:szCs w:val="21"/>
                    </w:rPr>
                  </w:pPr>
                  <w:r>
                    <w:rPr>
                      <w:rFonts w:hint="eastAsia"/>
                      <w:bCs/>
                      <w:szCs w:val="21"/>
                    </w:rPr>
                    <w:t>5</w:t>
                  </w:r>
                  <w:r>
                    <w:rPr>
                      <w:bCs/>
                      <w:szCs w:val="21"/>
                    </w:rPr>
                    <w:t>7.9</w:t>
                  </w:r>
                </w:p>
              </w:tc>
              <w:tc>
                <w:tcPr>
                  <w:tcW w:w="464" w:type="pct"/>
                  <w:vAlign w:val="center"/>
                </w:tcPr>
                <w:p>
                  <w:pPr>
                    <w:snapToGrid w:val="0"/>
                    <w:jc w:val="center"/>
                    <w:rPr>
                      <w:bCs/>
                      <w:szCs w:val="21"/>
                    </w:rPr>
                  </w:pPr>
                  <w:r>
                    <w:rPr>
                      <w:rFonts w:hint="eastAsia"/>
                      <w:bCs/>
                      <w:szCs w:val="21"/>
                    </w:rPr>
                    <w:t>6</w:t>
                  </w:r>
                  <w:r>
                    <w:rPr>
                      <w:bCs/>
                      <w:szCs w:val="21"/>
                    </w:rPr>
                    <w:t>5.6</w:t>
                  </w:r>
                </w:p>
              </w:tc>
              <w:tc>
                <w:tcPr>
                  <w:tcW w:w="401" w:type="pct"/>
                  <w:vAlign w:val="center"/>
                </w:tcPr>
                <w:p>
                  <w:pPr>
                    <w:snapToGrid w:val="0"/>
                    <w:jc w:val="center"/>
                    <w:rPr>
                      <w:bCs/>
                      <w:szCs w:val="21"/>
                    </w:rPr>
                  </w:pPr>
                  <w:r>
                    <w:rPr>
                      <w:rFonts w:hint="eastAsia"/>
                      <w:bCs/>
                      <w:szCs w:val="21"/>
                    </w:rPr>
                    <w:t>5</w:t>
                  </w:r>
                  <w:r>
                    <w:rPr>
                      <w:bCs/>
                      <w:szCs w:val="21"/>
                    </w:rPr>
                    <w:t>5.6</w:t>
                  </w:r>
                </w:p>
              </w:tc>
              <w:tc>
                <w:tcPr>
                  <w:tcW w:w="401" w:type="pct"/>
                  <w:vAlign w:val="center"/>
                </w:tcPr>
                <w:p>
                  <w:pPr>
                    <w:snapToGrid w:val="0"/>
                    <w:jc w:val="center"/>
                    <w:rPr>
                      <w:bCs/>
                      <w:szCs w:val="21"/>
                    </w:rPr>
                  </w:pPr>
                  <w:r>
                    <w:rPr>
                      <w:rFonts w:hint="eastAsia"/>
                      <w:bCs/>
                      <w:szCs w:val="21"/>
                    </w:rPr>
                    <w:t>4</w:t>
                  </w:r>
                  <w:r>
                    <w:rPr>
                      <w:bCs/>
                      <w:szCs w:val="21"/>
                    </w:rPr>
                    <w:t>8.2</w:t>
                  </w:r>
                </w:p>
              </w:tc>
              <w:tc>
                <w:tcPr>
                  <w:tcW w:w="401" w:type="pct"/>
                  <w:vAlign w:val="center"/>
                </w:tcPr>
                <w:p>
                  <w:pPr>
                    <w:snapToGrid w:val="0"/>
                    <w:jc w:val="center"/>
                    <w:rPr>
                      <w:bCs/>
                      <w:szCs w:val="21"/>
                    </w:rPr>
                  </w:pPr>
                  <w:r>
                    <w:rPr>
                      <w:rFonts w:hint="eastAsia"/>
                      <w:bCs/>
                      <w:szCs w:val="21"/>
                    </w:rPr>
                    <w:t>4</w:t>
                  </w:r>
                  <w:r>
                    <w:rPr>
                      <w:bCs/>
                      <w:szCs w:val="21"/>
                    </w:rPr>
                    <w:t>6.1</w:t>
                  </w:r>
                </w:p>
              </w:tc>
              <w:tc>
                <w:tcPr>
                  <w:tcW w:w="401" w:type="pct"/>
                  <w:vAlign w:val="center"/>
                </w:tcPr>
                <w:p>
                  <w:pPr>
                    <w:snapToGrid w:val="0"/>
                    <w:jc w:val="center"/>
                    <w:rPr>
                      <w:bCs/>
                      <w:szCs w:val="21"/>
                    </w:rPr>
                  </w:pPr>
                  <w:r>
                    <w:rPr>
                      <w:rFonts w:hint="eastAsia"/>
                      <w:bCs/>
                      <w:szCs w:val="21"/>
                    </w:rPr>
                    <w:t>4</w:t>
                  </w:r>
                  <w:r>
                    <w:rPr>
                      <w:bCs/>
                      <w:szCs w:val="21"/>
                    </w:rPr>
                    <w:t>0.3</w:t>
                  </w:r>
                </w:p>
              </w:tc>
              <w:tc>
                <w:tcPr>
                  <w:tcW w:w="688" w:type="pct"/>
                  <w:vAlign w:val="center"/>
                </w:tcPr>
                <w:p>
                  <w:pPr>
                    <w:snapToGrid w:val="0"/>
                    <w:jc w:val="center"/>
                    <w:rPr>
                      <w:bCs/>
                      <w:szCs w:val="21"/>
                    </w:rPr>
                  </w:pPr>
                  <w:r>
                    <w:rPr>
                      <w:rFonts w:eastAsia="等线"/>
                      <w:color w:val="000000" w:themeColor="text1"/>
                      <w:szCs w:val="21"/>
                      <w14:textFill>
                        <w14:solidFill>
                          <w14:schemeClr w14:val="tx1"/>
                        </w14:solidFill>
                      </w14:textFill>
                    </w:rPr>
                    <w:t>63.7</w:t>
                  </w:r>
                </w:p>
              </w:tc>
            </w:tr>
          </w:tbl>
          <w:p>
            <w:pPr>
              <w:pStyle w:val="199"/>
              <w:spacing w:line="240" w:lineRule="auto"/>
            </w:pPr>
          </w:p>
          <w:p>
            <w:pPr>
              <w:pStyle w:val="199"/>
            </w:pPr>
            <w:r>
              <w:rPr>
                <w:rFonts w:hint="eastAsia"/>
              </w:rPr>
              <w:t>（</w:t>
            </w:r>
            <w:r>
              <w:t>3</w:t>
            </w:r>
            <w:r>
              <w:rPr>
                <w:rFonts w:hint="eastAsia"/>
              </w:rPr>
              <w:t>）站内建筑物衰减因素及高度</w:t>
            </w:r>
          </w:p>
          <w:p>
            <w:pPr>
              <w:pStyle w:val="199"/>
              <w:rPr>
                <w:bCs/>
                <w:snapToGrid w:val="0"/>
              </w:rPr>
            </w:pPr>
            <w:r>
              <w:rPr>
                <w:bCs/>
                <w:snapToGrid w:val="0"/>
              </w:rPr>
              <w:t>噪声预测考虑建筑物的隔声等衰减因素，建筑物墙面吸声系数0.21，围墙、防火墙吸声系数取0.21，地面吸声系数取1。</w:t>
            </w:r>
          </w:p>
          <w:p>
            <w:pPr>
              <w:pStyle w:val="199"/>
              <w:rPr>
                <w:rFonts w:hint="eastAsia" w:ascii="宋体" w:hAnsi="宋体"/>
                <w:bCs/>
                <w:snapToGrid w:val="0"/>
              </w:rPr>
            </w:pPr>
            <w:r>
              <w:rPr>
                <w:rFonts w:ascii="宋体" w:hAnsi="宋体"/>
                <w:bCs/>
                <w:snapToGrid w:val="0"/>
              </w:rPr>
              <w:t>变电站站内</w:t>
            </w:r>
            <w:r>
              <w:rPr>
                <w:rFonts w:hint="eastAsia" w:ascii="宋体" w:hAnsi="宋体"/>
                <w:bCs/>
                <w:snapToGrid w:val="0"/>
              </w:rPr>
              <w:t>主要</w:t>
            </w:r>
            <w:r>
              <w:rPr>
                <w:rFonts w:ascii="宋体" w:hAnsi="宋体"/>
                <w:bCs/>
                <w:snapToGrid w:val="0"/>
              </w:rPr>
              <w:t>建（构）筑高度见</w:t>
            </w:r>
            <w:r>
              <w:rPr>
                <w:rFonts w:ascii="宋体" w:hAnsi="宋体"/>
                <w:bCs/>
                <w:snapToGrid w:val="0"/>
              </w:rPr>
              <w:fldChar w:fldCharType="begin"/>
            </w:r>
            <w:r>
              <w:rPr>
                <w:rFonts w:ascii="宋体" w:hAnsi="宋体"/>
                <w:bCs/>
                <w:snapToGrid w:val="0"/>
              </w:rPr>
              <w:instrText xml:space="preserve"> REF _Ref176181678 \h </w:instrText>
            </w:r>
            <w:r>
              <w:rPr>
                <w:rFonts w:ascii="宋体" w:hAnsi="宋体"/>
                <w:bCs/>
                <w:snapToGrid w:val="0"/>
              </w:rPr>
              <w:fldChar w:fldCharType="separate"/>
            </w:r>
            <w:r>
              <w:rPr>
                <w:rFonts w:hint="eastAsia"/>
              </w:rPr>
              <w:t xml:space="preserve">表 </w:t>
            </w:r>
            <w:r>
              <w:t>14</w:t>
            </w:r>
            <w:r>
              <w:rPr>
                <w:rFonts w:ascii="宋体" w:hAnsi="宋体"/>
                <w:bCs/>
                <w:snapToGrid w:val="0"/>
              </w:rPr>
              <w:fldChar w:fldCharType="end"/>
            </w:r>
            <w:r>
              <w:rPr>
                <w:rFonts w:hint="eastAsia" w:ascii="宋体" w:hAnsi="宋体"/>
                <w:bCs/>
                <w:snapToGrid w:val="0"/>
              </w:rPr>
              <w:t>。</w:t>
            </w:r>
          </w:p>
          <w:p>
            <w:pPr>
              <w:pStyle w:val="18"/>
              <w:ind w:firstLine="420"/>
            </w:pPr>
            <w:bookmarkStart w:id="657" w:name="_Ref176181678"/>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t>14</w:t>
            </w:r>
            <w:r>
              <w:fldChar w:fldCharType="end"/>
            </w:r>
            <w:bookmarkEnd w:id="657"/>
            <w:r>
              <w:t xml:space="preserve">           </w:t>
            </w:r>
            <w:r>
              <w:rPr>
                <w:rFonts w:hint="eastAsia"/>
              </w:rPr>
              <w:t>拟建东环110kV变电站站内主要建（构）筑物高度一览表</w:t>
            </w:r>
          </w:p>
          <w:tbl>
            <w:tblPr>
              <w:tblStyle w:val="4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94"/>
              <w:gridCol w:w="5511"/>
              <w:gridCol w:w="20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blHeader/>
                <w:jc w:val="center"/>
              </w:trPr>
              <w:tc>
                <w:tcPr>
                  <w:tcW w:w="418" w:type="pct"/>
                  <w:tcBorders>
                    <w:top w:val="single" w:color="000000" w:sz="4" w:space="0"/>
                    <w:left w:val="single" w:color="000000" w:sz="4" w:space="0"/>
                    <w:right w:val="single" w:color="000000" w:sz="4" w:space="0"/>
                  </w:tcBorders>
                  <w:vAlign w:val="center"/>
                </w:tcPr>
                <w:p>
                  <w:pPr>
                    <w:snapToGrid w:val="0"/>
                    <w:jc w:val="center"/>
                    <w:rPr>
                      <w:szCs w:val="21"/>
                    </w:rPr>
                  </w:pPr>
                  <w:r>
                    <w:rPr>
                      <w:rFonts w:hint="eastAsia"/>
                      <w:szCs w:val="21"/>
                    </w:rPr>
                    <w:t>序号</w:t>
                  </w:r>
                </w:p>
              </w:tc>
              <w:tc>
                <w:tcPr>
                  <w:tcW w:w="3319" w:type="pct"/>
                  <w:tcBorders>
                    <w:top w:val="single" w:color="000000" w:sz="4" w:space="0"/>
                    <w:left w:val="single" w:color="000000" w:sz="4" w:space="0"/>
                    <w:right w:val="single" w:color="000000" w:sz="4" w:space="0"/>
                  </w:tcBorders>
                  <w:tcMar>
                    <w:left w:w="0" w:type="dxa"/>
                    <w:right w:w="0" w:type="dxa"/>
                  </w:tcMar>
                  <w:vAlign w:val="center"/>
                </w:tcPr>
                <w:p>
                  <w:pPr>
                    <w:snapToGrid w:val="0"/>
                    <w:jc w:val="center"/>
                    <w:rPr>
                      <w:szCs w:val="21"/>
                    </w:rPr>
                  </w:pPr>
                  <w:r>
                    <w:rPr>
                      <w:rFonts w:hint="eastAsia"/>
                      <w:szCs w:val="21"/>
                    </w:rPr>
                    <w:t>项目</w:t>
                  </w:r>
                </w:p>
              </w:tc>
              <w:tc>
                <w:tcPr>
                  <w:tcW w:w="1263" w:type="pct"/>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snapToGrid w:val="0"/>
                    <w:jc w:val="center"/>
                    <w:rPr>
                      <w:szCs w:val="21"/>
                    </w:rPr>
                  </w:pPr>
                  <w:r>
                    <w:rPr>
                      <w:rFonts w:hint="eastAsia"/>
                      <w:szCs w:val="21"/>
                    </w:rPr>
                    <w:t>参数值/（m）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18"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szCs w:val="21"/>
                    </w:rPr>
                    <w:t>1</w:t>
                  </w:r>
                </w:p>
              </w:tc>
              <w:tc>
                <w:tcPr>
                  <w:tcW w:w="3319" w:type="pct"/>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snapToGrid w:val="0"/>
                    <w:jc w:val="center"/>
                    <w:rPr>
                      <w:szCs w:val="21"/>
                    </w:rPr>
                  </w:pPr>
                  <w:r>
                    <w:rPr>
                      <w:rFonts w:hint="eastAsia"/>
                      <w:szCs w:val="21"/>
                    </w:rPr>
                    <w:t>实体围墙</w:t>
                  </w:r>
                  <w:r>
                    <w:rPr>
                      <w:szCs w:val="21"/>
                    </w:rPr>
                    <w:t>高度</w:t>
                  </w:r>
                </w:p>
              </w:tc>
              <w:tc>
                <w:tcPr>
                  <w:tcW w:w="1263" w:type="pct"/>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snapToGrid w:val="0"/>
                    <w:jc w:val="center"/>
                    <w:rPr>
                      <w:szCs w:val="21"/>
                    </w:rPr>
                  </w:pPr>
                  <w:r>
                    <w:rPr>
                      <w:rFonts w:hint="eastAsia"/>
                      <w:szCs w:val="21"/>
                    </w:rPr>
                    <w:t>2</w:t>
                  </w:r>
                  <w:r>
                    <w:rPr>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18"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2</w:t>
                  </w:r>
                </w:p>
              </w:tc>
              <w:tc>
                <w:tcPr>
                  <w:tcW w:w="3319" w:type="pct"/>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snapToGrid w:val="0"/>
                    <w:jc w:val="center"/>
                    <w:rPr>
                      <w:szCs w:val="21"/>
                    </w:rPr>
                  </w:pPr>
                  <w:r>
                    <w:rPr>
                      <w:rFonts w:hint="eastAsia"/>
                      <w:szCs w:val="21"/>
                    </w:rPr>
                    <w:t>配电装置室高度</w:t>
                  </w:r>
                </w:p>
              </w:tc>
              <w:tc>
                <w:tcPr>
                  <w:tcW w:w="1263" w:type="pct"/>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snapToGrid w:val="0"/>
                    <w:jc w:val="center"/>
                    <w:rPr>
                      <w:szCs w:val="21"/>
                    </w:rPr>
                  </w:pPr>
                  <w:r>
                    <w:rPr>
                      <w:szCs w:val="21"/>
                    </w:rPr>
                    <w:t>6.25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18"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3</w:t>
                  </w:r>
                </w:p>
              </w:tc>
              <w:tc>
                <w:tcPr>
                  <w:tcW w:w="3319" w:type="pct"/>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snapToGrid w:val="0"/>
                    <w:jc w:val="center"/>
                    <w:rPr>
                      <w:szCs w:val="21"/>
                    </w:rPr>
                  </w:pPr>
                  <w:r>
                    <w:rPr>
                      <w:rFonts w:hint="eastAsia"/>
                      <w:szCs w:val="21"/>
                    </w:rPr>
                    <w:t>辅助用房高度</w:t>
                  </w:r>
                </w:p>
              </w:tc>
              <w:tc>
                <w:tcPr>
                  <w:tcW w:w="1263" w:type="pct"/>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snapToGrid w:val="0"/>
                    <w:jc w:val="center"/>
                    <w:rPr>
                      <w:szCs w:val="21"/>
                    </w:rPr>
                  </w:pPr>
                  <w:r>
                    <w:rPr>
                      <w:szCs w:val="21"/>
                    </w:rPr>
                    <w:t>4.95</w:t>
                  </w:r>
                </w:p>
              </w:tc>
            </w:tr>
          </w:tbl>
          <w:p>
            <w:pPr>
              <w:pStyle w:val="199"/>
              <w:spacing w:before="120" w:beforeLines="50"/>
            </w:pPr>
            <w:r>
              <w:rPr>
                <w:rFonts w:hint="eastAsia"/>
              </w:rPr>
              <w:t>（</w:t>
            </w:r>
            <w:r>
              <w:t>4</w:t>
            </w:r>
            <w:r>
              <w:rPr>
                <w:rFonts w:hint="eastAsia"/>
              </w:rPr>
              <w:t>）声环境保护目标</w:t>
            </w:r>
          </w:p>
          <w:p>
            <w:pPr>
              <w:pStyle w:val="199"/>
              <w:rPr>
                <w:rFonts w:cs="宋体"/>
                <w:color w:val="000000"/>
              </w:rPr>
            </w:pPr>
            <w:r>
              <w:rPr>
                <w:rFonts w:hint="eastAsia"/>
              </w:rPr>
              <w:t>本工程拟建东环110kV变电站</w:t>
            </w:r>
            <w:r>
              <w:rPr>
                <w:rFonts w:hint="eastAsia" w:cs="宋体"/>
                <w:color w:val="000000"/>
              </w:rPr>
              <w:t>声环境评价范围内无声环境保护目标。</w:t>
            </w:r>
          </w:p>
          <w:p>
            <w:pPr>
              <w:pStyle w:val="11"/>
              <w:numPr>
                <w:ilvl w:val="3"/>
                <w:numId w:val="21"/>
              </w:numPr>
              <w:ind w:left="1270" w:firstLineChars="0"/>
              <w:rPr>
                <w:b/>
                <w:color w:val="000000"/>
                <w:kern w:val="0"/>
                <w:szCs w:val="21"/>
              </w:rPr>
            </w:pPr>
            <w:r>
              <w:rPr>
                <w:b/>
                <w:color w:val="000000"/>
                <w:kern w:val="0"/>
                <w:szCs w:val="21"/>
              </w:rPr>
              <w:t>预测点位</w:t>
            </w:r>
          </w:p>
          <w:p>
            <w:pPr>
              <w:pStyle w:val="11"/>
              <w:rPr>
                <w:color w:val="000000"/>
              </w:rPr>
            </w:pPr>
            <w:r>
              <w:rPr>
                <w:color w:val="000000"/>
              </w:rPr>
              <w:t>变电站围墙高度按照2.5m考虑，以变电站围墙为厂界，厂界</w:t>
            </w:r>
            <w:r>
              <w:rPr>
                <w:rFonts w:hint="eastAsia"/>
                <w:color w:val="000000"/>
              </w:rPr>
              <w:t>四侧</w:t>
            </w:r>
            <w:r>
              <w:rPr>
                <w:color w:val="000000"/>
              </w:rPr>
              <w:t>预测点位于围墙外1m、</w:t>
            </w:r>
            <w:r>
              <w:rPr>
                <w:rFonts w:hint="eastAsia"/>
                <w:color w:val="000000"/>
              </w:rPr>
              <w:t>地面1</w:t>
            </w:r>
            <w:r>
              <w:rPr>
                <w:color w:val="000000"/>
              </w:rPr>
              <w:t>.2m高度处。</w:t>
            </w:r>
          </w:p>
          <w:p>
            <w:pPr>
              <w:pStyle w:val="11"/>
              <w:numPr>
                <w:ilvl w:val="3"/>
                <w:numId w:val="21"/>
              </w:numPr>
              <w:ind w:left="1270" w:firstLineChars="0"/>
              <w:rPr>
                <w:b/>
                <w:color w:val="000000"/>
                <w:kern w:val="0"/>
                <w:szCs w:val="21"/>
              </w:rPr>
            </w:pPr>
            <w:r>
              <w:rPr>
                <w:rFonts w:hint="eastAsia"/>
                <w:b/>
                <w:color w:val="000000"/>
                <w:kern w:val="0"/>
                <w:szCs w:val="21"/>
              </w:rPr>
              <w:t>预测方案</w:t>
            </w:r>
          </w:p>
          <w:p>
            <w:pPr>
              <w:pStyle w:val="11"/>
              <w:ind w:firstLineChars="0"/>
              <w:rPr>
                <w:rFonts w:hint="eastAsia" w:ascii="宋体" w:hAnsi="宋体" w:cs="宋体"/>
                <w:bCs/>
                <w:color w:val="000000" w:themeColor="text1"/>
                <w:szCs w:val="24"/>
                <w14:textFill>
                  <w14:solidFill>
                    <w14:schemeClr w14:val="tx1"/>
                  </w14:solidFill>
                </w14:textFill>
              </w:rPr>
            </w:pPr>
            <w:r>
              <w:rPr>
                <w:color w:val="000000" w:themeColor="text1"/>
                <w:szCs w:val="24"/>
                <w14:textFill>
                  <w14:solidFill>
                    <w14:schemeClr w14:val="tx1"/>
                  </w14:solidFill>
                </w14:textFill>
              </w:rPr>
              <w:t>本工程为</w:t>
            </w:r>
            <w:r>
              <w:rPr>
                <w:rFonts w:hint="eastAsia"/>
                <w:color w:val="000000" w:themeColor="text1"/>
                <w:szCs w:val="24"/>
                <w14:textFill>
                  <w14:solidFill>
                    <w14:schemeClr w14:val="tx1"/>
                  </w14:solidFill>
                </w14:textFill>
              </w:rPr>
              <w:t>变电站新建</w:t>
            </w:r>
            <w:r>
              <w:rPr>
                <w:color w:val="000000" w:themeColor="text1"/>
                <w:szCs w:val="24"/>
                <w14:textFill>
                  <w14:solidFill>
                    <w14:schemeClr w14:val="tx1"/>
                  </w14:solidFill>
                </w14:textFill>
              </w:rPr>
              <w:t>工程，</w:t>
            </w:r>
            <w:r>
              <w:rPr>
                <w:rFonts w:hint="eastAsia"/>
                <w:color w:val="000000" w:themeColor="text1"/>
                <w:szCs w:val="24"/>
                <w14:textFill>
                  <w14:solidFill>
                    <w14:schemeClr w14:val="tx1"/>
                  </w14:solidFill>
                </w14:textFill>
              </w:rPr>
              <w:t>东环</w:t>
            </w:r>
            <w:r>
              <w:rPr>
                <w:rFonts w:hint="eastAsia"/>
              </w:rPr>
              <w:t>110kV变电站</w:t>
            </w:r>
            <w:r>
              <w:rPr>
                <w:rFonts w:hint="eastAsia" w:cs="宋体"/>
                <w:color w:val="000000"/>
              </w:rPr>
              <w:t>本期新建#1、#</w:t>
            </w:r>
            <w:r>
              <w:rPr>
                <w:rFonts w:cs="宋体"/>
                <w:color w:val="000000"/>
              </w:rPr>
              <w:t>2</w:t>
            </w:r>
            <w:r>
              <w:rPr>
                <w:rFonts w:hint="eastAsia" w:cs="宋体"/>
                <w:color w:val="000000"/>
              </w:rPr>
              <w:t>主变</w:t>
            </w:r>
            <w:r>
              <w:rPr>
                <w:color w:val="000000" w:themeColor="text1"/>
                <w:szCs w:val="24"/>
                <w14:textFill>
                  <w14:solidFill>
                    <w14:schemeClr w14:val="tx1"/>
                  </w14:solidFill>
                </w14:textFill>
              </w:rPr>
              <w:t>，因此本次噪声预测</w:t>
            </w:r>
            <w:r>
              <w:rPr>
                <w:rFonts w:hint="eastAsia"/>
                <w:color w:val="000000" w:themeColor="text1"/>
                <w:szCs w:val="24"/>
                <w14:textFill>
                  <w14:solidFill>
                    <w14:schemeClr w14:val="tx1"/>
                  </w14:solidFill>
                </w14:textFill>
              </w:rPr>
              <w:t>按照新建变电站</w:t>
            </w:r>
            <w:r>
              <w:rPr>
                <w:color w:val="000000" w:themeColor="text1"/>
                <w:szCs w:val="24"/>
                <w14:textFill>
                  <w14:solidFill>
                    <w14:schemeClr w14:val="tx1"/>
                  </w14:solidFill>
                </w14:textFill>
              </w:rPr>
              <w:t>的厂界噪声贡献值作为厂界噪声的评价量</w:t>
            </w:r>
            <w:r>
              <w:rPr>
                <w:rFonts w:hint="eastAsia" w:ascii="宋体" w:hAnsi="宋体" w:cs="宋体"/>
                <w:bCs/>
                <w:color w:val="000000" w:themeColor="text1"/>
                <w:szCs w:val="24"/>
                <w14:textFill>
                  <w14:solidFill>
                    <w14:schemeClr w14:val="tx1"/>
                  </w14:solidFill>
                </w14:textFill>
              </w:rPr>
              <w:t>。</w:t>
            </w:r>
          </w:p>
          <w:p>
            <w:pPr>
              <w:pStyle w:val="11"/>
              <w:numPr>
                <w:ilvl w:val="3"/>
                <w:numId w:val="21"/>
              </w:numPr>
              <w:ind w:left="1270" w:firstLineChars="0"/>
              <w:rPr>
                <w:b/>
                <w:color w:val="000000"/>
                <w:kern w:val="0"/>
                <w:szCs w:val="21"/>
              </w:rPr>
            </w:pPr>
            <w:r>
              <w:rPr>
                <w:b/>
                <w:color w:val="000000"/>
                <w:kern w:val="0"/>
                <w:szCs w:val="21"/>
              </w:rPr>
              <w:t>预测结果及分析</w:t>
            </w:r>
          </w:p>
          <w:p>
            <w:pPr>
              <w:pStyle w:val="199"/>
              <w:rPr>
                <w:bCs/>
                <w:color w:val="000000"/>
              </w:rPr>
            </w:pPr>
            <w:r>
              <w:rPr>
                <w:bCs/>
                <w:color w:val="000000"/>
              </w:rPr>
              <w:t>根据</w:t>
            </w:r>
            <w:r>
              <w:rPr>
                <w:rFonts w:hint="eastAsia"/>
                <w:bCs/>
                <w:color w:val="000000"/>
              </w:rPr>
              <w:t>东环110kV变电站</w:t>
            </w:r>
            <w:r>
              <w:rPr>
                <w:bCs/>
                <w:color w:val="000000"/>
              </w:rPr>
              <w:t>总平面布置情况，按前述计算模式和预测参数条件下，本期工程规模条件下对变电站厂界的噪声影响进行了预测计算，相关计算结果见</w:t>
            </w:r>
            <w:r>
              <w:rPr>
                <w:bCs/>
                <w:color w:val="000000"/>
              </w:rPr>
              <w:fldChar w:fldCharType="begin"/>
            </w:r>
            <w:r>
              <w:rPr>
                <w:bCs/>
                <w:color w:val="000000"/>
              </w:rPr>
              <w:instrText xml:space="preserve"> REF _Ref176181690 \h </w:instrText>
            </w:r>
            <w:r>
              <w:rPr>
                <w:bCs/>
                <w:color w:val="000000"/>
              </w:rPr>
              <w:fldChar w:fldCharType="separate"/>
            </w:r>
            <w:r>
              <w:rPr>
                <w:rFonts w:hint="eastAsia"/>
              </w:rPr>
              <w:t xml:space="preserve">表 </w:t>
            </w:r>
            <w:r>
              <w:t>15</w:t>
            </w:r>
            <w:r>
              <w:rPr>
                <w:bCs/>
                <w:color w:val="000000"/>
              </w:rPr>
              <w:fldChar w:fldCharType="end"/>
            </w:r>
            <w:r>
              <w:rPr>
                <w:rFonts w:hint="eastAsia"/>
                <w:bCs/>
                <w:color w:val="000000"/>
              </w:rPr>
              <w:t>，厂界排放噪声等值线分</w:t>
            </w:r>
            <w:r>
              <w:rPr>
                <w:rFonts w:hint="eastAsia"/>
                <w:color w:val="000000"/>
                <w:kern w:val="2"/>
              </w:rPr>
              <w:t>布图</w:t>
            </w:r>
            <w:r>
              <w:rPr>
                <w:rFonts w:hint="eastAsia"/>
                <w:color w:val="000000" w:themeColor="text1"/>
                <w:kern w:val="2"/>
                <w14:textFill>
                  <w14:solidFill>
                    <w14:schemeClr w14:val="tx1"/>
                  </w14:solidFill>
                </w14:textFill>
              </w:rPr>
              <w:t>见</w:t>
            </w:r>
            <w:r>
              <w:rPr>
                <w:rFonts w:hint="eastAsia"/>
                <w:color w:val="000000" w:themeColor="text1"/>
                <w:kern w:val="2"/>
                <w14:textFill>
                  <w14:solidFill>
                    <w14:schemeClr w14:val="tx1"/>
                  </w14:solidFill>
                </w14:textFill>
              </w:rPr>
              <w:fldChar w:fldCharType="begin"/>
            </w:r>
            <w:r>
              <w:rPr>
                <w:rFonts w:hint="eastAsia"/>
                <w:color w:val="000000" w:themeColor="text1"/>
                <w:kern w:val="2"/>
                <w14:textFill>
                  <w14:solidFill>
                    <w14:schemeClr w14:val="tx1"/>
                  </w14:solidFill>
                </w14:textFill>
              </w:rPr>
              <w:instrText xml:space="preserve"> REF _Ref176181746 \h </w:instrText>
            </w:r>
            <w:r>
              <w:rPr>
                <w:color w:val="000000" w:themeColor="text1"/>
                <w:kern w:val="2"/>
                <w14:textFill>
                  <w14:solidFill>
                    <w14:schemeClr w14:val="tx1"/>
                  </w14:solidFill>
                </w14:textFill>
              </w:rPr>
              <w:instrText xml:space="preserve"> \* MERGEFORMAT </w:instrText>
            </w:r>
            <w:r>
              <w:rPr>
                <w:rFonts w:hint="eastAsia"/>
                <w:color w:val="000000" w:themeColor="text1"/>
                <w:kern w:val="2"/>
                <w14:textFill>
                  <w14:solidFill>
                    <w14:schemeClr w14:val="tx1"/>
                  </w14:solidFill>
                </w14:textFill>
              </w:rPr>
              <w:fldChar w:fldCharType="separate"/>
            </w:r>
            <w:r>
              <w:rPr>
                <w:rFonts w:hint="eastAsia"/>
                <w:color w:val="000000" w:themeColor="text1"/>
                <w:kern w:val="2"/>
                <w14:textFill>
                  <w14:solidFill>
                    <w14:schemeClr w14:val="tx1"/>
                  </w14:solidFill>
                </w14:textFill>
              </w:rPr>
              <w:t xml:space="preserve">图 </w:t>
            </w:r>
            <w:r>
              <w:rPr>
                <w:color w:val="000000" w:themeColor="text1"/>
                <w:kern w:val="2"/>
                <w14:textFill>
                  <w14:solidFill>
                    <w14:schemeClr w14:val="tx1"/>
                  </w14:solidFill>
                </w14:textFill>
              </w:rPr>
              <w:t>6</w:t>
            </w:r>
            <w:r>
              <w:rPr>
                <w:rFonts w:hint="eastAsia"/>
                <w:color w:val="000000" w:themeColor="text1"/>
                <w:kern w:val="2"/>
                <w14:textFill>
                  <w14:solidFill>
                    <w14:schemeClr w14:val="tx1"/>
                  </w14:solidFill>
                </w14:textFill>
              </w:rPr>
              <w:fldChar w:fldCharType="end"/>
            </w:r>
            <w:r>
              <w:rPr>
                <w:rFonts w:hint="eastAsia"/>
                <w:color w:val="000000" w:themeColor="text1"/>
                <w:kern w:val="2"/>
                <w14:textFill>
                  <w14:solidFill>
                    <w14:schemeClr w14:val="tx1"/>
                  </w14:solidFill>
                </w14:textFill>
              </w:rPr>
              <w:t>。</w:t>
            </w:r>
          </w:p>
          <w:p>
            <w:pPr>
              <w:pStyle w:val="18"/>
              <w:ind w:firstLine="420"/>
            </w:pPr>
            <w:bookmarkStart w:id="658" w:name="_Ref176181690"/>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t>15</w:t>
            </w:r>
            <w:r>
              <w:fldChar w:fldCharType="end"/>
            </w:r>
            <w:bookmarkEnd w:id="658"/>
            <w:r>
              <w:t xml:space="preserve">          </w:t>
            </w:r>
            <w:r>
              <w:rPr>
                <w:rStyle w:val="91"/>
                <w:rFonts w:ascii="宋体" w:hAnsi="宋体" w:eastAsia="宋体"/>
                <w:sz w:val="21"/>
              </w:rPr>
              <w:t>变电站本期规模</w:t>
            </w:r>
            <w:r>
              <w:rPr>
                <w:rStyle w:val="91"/>
                <w:rFonts w:hint="eastAsia" w:ascii="宋体" w:hAnsi="宋体" w:eastAsia="宋体"/>
                <w:sz w:val="21"/>
              </w:rPr>
              <w:t>运行期厂界排放</w:t>
            </w:r>
            <w:r>
              <w:rPr>
                <w:rStyle w:val="91"/>
                <w:rFonts w:ascii="宋体" w:hAnsi="宋体" w:eastAsia="宋体"/>
                <w:sz w:val="21"/>
              </w:rPr>
              <w:t>噪声预测</w:t>
            </w:r>
            <w:r>
              <w:rPr>
                <w:rStyle w:val="91"/>
                <w:rFonts w:ascii="Times New Roman" w:eastAsia="宋体" w:cs="Times New Roman"/>
                <w:sz w:val="21"/>
              </w:rPr>
              <w:t xml:space="preserve">         单位：</w:t>
            </w:r>
            <w:r>
              <w:rPr>
                <w:rStyle w:val="69"/>
                <w:rFonts w:ascii="Times New Roman" w:eastAsia="宋体" w:cs="Times New Roman"/>
                <w:sz w:val="21"/>
              </w:rPr>
              <w:t>dB</w:t>
            </w:r>
            <w:r>
              <w:rPr>
                <w:rStyle w:val="91"/>
                <w:rFonts w:ascii="Times New Roman" w:eastAsia="宋体" w:cs="Times New Roman"/>
                <w:sz w:val="21"/>
              </w:rPr>
              <w:t>（</w:t>
            </w:r>
            <w:r>
              <w:rPr>
                <w:rStyle w:val="69"/>
                <w:rFonts w:ascii="Times New Roman" w:eastAsia="宋体" w:cs="Times New Roman"/>
                <w:sz w:val="21"/>
              </w:rPr>
              <w:t>A</w:t>
            </w:r>
            <w:r>
              <w:rPr>
                <w:rStyle w:val="91"/>
                <w:rFonts w:ascii="Times New Roman" w:eastAsia="宋体" w:cs="Times New Roman"/>
                <w:sz w:val="21"/>
              </w:rPr>
              <w:t>）</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834"/>
              <w:gridCol w:w="1573"/>
              <w:gridCol w:w="1039"/>
              <w:gridCol w:w="865"/>
              <w:gridCol w:w="865"/>
              <w:gridCol w:w="527"/>
              <w:gridCol w:w="527"/>
              <w:gridCol w:w="638"/>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jc w:val="center"/>
              </w:trPr>
              <w:tc>
                <w:tcPr>
                  <w:tcW w:w="711" w:type="dxa"/>
                  <w:vMerge w:val="restart"/>
                  <w:vAlign w:val="center"/>
                </w:tcPr>
                <w:p>
                  <w:pPr>
                    <w:pStyle w:val="82"/>
                    <w:rPr>
                      <w:color w:val="000000"/>
                    </w:rPr>
                  </w:pPr>
                  <w:r>
                    <w:rPr>
                      <w:rFonts w:hint="eastAsia" w:ascii="宋体" w:hAnsi="宋体" w:cs="宋体"/>
                      <w:color w:val="000000"/>
                    </w:rPr>
                    <w:t>序号</w:t>
                  </w:r>
                </w:p>
              </w:tc>
              <w:tc>
                <w:tcPr>
                  <w:tcW w:w="2407" w:type="dxa"/>
                  <w:gridSpan w:val="2"/>
                  <w:vMerge w:val="restart"/>
                  <w:vAlign w:val="center"/>
                </w:tcPr>
                <w:p>
                  <w:pPr>
                    <w:pStyle w:val="82"/>
                    <w:rPr>
                      <w:color w:val="000000"/>
                    </w:rPr>
                  </w:pPr>
                  <w:r>
                    <w:rPr>
                      <w:rFonts w:hint="eastAsia" w:ascii="宋体" w:hAnsi="宋体" w:cs="宋体"/>
                      <w:color w:val="000000"/>
                    </w:rPr>
                    <w:t>预</w:t>
                  </w:r>
                  <w:r>
                    <w:rPr>
                      <w:rFonts w:hint="eastAsia"/>
                      <w:color w:val="000000"/>
                    </w:rPr>
                    <w:t>测点位</w:t>
                  </w:r>
                </w:p>
              </w:tc>
              <w:tc>
                <w:tcPr>
                  <w:tcW w:w="1039" w:type="dxa"/>
                  <w:vMerge w:val="restart"/>
                  <w:vAlign w:val="center"/>
                </w:tcPr>
                <w:p>
                  <w:pPr>
                    <w:pStyle w:val="82"/>
                    <w:rPr>
                      <w:color w:val="000000"/>
                    </w:rPr>
                  </w:pPr>
                  <w:r>
                    <w:rPr>
                      <w:rFonts w:hint="eastAsia"/>
                      <w:color w:val="000000"/>
                    </w:rPr>
                    <w:t>贡献值</w:t>
                  </w:r>
                </w:p>
              </w:tc>
              <w:tc>
                <w:tcPr>
                  <w:tcW w:w="1730" w:type="dxa"/>
                  <w:gridSpan w:val="2"/>
                  <w:vAlign w:val="center"/>
                </w:tcPr>
                <w:p>
                  <w:pPr>
                    <w:pStyle w:val="82"/>
                    <w:rPr>
                      <w:color w:val="000000"/>
                    </w:rPr>
                  </w:pPr>
                  <w:r>
                    <w:rPr>
                      <w:rFonts w:hint="eastAsia"/>
                      <w:color w:val="000000"/>
                    </w:rPr>
                    <w:t>噪声预测值</w:t>
                  </w:r>
                </w:p>
              </w:tc>
              <w:tc>
                <w:tcPr>
                  <w:tcW w:w="1054" w:type="dxa"/>
                  <w:gridSpan w:val="2"/>
                  <w:vAlign w:val="center"/>
                </w:tcPr>
                <w:p>
                  <w:pPr>
                    <w:pStyle w:val="82"/>
                    <w:rPr>
                      <w:color w:val="000000"/>
                    </w:rPr>
                  </w:pPr>
                  <w:r>
                    <w:rPr>
                      <w:rFonts w:hint="eastAsia"/>
                      <w:color w:val="000000"/>
                    </w:rPr>
                    <w:t>噪声标准</w:t>
                  </w:r>
                </w:p>
              </w:tc>
              <w:tc>
                <w:tcPr>
                  <w:tcW w:w="1361" w:type="dxa"/>
                  <w:gridSpan w:val="2"/>
                  <w:vAlign w:val="center"/>
                </w:tcPr>
                <w:p>
                  <w:pPr>
                    <w:pStyle w:val="82"/>
                    <w:rPr>
                      <w:color w:val="000000"/>
                    </w:rPr>
                  </w:pPr>
                  <w:r>
                    <w:rPr>
                      <w:rFonts w:hint="eastAsia"/>
                      <w:color w:val="000000"/>
                    </w:rPr>
                    <w:t>超标和达标情况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711" w:type="dxa"/>
                  <w:vMerge w:val="continue"/>
                  <w:vAlign w:val="center"/>
                </w:tcPr>
                <w:p>
                  <w:pPr>
                    <w:pStyle w:val="82"/>
                    <w:ind w:left="420" w:firstLine="562"/>
                    <w:rPr>
                      <w:color w:val="000000"/>
                    </w:rPr>
                  </w:pPr>
                </w:p>
              </w:tc>
              <w:tc>
                <w:tcPr>
                  <w:tcW w:w="2407" w:type="dxa"/>
                  <w:gridSpan w:val="2"/>
                  <w:vMerge w:val="continue"/>
                  <w:vAlign w:val="center"/>
                </w:tcPr>
                <w:p>
                  <w:pPr>
                    <w:pStyle w:val="82"/>
                    <w:ind w:left="420" w:firstLine="562"/>
                    <w:rPr>
                      <w:color w:val="000000"/>
                    </w:rPr>
                  </w:pPr>
                </w:p>
              </w:tc>
              <w:tc>
                <w:tcPr>
                  <w:tcW w:w="1039" w:type="dxa"/>
                  <w:vMerge w:val="continue"/>
                  <w:vAlign w:val="center"/>
                </w:tcPr>
                <w:p>
                  <w:pPr>
                    <w:pStyle w:val="82"/>
                    <w:ind w:left="420" w:firstLine="562"/>
                    <w:rPr>
                      <w:color w:val="000000"/>
                    </w:rPr>
                  </w:pPr>
                </w:p>
              </w:tc>
              <w:tc>
                <w:tcPr>
                  <w:tcW w:w="865" w:type="dxa"/>
                  <w:vAlign w:val="center"/>
                </w:tcPr>
                <w:p>
                  <w:pPr>
                    <w:pStyle w:val="82"/>
                    <w:rPr>
                      <w:color w:val="000000"/>
                    </w:rPr>
                  </w:pPr>
                  <w:r>
                    <w:rPr>
                      <w:rFonts w:hint="eastAsia"/>
                      <w:color w:val="000000"/>
                    </w:rPr>
                    <w:t>昼间</w:t>
                  </w:r>
                </w:p>
              </w:tc>
              <w:tc>
                <w:tcPr>
                  <w:tcW w:w="865" w:type="dxa"/>
                  <w:vAlign w:val="center"/>
                </w:tcPr>
                <w:p>
                  <w:pPr>
                    <w:pStyle w:val="82"/>
                    <w:rPr>
                      <w:color w:val="000000"/>
                    </w:rPr>
                  </w:pPr>
                  <w:r>
                    <w:rPr>
                      <w:rFonts w:hint="eastAsia"/>
                      <w:color w:val="000000"/>
                    </w:rPr>
                    <w:t>夜间</w:t>
                  </w:r>
                </w:p>
              </w:tc>
              <w:tc>
                <w:tcPr>
                  <w:tcW w:w="527" w:type="dxa"/>
                  <w:vAlign w:val="center"/>
                </w:tcPr>
                <w:p>
                  <w:pPr>
                    <w:pStyle w:val="82"/>
                    <w:rPr>
                      <w:color w:val="000000"/>
                    </w:rPr>
                  </w:pPr>
                  <w:r>
                    <w:rPr>
                      <w:rFonts w:hint="eastAsia"/>
                      <w:color w:val="000000"/>
                    </w:rPr>
                    <w:t>昼间</w:t>
                  </w:r>
                </w:p>
              </w:tc>
              <w:tc>
                <w:tcPr>
                  <w:tcW w:w="527" w:type="dxa"/>
                  <w:vAlign w:val="center"/>
                </w:tcPr>
                <w:p>
                  <w:pPr>
                    <w:pStyle w:val="82"/>
                    <w:rPr>
                      <w:color w:val="000000"/>
                    </w:rPr>
                  </w:pPr>
                  <w:r>
                    <w:rPr>
                      <w:rFonts w:hint="eastAsia"/>
                      <w:color w:val="000000"/>
                    </w:rPr>
                    <w:t>夜间</w:t>
                  </w:r>
                </w:p>
              </w:tc>
              <w:tc>
                <w:tcPr>
                  <w:tcW w:w="638" w:type="dxa"/>
                  <w:vAlign w:val="center"/>
                </w:tcPr>
                <w:p>
                  <w:pPr>
                    <w:pStyle w:val="82"/>
                    <w:rPr>
                      <w:color w:val="000000"/>
                    </w:rPr>
                  </w:pPr>
                  <w:r>
                    <w:rPr>
                      <w:rFonts w:hint="eastAsia"/>
                      <w:color w:val="000000"/>
                    </w:rPr>
                    <w:t>昼间</w:t>
                  </w:r>
                </w:p>
              </w:tc>
              <w:tc>
                <w:tcPr>
                  <w:tcW w:w="723" w:type="dxa"/>
                  <w:vAlign w:val="center"/>
                </w:tcPr>
                <w:p>
                  <w:pPr>
                    <w:pStyle w:val="82"/>
                    <w:rPr>
                      <w:color w:val="000000"/>
                    </w:rPr>
                  </w:pPr>
                  <w:r>
                    <w:rPr>
                      <w:rFonts w:hint="eastAsia"/>
                      <w:color w:val="000000"/>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11" w:type="dxa"/>
                  <w:vAlign w:val="center"/>
                </w:tcPr>
                <w:p>
                  <w:pPr>
                    <w:pStyle w:val="82"/>
                    <w:rPr>
                      <w:color w:val="000000"/>
                    </w:rPr>
                  </w:pPr>
                  <w:r>
                    <w:rPr>
                      <w:color w:val="000000"/>
                    </w:rPr>
                    <w:t>1</w:t>
                  </w:r>
                </w:p>
              </w:tc>
              <w:tc>
                <w:tcPr>
                  <w:tcW w:w="834" w:type="dxa"/>
                  <w:vMerge w:val="restart"/>
                  <w:vAlign w:val="center"/>
                </w:tcPr>
                <w:p>
                  <w:pPr>
                    <w:pStyle w:val="82"/>
                    <w:rPr>
                      <w:color w:val="000000"/>
                    </w:rPr>
                  </w:pPr>
                  <w:r>
                    <w:rPr>
                      <w:rFonts w:hint="eastAsia"/>
                      <w:color w:val="000000"/>
                    </w:rPr>
                    <w:t>东环110kV变电站</w:t>
                  </w:r>
                </w:p>
                <w:p>
                  <w:pPr>
                    <w:pStyle w:val="82"/>
                    <w:ind w:left="420" w:firstLine="562"/>
                    <w:rPr>
                      <w:color w:val="000000"/>
                    </w:rPr>
                  </w:pPr>
                </w:p>
              </w:tc>
              <w:tc>
                <w:tcPr>
                  <w:tcW w:w="1573" w:type="dxa"/>
                  <w:vAlign w:val="center"/>
                </w:tcPr>
                <w:p>
                  <w:pPr>
                    <w:pStyle w:val="82"/>
                    <w:rPr>
                      <w:color w:val="000000"/>
                    </w:rPr>
                  </w:pPr>
                  <w:r>
                    <w:rPr>
                      <w:rFonts w:hint="eastAsia" w:ascii="宋体" w:hAnsi="宋体" w:cs="宋体"/>
                      <w:color w:val="000000"/>
                    </w:rPr>
                    <w:t>厂界东北侧</w:t>
                  </w:r>
                  <w:r>
                    <w:rPr>
                      <w:color w:val="000000"/>
                    </w:rPr>
                    <w:t>1#</w:t>
                  </w:r>
                </w:p>
              </w:tc>
              <w:tc>
                <w:tcPr>
                  <w:tcW w:w="1039" w:type="dxa"/>
                  <w:vAlign w:val="center"/>
                </w:tcPr>
                <w:p>
                  <w:pPr>
                    <w:widowControl/>
                    <w:jc w:val="center"/>
                    <w:rPr>
                      <w:kern w:val="0"/>
                      <w:szCs w:val="21"/>
                    </w:rPr>
                  </w:pPr>
                  <w:r>
                    <w:rPr>
                      <w:kern w:val="0"/>
                      <w:szCs w:val="21"/>
                    </w:rPr>
                    <w:t>26.1</w:t>
                  </w:r>
                </w:p>
              </w:tc>
              <w:tc>
                <w:tcPr>
                  <w:tcW w:w="865" w:type="dxa"/>
                  <w:vAlign w:val="center"/>
                </w:tcPr>
                <w:p>
                  <w:pPr>
                    <w:widowControl/>
                    <w:jc w:val="center"/>
                    <w:rPr>
                      <w:kern w:val="0"/>
                      <w:szCs w:val="21"/>
                    </w:rPr>
                  </w:pPr>
                  <w:r>
                    <w:rPr>
                      <w:kern w:val="0"/>
                      <w:szCs w:val="21"/>
                    </w:rPr>
                    <w:t>26.1</w:t>
                  </w:r>
                </w:p>
              </w:tc>
              <w:tc>
                <w:tcPr>
                  <w:tcW w:w="865" w:type="dxa"/>
                  <w:vAlign w:val="center"/>
                </w:tcPr>
                <w:p>
                  <w:pPr>
                    <w:widowControl/>
                    <w:jc w:val="center"/>
                    <w:rPr>
                      <w:kern w:val="0"/>
                      <w:szCs w:val="21"/>
                    </w:rPr>
                  </w:pPr>
                  <w:r>
                    <w:rPr>
                      <w:kern w:val="0"/>
                      <w:szCs w:val="21"/>
                    </w:rPr>
                    <w:t>26.1</w:t>
                  </w:r>
                </w:p>
              </w:tc>
              <w:tc>
                <w:tcPr>
                  <w:tcW w:w="527" w:type="dxa"/>
                  <w:vAlign w:val="center"/>
                </w:tcPr>
                <w:p>
                  <w:pPr>
                    <w:pStyle w:val="82"/>
                    <w:rPr>
                      <w:color w:val="000000"/>
                    </w:rPr>
                  </w:pPr>
                  <w:r>
                    <w:rPr>
                      <w:rFonts w:hint="eastAsia"/>
                      <w:color w:val="000000"/>
                    </w:rPr>
                    <w:t>6</w:t>
                  </w:r>
                  <w:r>
                    <w:rPr>
                      <w:color w:val="000000"/>
                    </w:rPr>
                    <w:t>0</w:t>
                  </w:r>
                </w:p>
              </w:tc>
              <w:tc>
                <w:tcPr>
                  <w:tcW w:w="527" w:type="dxa"/>
                  <w:vAlign w:val="center"/>
                </w:tcPr>
                <w:p>
                  <w:pPr>
                    <w:pStyle w:val="82"/>
                    <w:rPr>
                      <w:color w:val="000000"/>
                    </w:rPr>
                  </w:pPr>
                  <w:r>
                    <w:rPr>
                      <w:rFonts w:hint="eastAsia"/>
                      <w:color w:val="000000"/>
                    </w:rPr>
                    <w:t>5</w:t>
                  </w:r>
                  <w:r>
                    <w:rPr>
                      <w:color w:val="000000"/>
                    </w:rPr>
                    <w:t>0</w:t>
                  </w:r>
                </w:p>
              </w:tc>
              <w:tc>
                <w:tcPr>
                  <w:tcW w:w="1361" w:type="dxa"/>
                  <w:gridSpan w:val="2"/>
                  <w:vAlign w:val="center"/>
                </w:tcPr>
                <w:p>
                  <w:pPr>
                    <w:pStyle w:val="82"/>
                    <w:rPr>
                      <w:color w:val="000000"/>
                    </w:rPr>
                  </w:pPr>
                  <w:r>
                    <w:rPr>
                      <w:rFonts w:hint="eastAsia"/>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vAlign w:val="center"/>
                </w:tcPr>
                <w:p>
                  <w:pPr>
                    <w:pStyle w:val="82"/>
                    <w:rPr>
                      <w:color w:val="000000"/>
                    </w:rPr>
                  </w:pPr>
                  <w:r>
                    <w:rPr>
                      <w:rFonts w:hint="eastAsia"/>
                      <w:color w:val="000000"/>
                    </w:rPr>
                    <w:t>2</w:t>
                  </w:r>
                </w:p>
              </w:tc>
              <w:tc>
                <w:tcPr>
                  <w:tcW w:w="834" w:type="dxa"/>
                  <w:vMerge w:val="continue"/>
                  <w:vAlign w:val="center"/>
                </w:tcPr>
                <w:p>
                  <w:pPr>
                    <w:pStyle w:val="82"/>
                    <w:ind w:left="420" w:firstLine="562"/>
                    <w:rPr>
                      <w:color w:val="000000"/>
                    </w:rPr>
                  </w:pPr>
                </w:p>
              </w:tc>
              <w:tc>
                <w:tcPr>
                  <w:tcW w:w="1573" w:type="dxa"/>
                  <w:vAlign w:val="center"/>
                </w:tcPr>
                <w:p>
                  <w:pPr>
                    <w:pStyle w:val="82"/>
                    <w:rPr>
                      <w:color w:val="000000"/>
                    </w:rPr>
                  </w:pPr>
                  <w:r>
                    <w:rPr>
                      <w:rFonts w:hint="eastAsia" w:ascii="宋体" w:hAnsi="宋体" w:cs="宋体"/>
                      <w:color w:val="000000"/>
                    </w:rPr>
                    <w:t>厂界东南侧</w:t>
                  </w:r>
                  <w:r>
                    <w:rPr>
                      <w:color w:val="000000"/>
                    </w:rPr>
                    <w:t>2#</w:t>
                  </w:r>
                </w:p>
              </w:tc>
              <w:tc>
                <w:tcPr>
                  <w:tcW w:w="1039" w:type="dxa"/>
                  <w:vAlign w:val="center"/>
                </w:tcPr>
                <w:p>
                  <w:pPr>
                    <w:jc w:val="center"/>
                    <w:rPr>
                      <w:szCs w:val="21"/>
                    </w:rPr>
                  </w:pPr>
                  <w:r>
                    <w:rPr>
                      <w:szCs w:val="21"/>
                    </w:rPr>
                    <w:t>30.0</w:t>
                  </w:r>
                </w:p>
              </w:tc>
              <w:tc>
                <w:tcPr>
                  <w:tcW w:w="865" w:type="dxa"/>
                  <w:vAlign w:val="center"/>
                </w:tcPr>
                <w:p>
                  <w:pPr>
                    <w:jc w:val="center"/>
                    <w:rPr>
                      <w:szCs w:val="21"/>
                    </w:rPr>
                  </w:pPr>
                  <w:r>
                    <w:rPr>
                      <w:szCs w:val="21"/>
                    </w:rPr>
                    <w:t>30.0</w:t>
                  </w:r>
                </w:p>
              </w:tc>
              <w:tc>
                <w:tcPr>
                  <w:tcW w:w="865" w:type="dxa"/>
                  <w:vAlign w:val="center"/>
                </w:tcPr>
                <w:p>
                  <w:pPr>
                    <w:jc w:val="center"/>
                    <w:rPr>
                      <w:szCs w:val="21"/>
                    </w:rPr>
                  </w:pPr>
                  <w:r>
                    <w:rPr>
                      <w:szCs w:val="21"/>
                    </w:rPr>
                    <w:t>30.0</w:t>
                  </w:r>
                </w:p>
              </w:tc>
              <w:tc>
                <w:tcPr>
                  <w:tcW w:w="527" w:type="dxa"/>
                  <w:vAlign w:val="center"/>
                </w:tcPr>
                <w:p>
                  <w:pPr>
                    <w:pStyle w:val="82"/>
                    <w:rPr>
                      <w:color w:val="000000"/>
                    </w:rPr>
                  </w:pPr>
                  <w:r>
                    <w:rPr>
                      <w:rFonts w:hint="eastAsia"/>
                      <w:color w:val="000000"/>
                    </w:rPr>
                    <w:t>6</w:t>
                  </w:r>
                  <w:r>
                    <w:rPr>
                      <w:color w:val="000000"/>
                    </w:rPr>
                    <w:t>0</w:t>
                  </w:r>
                </w:p>
              </w:tc>
              <w:tc>
                <w:tcPr>
                  <w:tcW w:w="527" w:type="dxa"/>
                  <w:vAlign w:val="center"/>
                </w:tcPr>
                <w:p>
                  <w:pPr>
                    <w:pStyle w:val="82"/>
                    <w:rPr>
                      <w:color w:val="000000"/>
                    </w:rPr>
                  </w:pPr>
                  <w:r>
                    <w:rPr>
                      <w:rFonts w:hint="eastAsia"/>
                      <w:color w:val="000000"/>
                    </w:rPr>
                    <w:t>5</w:t>
                  </w:r>
                  <w:r>
                    <w:rPr>
                      <w:color w:val="000000"/>
                    </w:rPr>
                    <w:t>0</w:t>
                  </w:r>
                </w:p>
              </w:tc>
              <w:tc>
                <w:tcPr>
                  <w:tcW w:w="1361" w:type="dxa"/>
                  <w:gridSpan w:val="2"/>
                  <w:vAlign w:val="center"/>
                </w:tcPr>
                <w:p>
                  <w:pPr>
                    <w:pStyle w:val="82"/>
                    <w:rPr>
                      <w:color w:val="000000"/>
                    </w:rPr>
                  </w:pPr>
                  <w:r>
                    <w:rPr>
                      <w:rFonts w:hint="eastAsia"/>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1" w:type="dxa"/>
                  <w:vAlign w:val="center"/>
                </w:tcPr>
                <w:p>
                  <w:pPr>
                    <w:pStyle w:val="82"/>
                    <w:rPr>
                      <w:rFonts w:eastAsia="等线"/>
                      <w:color w:val="000000"/>
                    </w:rPr>
                  </w:pPr>
                  <w:r>
                    <w:rPr>
                      <w:rFonts w:hint="eastAsia" w:eastAsia="等线"/>
                      <w:color w:val="000000"/>
                    </w:rPr>
                    <w:t>3</w:t>
                  </w:r>
                </w:p>
              </w:tc>
              <w:tc>
                <w:tcPr>
                  <w:tcW w:w="834" w:type="dxa"/>
                  <w:vMerge w:val="continue"/>
                  <w:vAlign w:val="center"/>
                </w:tcPr>
                <w:p>
                  <w:pPr>
                    <w:pStyle w:val="82"/>
                    <w:ind w:left="420" w:firstLine="562"/>
                    <w:rPr>
                      <w:color w:val="000000"/>
                    </w:rPr>
                  </w:pPr>
                </w:p>
              </w:tc>
              <w:tc>
                <w:tcPr>
                  <w:tcW w:w="1573" w:type="dxa"/>
                  <w:vAlign w:val="center"/>
                </w:tcPr>
                <w:p>
                  <w:pPr>
                    <w:pStyle w:val="82"/>
                    <w:rPr>
                      <w:rFonts w:hint="eastAsia" w:ascii="宋体" w:hAnsi="宋体" w:cs="宋体"/>
                      <w:color w:val="000000"/>
                    </w:rPr>
                  </w:pPr>
                  <w:r>
                    <w:rPr>
                      <w:rFonts w:hint="eastAsia" w:ascii="宋体" w:hAnsi="宋体" w:cs="宋体"/>
                      <w:color w:val="000000"/>
                    </w:rPr>
                    <w:t>厂界西南侧</w:t>
                  </w:r>
                  <w:r>
                    <w:rPr>
                      <w:color w:val="000000"/>
                    </w:rPr>
                    <w:t>3</w:t>
                  </w:r>
                  <w:r>
                    <w:rPr>
                      <w:rFonts w:hint="eastAsia"/>
                      <w:color w:val="000000"/>
                    </w:rPr>
                    <w:t>#</w:t>
                  </w:r>
                </w:p>
              </w:tc>
              <w:tc>
                <w:tcPr>
                  <w:tcW w:w="1039" w:type="dxa"/>
                  <w:vAlign w:val="center"/>
                </w:tcPr>
                <w:p>
                  <w:pPr>
                    <w:jc w:val="center"/>
                    <w:rPr>
                      <w:szCs w:val="21"/>
                    </w:rPr>
                  </w:pPr>
                  <w:r>
                    <w:rPr>
                      <w:szCs w:val="21"/>
                    </w:rPr>
                    <w:t>33.4</w:t>
                  </w:r>
                </w:p>
              </w:tc>
              <w:tc>
                <w:tcPr>
                  <w:tcW w:w="865" w:type="dxa"/>
                  <w:vAlign w:val="center"/>
                </w:tcPr>
                <w:p>
                  <w:pPr>
                    <w:jc w:val="center"/>
                    <w:rPr>
                      <w:szCs w:val="21"/>
                    </w:rPr>
                  </w:pPr>
                  <w:r>
                    <w:rPr>
                      <w:szCs w:val="21"/>
                    </w:rPr>
                    <w:t>33.4</w:t>
                  </w:r>
                </w:p>
              </w:tc>
              <w:tc>
                <w:tcPr>
                  <w:tcW w:w="865" w:type="dxa"/>
                  <w:vAlign w:val="center"/>
                </w:tcPr>
                <w:p>
                  <w:pPr>
                    <w:jc w:val="center"/>
                    <w:rPr>
                      <w:szCs w:val="21"/>
                    </w:rPr>
                  </w:pPr>
                  <w:r>
                    <w:rPr>
                      <w:szCs w:val="21"/>
                    </w:rPr>
                    <w:t>33.4</w:t>
                  </w:r>
                </w:p>
              </w:tc>
              <w:tc>
                <w:tcPr>
                  <w:tcW w:w="527" w:type="dxa"/>
                  <w:vAlign w:val="center"/>
                </w:tcPr>
                <w:p>
                  <w:pPr>
                    <w:pStyle w:val="82"/>
                    <w:rPr>
                      <w:color w:val="000000"/>
                    </w:rPr>
                  </w:pPr>
                  <w:r>
                    <w:rPr>
                      <w:rFonts w:hint="eastAsia"/>
                      <w:color w:val="000000"/>
                    </w:rPr>
                    <w:t>6</w:t>
                  </w:r>
                  <w:r>
                    <w:rPr>
                      <w:color w:val="000000"/>
                    </w:rPr>
                    <w:t>0</w:t>
                  </w:r>
                </w:p>
              </w:tc>
              <w:tc>
                <w:tcPr>
                  <w:tcW w:w="527" w:type="dxa"/>
                  <w:vAlign w:val="center"/>
                </w:tcPr>
                <w:p>
                  <w:pPr>
                    <w:pStyle w:val="82"/>
                    <w:rPr>
                      <w:color w:val="000000"/>
                    </w:rPr>
                  </w:pPr>
                  <w:r>
                    <w:rPr>
                      <w:rFonts w:hint="eastAsia"/>
                      <w:color w:val="000000"/>
                    </w:rPr>
                    <w:t>5</w:t>
                  </w:r>
                  <w:r>
                    <w:rPr>
                      <w:color w:val="000000"/>
                    </w:rPr>
                    <w:t>0</w:t>
                  </w:r>
                </w:p>
              </w:tc>
              <w:tc>
                <w:tcPr>
                  <w:tcW w:w="1361" w:type="dxa"/>
                  <w:gridSpan w:val="2"/>
                  <w:vAlign w:val="center"/>
                </w:tcPr>
                <w:p>
                  <w:pPr>
                    <w:pStyle w:val="82"/>
                    <w:rPr>
                      <w:rFonts w:hint="eastAsia" w:ascii="宋体" w:hAnsi="宋体" w:cs="宋体"/>
                      <w:color w:val="000000"/>
                    </w:rPr>
                  </w:pPr>
                  <w:r>
                    <w:rPr>
                      <w:rFonts w:hint="eastAsia"/>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1" w:type="dxa"/>
                  <w:vAlign w:val="center"/>
                </w:tcPr>
                <w:p>
                  <w:pPr>
                    <w:pStyle w:val="82"/>
                    <w:rPr>
                      <w:color w:val="000000"/>
                    </w:rPr>
                  </w:pPr>
                  <w:r>
                    <w:rPr>
                      <w:rFonts w:hint="eastAsia"/>
                      <w:color w:val="000000"/>
                    </w:rPr>
                    <w:t>4</w:t>
                  </w:r>
                </w:p>
              </w:tc>
              <w:tc>
                <w:tcPr>
                  <w:tcW w:w="834" w:type="dxa"/>
                  <w:vMerge w:val="continue"/>
                  <w:vAlign w:val="center"/>
                </w:tcPr>
                <w:p>
                  <w:pPr>
                    <w:pStyle w:val="82"/>
                    <w:ind w:left="420" w:firstLine="562"/>
                    <w:rPr>
                      <w:color w:val="000000"/>
                    </w:rPr>
                  </w:pPr>
                </w:p>
              </w:tc>
              <w:tc>
                <w:tcPr>
                  <w:tcW w:w="1573" w:type="dxa"/>
                  <w:vAlign w:val="center"/>
                </w:tcPr>
                <w:p>
                  <w:pPr>
                    <w:pStyle w:val="82"/>
                    <w:rPr>
                      <w:color w:val="000000"/>
                    </w:rPr>
                  </w:pPr>
                  <w:r>
                    <w:rPr>
                      <w:rFonts w:hint="eastAsia" w:ascii="宋体" w:hAnsi="宋体" w:cs="宋体"/>
                      <w:color w:val="000000"/>
                    </w:rPr>
                    <w:t>厂界西北侧</w:t>
                  </w:r>
                  <w:r>
                    <w:rPr>
                      <w:color w:val="000000"/>
                    </w:rPr>
                    <w:t>4#</w:t>
                  </w:r>
                </w:p>
              </w:tc>
              <w:tc>
                <w:tcPr>
                  <w:tcW w:w="1039" w:type="dxa"/>
                  <w:vAlign w:val="center"/>
                </w:tcPr>
                <w:p>
                  <w:pPr>
                    <w:jc w:val="center"/>
                    <w:rPr>
                      <w:szCs w:val="21"/>
                    </w:rPr>
                  </w:pPr>
                  <w:r>
                    <w:rPr>
                      <w:szCs w:val="21"/>
                    </w:rPr>
                    <w:t>31.2</w:t>
                  </w:r>
                </w:p>
              </w:tc>
              <w:tc>
                <w:tcPr>
                  <w:tcW w:w="865" w:type="dxa"/>
                  <w:vAlign w:val="center"/>
                </w:tcPr>
                <w:p>
                  <w:pPr>
                    <w:jc w:val="center"/>
                    <w:rPr>
                      <w:szCs w:val="21"/>
                    </w:rPr>
                  </w:pPr>
                  <w:r>
                    <w:rPr>
                      <w:szCs w:val="21"/>
                    </w:rPr>
                    <w:t>31.2</w:t>
                  </w:r>
                </w:p>
              </w:tc>
              <w:tc>
                <w:tcPr>
                  <w:tcW w:w="865" w:type="dxa"/>
                  <w:vAlign w:val="center"/>
                </w:tcPr>
                <w:p>
                  <w:pPr>
                    <w:jc w:val="center"/>
                    <w:rPr>
                      <w:szCs w:val="21"/>
                    </w:rPr>
                  </w:pPr>
                  <w:r>
                    <w:rPr>
                      <w:szCs w:val="21"/>
                    </w:rPr>
                    <w:t>31.2</w:t>
                  </w:r>
                </w:p>
              </w:tc>
              <w:tc>
                <w:tcPr>
                  <w:tcW w:w="527" w:type="dxa"/>
                  <w:vAlign w:val="center"/>
                </w:tcPr>
                <w:p>
                  <w:pPr>
                    <w:pStyle w:val="82"/>
                    <w:rPr>
                      <w:color w:val="000000"/>
                    </w:rPr>
                  </w:pPr>
                  <w:r>
                    <w:rPr>
                      <w:rFonts w:hint="eastAsia"/>
                      <w:color w:val="000000"/>
                    </w:rPr>
                    <w:t>6</w:t>
                  </w:r>
                  <w:r>
                    <w:rPr>
                      <w:color w:val="000000"/>
                    </w:rPr>
                    <w:t>0</w:t>
                  </w:r>
                </w:p>
              </w:tc>
              <w:tc>
                <w:tcPr>
                  <w:tcW w:w="527" w:type="dxa"/>
                  <w:vAlign w:val="center"/>
                </w:tcPr>
                <w:p>
                  <w:pPr>
                    <w:pStyle w:val="82"/>
                    <w:rPr>
                      <w:color w:val="000000"/>
                    </w:rPr>
                  </w:pPr>
                  <w:r>
                    <w:rPr>
                      <w:rFonts w:hint="eastAsia"/>
                      <w:color w:val="000000"/>
                    </w:rPr>
                    <w:t>5</w:t>
                  </w:r>
                  <w:r>
                    <w:rPr>
                      <w:color w:val="000000"/>
                    </w:rPr>
                    <w:t>0</w:t>
                  </w:r>
                </w:p>
              </w:tc>
              <w:tc>
                <w:tcPr>
                  <w:tcW w:w="1361" w:type="dxa"/>
                  <w:gridSpan w:val="2"/>
                  <w:vAlign w:val="center"/>
                </w:tcPr>
                <w:p>
                  <w:pPr>
                    <w:pStyle w:val="82"/>
                    <w:rPr>
                      <w:color w:val="000000"/>
                    </w:rPr>
                  </w:pPr>
                  <w:r>
                    <w:rPr>
                      <w:rFonts w:hint="eastAsia"/>
                      <w:color w:val="000000"/>
                    </w:rPr>
                    <w:t>达标</w:t>
                  </w:r>
                </w:p>
              </w:tc>
            </w:tr>
          </w:tbl>
          <w:p>
            <w:pPr>
              <w:pStyle w:val="199"/>
              <w:keepNext/>
              <w:spacing w:before="120" w:beforeLines="50"/>
              <w:ind w:firstLine="0" w:firstLineChars="0"/>
              <w:jc w:val="center"/>
            </w:pPr>
            <w:r>
              <w:drawing>
                <wp:inline distT="0" distB="0" distL="0" distR="0">
                  <wp:extent cx="5278120" cy="3618230"/>
                  <wp:effectExtent l="0" t="0" r="0" b="1270"/>
                  <wp:docPr id="660600656" name="图片 66060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00656" name="图片 660600656"/>
                          <pic:cNvPicPr>
                            <a:picLocks noChangeAspect="1"/>
                          </pic:cNvPicPr>
                        </pic:nvPicPr>
                        <pic:blipFill>
                          <a:blip r:embed="rId85"/>
                          <a:stretch>
                            <a:fillRect/>
                          </a:stretch>
                        </pic:blipFill>
                        <pic:spPr>
                          <a:xfrm>
                            <a:off x="0" y="0"/>
                            <a:ext cx="5278120" cy="3618230"/>
                          </a:xfrm>
                          <a:prstGeom prst="rect">
                            <a:avLst/>
                          </a:prstGeom>
                        </pic:spPr>
                      </pic:pic>
                    </a:graphicData>
                  </a:graphic>
                </wp:inline>
              </w:drawing>
            </w:r>
          </w:p>
          <w:p>
            <w:pPr>
              <w:pStyle w:val="18"/>
              <w:ind w:firstLine="420"/>
              <w:jc w:val="center"/>
              <w:rPr>
                <w:rStyle w:val="91"/>
                <w:rFonts w:hint="eastAsia" w:ascii="黑体" w:hAnsi="黑体" w:eastAsia="黑体" w:cs="黑体"/>
                <w:sz w:val="21"/>
              </w:rPr>
            </w:pPr>
            <w:bookmarkStart w:id="659" w:name="_Ref176181746"/>
            <w:r>
              <w:rPr>
                <w:rFonts w:hint="eastAsia" w:ascii="黑体" w:hAnsi="黑体" w:cs="黑体"/>
              </w:rPr>
              <w:t xml:space="preserve">图 </w:t>
            </w:r>
            <w:r>
              <w:rPr>
                <w:rFonts w:hint="eastAsia" w:ascii="黑体" w:hAnsi="黑体" w:cs="黑体"/>
              </w:rPr>
              <w:fldChar w:fldCharType="begin"/>
            </w:r>
            <w:r>
              <w:rPr>
                <w:rFonts w:hint="eastAsia" w:ascii="黑体" w:hAnsi="黑体" w:cs="黑体"/>
              </w:rPr>
              <w:instrText xml:space="preserve"> SEQ 图 \* ARABIC </w:instrText>
            </w:r>
            <w:r>
              <w:rPr>
                <w:rFonts w:hint="eastAsia" w:ascii="黑体" w:hAnsi="黑体" w:cs="黑体"/>
              </w:rPr>
              <w:fldChar w:fldCharType="separate"/>
            </w:r>
            <w:r>
              <w:rPr>
                <w:rFonts w:ascii="黑体" w:hAnsi="黑体" w:cs="黑体"/>
              </w:rPr>
              <w:t>6</w:t>
            </w:r>
            <w:r>
              <w:rPr>
                <w:rFonts w:hint="eastAsia" w:ascii="黑体" w:hAnsi="黑体" w:cs="黑体"/>
              </w:rPr>
              <w:fldChar w:fldCharType="end"/>
            </w:r>
            <w:bookmarkEnd w:id="659"/>
            <w:r>
              <w:rPr>
                <w:rFonts w:hint="eastAsia" w:ascii="黑体" w:hAnsi="黑体" w:cs="黑体"/>
              </w:rPr>
              <w:t xml:space="preserve"> </w:t>
            </w:r>
            <w:r>
              <w:rPr>
                <w:rStyle w:val="91"/>
                <w:rFonts w:hint="eastAsia" w:ascii="黑体" w:hAnsi="黑体" w:eastAsia="黑体" w:cs="黑体"/>
                <w:sz w:val="21"/>
              </w:rPr>
              <w:t>变电站本期规模噪声预测贡献值的等声级线图</w:t>
            </w:r>
          </w:p>
          <w:p>
            <w:pPr>
              <w:pStyle w:val="11"/>
              <w:numPr>
                <w:ilvl w:val="3"/>
                <w:numId w:val="21"/>
              </w:numPr>
              <w:ind w:left="1270" w:firstLineChars="0"/>
              <w:rPr>
                <w:b/>
                <w:kern w:val="0"/>
                <w:szCs w:val="21"/>
              </w:rPr>
            </w:pPr>
            <w:r>
              <w:rPr>
                <w:b/>
                <w:kern w:val="0"/>
                <w:szCs w:val="21"/>
              </w:rPr>
              <w:t>声环境影响评价</w:t>
            </w:r>
          </w:p>
          <w:p>
            <w:pPr>
              <w:pStyle w:val="11"/>
            </w:pPr>
            <w:r>
              <w:rPr>
                <w:rStyle w:val="91"/>
                <w:rFonts w:ascii="Times New Roman" w:eastAsia="宋体" w:cs="Times New Roman"/>
                <w:sz w:val="24"/>
              </w:rPr>
              <w:t>根据预测结果可知，</w:t>
            </w:r>
            <w:r>
              <w:rPr>
                <w:rStyle w:val="91"/>
                <w:rFonts w:hint="eastAsia" w:ascii="Times New Roman" w:eastAsia="宋体" w:cs="Times New Roman"/>
                <w:sz w:val="24"/>
              </w:rPr>
              <w:t>东环110kV变电站</w:t>
            </w:r>
            <w:r>
              <w:rPr>
                <w:rStyle w:val="91"/>
                <w:rFonts w:ascii="Times New Roman" w:eastAsia="宋体" w:cs="Times New Roman"/>
                <w:sz w:val="24"/>
              </w:rPr>
              <w:t>本期</w:t>
            </w:r>
            <w:r>
              <w:rPr>
                <w:rStyle w:val="91"/>
                <w:rFonts w:hint="eastAsia" w:ascii="Times New Roman" w:eastAsia="宋体" w:cs="Times New Roman"/>
                <w:sz w:val="24"/>
              </w:rPr>
              <w:t>建成投运后</w:t>
            </w:r>
            <w:r>
              <w:rPr>
                <w:rStyle w:val="91"/>
                <w:rFonts w:ascii="Times New Roman" w:eastAsia="宋体" w:cs="Times New Roman"/>
                <w:sz w:val="24"/>
              </w:rPr>
              <w:t>厂界</w:t>
            </w:r>
            <w:r>
              <w:rPr>
                <w:rFonts w:hint="eastAsia"/>
              </w:rPr>
              <w:t>贡献值为</w:t>
            </w:r>
            <w:r>
              <w:rPr>
                <w:rStyle w:val="69"/>
                <w:rFonts w:ascii="Times New Roman" w:cs="Times New Roman"/>
                <w:sz w:val="24"/>
                <w:szCs w:val="24"/>
              </w:rPr>
              <w:t>2</w:t>
            </w:r>
            <w:r>
              <w:rPr>
                <w:rStyle w:val="69"/>
                <w:rFonts w:hint="eastAsia" w:ascii="Times New Roman" w:cs="Times New Roman"/>
                <w:sz w:val="24"/>
                <w:szCs w:val="24"/>
              </w:rPr>
              <w:t>6.</w:t>
            </w:r>
            <w:r>
              <w:rPr>
                <w:rStyle w:val="69"/>
                <w:rFonts w:ascii="Times New Roman" w:cs="Times New Roman"/>
                <w:sz w:val="24"/>
                <w:szCs w:val="24"/>
              </w:rPr>
              <w:t>1</w:t>
            </w:r>
            <w:r>
              <w:rPr>
                <w:rStyle w:val="91"/>
                <w:rFonts w:ascii="Times New Roman" w:cs="Times New Roman"/>
                <w:sz w:val="24"/>
                <w:szCs w:val="24"/>
              </w:rPr>
              <w:t>~33</w:t>
            </w:r>
            <w:r>
              <w:rPr>
                <w:rStyle w:val="91"/>
                <w:rFonts w:hint="eastAsia" w:ascii="Times New Roman" w:cs="Times New Roman"/>
                <w:sz w:val="24"/>
                <w:szCs w:val="24"/>
              </w:rPr>
              <w:t>.4</w:t>
            </w:r>
            <w:r>
              <w:rPr>
                <w:rStyle w:val="69"/>
                <w:rFonts w:ascii="Times New Roman" w:eastAsia="宋体" w:cs="Times New Roman"/>
                <w:sz w:val="24"/>
                <w:szCs w:val="24"/>
              </w:rPr>
              <w:t>dB</w:t>
            </w:r>
            <w:r>
              <w:rPr>
                <w:rStyle w:val="91"/>
                <w:rFonts w:ascii="Times New Roman" w:eastAsia="宋体" w:cs="Times New Roman"/>
                <w:sz w:val="24"/>
                <w:szCs w:val="24"/>
              </w:rPr>
              <w:t>（</w:t>
            </w:r>
            <w:r>
              <w:rPr>
                <w:rStyle w:val="69"/>
                <w:rFonts w:ascii="Times New Roman" w:eastAsia="宋体" w:cs="Times New Roman"/>
                <w:sz w:val="24"/>
                <w:szCs w:val="24"/>
              </w:rPr>
              <w:t>A</w:t>
            </w:r>
            <w:r>
              <w:rPr>
                <w:rStyle w:val="91"/>
                <w:rFonts w:ascii="Times New Roman" w:eastAsia="宋体" w:cs="Times New Roman"/>
                <w:sz w:val="24"/>
                <w:szCs w:val="24"/>
              </w:rPr>
              <w:t>）</w:t>
            </w:r>
            <w:r>
              <w:rPr>
                <w:rStyle w:val="91"/>
                <w:rFonts w:hint="eastAsia" w:ascii="Times New Roman" w:eastAsia="宋体" w:cs="Times New Roman"/>
                <w:sz w:val="24"/>
                <w:szCs w:val="24"/>
              </w:rPr>
              <w:t>，</w:t>
            </w:r>
            <w:r>
              <w:rPr>
                <w:rStyle w:val="91"/>
                <w:rFonts w:ascii="Times New Roman" w:eastAsia="宋体" w:cs="Times New Roman"/>
                <w:sz w:val="24"/>
              </w:rPr>
              <w:t>满足《工业企业厂界环境噪声排放标准》（</w:t>
            </w:r>
            <w:r>
              <w:rPr>
                <w:rStyle w:val="69"/>
                <w:rFonts w:ascii="Times New Roman" w:eastAsia="宋体" w:cs="Times New Roman"/>
                <w:sz w:val="24"/>
              </w:rPr>
              <w:t>GB12348-2008</w:t>
            </w:r>
            <w:r>
              <w:rPr>
                <w:rStyle w:val="91"/>
                <w:rFonts w:ascii="Times New Roman" w:eastAsia="宋体" w:cs="Times New Roman"/>
                <w:sz w:val="24"/>
              </w:rPr>
              <w:t>）</w:t>
            </w:r>
            <w:r>
              <w:rPr>
                <w:rStyle w:val="69"/>
                <w:rFonts w:ascii="Times New Roman" w:eastAsia="宋体" w:cs="Times New Roman"/>
                <w:sz w:val="24"/>
              </w:rPr>
              <w:t>2</w:t>
            </w:r>
            <w:r>
              <w:rPr>
                <w:rStyle w:val="91"/>
                <w:rFonts w:ascii="Times New Roman" w:eastAsia="宋体" w:cs="Times New Roman"/>
                <w:sz w:val="24"/>
              </w:rPr>
              <w:t>类标准限值。</w:t>
            </w:r>
          </w:p>
          <w:p>
            <w:pPr>
              <w:pStyle w:val="11"/>
              <w:numPr>
                <w:ilvl w:val="2"/>
                <w:numId w:val="21"/>
              </w:numPr>
              <w:ind w:left="1129" w:firstLineChars="0"/>
              <w:rPr>
                <w:b/>
                <w:kern w:val="0"/>
                <w:szCs w:val="21"/>
              </w:rPr>
            </w:pPr>
            <w:r>
              <w:rPr>
                <w:rFonts w:hint="eastAsia"/>
                <w:b/>
                <w:kern w:val="0"/>
                <w:szCs w:val="21"/>
              </w:rPr>
              <w:t>11</w:t>
            </w:r>
            <w:r>
              <w:rPr>
                <w:b/>
                <w:kern w:val="0"/>
                <w:szCs w:val="21"/>
              </w:rPr>
              <w:t>0</w:t>
            </w:r>
            <w:r>
              <w:rPr>
                <w:rFonts w:hint="eastAsia"/>
                <w:b/>
                <w:kern w:val="0"/>
                <w:szCs w:val="21"/>
              </w:rPr>
              <w:t>kV</w:t>
            </w:r>
            <w:r>
              <w:rPr>
                <w:b/>
                <w:kern w:val="0"/>
                <w:szCs w:val="21"/>
              </w:rPr>
              <w:t>输电线路声环境影响分析</w:t>
            </w:r>
          </w:p>
          <w:p>
            <w:pPr>
              <w:pStyle w:val="11"/>
              <w:numPr>
                <w:ilvl w:val="3"/>
                <w:numId w:val="21"/>
              </w:numPr>
              <w:ind w:left="1270" w:firstLineChars="0"/>
              <w:rPr>
                <w:b/>
                <w:kern w:val="0"/>
                <w:szCs w:val="21"/>
              </w:rPr>
            </w:pPr>
            <w:r>
              <w:rPr>
                <w:rFonts w:hint="eastAsia"/>
                <w:b/>
                <w:kern w:val="0"/>
                <w:szCs w:val="21"/>
              </w:rPr>
              <w:t>1</w:t>
            </w:r>
            <w:r>
              <w:rPr>
                <w:b/>
                <w:kern w:val="0"/>
                <w:szCs w:val="21"/>
              </w:rPr>
              <w:t>10kV</w:t>
            </w:r>
            <w:r>
              <w:rPr>
                <w:rFonts w:hint="eastAsia"/>
                <w:b/>
                <w:kern w:val="0"/>
                <w:szCs w:val="21"/>
              </w:rPr>
              <w:t>单回输电线路段声环境影响分析</w:t>
            </w:r>
          </w:p>
          <w:p>
            <w:pPr>
              <w:pStyle w:val="11"/>
              <w:shd w:val="clear" w:color="auto" w:fill="FFFFFF"/>
              <w:adjustRightInd w:val="0"/>
              <w:snapToGrid w:val="0"/>
              <w:ind w:firstLineChars="0"/>
              <w:outlineLvl w:val="4"/>
              <w:rPr>
                <w:rFonts w:eastAsia="楷体_GB2312"/>
                <w:b/>
                <w:bCs/>
              </w:rPr>
            </w:pPr>
            <w:r>
              <w:rPr>
                <w:rFonts w:eastAsia="楷体_GB2312"/>
                <w:b/>
                <w:bCs/>
              </w:rPr>
              <w:t>（1）类比对象</w:t>
            </w:r>
          </w:p>
          <w:p>
            <w:pPr>
              <w:spacing w:line="360" w:lineRule="auto"/>
              <w:ind w:firstLine="482"/>
              <w:rPr>
                <w:color w:val="000000" w:themeColor="text1"/>
                <w:sz w:val="24"/>
                <w14:textFill>
                  <w14:solidFill>
                    <w14:schemeClr w14:val="tx1"/>
                  </w14:solidFill>
                </w14:textFill>
              </w:rPr>
            </w:pPr>
            <w:r>
              <w:rPr>
                <w:kern w:val="0"/>
                <w:sz w:val="24"/>
                <w:shd w:val="clear" w:color="auto" w:fill="FFFFFF"/>
              </w:rPr>
              <w:t>本工程新建110kV</w:t>
            </w:r>
            <w:r>
              <w:rPr>
                <w:rFonts w:hint="eastAsia"/>
                <w:kern w:val="0"/>
                <w:sz w:val="24"/>
                <w:shd w:val="clear" w:color="auto" w:fill="FFFFFF"/>
              </w:rPr>
              <w:t>单回输电线路</w:t>
            </w:r>
            <w:r>
              <w:rPr>
                <w:kern w:val="0"/>
                <w:sz w:val="24"/>
                <w:shd w:val="clear" w:color="auto" w:fill="FFFFFF"/>
              </w:rPr>
              <w:t>选择已运行的</w:t>
            </w:r>
            <w:r>
              <w:rPr>
                <w:rFonts w:hint="eastAsia"/>
                <w:color w:val="000000"/>
                <w:kern w:val="0"/>
                <w:sz w:val="24"/>
                <w:shd w:val="clear" w:color="auto" w:fill="FFFFFF"/>
              </w:rPr>
              <w:t>110kV吉团二线（单回路）</w:t>
            </w:r>
            <w:r>
              <w:rPr>
                <w:kern w:val="0"/>
                <w:sz w:val="24"/>
                <w:shd w:val="clear" w:color="auto" w:fill="FFFFFF"/>
              </w:rPr>
              <w:t>作为类比对象。类比线路与本工程线路主要技术指标对照表见</w:t>
            </w:r>
            <w:r>
              <w:rPr>
                <w:kern w:val="0"/>
                <w:sz w:val="24"/>
                <w:shd w:val="clear" w:color="auto" w:fill="FFFFFF"/>
              </w:rPr>
              <w:fldChar w:fldCharType="begin"/>
            </w:r>
            <w:r>
              <w:rPr>
                <w:kern w:val="0"/>
                <w:sz w:val="24"/>
                <w:shd w:val="clear" w:color="auto" w:fill="FFFFFF"/>
              </w:rPr>
              <w:instrText xml:space="preserve"> REF _Ref187415212 \h  \* MERGEFORMAT </w:instrText>
            </w:r>
            <w:r>
              <w:rPr>
                <w:kern w:val="0"/>
                <w:sz w:val="24"/>
                <w:shd w:val="clear" w:color="auto" w:fill="FFFFFF"/>
              </w:rPr>
              <w:fldChar w:fldCharType="separate"/>
            </w:r>
            <w:r>
              <w:rPr>
                <w:rFonts w:hint="eastAsia"/>
                <w:kern w:val="0"/>
                <w:sz w:val="24"/>
                <w:shd w:val="clear" w:color="auto" w:fill="FFFFFF"/>
              </w:rPr>
              <w:t xml:space="preserve">表 </w:t>
            </w:r>
            <w:r>
              <w:rPr>
                <w:kern w:val="0"/>
                <w:sz w:val="24"/>
                <w:shd w:val="clear" w:color="auto" w:fill="FFFFFF"/>
              </w:rPr>
              <w:t>16</w:t>
            </w:r>
            <w:r>
              <w:rPr>
                <w:kern w:val="0"/>
                <w:sz w:val="24"/>
                <w:shd w:val="clear" w:color="auto" w:fill="FFFFFF"/>
              </w:rPr>
              <w:fldChar w:fldCharType="end"/>
            </w:r>
            <w:r>
              <w:rPr>
                <w:kern w:val="0"/>
                <w:sz w:val="24"/>
                <w:shd w:val="clear" w:color="auto" w:fill="FFFFFF"/>
              </w:rPr>
              <w:t>。</w:t>
            </w:r>
          </w:p>
          <w:p>
            <w:pPr>
              <w:pStyle w:val="75"/>
              <w:rPr>
                <w:rFonts w:hint="eastAsia" w:ascii="黑体" w:hAnsi="黑体" w:eastAsia="黑体" w:cs="黑体"/>
                <w:bCs/>
                <w:sz w:val="21"/>
                <w:szCs w:val="21"/>
              </w:rPr>
            </w:pPr>
            <w:bookmarkStart w:id="660" w:name="_Ref187415212"/>
            <w:r>
              <w:rPr>
                <w:rFonts w:hint="eastAsia" w:ascii="黑体" w:hAnsi="黑体" w:eastAsia="黑体" w:cs="黑体"/>
                <w:bCs/>
                <w:sz w:val="21"/>
                <w:szCs w:val="21"/>
              </w:rPr>
              <w:t xml:space="preserve">表 </w:t>
            </w:r>
            <w:r>
              <w:rPr>
                <w:rFonts w:hint="eastAsia" w:ascii="黑体" w:hAnsi="黑体" w:eastAsia="黑体" w:cs="黑体"/>
                <w:bCs/>
                <w:sz w:val="21"/>
                <w:szCs w:val="21"/>
              </w:rPr>
              <w:fldChar w:fldCharType="begin"/>
            </w:r>
            <w:r>
              <w:rPr>
                <w:rFonts w:hint="eastAsia" w:ascii="黑体" w:hAnsi="黑体" w:eastAsia="黑体" w:cs="黑体"/>
                <w:bCs/>
                <w:sz w:val="21"/>
                <w:szCs w:val="21"/>
              </w:rPr>
              <w:instrText xml:space="preserve"> SEQ 表 \* ARABIC </w:instrText>
            </w:r>
            <w:r>
              <w:rPr>
                <w:rFonts w:hint="eastAsia" w:ascii="黑体" w:hAnsi="黑体" w:eastAsia="黑体" w:cs="黑体"/>
                <w:bCs/>
                <w:sz w:val="21"/>
                <w:szCs w:val="21"/>
              </w:rPr>
              <w:fldChar w:fldCharType="separate"/>
            </w:r>
            <w:r>
              <w:rPr>
                <w:rFonts w:ascii="黑体" w:hAnsi="黑体" w:eastAsia="黑体" w:cs="黑体"/>
                <w:bCs/>
                <w:sz w:val="21"/>
                <w:szCs w:val="21"/>
              </w:rPr>
              <w:t>16</w:t>
            </w:r>
            <w:r>
              <w:rPr>
                <w:rFonts w:hint="eastAsia" w:ascii="黑体" w:hAnsi="黑体" w:eastAsia="黑体" w:cs="黑体"/>
                <w:bCs/>
                <w:sz w:val="21"/>
                <w:szCs w:val="21"/>
              </w:rPr>
              <w:fldChar w:fldCharType="end"/>
            </w:r>
            <w:bookmarkEnd w:id="660"/>
            <w:r>
              <w:rPr>
                <w:rFonts w:hint="eastAsia" w:ascii="黑体" w:hAnsi="黑体" w:eastAsia="黑体" w:cs="黑体"/>
                <w:bCs/>
                <w:sz w:val="21"/>
                <w:szCs w:val="21"/>
              </w:rPr>
              <w:t xml:space="preserve">        类比线路与本工程线路（单回）技术指标对照表</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7"/>
              <w:gridCol w:w="3228"/>
              <w:gridCol w:w="3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21" w:type="pct"/>
                  <w:vAlign w:val="center"/>
                </w:tcPr>
                <w:p>
                  <w:pPr>
                    <w:spacing w:before="48" w:beforeLines="20" w:after="48" w:afterLines="2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主要指标</w:t>
                  </w:r>
                </w:p>
              </w:tc>
              <w:tc>
                <w:tcPr>
                  <w:tcW w:w="1945" w:type="pct"/>
                  <w:vAlign w:val="center"/>
                </w:tcPr>
                <w:p>
                  <w:pPr>
                    <w:jc w:val="center"/>
                    <w:rPr>
                      <w:bCs/>
                      <w:color w:val="000000"/>
                      <w:szCs w:val="21"/>
                    </w:rPr>
                  </w:pPr>
                  <w:r>
                    <w:rPr>
                      <w:rFonts w:hint="eastAsia"/>
                      <w:color w:val="000000"/>
                      <w:kern w:val="0"/>
                      <w:shd w:val="clear" w:color="auto" w:fill="FFFFFF"/>
                    </w:rPr>
                    <w:t>110kV吉团二线</w:t>
                  </w:r>
                </w:p>
              </w:tc>
              <w:tc>
                <w:tcPr>
                  <w:tcW w:w="1834" w:type="pct"/>
                  <w:vAlign w:val="center"/>
                </w:tcPr>
                <w:p>
                  <w:pPr>
                    <w:spacing w:before="48" w:beforeLines="20" w:after="48" w:afterLines="2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本</w:t>
                  </w:r>
                  <w:r>
                    <w:rPr>
                      <w:rFonts w:hint="eastAsia"/>
                      <w:bCs/>
                      <w:color w:val="000000" w:themeColor="text1"/>
                      <w:szCs w:val="21"/>
                      <w14:textFill>
                        <w14:solidFill>
                          <w14:schemeClr w14:val="tx1"/>
                        </w14:solidFill>
                      </w14:textFill>
                    </w:rPr>
                    <w:t>工程</w:t>
                  </w:r>
                  <w:r>
                    <w:rPr>
                      <w:bCs/>
                      <w:color w:val="000000" w:themeColor="text1"/>
                      <w:szCs w:val="21"/>
                      <w14:textFill>
                        <w14:solidFill>
                          <w14:schemeClr w14:val="tx1"/>
                        </w14:solidFill>
                      </w14:textFill>
                    </w:rPr>
                    <w:t>新建110kV线路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vAlign w:val="center"/>
                </w:tcPr>
                <w:p>
                  <w:pPr>
                    <w:spacing w:before="48" w:beforeLines="20" w:after="48" w:after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电压等级</w:t>
                  </w:r>
                </w:p>
              </w:tc>
              <w:tc>
                <w:tcPr>
                  <w:tcW w:w="1945" w:type="pct"/>
                  <w:vAlign w:val="center"/>
                </w:tcPr>
                <w:p>
                  <w:pPr>
                    <w:jc w:val="center"/>
                    <w:rPr>
                      <w:color w:val="000000"/>
                      <w:szCs w:val="21"/>
                    </w:rPr>
                  </w:pPr>
                  <w:r>
                    <w:rPr>
                      <w:color w:val="000000"/>
                      <w:szCs w:val="21"/>
                    </w:rPr>
                    <w:t>110kV</w:t>
                  </w:r>
                </w:p>
              </w:tc>
              <w:tc>
                <w:tcPr>
                  <w:tcW w:w="183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110kV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21" w:type="pct"/>
                  <w:vAlign w:val="center"/>
                </w:tcPr>
                <w:p>
                  <w:pPr>
                    <w:spacing w:before="48" w:beforeLines="20" w:after="48" w:after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架设型式</w:t>
                  </w:r>
                </w:p>
              </w:tc>
              <w:tc>
                <w:tcPr>
                  <w:tcW w:w="1945" w:type="pct"/>
                  <w:vAlign w:val="center"/>
                </w:tcPr>
                <w:p>
                  <w:pPr>
                    <w:jc w:val="center"/>
                    <w:rPr>
                      <w:color w:val="000000"/>
                      <w:szCs w:val="21"/>
                    </w:rPr>
                  </w:pPr>
                  <w:r>
                    <w:rPr>
                      <w:rFonts w:hint="eastAsia"/>
                      <w:color w:val="000000"/>
                      <w:szCs w:val="21"/>
                    </w:rPr>
                    <w:t>单</w:t>
                  </w:r>
                  <w:r>
                    <w:rPr>
                      <w:color w:val="000000"/>
                      <w:szCs w:val="21"/>
                    </w:rPr>
                    <w:t>回路架设</w:t>
                  </w:r>
                </w:p>
              </w:tc>
              <w:tc>
                <w:tcPr>
                  <w:tcW w:w="183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单回路架设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vAlign w:val="center"/>
                </w:tcPr>
                <w:p>
                  <w:pPr>
                    <w:spacing w:before="48" w:beforeLines="20" w:after="48" w:after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架设及排列方式</w:t>
                  </w:r>
                </w:p>
              </w:tc>
              <w:tc>
                <w:tcPr>
                  <w:tcW w:w="1945" w:type="pct"/>
                  <w:vAlign w:val="center"/>
                </w:tcPr>
                <w:p>
                  <w:pPr>
                    <w:jc w:val="center"/>
                    <w:rPr>
                      <w:color w:val="000000"/>
                      <w:szCs w:val="21"/>
                    </w:rPr>
                  </w:pPr>
                  <w:r>
                    <w:rPr>
                      <w:color w:val="000000"/>
                      <w:szCs w:val="21"/>
                    </w:rPr>
                    <w:t>架空/</w:t>
                  </w:r>
                  <w:r>
                    <w:rPr>
                      <w:rFonts w:hint="eastAsia"/>
                      <w:color w:val="000000"/>
                      <w:szCs w:val="21"/>
                    </w:rPr>
                    <w:t>三角</w:t>
                  </w:r>
                  <w:r>
                    <w:rPr>
                      <w:color w:val="000000"/>
                      <w:kern w:val="0"/>
                      <w:szCs w:val="21"/>
                    </w:rPr>
                    <w:t>排列</w:t>
                  </w:r>
                </w:p>
              </w:tc>
              <w:tc>
                <w:tcPr>
                  <w:tcW w:w="183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架空/</w:t>
                  </w:r>
                  <w:r>
                    <w:rPr>
                      <w:rFonts w:hint="eastAsia"/>
                      <w:color w:val="000000" w:themeColor="text1"/>
                      <w:szCs w:val="21"/>
                      <w14:textFill>
                        <w14:solidFill>
                          <w14:schemeClr w14:val="tx1"/>
                        </w14:solidFill>
                      </w14:textFill>
                    </w:rPr>
                    <w:t>三角</w:t>
                  </w:r>
                  <w:r>
                    <w:rPr>
                      <w:color w:val="000000" w:themeColor="text1"/>
                      <w:kern w:val="0"/>
                      <w:szCs w:val="21"/>
                      <w14:textFill>
                        <w14:solidFill>
                          <w14:schemeClr w14:val="tx1"/>
                        </w14:solidFill>
                      </w14:textFill>
                    </w:rPr>
                    <w:t>排列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vAlign w:val="center"/>
                </w:tcPr>
                <w:p>
                  <w:pPr>
                    <w:spacing w:before="48" w:beforeLines="20" w:after="48" w:after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导线型号</w:t>
                  </w:r>
                </w:p>
              </w:tc>
              <w:tc>
                <w:tcPr>
                  <w:tcW w:w="1945" w:type="pct"/>
                  <w:vAlign w:val="center"/>
                </w:tcPr>
                <w:p>
                  <w:pPr>
                    <w:jc w:val="center"/>
                    <w:rPr>
                      <w:color w:val="000000"/>
                      <w:szCs w:val="21"/>
                    </w:rPr>
                  </w:pPr>
                  <w:r>
                    <w:rPr>
                      <w:color w:val="000000"/>
                      <w:kern w:val="0"/>
                      <w:szCs w:val="21"/>
                    </w:rPr>
                    <w:t>JL/G1A-240/30</w:t>
                  </w:r>
                </w:p>
              </w:tc>
              <w:tc>
                <w:tcPr>
                  <w:tcW w:w="183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JL3/GIA-</w:t>
                  </w:r>
                  <w:r>
                    <w:rPr>
                      <w:color w:val="000000"/>
                      <w:kern w:val="0"/>
                      <w:szCs w:val="21"/>
                    </w:rPr>
                    <w:t>240/30</w:t>
                  </w:r>
                  <w:r>
                    <w:rPr>
                      <w:color w:val="000000" w:themeColor="text1"/>
                      <w:szCs w:val="21"/>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21" w:type="pct"/>
                  <w:vAlign w:val="center"/>
                </w:tcPr>
                <w:p>
                  <w:pPr>
                    <w:spacing w:before="48" w:beforeLines="20" w:after="48" w:after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导线直径</w:t>
                  </w:r>
                </w:p>
              </w:tc>
              <w:tc>
                <w:tcPr>
                  <w:tcW w:w="1945" w:type="pct"/>
                  <w:vAlign w:val="center"/>
                </w:tcPr>
                <w:p>
                  <w:pPr>
                    <w:jc w:val="center"/>
                    <w:rPr>
                      <w:color w:val="000000"/>
                      <w:szCs w:val="21"/>
                    </w:rPr>
                  </w:pPr>
                  <w:r>
                    <w:rPr>
                      <w:color w:val="000000"/>
                      <w:szCs w:val="21"/>
                    </w:rPr>
                    <w:t>21.6mm</w:t>
                  </w:r>
                </w:p>
              </w:tc>
              <w:tc>
                <w:tcPr>
                  <w:tcW w:w="183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21.6</w:t>
                  </w:r>
                  <w:r>
                    <w:rPr>
                      <w:rFonts w:hint="eastAsia"/>
                      <w:color w:val="000000" w:themeColor="text1"/>
                      <w:szCs w:val="21"/>
                      <w14:textFill>
                        <w14:solidFill>
                          <w14:schemeClr w14:val="tx1"/>
                        </w14:solidFill>
                      </w14:textFill>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21" w:type="pct"/>
                  <w:vAlign w:val="center"/>
                </w:tcPr>
                <w:p>
                  <w:pPr>
                    <w:spacing w:before="48" w:beforeLines="20" w:after="48" w:after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导线高度</w:t>
                  </w:r>
                </w:p>
              </w:tc>
              <w:tc>
                <w:tcPr>
                  <w:tcW w:w="1945" w:type="pct"/>
                  <w:vAlign w:val="center"/>
                </w:tcPr>
                <w:p>
                  <w:pPr>
                    <w:jc w:val="center"/>
                    <w:rPr>
                      <w:color w:val="000000"/>
                      <w:szCs w:val="21"/>
                    </w:rPr>
                  </w:pPr>
                  <w:r>
                    <w:rPr>
                      <w:color w:val="000000"/>
                      <w:szCs w:val="21"/>
                    </w:rPr>
                    <w:t>13m</w:t>
                  </w:r>
                </w:p>
              </w:tc>
              <w:tc>
                <w:tcPr>
                  <w:tcW w:w="183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非居民区不低于6m</w:t>
                  </w:r>
                  <w:r>
                    <w:rPr>
                      <w:rFonts w:hint="eastAsia"/>
                      <w:color w:val="000000" w:themeColor="text1"/>
                      <w:szCs w:val="21"/>
                      <w14:textFill>
                        <w14:solidFill>
                          <w14:schemeClr w14:val="tx1"/>
                        </w14:solidFill>
                      </w14:textFill>
                    </w:rPr>
                    <w:t>（设计阶段理论最小值）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21" w:type="pct"/>
                  <w:vAlign w:val="center"/>
                </w:tcPr>
                <w:p>
                  <w:pPr>
                    <w:spacing w:before="48" w:beforeLines="20" w:after="48" w:after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周边环境</w:t>
                  </w:r>
                </w:p>
              </w:tc>
              <w:tc>
                <w:tcPr>
                  <w:tcW w:w="1945" w:type="pct"/>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平原、戈壁</w:t>
                  </w:r>
                </w:p>
              </w:tc>
              <w:tc>
                <w:tcPr>
                  <w:tcW w:w="183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平原、戈壁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21" w:type="pct"/>
                  <w:vAlign w:val="center"/>
                </w:tcPr>
                <w:p>
                  <w:pPr>
                    <w:spacing w:before="48" w:beforeLines="20" w:after="48" w:after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声环境功能区</w:t>
                  </w:r>
                </w:p>
              </w:tc>
              <w:tc>
                <w:tcPr>
                  <w:tcW w:w="1945" w:type="pct"/>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《声环境质量标准》</w:t>
                  </w:r>
                  <w:r>
                    <w:rPr>
                      <w:kern w:val="0"/>
                      <w:shd w:val="clear" w:color="auto" w:fill="FFFFFF"/>
                    </w:rPr>
                    <w:t>（GB3096-2008）</w:t>
                  </w:r>
                  <w:r>
                    <w:rPr>
                      <w:rFonts w:hint="eastAsia"/>
                      <w:kern w:val="0"/>
                      <w:shd w:val="clear" w:color="auto" w:fill="FFFFFF"/>
                    </w:rPr>
                    <w:t>2类</w:t>
                  </w:r>
                </w:p>
              </w:tc>
              <w:tc>
                <w:tcPr>
                  <w:tcW w:w="1834" w:type="pct"/>
                  <w:vAlign w:val="center"/>
                </w:tcPr>
                <w:p>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《声环境质量标准》</w:t>
                  </w:r>
                  <w:r>
                    <w:rPr>
                      <w:kern w:val="0"/>
                      <w:shd w:val="clear" w:color="auto" w:fill="FFFFFF"/>
                    </w:rPr>
                    <w:t>（GB3096-2008）</w:t>
                  </w:r>
                  <w:r>
                    <w:rPr>
                      <w:rFonts w:hint="eastAsia"/>
                      <w:kern w:val="0"/>
                      <w:shd w:val="clear" w:color="auto" w:fill="FFFFFF"/>
                    </w:rPr>
                    <w:t>2类</w:t>
                  </w:r>
                </w:p>
              </w:tc>
            </w:tr>
          </w:tbl>
          <w:p>
            <w:pPr>
              <w:pStyle w:val="11"/>
              <w:shd w:val="clear" w:color="auto" w:fill="FFFFFF"/>
              <w:adjustRightInd w:val="0"/>
              <w:snapToGrid w:val="0"/>
              <w:spacing w:before="120" w:beforeLines="50"/>
              <w:ind w:firstLine="482" w:firstLineChars="0"/>
              <w:outlineLvl w:val="4"/>
              <w:rPr>
                <w:rFonts w:eastAsia="楷体_GB2312"/>
                <w:b/>
                <w:bCs/>
                <w:color w:val="000000" w:themeColor="text1"/>
                <w14:textFill>
                  <w14:solidFill>
                    <w14:schemeClr w14:val="tx1"/>
                  </w14:solidFill>
                </w14:textFill>
              </w:rPr>
            </w:pPr>
            <w:r>
              <w:rPr>
                <w:rFonts w:eastAsia="楷体_GB2312"/>
                <w:b/>
                <w:bCs/>
                <w:color w:val="000000" w:themeColor="text1"/>
                <w14:textFill>
                  <w14:solidFill>
                    <w14:schemeClr w14:val="tx1"/>
                  </w14:solidFill>
                </w14:textFill>
              </w:rPr>
              <w:t>（2）类比对象可行性分析</w:t>
            </w:r>
          </w:p>
          <w:p>
            <w:pPr>
              <w:spacing w:line="360" w:lineRule="auto"/>
              <w:ind w:firstLine="480" w:firstLineChars="200"/>
              <w:rPr>
                <w:rFonts w:eastAsia="楷体_GB2312"/>
                <w:b/>
              </w:rPr>
            </w:pPr>
            <w:r>
              <w:rPr>
                <w:rFonts w:hint="eastAsia"/>
                <w:color w:val="000000" w:themeColor="text1"/>
                <w:kern w:val="0"/>
                <w:sz w:val="24"/>
                <w:shd w:val="clear" w:color="auto" w:fill="FFFFFF"/>
                <w14:textFill>
                  <w14:solidFill>
                    <w14:schemeClr w14:val="tx1"/>
                  </w14:solidFill>
                </w14:textFill>
              </w:rPr>
              <w:t>由</w:t>
            </w:r>
            <w:r>
              <w:rPr>
                <w:color w:val="000000" w:themeColor="text1"/>
                <w:kern w:val="0"/>
                <w:sz w:val="32"/>
                <w:shd w:val="clear" w:color="auto" w:fill="FFFFFF"/>
                <w14:textFill>
                  <w14:solidFill>
                    <w14:schemeClr w14:val="tx1"/>
                  </w14:solidFill>
                </w14:textFill>
              </w:rPr>
              <w:fldChar w:fldCharType="begin"/>
            </w:r>
            <w:r>
              <w:rPr>
                <w:color w:val="000000" w:themeColor="text1"/>
                <w:kern w:val="0"/>
                <w:sz w:val="32"/>
                <w:shd w:val="clear" w:color="auto" w:fill="FFFFFF"/>
                <w14:textFill>
                  <w14:solidFill>
                    <w14:schemeClr w14:val="tx1"/>
                  </w14:solidFill>
                </w14:textFill>
              </w:rPr>
              <w:instrText xml:space="preserve"> </w:instrText>
            </w:r>
            <w:r>
              <w:rPr>
                <w:rFonts w:hint="eastAsia"/>
                <w:color w:val="000000" w:themeColor="text1"/>
                <w:kern w:val="0"/>
                <w:sz w:val="32"/>
                <w:shd w:val="clear" w:color="auto" w:fill="FFFFFF"/>
                <w14:textFill>
                  <w14:solidFill>
                    <w14:schemeClr w14:val="tx1"/>
                  </w14:solidFill>
                </w14:textFill>
              </w:rPr>
              <w:instrText xml:space="preserve">REF _Ref187415212 \h</w:instrText>
            </w:r>
            <w:r>
              <w:rPr>
                <w:color w:val="000000" w:themeColor="text1"/>
                <w:kern w:val="0"/>
                <w:sz w:val="32"/>
                <w:shd w:val="clear" w:color="auto" w:fill="FFFFFF"/>
                <w14:textFill>
                  <w14:solidFill>
                    <w14:schemeClr w14:val="tx1"/>
                  </w14:solidFill>
                </w14:textFill>
              </w:rPr>
              <w:instrText xml:space="preserve">  \* MERGEFORMAT </w:instrText>
            </w:r>
            <w:r>
              <w:rPr>
                <w:color w:val="000000" w:themeColor="text1"/>
                <w:kern w:val="0"/>
                <w:sz w:val="32"/>
                <w:shd w:val="clear" w:color="auto" w:fill="FFFFFF"/>
                <w14:textFill>
                  <w14:solidFill>
                    <w14:schemeClr w14:val="tx1"/>
                  </w14:solidFill>
                </w14:textFill>
              </w:rPr>
              <w:fldChar w:fldCharType="separate"/>
            </w:r>
            <w:r>
              <w:rPr>
                <w:rFonts w:hint="eastAsia"/>
                <w:sz w:val="24"/>
              </w:rPr>
              <w:t xml:space="preserve">表 </w:t>
            </w:r>
            <w:r>
              <w:rPr>
                <w:sz w:val="24"/>
              </w:rPr>
              <w:t>16</w:t>
            </w:r>
            <w:r>
              <w:rPr>
                <w:color w:val="000000" w:themeColor="text1"/>
                <w:kern w:val="0"/>
                <w:sz w:val="32"/>
                <w:shd w:val="clear" w:color="auto" w:fill="FFFFFF"/>
                <w14:textFill>
                  <w14:solidFill>
                    <w14:schemeClr w14:val="tx1"/>
                  </w14:solidFill>
                </w14:textFill>
              </w:rPr>
              <w:fldChar w:fldCharType="end"/>
            </w:r>
            <w:r>
              <w:rPr>
                <w:rFonts w:hint="eastAsia"/>
                <w:color w:val="000000" w:themeColor="text1"/>
                <w:kern w:val="0"/>
                <w:sz w:val="24"/>
                <w:shd w:val="clear" w:color="auto" w:fill="FFFFFF"/>
                <w14:textFill>
                  <w14:solidFill>
                    <w14:schemeClr w14:val="tx1"/>
                  </w14:solidFill>
                </w14:textFill>
              </w:rPr>
              <w:t>可知，选取的类比线路导线型号、电压等级、周边环境及所处的声环境功能区与本工程线路基本一致。</w:t>
            </w:r>
            <w:r>
              <w:rPr>
                <w:color w:val="000000" w:themeColor="text1"/>
                <w:sz w:val="24"/>
                <w14:textFill>
                  <w14:solidFill>
                    <w14:schemeClr w14:val="tx1"/>
                  </w14:solidFill>
                </w14:textFill>
              </w:rPr>
              <w:t>本次所选类比线路架设高度与本工程输电线路存在一定差异，即类比线路架设高度为实际架设高度，环评阶段本工程输电线路高度为《110kV～750kV架空输电线路设计规范》（GB50545-2010）中规定的导线对地最低理论高度。实际架设时，结合沿线地形条件实际架设高度一般会大于最低理论高度，可与类比线路导线对地高度相当。</w:t>
            </w:r>
            <w:r>
              <w:rPr>
                <w:rFonts w:hint="eastAsia"/>
                <w:color w:val="000000" w:themeColor="text1"/>
                <w:kern w:val="0"/>
                <w:sz w:val="24"/>
                <w:shd w:val="clear" w:color="auto" w:fill="FFFFFF"/>
                <w14:textFill>
                  <w14:solidFill>
                    <w14:schemeClr w14:val="tx1"/>
                  </w14:solidFill>
                </w14:textFill>
              </w:rPr>
              <w:t>监测期间类比线路运行正常，故本次环评将</w:t>
            </w:r>
            <w:r>
              <w:rPr>
                <w:rFonts w:hint="eastAsia"/>
                <w:color w:val="000000"/>
                <w:kern w:val="0"/>
                <w:sz w:val="24"/>
                <w:shd w:val="clear" w:color="auto" w:fill="FFFFFF"/>
              </w:rPr>
              <w:t>110kV吉团二线</w:t>
            </w:r>
            <w:r>
              <w:rPr>
                <w:rFonts w:hint="eastAsia"/>
                <w:color w:val="000000" w:themeColor="text1"/>
                <w:kern w:val="0"/>
                <w:sz w:val="24"/>
                <w:shd w:val="clear" w:color="auto" w:fill="FFFFFF"/>
                <w14:textFill>
                  <w14:solidFill>
                    <w14:schemeClr w14:val="tx1"/>
                  </w14:solidFill>
                </w14:textFill>
              </w:rPr>
              <w:t>作为单回线路类比对象是可行的，</w:t>
            </w:r>
            <w:r>
              <w:rPr>
                <w:color w:val="000000" w:themeColor="text1"/>
                <w:sz w:val="24"/>
                <w14:textFill>
                  <w14:solidFill>
                    <w14:schemeClr w14:val="tx1"/>
                  </w14:solidFill>
                </w14:textFill>
              </w:rPr>
              <w:t>类比线路的声环境监测结果能反映本工程输电线路运行后可能产生的声环境影响水平。</w:t>
            </w:r>
          </w:p>
          <w:p>
            <w:pPr>
              <w:pStyle w:val="11"/>
              <w:shd w:val="clear" w:color="auto" w:fill="FFFFFF"/>
              <w:adjustRightInd w:val="0"/>
              <w:snapToGrid w:val="0"/>
              <w:ind w:left="420" w:firstLine="0" w:firstLineChars="0"/>
              <w:outlineLvl w:val="4"/>
              <w:rPr>
                <w:rFonts w:eastAsia="楷体_GB2312"/>
                <w:b/>
              </w:rPr>
            </w:pPr>
            <w:r>
              <w:rPr>
                <w:rFonts w:eastAsia="楷体_GB2312"/>
                <w:b/>
              </w:rPr>
              <w:t>（3）类比监测点</w:t>
            </w:r>
          </w:p>
          <w:p>
            <w:pPr>
              <w:spacing w:line="360" w:lineRule="auto"/>
              <w:ind w:firstLine="482"/>
              <w:rPr>
                <w:kern w:val="0"/>
                <w:sz w:val="24"/>
                <w:shd w:val="clear" w:color="auto" w:fill="FFFFFF"/>
              </w:rPr>
            </w:pPr>
            <w:r>
              <w:rPr>
                <w:rFonts w:hint="eastAsia"/>
                <w:color w:val="000000"/>
                <w:kern w:val="0"/>
                <w:sz w:val="24"/>
                <w:shd w:val="clear" w:color="auto" w:fill="FFFFFF"/>
              </w:rPr>
              <w:t>以110kV吉团二线</w:t>
            </w:r>
            <w:r>
              <w:rPr>
                <w:color w:val="000000"/>
                <w:kern w:val="0"/>
                <w:sz w:val="24"/>
                <w:shd w:val="clear" w:color="auto" w:fill="FFFFFF"/>
              </w:rPr>
              <w:t>54</w:t>
            </w:r>
            <w:r>
              <w:rPr>
                <w:rFonts w:hint="eastAsia"/>
                <w:color w:val="000000"/>
                <w:kern w:val="0"/>
                <w:sz w:val="24"/>
                <w:shd w:val="clear" w:color="auto" w:fill="FFFFFF"/>
              </w:rPr>
              <w:t>号塔~5</w:t>
            </w:r>
            <w:r>
              <w:rPr>
                <w:color w:val="000000"/>
                <w:kern w:val="0"/>
                <w:sz w:val="24"/>
                <w:shd w:val="clear" w:color="auto" w:fill="FFFFFF"/>
              </w:rPr>
              <w:t>5</w:t>
            </w:r>
            <w:r>
              <w:rPr>
                <w:rFonts w:hint="eastAsia"/>
                <w:color w:val="000000"/>
                <w:kern w:val="0"/>
                <w:sz w:val="24"/>
                <w:shd w:val="clear" w:color="auto" w:fill="FFFFFF"/>
              </w:rPr>
              <w:t>号塔导线弧垂最低位置杆塔中心对地投影点为起点，沿垂直于线路方向监测</w:t>
            </w:r>
            <w:r>
              <w:rPr>
                <w:kern w:val="0"/>
                <w:sz w:val="24"/>
                <w:shd w:val="clear" w:color="auto" w:fill="FFFFFF"/>
              </w:rPr>
              <w:t>。</w:t>
            </w:r>
          </w:p>
          <w:p>
            <w:pPr>
              <w:pStyle w:val="11"/>
              <w:shd w:val="clear" w:color="auto" w:fill="FFFFFF"/>
              <w:adjustRightInd w:val="0"/>
              <w:snapToGrid w:val="0"/>
              <w:ind w:left="420" w:firstLine="0" w:firstLineChars="0"/>
              <w:outlineLvl w:val="4"/>
              <w:rPr>
                <w:rFonts w:eastAsia="楷体_GB2312"/>
                <w:b/>
              </w:rPr>
            </w:pPr>
            <w:r>
              <w:rPr>
                <w:rFonts w:eastAsia="楷体_GB2312"/>
                <w:b/>
              </w:rPr>
              <w:t>（4）类比监测内容</w:t>
            </w:r>
          </w:p>
          <w:p>
            <w:pPr>
              <w:spacing w:line="360" w:lineRule="auto"/>
              <w:ind w:firstLine="482"/>
              <w:rPr>
                <w:kern w:val="0"/>
                <w:sz w:val="24"/>
                <w:shd w:val="clear" w:color="auto" w:fill="FFFFFF"/>
              </w:rPr>
            </w:pPr>
            <w:r>
              <w:rPr>
                <w:kern w:val="0"/>
                <w:sz w:val="24"/>
                <w:shd w:val="clear" w:color="auto" w:fill="FFFFFF"/>
              </w:rPr>
              <w:t>等效连续A声级。</w:t>
            </w:r>
          </w:p>
          <w:p>
            <w:pPr>
              <w:pStyle w:val="11"/>
              <w:shd w:val="clear" w:color="auto" w:fill="FFFFFF"/>
              <w:adjustRightInd w:val="0"/>
              <w:snapToGrid w:val="0"/>
              <w:ind w:left="420" w:firstLine="0" w:firstLineChars="0"/>
              <w:outlineLvl w:val="4"/>
              <w:rPr>
                <w:rFonts w:eastAsia="楷体_GB2312"/>
                <w:b/>
              </w:rPr>
            </w:pPr>
            <w:r>
              <w:rPr>
                <w:rFonts w:eastAsia="楷体_GB2312"/>
                <w:b/>
              </w:rPr>
              <w:t>（5）类比监测方法及频次</w:t>
            </w:r>
          </w:p>
          <w:p>
            <w:pPr>
              <w:spacing w:line="360" w:lineRule="auto"/>
              <w:ind w:firstLine="482"/>
              <w:rPr>
                <w:sz w:val="24"/>
              </w:rPr>
            </w:pPr>
            <w:r>
              <w:rPr>
                <w:kern w:val="0"/>
                <w:sz w:val="24"/>
                <w:shd w:val="clear" w:color="auto" w:fill="FFFFFF"/>
              </w:rPr>
              <w:t>按《声环境质量标准》（GB3096-2008）中的规定监测方法进行监测，昼间、夜间各监测一次，每个监测点位监测时间1min</w:t>
            </w:r>
            <w:r>
              <w:rPr>
                <w:sz w:val="24"/>
              </w:rPr>
              <w:t>。</w:t>
            </w:r>
          </w:p>
          <w:p>
            <w:pPr>
              <w:pStyle w:val="11"/>
              <w:shd w:val="clear" w:color="auto" w:fill="FFFFFF"/>
              <w:adjustRightInd w:val="0"/>
              <w:snapToGrid w:val="0"/>
              <w:ind w:left="420" w:firstLine="0" w:firstLineChars="0"/>
              <w:outlineLvl w:val="4"/>
              <w:rPr>
                <w:rFonts w:eastAsia="楷体_GB2312"/>
                <w:b/>
              </w:rPr>
            </w:pPr>
            <w:r>
              <w:rPr>
                <w:rFonts w:eastAsia="楷体_GB2312"/>
                <w:b/>
              </w:rPr>
              <w:t>（6）类比监测单位及测量仪器</w:t>
            </w:r>
          </w:p>
          <w:p>
            <w:pPr>
              <w:adjustRightInd w:val="0"/>
              <w:snapToGrid w:val="0"/>
              <w:spacing w:line="360" w:lineRule="auto"/>
              <w:ind w:firstLine="480" w:firstLineChars="200"/>
              <w:rPr>
                <w:kern w:val="0"/>
                <w:sz w:val="24"/>
                <w:shd w:val="clear" w:color="auto" w:fill="FFFFFF"/>
              </w:rPr>
            </w:pPr>
            <w:r>
              <w:rPr>
                <w:kern w:val="0"/>
                <w:sz w:val="24"/>
                <w:shd w:val="clear" w:color="auto" w:fill="FFFFFF"/>
              </w:rPr>
              <w:t>监测单位：</w:t>
            </w:r>
            <w:r>
              <w:rPr>
                <w:rFonts w:hint="eastAsia"/>
                <w:kern w:val="0"/>
                <w:sz w:val="24"/>
                <w:shd w:val="clear" w:color="auto" w:fill="FFFFFF"/>
              </w:rPr>
              <w:t>武汉中电工程检测有限</w:t>
            </w:r>
            <w:r>
              <w:rPr>
                <w:kern w:val="0"/>
                <w:sz w:val="24"/>
                <w:shd w:val="clear" w:color="auto" w:fill="FFFFFF"/>
              </w:rPr>
              <w:t>。</w:t>
            </w:r>
          </w:p>
          <w:p>
            <w:pPr>
              <w:adjustRightInd w:val="0"/>
              <w:snapToGrid w:val="0"/>
              <w:spacing w:line="360" w:lineRule="auto"/>
              <w:ind w:firstLine="480" w:firstLineChars="200"/>
              <w:rPr>
                <w:kern w:val="0"/>
                <w:sz w:val="24"/>
                <w:shd w:val="clear" w:color="auto" w:fill="FFFFFF"/>
              </w:rPr>
            </w:pPr>
            <w:r>
              <w:rPr>
                <w:kern w:val="0"/>
                <w:sz w:val="24"/>
                <w:shd w:val="clear" w:color="auto" w:fill="FFFFFF"/>
              </w:rPr>
              <w:t>监测仪器：</w:t>
            </w:r>
            <w:r>
              <w:rPr>
                <w:color w:val="000000"/>
                <w:kern w:val="0"/>
                <w:sz w:val="24"/>
                <w:shd w:val="clear" w:color="auto" w:fill="FFFFFF"/>
              </w:rPr>
              <w:t>AWA6228+</w:t>
            </w:r>
            <w:r>
              <w:rPr>
                <w:kern w:val="0"/>
                <w:sz w:val="24"/>
                <w:shd w:val="clear" w:color="auto" w:fill="FFFFFF"/>
              </w:rPr>
              <w:t>。</w:t>
            </w:r>
          </w:p>
          <w:p>
            <w:pPr>
              <w:pStyle w:val="11"/>
              <w:shd w:val="clear" w:color="auto" w:fill="FFFFFF"/>
              <w:adjustRightInd w:val="0"/>
              <w:snapToGrid w:val="0"/>
              <w:ind w:left="420" w:firstLine="0" w:firstLineChars="0"/>
              <w:outlineLvl w:val="4"/>
              <w:rPr>
                <w:rFonts w:eastAsia="楷体_GB2312"/>
                <w:b/>
              </w:rPr>
            </w:pPr>
            <w:r>
              <w:rPr>
                <w:rFonts w:eastAsia="楷体_GB2312"/>
                <w:b/>
              </w:rPr>
              <w:t>（7）类比监测时间、监测环境</w:t>
            </w:r>
          </w:p>
          <w:p>
            <w:pPr>
              <w:adjustRightInd w:val="0"/>
              <w:snapToGrid w:val="0"/>
              <w:spacing w:line="360" w:lineRule="auto"/>
              <w:ind w:firstLine="480" w:firstLineChars="200"/>
              <w:rPr>
                <w:color w:val="000000"/>
                <w:kern w:val="0"/>
                <w:sz w:val="24"/>
                <w:shd w:val="clear" w:color="auto" w:fill="FFFFFF"/>
              </w:rPr>
            </w:pPr>
            <w:r>
              <w:rPr>
                <w:color w:val="000000"/>
                <w:kern w:val="0"/>
                <w:sz w:val="24"/>
                <w:shd w:val="clear" w:color="auto" w:fill="FFFFFF"/>
              </w:rPr>
              <w:t>测量时间：</w:t>
            </w:r>
            <w:r>
              <w:rPr>
                <w:rFonts w:hint="eastAsia"/>
                <w:color w:val="000000"/>
                <w:kern w:val="0"/>
                <w:sz w:val="24"/>
                <w:shd w:val="clear" w:color="auto" w:fill="FFFFFF"/>
              </w:rPr>
              <w:t>20</w:t>
            </w:r>
            <w:r>
              <w:rPr>
                <w:color w:val="000000"/>
                <w:kern w:val="0"/>
                <w:sz w:val="24"/>
                <w:shd w:val="clear" w:color="auto" w:fill="FFFFFF"/>
              </w:rPr>
              <w:t>25</w:t>
            </w:r>
            <w:r>
              <w:rPr>
                <w:rFonts w:hint="eastAsia"/>
                <w:color w:val="000000"/>
                <w:kern w:val="0"/>
                <w:sz w:val="24"/>
                <w:shd w:val="clear" w:color="auto" w:fill="FFFFFF"/>
              </w:rPr>
              <w:t>年</w:t>
            </w:r>
            <w:r>
              <w:rPr>
                <w:color w:val="000000"/>
                <w:kern w:val="0"/>
                <w:sz w:val="24"/>
                <w:shd w:val="clear" w:color="auto" w:fill="FFFFFF"/>
              </w:rPr>
              <w:t>01</w:t>
            </w:r>
            <w:r>
              <w:rPr>
                <w:rFonts w:hint="eastAsia"/>
                <w:color w:val="000000"/>
                <w:kern w:val="0"/>
                <w:sz w:val="24"/>
                <w:shd w:val="clear" w:color="auto" w:fill="FFFFFF"/>
              </w:rPr>
              <w:t>月</w:t>
            </w:r>
            <w:r>
              <w:rPr>
                <w:color w:val="000000"/>
                <w:kern w:val="0"/>
                <w:sz w:val="24"/>
                <w:shd w:val="clear" w:color="auto" w:fill="FFFFFF"/>
              </w:rPr>
              <w:t>10</w:t>
            </w:r>
            <w:r>
              <w:rPr>
                <w:rFonts w:hint="eastAsia"/>
                <w:color w:val="000000"/>
                <w:kern w:val="0"/>
                <w:sz w:val="24"/>
                <w:shd w:val="clear" w:color="auto" w:fill="FFFFFF"/>
              </w:rPr>
              <w:t>日</w:t>
            </w:r>
            <w:r>
              <w:rPr>
                <w:color w:val="000000"/>
                <w:kern w:val="0"/>
                <w:sz w:val="24"/>
                <w:shd w:val="clear" w:color="auto" w:fill="FFFFFF"/>
              </w:rPr>
              <w:t>。</w:t>
            </w:r>
          </w:p>
          <w:p>
            <w:pPr>
              <w:adjustRightInd w:val="0"/>
              <w:snapToGrid w:val="0"/>
              <w:spacing w:line="360" w:lineRule="auto"/>
              <w:ind w:firstLine="480" w:firstLineChars="200"/>
              <w:rPr>
                <w:color w:val="000000"/>
                <w:kern w:val="0"/>
                <w:sz w:val="24"/>
                <w:shd w:val="clear" w:color="auto" w:fill="FFFFFF"/>
              </w:rPr>
            </w:pPr>
            <w:r>
              <w:rPr>
                <w:color w:val="000000"/>
                <w:kern w:val="0"/>
                <w:sz w:val="24"/>
                <w:shd w:val="clear" w:color="auto" w:fill="FFFFFF"/>
              </w:rPr>
              <w:t>气象条件：晴，温度-15.9～-7.8℃，湿度39.2~39.7%，风速0.8m/s～1.2m/s。</w:t>
            </w:r>
          </w:p>
          <w:p>
            <w:pPr>
              <w:adjustRightInd w:val="0"/>
              <w:snapToGrid w:val="0"/>
              <w:spacing w:line="360" w:lineRule="auto"/>
              <w:ind w:firstLine="480" w:firstLineChars="200"/>
              <w:rPr>
                <w:kern w:val="0"/>
                <w:sz w:val="24"/>
                <w:shd w:val="clear" w:color="auto" w:fill="FFFFFF"/>
              </w:rPr>
            </w:pPr>
            <w:r>
              <w:rPr>
                <w:color w:val="000000"/>
                <w:kern w:val="0"/>
                <w:sz w:val="24"/>
                <w:shd w:val="clear" w:color="auto" w:fill="FFFFFF"/>
              </w:rPr>
              <w:t>监测时工况</w:t>
            </w:r>
            <w:r>
              <w:rPr>
                <w:rFonts w:hint="eastAsia"/>
                <w:color w:val="000000"/>
                <w:kern w:val="0"/>
                <w:sz w:val="24"/>
                <w:shd w:val="clear" w:color="auto" w:fill="FFFFFF"/>
              </w:rPr>
              <w:t>见</w:t>
            </w:r>
            <w:r>
              <w:rPr>
                <w:color w:val="000000"/>
                <w:kern w:val="0"/>
                <w:sz w:val="24"/>
                <w:shd w:val="clear" w:color="auto" w:fill="FFFFFF"/>
              </w:rPr>
              <w:fldChar w:fldCharType="begin"/>
            </w:r>
            <w:r>
              <w:rPr>
                <w:color w:val="000000"/>
                <w:kern w:val="0"/>
                <w:sz w:val="24"/>
                <w:shd w:val="clear" w:color="auto" w:fill="FFFFFF"/>
              </w:rPr>
              <w:instrText xml:space="preserve"> </w:instrText>
            </w:r>
            <w:r>
              <w:rPr>
                <w:rFonts w:hint="eastAsia"/>
                <w:color w:val="000000"/>
                <w:kern w:val="0"/>
                <w:sz w:val="24"/>
                <w:shd w:val="clear" w:color="auto" w:fill="FFFFFF"/>
              </w:rPr>
              <w:instrText xml:space="preserve">REF _Ref195609325 \h</w:instrText>
            </w:r>
            <w:r>
              <w:rPr>
                <w:color w:val="000000"/>
                <w:kern w:val="0"/>
                <w:sz w:val="24"/>
                <w:shd w:val="clear" w:color="auto" w:fill="FFFFFF"/>
              </w:rPr>
              <w:instrText xml:space="preserve">  \* MERGEFORMAT </w:instrText>
            </w:r>
            <w:r>
              <w:rPr>
                <w:color w:val="000000"/>
                <w:kern w:val="0"/>
                <w:sz w:val="24"/>
                <w:shd w:val="clear" w:color="auto" w:fill="FFFFFF"/>
              </w:rPr>
              <w:fldChar w:fldCharType="separate"/>
            </w:r>
            <w:r>
              <w:rPr>
                <w:rFonts w:hint="eastAsia"/>
                <w:sz w:val="24"/>
              </w:rPr>
              <w:t xml:space="preserve">表 </w:t>
            </w:r>
            <w:r>
              <w:rPr>
                <w:sz w:val="24"/>
              </w:rPr>
              <w:t>17</w:t>
            </w:r>
            <w:r>
              <w:rPr>
                <w:color w:val="000000"/>
                <w:kern w:val="0"/>
                <w:sz w:val="24"/>
                <w:shd w:val="clear" w:color="auto" w:fill="FFFFFF"/>
              </w:rPr>
              <w:fldChar w:fldCharType="end"/>
            </w:r>
            <w:r>
              <w:rPr>
                <w:kern w:val="0"/>
                <w:sz w:val="24"/>
                <w:shd w:val="clear" w:color="auto" w:fill="FFFFFF"/>
              </w:rPr>
              <w:t>。</w:t>
            </w:r>
          </w:p>
          <w:p>
            <w:pPr>
              <w:pStyle w:val="18"/>
              <w:ind w:firstLine="420"/>
            </w:pPr>
            <w:bookmarkStart w:id="661" w:name="_Ref195609325"/>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t>17</w:t>
            </w:r>
            <w:r>
              <w:fldChar w:fldCharType="end"/>
            </w:r>
            <w:bookmarkEnd w:id="661"/>
            <w:r>
              <w:t xml:space="preserve">              </w:t>
            </w:r>
            <w:r>
              <w:rPr>
                <w:kern w:val="0"/>
                <w:shd w:val="clear" w:color="auto" w:fill="FFFFFF"/>
              </w:rPr>
              <w:t>110kV</w:t>
            </w:r>
            <w:r>
              <w:rPr>
                <w:rFonts w:hint="eastAsia"/>
                <w:kern w:val="0"/>
                <w:shd w:val="clear" w:color="auto" w:fill="FFFFFF"/>
              </w:rPr>
              <w:t>吉团二线断面监测时工况一览表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800"/>
              <w:gridCol w:w="1559"/>
              <w:gridCol w:w="1560"/>
              <w:gridCol w:w="1559"/>
              <w:gridCol w:w="1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pStyle w:val="11"/>
                    <w:spacing w:line="240" w:lineRule="auto"/>
                    <w:ind w:firstLine="0" w:firstLineChars="0"/>
                    <w:jc w:val="center"/>
                    <w:rPr>
                      <w:color w:val="000000"/>
                      <w:sz w:val="21"/>
                    </w:rPr>
                  </w:pPr>
                  <w:r>
                    <w:rPr>
                      <w:color w:val="000000"/>
                      <w:sz w:val="21"/>
                    </w:rPr>
                    <w:t>序号</w:t>
                  </w:r>
                </w:p>
              </w:tc>
              <w:tc>
                <w:tcPr>
                  <w:tcW w:w="1800" w:type="dxa"/>
                  <w:vAlign w:val="center"/>
                </w:tcPr>
                <w:p>
                  <w:pPr>
                    <w:jc w:val="center"/>
                    <w:rPr>
                      <w:color w:val="000000"/>
                    </w:rPr>
                  </w:pPr>
                  <w:r>
                    <w:rPr>
                      <w:color w:val="000000"/>
                    </w:rPr>
                    <w:t>对象</w:t>
                  </w:r>
                </w:p>
              </w:tc>
              <w:tc>
                <w:tcPr>
                  <w:tcW w:w="1559" w:type="dxa"/>
                  <w:vAlign w:val="center"/>
                </w:tcPr>
                <w:p>
                  <w:pPr>
                    <w:tabs>
                      <w:tab w:val="left" w:pos="6300"/>
                    </w:tabs>
                    <w:jc w:val="center"/>
                    <w:rPr>
                      <w:color w:val="000000"/>
                    </w:rPr>
                  </w:pPr>
                  <w:r>
                    <w:rPr>
                      <w:color w:val="000000"/>
                    </w:rPr>
                    <w:t>运行电压</w:t>
                  </w:r>
                </w:p>
                <w:p>
                  <w:pPr>
                    <w:tabs>
                      <w:tab w:val="left" w:pos="6300"/>
                    </w:tabs>
                    <w:jc w:val="center"/>
                    <w:rPr>
                      <w:color w:val="000000"/>
                    </w:rPr>
                  </w:pPr>
                  <w:r>
                    <w:rPr>
                      <w:rFonts w:hint="eastAsia"/>
                      <w:color w:val="000000"/>
                    </w:rPr>
                    <w:t>（</w:t>
                  </w:r>
                  <w:r>
                    <w:rPr>
                      <w:color w:val="000000"/>
                    </w:rPr>
                    <w:t>kV</w:t>
                  </w:r>
                  <w:r>
                    <w:rPr>
                      <w:rFonts w:hint="eastAsia"/>
                      <w:color w:val="000000"/>
                    </w:rPr>
                    <w:t>）</w:t>
                  </w:r>
                </w:p>
              </w:tc>
              <w:tc>
                <w:tcPr>
                  <w:tcW w:w="1560" w:type="dxa"/>
                  <w:vAlign w:val="center"/>
                </w:tcPr>
                <w:p>
                  <w:pPr>
                    <w:tabs>
                      <w:tab w:val="left" w:pos="6300"/>
                    </w:tabs>
                    <w:jc w:val="center"/>
                    <w:rPr>
                      <w:color w:val="000000"/>
                    </w:rPr>
                  </w:pPr>
                  <w:r>
                    <w:rPr>
                      <w:color w:val="000000"/>
                    </w:rPr>
                    <w:t>运行电流</w:t>
                  </w:r>
                </w:p>
                <w:p>
                  <w:pPr>
                    <w:tabs>
                      <w:tab w:val="left" w:pos="6300"/>
                    </w:tabs>
                    <w:jc w:val="center"/>
                    <w:rPr>
                      <w:color w:val="000000"/>
                    </w:rPr>
                  </w:pPr>
                  <w:r>
                    <w:rPr>
                      <w:rFonts w:hint="eastAsia"/>
                      <w:color w:val="000000"/>
                    </w:rPr>
                    <w:t>（</w:t>
                  </w:r>
                  <w:r>
                    <w:rPr>
                      <w:color w:val="000000"/>
                    </w:rPr>
                    <w:t>A</w:t>
                  </w:r>
                  <w:r>
                    <w:rPr>
                      <w:rFonts w:hint="eastAsia"/>
                      <w:color w:val="000000"/>
                    </w:rPr>
                    <w:t>）</w:t>
                  </w:r>
                </w:p>
              </w:tc>
              <w:tc>
                <w:tcPr>
                  <w:tcW w:w="1559" w:type="dxa"/>
                  <w:vAlign w:val="center"/>
                </w:tcPr>
                <w:p>
                  <w:pPr>
                    <w:tabs>
                      <w:tab w:val="left" w:pos="6300"/>
                    </w:tabs>
                    <w:jc w:val="center"/>
                    <w:rPr>
                      <w:color w:val="000000"/>
                    </w:rPr>
                  </w:pPr>
                  <w:r>
                    <w:rPr>
                      <w:color w:val="000000"/>
                    </w:rPr>
                    <w:t>有功功率</w:t>
                  </w:r>
                </w:p>
                <w:p>
                  <w:pPr>
                    <w:tabs>
                      <w:tab w:val="left" w:pos="6300"/>
                    </w:tabs>
                    <w:jc w:val="center"/>
                    <w:rPr>
                      <w:color w:val="000000"/>
                    </w:rPr>
                  </w:pPr>
                  <w:r>
                    <w:rPr>
                      <w:rFonts w:hint="eastAsia"/>
                      <w:color w:val="000000"/>
                    </w:rPr>
                    <w:t>（</w:t>
                  </w:r>
                  <w:r>
                    <w:rPr>
                      <w:color w:val="000000"/>
                    </w:rPr>
                    <w:t>MW</w:t>
                  </w:r>
                  <w:r>
                    <w:rPr>
                      <w:rFonts w:hint="eastAsia"/>
                      <w:color w:val="000000"/>
                    </w:rPr>
                    <w:t>）</w:t>
                  </w:r>
                </w:p>
              </w:tc>
              <w:tc>
                <w:tcPr>
                  <w:tcW w:w="1398" w:type="dxa"/>
                  <w:vAlign w:val="center"/>
                </w:tcPr>
                <w:p>
                  <w:pPr>
                    <w:tabs>
                      <w:tab w:val="left" w:pos="6300"/>
                    </w:tabs>
                    <w:jc w:val="center"/>
                    <w:rPr>
                      <w:color w:val="000000"/>
                    </w:rPr>
                  </w:pPr>
                  <w:r>
                    <w:rPr>
                      <w:color w:val="000000"/>
                    </w:rPr>
                    <w:t>无功功率</w:t>
                  </w:r>
                </w:p>
                <w:p>
                  <w:pPr>
                    <w:tabs>
                      <w:tab w:val="left" w:pos="6300"/>
                    </w:tabs>
                    <w:jc w:val="center"/>
                    <w:rPr>
                      <w:color w:val="000000"/>
                    </w:rPr>
                  </w:pPr>
                  <w:r>
                    <w:rPr>
                      <w:rFonts w:hint="eastAsia"/>
                      <w:color w:val="000000"/>
                    </w:rPr>
                    <w:t>（</w:t>
                  </w:r>
                  <w:r>
                    <w:rPr>
                      <w:color w:val="000000"/>
                    </w:rPr>
                    <w:t>MVar</w:t>
                  </w:r>
                  <w:r>
                    <w:rPr>
                      <w:rFonts w:hint="eastAsia"/>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pStyle w:val="11"/>
                    <w:spacing w:line="240" w:lineRule="auto"/>
                    <w:ind w:firstLine="0" w:firstLineChars="0"/>
                    <w:jc w:val="center"/>
                    <w:rPr>
                      <w:color w:val="000000"/>
                      <w:sz w:val="21"/>
                    </w:rPr>
                  </w:pPr>
                  <w:r>
                    <w:rPr>
                      <w:color w:val="000000"/>
                      <w:sz w:val="21"/>
                    </w:rPr>
                    <w:t>1</w:t>
                  </w:r>
                </w:p>
              </w:tc>
              <w:tc>
                <w:tcPr>
                  <w:tcW w:w="1800" w:type="dxa"/>
                  <w:vAlign w:val="center"/>
                </w:tcPr>
                <w:p>
                  <w:pPr>
                    <w:jc w:val="center"/>
                    <w:rPr>
                      <w:color w:val="000000"/>
                    </w:rPr>
                  </w:pPr>
                  <w:r>
                    <w:rPr>
                      <w:kern w:val="0"/>
                      <w:shd w:val="clear" w:color="auto" w:fill="FFFFFF"/>
                    </w:rPr>
                    <w:t>110kV</w:t>
                  </w:r>
                  <w:r>
                    <w:rPr>
                      <w:rFonts w:hint="eastAsia"/>
                      <w:kern w:val="0"/>
                      <w:shd w:val="clear" w:color="auto" w:fill="FFFFFF"/>
                    </w:rPr>
                    <w:t>吉团二线</w:t>
                  </w:r>
                </w:p>
              </w:tc>
              <w:tc>
                <w:tcPr>
                  <w:tcW w:w="1559" w:type="dxa"/>
                  <w:vAlign w:val="center"/>
                </w:tcPr>
                <w:p>
                  <w:pPr>
                    <w:jc w:val="center"/>
                    <w:rPr>
                      <w:color w:val="000000"/>
                    </w:rPr>
                  </w:pPr>
                  <w:r>
                    <w:rPr>
                      <w:color w:val="000000"/>
                    </w:rPr>
                    <w:t>115.41~116.32</w:t>
                  </w:r>
                </w:p>
              </w:tc>
              <w:tc>
                <w:tcPr>
                  <w:tcW w:w="1560" w:type="dxa"/>
                  <w:vAlign w:val="center"/>
                </w:tcPr>
                <w:p>
                  <w:pPr>
                    <w:jc w:val="center"/>
                    <w:rPr>
                      <w:color w:val="000000"/>
                    </w:rPr>
                  </w:pPr>
                  <w:r>
                    <w:rPr>
                      <w:color w:val="000000"/>
                    </w:rPr>
                    <w:t>41.55~43.22</w:t>
                  </w:r>
                </w:p>
              </w:tc>
              <w:tc>
                <w:tcPr>
                  <w:tcW w:w="1559" w:type="dxa"/>
                  <w:vAlign w:val="center"/>
                </w:tcPr>
                <w:p>
                  <w:pPr>
                    <w:jc w:val="center"/>
                    <w:rPr>
                      <w:color w:val="000000"/>
                    </w:rPr>
                  </w:pPr>
                  <w:r>
                    <w:rPr>
                      <w:color w:val="000000"/>
                    </w:rPr>
                    <w:t>-8.21~-7.75</w:t>
                  </w:r>
                </w:p>
              </w:tc>
              <w:tc>
                <w:tcPr>
                  <w:tcW w:w="1398" w:type="dxa"/>
                  <w:vAlign w:val="center"/>
                </w:tcPr>
                <w:p>
                  <w:pPr>
                    <w:jc w:val="center"/>
                    <w:rPr>
                      <w:color w:val="000000"/>
                    </w:rPr>
                  </w:pPr>
                  <w:r>
                    <w:rPr>
                      <w:color w:val="000000"/>
                    </w:rPr>
                    <w:t>-1.52~-0.95</w:t>
                  </w:r>
                </w:p>
              </w:tc>
            </w:tr>
          </w:tbl>
          <w:p>
            <w:pPr>
              <w:pStyle w:val="11"/>
              <w:shd w:val="clear" w:color="auto" w:fill="FFFFFF"/>
              <w:adjustRightInd w:val="0"/>
              <w:snapToGrid w:val="0"/>
              <w:spacing w:before="120" w:beforeLines="50"/>
              <w:ind w:left="420" w:firstLine="0" w:firstLineChars="0"/>
              <w:outlineLvl w:val="4"/>
              <w:rPr>
                <w:rFonts w:eastAsia="楷体_GB2312"/>
                <w:b/>
              </w:rPr>
            </w:pPr>
            <w:r>
              <w:rPr>
                <w:rFonts w:eastAsia="楷体_GB2312"/>
                <w:b/>
              </w:rPr>
              <w:t>（8）类比监测结果</w:t>
            </w:r>
          </w:p>
          <w:p>
            <w:pPr>
              <w:adjustRightInd w:val="0"/>
              <w:snapToGrid w:val="0"/>
              <w:spacing w:line="360" w:lineRule="auto"/>
              <w:ind w:firstLine="480" w:firstLineChars="200"/>
              <w:rPr>
                <w:kern w:val="0"/>
                <w:sz w:val="24"/>
                <w:shd w:val="clear" w:color="auto" w:fill="FFFFFF"/>
              </w:rPr>
            </w:pPr>
            <w:r>
              <w:rPr>
                <w:color w:val="000000"/>
                <w:sz w:val="24"/>
                <w:szCs w:val="21"/>
                <w:shd w:val="clear" w:color="auto" w:fill="FFFFFF"/>
              </w:rPr>
              <w:t>110kV</w:t>
            </w:r>
            <w:r>
              <w:rPr>
                <w:rFonts w:hint="eastAsia"/>
                <w:color w:val="000000"/>
                <w:sz w:val="24"/>
                <w:szCs w:val="21"/>
                <w:shd w:val="clear" w:color="auto" w:fill="FFFFFF"/>
              </w:rPr>
              <w:t>吉团二线</w:t>
            </w:r>
            <w:r>
              <w:rPr>
                <w:kern w:val="0"/>
                <w:sz w:val="24"/>
                <w:shd w:val="clear" w:color="auto" w:fill="FFFFFF"/>
              </w:rPr>
              <w:t>噪声监测结果见</w:t>
            </w:r>
            <w:r>
              <w:rPr>
                <w:kern w:val="0"/>
                <w:sz w:val="24"/>
                <w:shd w:val="clear" w:color="auto" w:fill="FFFFFF"/>
              </w:rPr>
              <w:fldChar w:fldCharType="begin"/>
            </w:r>
            <w:r>
              <w:rPr>
                <w:kern w:val="0"/>
                <w:sz w:val="24"/>
                <w:shd w:val="clear" w:color="auto" w:fill="FFFFFF"/>
              </w:rPr>
              <w:instrText xml:space="preserve"> REF _Ref187415239 \h  \* MERGEFORMAT </w:instrText>
            </w:r>
            <w:r>
              <w:rPr>
                <w:kern w:val="0"/>
                <w:sz w:val="24"/>
                <w:shd w:val="clear" w:color="auto" w:fill="FFFFFF"/>
              </w:rPr>
              <w:fldChar w:fldCharType="separate"/>
            </w:r>
            <w:r>
              <w:rPr>
                <w:sz w:val="24"/>
              </w:rPr>
              <w:t>表 18</w:t>
            </w:r>
            <w:r>
              <w:rPr>
                <w:kern w:val="0"/>
                <w:sz w:val="24"/>
                <w:shd w:val="clear" w:color="auto" w:fill="FFFFFF"/>
              </w:rPr>
              <w:fldChar w:fldCharType="end"/>
            </w:r>
            <w:r>
              <w:rPr>
                <w:kern w:val="0"/>
                <w:sz w:val="24"/>
                <w:shd w:val="clear" w:color="auto" w:fill="FFFFFF"/>
              </w:rPr>
              <w:t>。</w:t>
            </w:r>
          </w:p>
          <w:p>
            <w:pPr>
              <w:pStyle w:val="18"/>
              <w:ind w:firstLine="420"/>
              <w:rPr>
                <w:b/>
              </w:rPr>
            </w:pPr>
            <w:bookmarkStart w:id="662" w:name="_Ref187415239"/>
            <w:r>
              <w:t xml:space="preserve">表 </w:t>
            </w:r>
            <w:r>
              <w:rPr>
                <w:b/>
              </w:rPr>
              <w:fldChar w:fldCharType="begin"/>
            </w:r>
            <w:r>
              <w:instrText xml:space="preserve"> SEQ 表 \* ARABIC </w:instrText>
            </w:r>
            <w:r>
              <w:rPr>
                <w:b/>
              </w:rPr>
              <w:fldChar w:fldCharType="separate"/>
            </w:r>
            <w:r>
              <w:t>18</w:t>
            </w:r>
            <w:r>
              <w:rPr>
                <w:b/>
              </w:rPr>
              <w:fldChar w:fldCharType="end"/>
            </w:r>
            <w:bookmarkEnd w:id="662"/>
            <w:r>
              <w:t xml:space="preserve">          </w:t>
            </w:r>
            <w:r>
              <w:rPr>
                <w:color w:val="000000"/>
                <w:shd w:val="clear" w:color="auto" w:fill="FFFFFF"/>
              </w:rPr>
              <w:t>110kV</w:t>
            </w:r>
            <w:r>
              <w:rPr>
                <w:rFonts w:hint="eastAsia"/>
                <w:color w:val="000000"/>
                <w:shd w:val="clear" w:color="auto" w:fill="FFFFFF"/>
              </w:rPr>
              <w:t>吉团二</w:t>
            </w:r>
            <w:r>
              <w:rPr>
                <w:rFonts w:hint="eastAsia"/>
                <w:color w:val="000000"/>
                <w:kern w:val="0"/>
                <w:shd w:val="clear" w:color="auto" w:fill="FFFFFF"/>
              </w:rPr>
              <w:t>线</w:t>
            </w:r>
            <w:r>
              <w:t>噪声类比监测结果    单位：dB(A)</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3912"/>
              <w:gridCol w:w="1720"/>
              <w:gridCol w:w="1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809" w:type="dxa"/>
                  <w:vAlign w:val="center"/>
                </w:tcPr>
                <w:p>
                  <w:pPr>
                    <w:snapToGrid w:val="0"/>
                    <w:spacing w:before="60" w:beforeLines="25" w:after="60" w:afterLines="25"/>
                    <w:jc w:val="center"/>
                    <w:rPr>
                      <w:b/>
                      <w:szCs w:val="21"/>
                    </w:rPr>
                  </w:pPr>
                  <w:r>
                    <w:rPr>
                      <w:b/>
                      <w:szCs w:val="21"/>
                    </w:rPr>
                    <w:t>序号</w:t>
                  </w:r>
                </w:p>
              </w:tc>
              <w:tc>
                <w:tcPr>
                  <w:tcW w:w="3912" w:type="dxa"/>
                  <w:vAlign w:val="center"/>
                </w:tcPr>
                <w:p>
                  <w:pPr>
                    <w:snapToGrid w:val="0"/>
                    <w:jc w:val="center"/>
                    <w:rPr>
                      <w:b/>
                      <w:szCs w:val="21"/>
                    </w:rPr>
                  </w:pPr>
                  <w:r>
                    <w:rPr>
                      <w:b/>
                      <w:szCs w:val="21"/>
                    </w:rPr>
                    <w:t>监测点位描述</w:t>
                  </w:r>
                </w:p>
              </w:tc>
              <w:tc>
                <w:tcPr>
                  <w:tcW w:w="1720" w:type="dxa"/>
                  <w:vAlign w:val="center"/>
                </w:tcPr>
                <w:p>
                  <w:pPr>
                    <w:snapToGrid w:val="0"/>
                    <w:jc w:val="center"/>
                    <w:rPr>
                      <w:b/>
                      <w:szCs w:val="21"/>
                    </w:rPr>
                  </w:pPr>
                  <w:r>
                    <w:rPr>
                      <w:b/>
                      <w:szCs w:val="21"/>
                    </w:rPr>
                    <w:t>昼间dB(A)</w:t>
                  </w:r>
                </w:p>
              </w:tc>
              <w:tc>
                <w:tcPr>
                  <w:tcW w:w="1861" w:type="dxa"/>
                  <w:vAlign w:val="center"/>
                </w:tcPr>
                <w:p>
                  <w:pPr>
                    <w:pStyle w:val="119"/>
                    <w:ind w:firstLine="480"/>
                  </w:pPr>
                  <w: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809" w:type="dxa"/>
                  <w:vAlign w:val="center"/>
                </w:tcPr>
                <w:p>
                  <w:pPr>
                    <w:snapToGrid w:val="0"/>
                    <w:spacing w:before="60" w:beforeLines="25" w:after="60" w:afterLines="25"/>
                    <w:jc w:val="center"/>
                    <w:rPr>
                      <w:szCs w:val="21"/>
                    </w:rPr>
                  </w:pPr>
                  <w:r>
                    <w:rPr>
                      <w:szCs w:val="21"/>
                    </w:rPr>
                    <w:t>1</w:t>
                  </w:r>
                </w:p>
              </w:tc>
              <w:tc>
                <w:tcPr>
                  <w:tcW w:w="3912" w:type="dxa"/>
                  <w:vAlign w:val="center"/>
                </w:tcPr>
                <w:p>
                  <w:pPr>
                    <w:autoSpaceDE w:val="0"/>
                    <w:autoSpaceDN w:val="0"/>
                    <w:snapToGrid w:val="0"/>
                    <w:spacing w:line="280" w:lineRule="exact"/>
                    <w:jc w:val="center"/>
                    <w:rPr>
                      <w:szCs w:val="21"/>
                    </w:rPr>
                  </w:pPr>
                  <w:r>
                    <w:rPr>
                      <w:szCs w:val="21"/>
                    </w:rPr>
                    <w:t>线路中心线投影点0m处</w:t>
                  </w:r>
                </w:p>
              </w:tc>
              <w:tc>
                <w:tcPr>
                  <w:tcW w:w="1720" w:type="dxa"/>
                  <w:vAlign w:val="center"/>
                </w:tcPr>
                <w:p>
                  <w:pPr>
                    <w:snapToGrid w:val="0"/>
                    <w:jc w:val="center"/>
                    <w:rPr>
                      <w:szCs w:val="21"/>
                    </w:rPr>
                  </w:pPr>
                  <w:r>
                    <w:rPr>
                      <w:rFonts w:hint="eastAsia"/>
                      <w:szCs w:val="21"/>
                    </w:rPr>
                    <w:t>3</w:t>
                  </w:r>
                  <w:r>
                    <w:rPr>
                      <w:szCs w:val="21"/>
                    </w:rPr>
                    <w:t>6</w:t>
                  </w:r>
                </w:p>
              </w:tc>
              <w:tc>
                <w:tcPr>
                  <w:tcW w:w="1861" w:type="dxa"/>
                  <w:vAlign w:val="center"/>
                </w:tcPr>
                <w:p>
                  <w:pPr>
                    <w:widowControl/>
                    <w:autoSpaceDE w:val="0"/>
                    <w:autoSpaceDN w:val="0"/>
                    <w:snapToGrid w:val="0"/>
                    <w:jc w:val="center"/>
                    <w:rPr>
                      <w:szCs w:val="21"/>
                    </w:rPr>
                  </w:pPr>
                  <w:r>
                    <w:rPr>
                      <w:rFonts w:hint="eastAsia"/>
                      <w:szCs w:val="21"/>
                    </w:rPr>
                    <w:t>3</w:t>
                  </w:r>
                  <w:r>
                    <w:rPr>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809" w:type="dxa"/>
                  <w:vAlign w:val="center"/>
                </w:tcPr>
                <w:p>
                  <w:pPr>
                    <w:snapToGrid w:val="0"/>
                    <w:spacing w:before="60" w:beforeLines="25" w:after="60" w:afterLines="25"/>
                    <w:jc w:val="center"/>
                    <w:rPr>
                      <w:szCs w:val="21"/>
                    </w:rPr>
                  </w:pPr>
                  <w:r>
                    <w:rPr>
                      <w:szCs w:val="21"/>
                    </w:rPr>
                    <w:t>2</w:t>
                  </w:r>
                </w:p>
              </w:tc>
              <w:tc>
                <w:tcPr>
                  <w:tcW w:w="3912" w:type="dxa"/>
                  <w:vAlign w:val="center"/>
                </w:tcPr>
                <w:p>
                  <w:pPr>
                    <w:autoSpaceDE w:val="0"/>
                    <w:autoSpaceDN w:val="0"/>
                    <w:snapToGrid w:val="0"/>
                    <w:spacing w:line="280" w:lineRule="exact"/>
                    <w:jc w:val="center"/>
                    <w:rPr>
                      <w:szCs w:val="21"/>
                    </w:rPr>
                  </w:pPr>
                  <w:r>
                    <w:rPr>
                      <w:szCs w:val="21"/>
                    </w:rPr>
                    <w:t>线路边导线投影点3.5m处</w:t>
                  </w:r>
                  <w:r>
                    <w:rPr>
                      <w:rFonts w:hint="eastAsia"/>
                      <w:szCs w:val="21"/>
                    </w:rPr>
                    <w:t>（边导线下）</w:t>
                  </w:r>
                </w:p>
              </w:tc>
              <w:tc>
                <w:tcPr>
                  <w:tcW w:w="1720" w:type="dxa"/>
                  <w:vAlign w:val="center"/>
                </w:tcPr>
                <w:p>
                  <w:pPr>
                    <w:jc w:val="center"/>
                  </w:pPr>
                  <w:r>
                    <w:rPr>
                      <w:rFonts w:hint="eastAsia"/>
                      <w:szCs w:val="21"/>
                    </w:rPr>
                    <w:t>3</w:t>
                  </w:r>
                  <w:r>
                    <w:rPr>
                      <w:szCs w:val="21"/>
                    </w:rPr>
                    <w:t>6</w:t>
                  </w:r>
                </w:p>
              </w:tc>
              <w:tc>
                <w:tcPr>
                  <w:tcW w:w="1861" w:type="dxa"/>
                  <w:vAlign w:val="center"/>
                </w:tcPr>
                <w:p>
                  <w:pPr>
                    <w:widowControl/>
                    <w:autoSpaceDE w:val="0"/>
                    <w:autoSpaceDN w:val="0"/>
                    <w:snapToGrid w:val="0"/>
                    <w:jc w:val="center"/>
                    <w:rPr>
                      <w:szCs w:val="21"/>
                    </w:rPr>
                  </w:pPr>
                  <w:r>
                    <w:rPr>
                      <w:rFonts w:hint="eastAsia"/>
                      <w:szCs w:val="21"/>
                    </w:rPr>
                    <w:t>3</w:t>
                  </w:r>
                  <w:r>
                    <w:rPr>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809" w:type="dxa"/>
                  <w:vAlign w:val="center"/>
                </w:tcPr>
                <w:p>
                  <w:pPr>
                    <w:snapToGrid w:val="0"/>
                    <w:spacing w:before="60" w:beforeLines="25" w:after="60" w:afterLines="25"/>
                    <w:jc w:val="center"/>
                    <w:rPr>
                      <w:szCs w:val="21"/>
                    </w:rPr>
                  </w:pPr>
                  <w:r>
                    <w:rPr>
                      <w:szCs w:val="21"/>
                    </w:rPr>
                    <w:t>3</w:t>
                  </w:r>
                </w:p>
              </w:tc>
              <w:tc>
                <w:tcPr>
                  <w:tcW w:w="3912" w:type="dxa"/>
                  <w:vAlign w:val="center"/>
                </w:tcPr>
                <w:p>
                  <w:pPr>
                    <w:autoSpaceDE w:val="0"/>
                    <w:autoSpaceDN w:val="0"/>
                    <w:snapToGrid w:val="0"/>
                    <w:spacing w:line="280" w:lineRule="exact"/>
                    <w:jc w:val="center"/>
                    <w:rPr>
                      <w:szCs w:val="21"/>
                    </w:rPr>
                  </w:pPr>
                  <w:r>
                    <w:rPr>
                      <w:szCs w:val="21"/>
                    </w:rPr>
                    <w:t>边导线</w:t>
                  </w:r>
                  <w:r>
                    <w:rPr>
                      <w:rFonts w:hint="eastAsia"/>
                      <w:szCs w:val="21"/>
                    </w:rPr>
                    <w:t>外</w:t>
                  </w:r>
                  <w:r>
                    <w:rPr>
                      <w:szCs w:val="21"/>
                    </w:rPr>
                    <w:t>5m处</w:t>
                  </w:r>
                </w:p>
              </w:tc>
              <w:tc>
                <w:tcPr>
                  <w:tcW w:w="1720" w:type="dxa"/>
                  <w:vAlign w:val="center"/>
                </w:tcPr>
                <w:p>
                  <w:pPr>
                    <w:jc w:val="center"/>
                  </w:pPr>
                  <w:r>
                    <w:rPr>
                      <w:rFonts w:hint="eastAsia"/>
                      <w:szCs w:val="21"/>
                    </w:rPr>
                    <w:t>3</w:t>
                  </w:r>
                  <w:r>
                    <w:rPr>
                      <w:szCs w:val="21"/>
                    </w:rPr>
                    <w:t>6</w:t>
                  </w:r>
                </w:p>
              </w:tc>
              <w:tc>
                <w:tcPr>
                  <w:tcW w:w="1861" w:type="dxa"/>
                  <w:vAlign w:val="center"/>
                </w:tcPr>
                <w:p>
                  <w:pPr>
                    <w:jc w:val="center"/>
                  </w:pPr>
                  <w:r>
                    <w:rPr>
                      <w:rFonts w:hint="eastAsia"/>
                      <w:szCs w:val="21"/>
                    </w:rPr>
                    <w:t>3</w:t>
                  </w:r>
                  <w:r>
                    <w:rPr>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809" w:type="dxa"/>
                  <w:vAlign w:val="center"/>
                </w:tcPr>
                <w:p>
                  <w:pPr>
                    <w:snapToGrid w:val="0"/>
                    <w:spacing w:before="60" w:beforeLines="25" w:after="60" w:afterLines="25"/>
                    <w:jc w:val="center"/>
                    <w:rPr>
                      <w:szCs w:val="21"/>
                    </w:rPr>
                  </w:pPr>
                  <w:r>
                    <w:rPr>
                      <w:szCs w:val="21"/>
                    </w:rPr>
                    <w:t>4</w:t>
                  </w:r>
                </w:p>
              </w:tc>
              <w:tc>
                <w:tcPr>
                  <w:tcW w:w="3912" w:type="dxa"/>
                  <w:vAlign w:val="center"/>
                </w:tcPr>
                <w:p>
                  <w:pPr>
                    <w:autoSpaceDE w:val="0"/>
                    <w:autoSpaceDN w:val="0"/>
                    <w:snapToGrid w:val="0"/>
                    <w:spacing w:line="280" w:lineRule="exact"/>
                    <w:jc w:val="center"/>
                    <w:rPr>
                      <w:szCs w:val="21"/>
                    </w:rPr>
                  </w:pPr>
                  <w:r>
                    <w:rPr>
                      <w:szCs w:val="21"/>
                    </w:rPr>
                    <w:t>边导线</w:t>
                  </w:r>
                  <w:r>
                    <w:rPr>
                      <w:rFonts w:hint="eastAsia"/>
                      <w:szCs w:val="21"/>
                    </w:rPr>
                    <w:t>外</w:t>
                  </w:r>
                  <w:r>
                    <w:rPr>
                      <w:szCs w:val="21"/>
                    </w:rPr>
                    <w:t>10m处</w:t>
                  </w:r>
                </w:p>
              </w:tc>
              <w:tc>
                <w:tcPr>
                  <w:tcW w:w="1720" w:type="dxa"/>
                  <w:vAlign w:val="center"/>
                </w:tcPr>
                <w:p>
                  <w:pPr>
                    <w:jc w:val="center"/>
                  </w:pPr>
                  <w:r>
                    <w:rPr>
                      <w:rFonts w:hint="eastAsia"/>
                      <w:szCs w:val="21"/>
                    </w:rPr>
                    <w:t>3</w:t>
                  </w:r>
                  <w:r>
                    <w:rPr>
                      <w:szCs w:val="21"/>
                    </w:rPr>
                    <w:t>6</w:t>
                  </w:r>
                </w:p>
              </w:tc>
              <w:tc>
                <w:tcPr>
                  <w:tcW w:w="1861" w:type="dxa"/>
                  <w:vAlign w:val="center"/>
                </w:tcPr>
                <w:p>
                  <w:pPr>
                    <w:jc w:val="center"/>
                  </w:pPr>
                  <w:r>
                    <w:rPr>
                      <w:rFonts w:hint="eastAsia"/>
                      <w:szCs w:val="21"/>
                    </w:rPr>
                    <w:t>3</w:t>
                  </w:r>
                  <w:r>
                    <w:rPr>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809" w:type="dxa"/>
                  <w:vAlign w:val="center"/>
                </w:tcPr>
                <w:p>
                  <w:pPr>
                    <w:snapToGrid w:val="0"/>
                    <w:spacing w:before="60" w:beforeLines="25" w:after="60" w:afterLines="25"/>
                    <w:jc w:val="center"/>
                    <w:rPr>
                      <w:szCs w:val="21"/>
                    </w:rPr>
                  </w:pPr>
                  <w:r>
                    <w:rPr>
                      <w:szCs w:val="21"/>
                    </w:rPr>
                    <w:t>5</w:t>
                  </w:r>
                </w:p>
              </w:tc>
              <w:tc>
                <w:tcPr>
                  <w:tcW w:w="3912" w:type="dxa"/>
                  <w:vAlign w:val="center"/>
                </w:tcPr>
                <w:p>
                  <w:pPr>
                    <w:autoSpaceDE w:val="0"/>
                    <w:autoSpaceDN w:val="0"/>
                    <w:snapToGrid w:val="0"/>
                    <w:spacing w:line="280" w:lineRule="exact"/>
                    <w:jc w:val="center"/>
                    <w:rPr>
                      <w:szCs w:val="21"/>
                    </w:rPr>
                  </w:pPr>
                  <w:r>
                    <w:rPr>
                      <w:szCs w:val="21"/>
                    </w:rPr>
                    <w:t>边导线</w:t>
                  </w:r>
                  <w:r>
                    <w:rPr>
                      <w:rFonts w:hint="eastAsia"/>
                      <w:szCs w:val="21"/>
                    </w:rPr>
                    <w:t>外</w:t>
                  </w:r>
                  <w:r>
                    <w:rPr>
                      <w:szCs w:val="21"/>
                    </w:rPr>
                    <w:t>15m处</w:t>
                  </w:r>
                </w:p>
              </w:tc>
              <w:tc>
                <w:tcPr>
                  <w:tcW w:w="1720" w:type="dxa"/>
                  <w:vAlign w:val="center"/>
                </w:tcPr>
                <w:p>
                  <w:pPr>
                    <w:jc w:val="center"/>
                  </w:pPr>
                  <w:r>
                    <w:rPr>
                      <w:rFonts w:hint="eastAsia"/>
                      <w:szCs w:val="21"/>
                    </w:rPr>
                    <w:t>3</w:t>
                  </w:r>
                  <w:r>
                    <w:rPr>
                      <w:szCs w:val="21"/>
                    </w:rPr>
                    <w:t>6</w:t>
                  </w:r>
                </w:p>
              </w:tc>
              <w:tc>
                <w:tcPr>
                  <w:tcW w:w="1861" w:type="dxa"/>
                  <w:vAlign w:val="center"/>
                </w:tcPr>
                <w:p>
                  <w:pPr>
                    <w:jc w:val="center"/>
                  </w:pPr>
                  <w:r>
                    <w:rPr>
                      <w:rFonts w:hint="eastAsia"/>
                      <w:szCs w:val="21"/>
                    </w:rPr>
                    <w:t>3</w:t>
                  </w:r>
                  <w:r>
                    <w:rPr>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809" w:type="dxa"/>
                  <w:vAlign w:val="center"/>
                </w:tcPr>
                <w:p>
                  <w:pPr>
                    <w:snapToGrid w:val="0"/>
                    <w:spacing w:before="60" w:beforeLines="25" w:after="60" w:afterLines="25"/>
                    <w:jc w:val="center"/>
                    <w:rPr>
                      <w:szCs w:val="21"/>
                    </w:rPr>
                  </w:pPr>
                  <w:r>
                    <w:rPr>
                      <w:szCs w:val="21"/>
                    </w:rPr>
                    <w:t>6</w:t>
                  </w:r>
                </w:p>
              </w:tc>
              <w:tc>
                <w:tcPr>
                  <w:tcW w:w="3912" w:type="dxa"/>
                  <w:vAlign w:val="center"/>
                </w:tcPr>
                <w:p>
                  <w:pPr>
                    <w:autoSpaceDE w:val="0"/>
                    <w:autoSpaceDN w:val="0"/>
                    <w:snapToGrid w:val="0"/>
                    <w:spacing w:line="280" w:lineRule="exact"/>
                    <w:jc w:val="center"/>
                    <w:rPr>
                      <w:szCs w:val="21"/>
                    </w:rPr>
                  </w:pPr>
                  <w:r>
                    <w:rPr>
                      <w:szCs w:val="21"/>
                    </w:rPr>
                    <w:t>边导线</w:t>
                  </w:r>
                  <w:r>
                    <w:rPr>
                      <w:rFonts w:hint="eastAsia"/>
                      <w:szCs w:val="21"/>
                    </w:rPr>
                    <w:t>外</w:t>
                  </w:r>
                  <w:r>
                    <w:rPr>
                      <w:szCs w:val="21"/>
                    </w:rPr>
                    <w:t>20m处</w:t>
                  </w:r>
                </w:p>
              </w:tc>
              <w:tc>
                <w:tcPr>
                  <w:tcW w:w="1720" w:type="dxa"/>
                  <w:vAlign w:val="center"/>
                </w:tcPr>
                <w:p>
                  <w:pPr>
                    <w:jc w:val="center"/>
                  </w:pPr>
                  <w:r>
                    <w:rPr>
                      <w:rFonts w:hint="eastAsia"/>
                      <w:szCs w:val="21"/>
                    </w:rPr>
                    <w:t>3</w:t>
                  </w:r>
                  <w:r>
                    <w:rPr>
                      <w:szCs w:val="21"/>
                    </w:rPr>
                    <w:t>6</w:t>
                  </w:r>
                </w:p>
              </w:tc>
              <w:tc>
                <w:tcPr>
                  <w:tcW w:w="1861" w:type="dxa"/>
                  <w:vAlign w:val="center"/>
                </w:tcPr>
                <w:p>
                  <w:pPr>
                    <w:widowControl/>
                    <w:autoSpaceDE w:val="0"/>
                    <w:autoSpaceDN w:val="0"/>
                    <w:snapToGrid w:val="0"/>
                    <w:jc w:val="center"/>
                    <w:rPr>
                      <w:szCs w:val="21"/>
                    </w:rPr>
                  </w:pPr>
                  <w:r>
                    <w:rPr>
                      <w:rFonts w:hint="eastAsia"/>
                      <w:szCs w:val="21"/>
                    </w:rPr>
                    <w:t>3</w:t>
                  </w:r>
                  <w:r>
                    <w:rPr>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809" w:type="dxa"/>
                  <w:vAlign w:val="center"/>
                </w:tcPr>
                <w:p>
                  <w:pPr>
                    <w:snapToGrid w:val="0"/>
                    <w:spacing w:before="60" w:beforeLines="25" w:after="60" w:afterLines="25"/>
                    <w:jc w:val="center"/>
                    <w:rPr>
                      <w:szCs w:val="21"/>
                    </w:rPr>
                  </w:pPr>
                  <w:r>
                    <w:rPr>
                      <w:szCs w:val="21"/>
                    </w:rPr>
                    <w:t>7</w:t>
                  </w:r>
                </w:p>
              </w:tc>
              <w:tc>
                <w:tcPr>
                  <w:tcW w:w="3912" w:type="dxa"/>
                  <w:vAlign w:val="center"/>
                </w:tcPr>
                <w:p>
                  <w:pPr>
                    <w:autoSpaceDE w:val="0"/>
                    <w:autoSpaceDN w:val="0"/>
                    <w:snapToGrid w:val="0"/>
                    <w:spacing w:line="280" w:lineRule="exact"/>
                    <w:jc w:val="center"/>
                    <w:rPr>
                      <w:szCs w:val="21"/>
                    </w:rPr>
                  </w:pPr>
                  <w:r>
                    <w:rPr>
                      <w:szCs w:val="21"/>
                    </w:rPr>
                    <w:t>边导线</w:t>
                  </w:r>
                  <w:r>
                    <w:rPr>
                      <w:rFonts w:hint="eastAsia"/>
                      <w:szCs w:val="21"/>
                    </w:rPr>
                    <w:t>外</w:t>
                  </w:r>
                  <w:r>
                    <w:rPr>
                      <w:szCs w:val="21"/>
                    </w:rPr>
                    <w:t>25m处</w:t>
                  </w:r>
                </w:p>
              </w:tc>
              <w:tc>
                <w:tcPr>
                  <w:tcW w:w="1720" w:type="dxa"/>
                  <w:vAlign w:val="center"/>
                </w:tcPr>
                <w:p>
                  <w:pPr>
                    <w:jc w:val="center"/>
                  </w:pPr>
                  <w:r>
                    <w:rPr>
                      <w:rFonts w:hint="eastAsia"/>
                      <w:szCs w:val="21"/>
                    </w:rPr>
                    <w:t>3</w:t>
                  </w:r>
                  <w:r>
                    <w:rPr>
                      <w:szCs w:val="21"/>
                    </w:rPr>
                    <w:t>6</w:t>
                  </w:r>
                </w:p>
              </w:tc>
              <w:tc>
                <w:tcPr>
                  <w:tcW w:w="1861" w:type="dxa"/>
                  <w:vAlign w:val="center"/>
                </w:tcPr>
                <w:p>
                  <w:pPr>
                    <w:jc w:val="center"/>
                  </w:pPr>
                  <w:r>
                    <w:rPr>
                      <w:rFonts w:hint="eastAsia"/>
                      <w:szCs w:val="21"/>
                    </w:rPr>
                    <w:t>3</w:t>
                  </w:r>
                  <w:r>
                    <w:rPr>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809" w:type="dxa"/>
                  <w:vAlign w:val="center"/>
                </w:tcPr>
                <w:p>
                  <w:pPr>
                    <w:snapToGrid w:val="0"/>
                    <w:spacing w:before="60" w:beforeLines="25" w:after="60" w:afterLines="25"/>
                    <w:jc w:val="center"/>
                    <w:rPr>
                      <w:szCs w:val="21"/>
                    </w:rPr>
                  </w:pPr>
                  <w:r>
                    <w:rPr>
                      <w:szCs w:val="21"/>
                    </w:rPr>
                    <w:t>8</w:t>
                  </w:r>
                </w:p>
              </w:tc>
              <w:tc>
                <w:tcPr>
                  <w:tcW w:w="3912" w:type="dxa"/>
                  <w:vAlign w:val="center"/>
                </w:tcPr>
                <w:p>
                  <w:pPr>
                    <w:autoSpaceDE w:val="0"/>
                    <w:autoSpaceDN w:val="0"/>
                    <w:snapToGrid w:val="0"/>
                    <w:spacing w:line="280" w:lineRule="exact"/>
                    <w:jc w:val="center"/>
                    <w:rPr>
                      <w:szCs w:val="21"/>
                    </w:rPr>
                  </w:pPr>
                  <w:r>
                    <w:rPr>
                      <w:szCs w:val="21"/>
                    </w:rPr>
                    <w:t>边导线</w:t>
                  </w:r>
                  <w:r>
                    <w:rPr>
                      <w:rFonts w:hint="eastAsia"/>
                      <w:szCs w:val="21"/>
                    </w:rPr>
                    <w:t>外</w:t>
                  </w:r>
                  <w:r>
                    <w:rPr>
                      <w:szCs w:val="21"/>
                    </w:rPr>
                    <w:t>30m处</w:t>
                  </w:r>
                </w:p>
              </w:tc>
              <w:tc>
                <w:tcPr>
                  <w:tcW w:w="1720" w:type="dxa"/>
                  <w:vAlign w:val="center"/>
                </w:tcPr>
                <w:p>
                  <w:pPr>
                    <w:jc w:val="center"/>
                  </w:pPr>
                  <w:r>
                    <w:rPr>
                      <w:rFonts w:hint="eastAsia"/>
                      <w:szCs w:val="21"/>
                    </w:rPr>
                    <w:t>3</w:t>
                  </w:r>
                  <w:r>
                    <w:rPr>
                      <w:szCs w:val="21"/>
                    </w:rPr>
                    <w:t>6</w:t>
                  </w:r>
                </w:p>
              </w:tc>
              <w:tc>
                <w:tcPr>
                  <w:tcW w:w="1861" w:type="dxa"/>
                  <w:vAlign w:val="center"/>
                </w:tcPr>
                <w:p>
                  <w:pPr>
                    <w:jc w:val="center"/>
                  </w:pPr>
                  <w:r>
                    <w:rPr>
                      <w:rFonts w:hint="eastAsia"/>
                      <w:szCs w:val="21"/>
                    </w:rPr>
                    <w:t>3</w:t>
                  </w:r>
                  <w:r>
                    <w:rPr>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809" w:type="dxa"/>
                  <w:vAlign w:val="center"/>
                </w:tcPr>
                <w:p>
                  <w:pPr>
                    <w:snapToGrid w:val="0"/>
                    <w:spacing w:before="60" w:beforeLines="25" w:after="60" w:afterLines="25"/>
                    <w:jc w:val="center"/>
                    <w:rPr>
                      <w:szCs w:val="21"/>
                    </w:rPr>
                  </w:pPr>
                  <w:r>
                    <w:rPr>
                      <w:szCs w:val="21"/>
                    </w:rPr>
                    <w:t>9</w:t>
                  </w:r>
                </w:p>
              </w:tc>
              <w:tc>
                <w:tcPr>
                  <w:tcW w:w="3912" w:type="dxa"/>
                  <w:vAlign w:val="center"/>
                </w:tcPr>
                <w:p>
                  <w:pPr>
                    <w:autoSpaceDE w:val="0"/>
                    <w:autoSpaceDN w:val="0"/>
                    <w:snapToGrid w:val="0"/>
                    <w:spacing w:line="280" w:lineRule="exact"/>
                    <w:jc w:val="center"/>
                    <w:rPr>
                      <w:szCs w:val="21"/>
                    </w:rPr>
                  </w:pPr>
                  <w:r>
                    <w:rPr>
                      <w:szCs w:val="21"/>
                    </w:rPr>
                    <w:t>边导线</w:t>
                  </w:r>
                  <w:r>
                    <w:rPr>
                      <w:rFonts w:hint="eastAsia"/>
                      <w:szCs w:val="21"/>
                    </w:rPr>
                    <w:t>外</w:t>
                  </w:r>
                  <w:r>
                    <w:rPr>
                      <w:szCs w:val="21"/>
                    </w:rPr>
                    <w:t>35m处</w:t>
                  </w:r>
                </w:p>
              </w:tc>
              <w:tc>
                <w:tcPr>
                  <w:tcW w:w="1720" w:type="dxa"/>
                  <w:vAlign w:val="center"/>
                </w:tcPr>
                <w:p>
                  <w:pPr>
                    <w:jc w:val="center"/>
                  </w:pPr>
                  <w:r>
                    <w:rPr>
                      <w:rFonts w:hint="eastAsia"/>
                      <w:szCs w:val="21"/>
                    </w:rPr>
                    <w:t>3</w:t>
                  </w:r>
                  <w:r>
                    <w:rPr>
                      <w:szCs w:val="21"/>
                    </w:rPr>
                    <w:t>6</w:t>
                  </w:r>
                </w:p>
              </w:tc>
              <w:tc>
                <w:tcPr>
                  <w:tcW w:w="1861" w:type="dxa"/>
                  <w:vAlign w:val="center"/>
                </w:tcPr>
                <w:p>
                  <w:pPr>
                    <w:widowControl/>
                    <w:autoSpaceDE w:val="0"/>
                    <w:autoSpaceDN w:val="0"/>
                    <w:snapToGrid w:val="0"/>
                    <w:jc w:val="center"/>
                    <w:rPr>
                      <w:b/>
                      <w:szCs w:val="21"/>
                    </w:rPr>
                  </w:pPr>
                  <w:r>
                    <w:rPr>
                      <w:rFonts w:hint="eastAsia"/>
                      <w:b/>
                      <w:szCs w:val="21"/>
                    </w:rPr>
                    <w:t>3</w:t>
                  </w:r>
                  <w:r>
                    <w:rPr>
                      <w:b/>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809" w:type="dxa"/>
                  <w:vAlign w:val="center"/>
                </w:tcPr>
                <w:p>
                  <w:pPr>
                    <w:snapToGrid w:val="0"/>
                    <w:spacing w:before="60" w:beforeLines="25" w:after="60" w:afterLines="25"/>
                    <w:jc w:val="center"/>
                    <w:rPr>
                      <w:szCs w:val="21"/>
                    </w:rPr>
                  </w:pPr>
                  <w:r>
                    <w:rPr>
                      <w:szCs w:val="21"/>
                    </w:rPr>
                    <w:t>10</w:t>
                  </w:r>
                </w:p>
              </w:tc>
              <w:tc>
                <w:tcPr>
                  <w:tcW w:w="3912" w:type="dxa"/>
                  <w:vAlign w:val="center"/>
                </w:tcPr>
                <w:p>
                  <w:pPr>
                    <w:autoSpaceDE w:val="0"/>
                    <w:autoSpaceDN w:val="0"/>
                    <w:snapToGrid w:val="0"/>
                    <w:spacing w:line="280" w:lineRule="exact"/>
                    <w:jc w:val="center"/>
                    <w:rPr>
                      <w:szCs w:val="21"/>
                    </w:rPr>
                  </w:pPr>
                  <w:r>
                    <w:rPr>
                      <w:szCs w:val="21"/>
                    </w:rPr>
                    <w:t>边导线</w:t>
                  </w:r>
                  <w:r>
                    <w:rPr>
                      <w:rFonts w:hint="eastAsia"/>
                      <w:szCs w:val="21"/>
                    </w:rPr>
                    <w:t>外</w:t>
                  </w:r>
                  <w:r>
                    <w:rPr>
                      <w:szCs w:val="21"/>
                    </w:rPr>
                    <w:t>40m处</w:t>
                  </w:r>
                </w:p>
              </w:tc>
              <w:tc>
                <w:tcPr>
                  <w:tcW w:w="1720" w:type="dxa"/>
                  <w:vAlign w:val="center"/>
                </w:tcPr>
                <w:p>
                  <w:pPr>
                    <w:jc w:val="center"/>
                  </w:pPr>
                  <w:r>
                    <w:rPr>
                      <w:rFonts w:hint="eastAsia"/>
                      <w:szCs w:val="21"/>
                    </w:rPr>
                    <w:t>3</w:t>
                  </w:r>
                  <w:r>
                    <w:rPr>
                      <w:szCs w:val="21"/>
                    </w:rPr>
                    <w:t>6</w:t>
                  </w:r>
                </w:p>
              </w:tc>
              <w:tc>
                <w:tcPr>
                  <w:tcW w:w="1861" w:type="dxa"/>
                  <w:vAlign w:val="center"/>
                </w:tcPr>
                <w:p>
                  <w:pPr>
                    <w:jc w:val="center"/>
                  </w:pPr>
                  <w:r>
                    <w:rPr>
                      <w:rFonts w:hint="eastAsia"/>
                      <w:szCs w:val="21"/>
                    </w:rPr>
                    <w:t>3</w:t>
                  </w:r>
                  <w:r>
                    <w:rPr>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809" w:type="dxa"/>
                  <w:vAlign w:val="center"/>
                </w:tcPr>
                <w:p>
                  <w:pPr>
                    <w:snapToGrid w:val="0"/>
                    <w:spacing w:before="60" w:beforeLines="25" w:after="60" w:afterLines="25"/>
                    <w:jc w:val="center"/>
                    <w:rPr>
                      <w:szCs w:val="21"/>
                    </w:rPr>
                  </w:pPr>
                  <w:r>
                    <w:rPr>
                      <w:rFonts w:hint="eastAsia"/>
                      <w:szCs w:val="21"/>
                    </w:rPr>
                    <w:t>1</w:t>
                  </w:r>
                  <w:r>
                    <w:rPr>
                      <w:szCs w:val="21"/>
                    </w:rPr>
                    <w:t>1</w:t>
                  </w:r>
                </w:p>
              </w:tc>
              <w:tc>
                <w:tcPr>
                  <w:tcW w:w="3912" w:type="dxa"/>
                  <w:vAlign w:val="center"/>
                </w:tcPr>
                <w:p>
                  <w:pPr>
                    <w:autoSpaceDE w:val="0"/>
                    <w:autoSpaceDN w:val="0"/>
                    <w:snapToGrid w:val="0"/>
                    <w:spacing w:line="280" w:lineRule="exact"/>
                    <w:jc w:val="center"/>
                    <w:rPr>
                      <w:szCs w:val="21"/>
                    </w:rPr>
                  </w:pPr>
                  <w:r>
                    <w:rPr>
                      <w:szCs w:val="21"/>
                    </w:rPr>
                    <w:t>边导线</w:t>
                  </w:r>
                  <w:r>
                    <w:rPr>
                      <w:rFonts w:hint="eastAsia"/>
                      <w:szCs w:val="21"/>
                    </w:rPr>
                    <w:t>外</w:t>
                  </w:r>
                  <w:r>
                    <w:rPr>
                      <w:szCs w:val="21"/>
                    </w:rPr>
                    <w:t>45m处</w:t>
                  </w:r>
                </w:p>
              </w:tc>
              <w:tc>
                <w:tcPr>
                  <w:tcW w:w="1720" w:type="dxa"/>
                  <w:vAlign w:val="center"/>
                </w:tcPr>
                <w:p>
                  <w:pPr>
                    <w:jc w:val="center"/>
                  </w:pPr>
                  <w:r>
                    <w:rPr>
                      <w:rFonts w:hint="eastAsia"/>
                      <w:szCs w:val="21"/>
                    </w:rPr>
                    <w:t>3</w:t>
                  </w:r>
                  <w:r>
                    <w:rPr>
                      <w:szCs w:val="21"/>
                    </w:rPr>
                    <w:t>6</w:t>
                  </w:r>
                </w:p>
              </w:tc>
              <w:tc>
                <w:tcPr>
                  <w:tcW w:w="1861" w:type="dxa"/>
                  <w:vAlign w:val="center"/>
                </w:tcPr>
                <w:p>
                  <w:pPr>
                    <w:jc w:val="center"/>
                  </w:pPr>
                  <w:r>
                    <w:rPr>
                      <w:rFonts w:hint="eastAsia"/>
                      <w:szCs w:val="21"/>
                    </w:rPr>
                    <w:t>3</w:t>
                  </w:r>
                  <w:r>
                    <w:rPr>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809" w:type="dxa"/>
                  <w:vAlign w:val="center"/>
                </w:tcPr>
                <w:p>
                  <w:pPr>
                    <w:snapToGrid w:val="0"/>
                    <w:spacing w:before="60" w:beforeLines="25" w:after="60" w:afterLines="25"/>
                    <w:jc w:val="center"/>
                    <w:rPr>
                      <w:szCs w:val="21"/>
                    </w:rPr>
                  </w:pPr>
                  <w:r>
                    <w:rPr>
                      <w:rFonts w:hint="eastAsia"/>
                      <w:szCs w:val="21"/>
                    </w:rPr>
                    <w:t>1</w:t>
                  </w:r>
                  <w:r>
                    <w:rPr>
                      <w:szCs w:val="21"/>
                    </w:rPr>
                    <w:t>2</w:t>
                  </w:r>
                </w:p>
              </w:tc>
              <w:tc>
                <w:tcPr>
                  <w:tcW w:w="3912" w:type="dxa"/>
                  <w:vAlign w:val="center"/>
                </w:tcPr>
                <w:p>
                  <w:pPr>
                    <w:autoSpaceDE w:val="0"/>
                    <w:autoSpaceDN w:val="0"/>
                    <w:snapToGrid w:val="0"/>
                    <w:spacing w:line="280" w:lineRule="exact"/>
                    <w:jc w:val="center"/>
                    <w:rPr>
                      <w:szCs w:val="21"/>
                    </w:rPr>
                  </w:pPr>
                  <w:r>
                    <w:rPr>
                      <w:szCs w:val="21"/>
                    </w:rPr>
                    <w:t>边导线</w:t>
                  </w:r>
                  <w:r>
                    <w:rPr>
                      <w:rFonts w:hint="eastAsia"/>
                      <w:szCs w:val="21"/>
                    </w:rPr>
                    <w:t>外</w:t>
                  </w:r>
                  <w:r>
                    <w:rPr>
                      <w:szCs w:val="21"/>
                    </w:rPr>
                    <w:t>50m处</w:t>
                  </w:r>
                </w:p>
              </w:tc>
              <w:tc>
                <w:tcPr>
                  <w:tcW w:w="1720" w:type="dxa"/>
                  <w:vAlign w:val="center"/>
                </w:tcPr>
                <w:p>
                  <w:pPr>
                    <w:jc w:val="center"/>
                  </w:pPr>
                  <w:r>
                    <w:rPr>
                      <w:rFonts w:hint="eastAsia"/>
                      <w:szCs w:val="21"/>
                    </w:rPr>
                    <w:t>3</w:t>
                  </w:r>
                  <w:r>
                    <w:rPr>
                      <w:szCs w:val="21"/>
                    </w:rPr>
                    <w:t>6</w:t>
                  </w:r>
                </w:p>
              </w:tc>
              <w:tc>
                <w:tcPr>
                  <w:tcW w:w="1861" w:type="dxa"/>
                  <w:vAlign w:val="center"/>
                </w:tcPr>
                <w:p>
                  <w:pPr>
                    <w:jc w:val="center"/>
                  </w:pPr>
                  <w:r>
                    <w:rPr>
                      <w:rFonts w:hint="eastAsia"/>
                      <w:szCs w:val="21"/>
                    </w:rPr>
                    <w:t>3</w:t>
                  </w:r>
                  <w:r>
                    <w:rPr>
                      <w:szCs w:val="21"/>
                    </w:rPr>
                    <w:t>6</w:t>
                  </w:r>
                </w:p>
              </w:tc>
            </w:tr>
          </w:tbl>
          <w:p>
            <w:pPr>
              <w:pStyle w:val="11"/>
              <w:rPr>
                <w:kern w:val="0"/>
                <w:shd w:val="clear" w:color="auto" w:fill="FFFFFF"/>
              </w:rPr>
            </w:pPr>
          </w:p>
          <w:p>
            <w:pPr>
              <w:pStyle w:val="11"/>
            </w:pPr>
            <w:r>
              <w:rPr>
                <w:color w:val="000000"/>
                <w:szCs w:val="21"/>
                <w:shd w:val="clear" w:color="auto" w:fill="FFFFFF"/>
              </w:rPr>
              <w:t>110kV</w:t>
            </w:r>
            <w:r>
              <w:rPr>
                <w:rFonts w:hint="eastAsia"/>
                <w:color w:val="000000"/>
                <w:szCs w:val="21"/>
                <w:shd w:val="clear" w:color="auto" w:fill="FFFFFF"/>
              </w:rPr>
              <w:t>吉团二</w:t>
            </w:r>
            <w:r>
              <w:rPr>
                <w:rFonts w:hint="eastAsia"/>
                <w:color w:val="000000"/>
                <w:kern w:val="0"/>
                <w:shd w:val="clear" w:color="auto" w:fill="FFFFFF"/>
              </w:rPr>
              <w:t>线噪声断面监测</w:t>
            </w:r>
            <w:r>
              <w:t>范围内</w:t>
            </w:r>
            <w:r>
              <w:rPr>
                <w:rFonts w:hint="eastAsia"/>
              </w:rPr>
              <w:t>昼间</w:t>
            </w:r>
            <w:r>
              <w:t>噪声监测值为</w:t>
            </w:r>
            <w:r>
              <w:rPr>
                <w:color w:val="000000"/>
                <w:szCs w:val="24"/>
              </w:rPr>
              <w:t>36</w:t>
            </w:r>
            <w:r>
              <w:t>dB(A)，夜间噪声监测值为</w:t>
            </w:r>
            <w:r>
              <w:rPr>
                <w:color w:val="000000"/>
                <w:szCs w:val="24"/>
              </w:rPr>
              <w:t>35～36</w:t>
            </w:r>
            <w:r>
              <w:t>dB(A)</w:t>
            </w:r>
            <w:r>
              <w:rPr>
                <w:rFonts w:hint="eastAsia"/>
              </w:rPr>
              <w:t>，均</w:t>
            </w:r>
            <w:r>
              <w:t>满足《声环境质量标准》（GB3096-2008）中2类标准要求</w:t>
            </w:r>
            <w:r>
              <w:rPr>
                <w:rFonts w:hint="eastAsia"/>
              </w:rPr>
              <w:t>。</w:t>
            </w:r>
          </w:p>
          <w:p>
            <w:pPr>
              <w:pStyle w:val="11"/>
            </w:pPr>
            <w:r>
              <w:rPr>
                <w:rFonts w:hint="eastAsia"/>
              </w:rPr>
              <w:t>根据类比监测数据，类比线路运行期夜间噪声随距离变化趋势不明显，根据夜间数据分析可知线路运行噪声对周围环境噪声的贡献值趋近于零，即基本不会对周围环境产生新的噪声增量影响。</w:t>
            </w:r>
          </w:p>
          <w:p>
            <w:pPr>
              <w:pStyle w:val="11"/>
            </w:pPr>
            <w:r>
              <w:rPr>
                <w:rFonts w:hint="eastAsia"/>
              </w:rPr>
              <w:t>因此可以预测本工程线路投运前后，线路周围声环境水平保持同一水平，本工程输电线路运行时产生的噪声不会对周边声环境造成明显影响。可以预测，本工程新建输电线路附近声环境质量满足《声环境质量标准》（GB3096-2008）2类标准限值要求。</w:t>
            </w:r>
          </w:p>
          <w:p>
            <w:pPr>
              <w:pStyle w:val="11"/>
              <w:numPr>
                <w:ilvl w:val="3"/>
                <w:numId w:val="21"/>
              </w:numPr>
              <w:ind w:left="1270" w:firstLineChars="0"/>
              <w:rPr>
                <w:b/>
                <w:kern w:val="0"/>
                <w:szCs w:val="21"/>
              </w:rPr>
            </w:pPr>
            <w:r>
              <w:rPr>
                <w:rFonts w:hint="eastAsia"/>
                <w:b/>
                <w:kern w:val="0"/>
                <w:szCs w:val="21"/>
              </w:rPr>
              <w:t>1</w:t>
            </w:r>
            <w:r>
              <w:rPr>
                <w:b/>
                <w:kern w:val="0"/>
                <w:szCs w:val="21"/>
              </w:rPr>
              <w:t>10kV双回输电线路段声环境影响分析</w:t>
            </w:r>
          </w:p>
          <w:p>
            <w:pPr>
              <w:pStyle w:val="11"/>
              <w:shd w:val="clear" w:color="auto" w:fill="FFFFFF"/>
              <w:adjustRightInd w:val="0"/>
              <w:snapToGrid w:val="0"/>
              <w:ind w:firstLineChars="0"/>
              <w:outlineLvl w:val="4"/>
              <w:rPr>
                <w:rFonts w:eastAsia="楷体_GB2312"/>
                <w:b/>
                <w:bCs/>
              </w:rPr>
            </w:pPr>
            <w:r>
              <w:rPr>
                <w:rFonts w:eastAsia="楷体_GB2312"/>
                <w:b/>
                <w:bCs/>
              </w:rPr>
              <w:t>（1）类比对象</w:t>
            </w:r>
          </w:p>
          <w:p>
            <w:pPr>
              <w:spacing w:line="360" w:lineRule="auto"/>
              <w:ind w:firstLine="482"/>
              <w:rPr>
                <w:kern w:val="0"/>
                <w:sz w:val="24"/>
                <w:shd w:val="clear" w:color="auto" w:fill="FFFFFF"/>
              </w:rPr>
            </w:pPr>
            <w:r>
              <w:rPr>
                <w:kern w:val="0"/>
                <w:sz w:val="24"/>
                <w:shd w:val="clear" w:color="auto" w:fill="FFFFFF"/>
              </w:rPr>
              <w:t>本工程新建110kV</w:t>
            </w:r>
            <w:r>
              <w:rPr>
                <w:rFonts w:hint="eastAsia"/>
                <w:kern w:val="0"/>
                <w:sz w:val="24"/>
                <w:shd w:val="clear" w:color="auto" w:fill="FFFFFF"/>
              </w:rPr>
              <w:t>双回输电</w:t>
            </w:r>
            <w:r>
              <w:rPr>
                <w:kern w:val="0"/>
                <w:sz w:val="24"/>
                <w:shd w:val="clear" w:color="auto" w:fill="FFFFFF"/>
              </w:rPr>
              <w:t>线路</w:t>
            </w:r>
            <w:r>
              <w:rPr>
                <w:rFonts w:hint="eastAsia"/>
                <w:kern w:val="0"/>
                <w:sz w:val="24"/>
                <w:shd w:val="clear" w:color="auto" w:fill="FFFFFF"/>
              </w:rPr>
              <w:t>、</w:t>
            </w:r>
            <w:r>
              <w:rPr>
                <w:kern w:val="0"/>
                <w:sz w:val="24"/>
                <w:shd w:val="clear" w:color="auto" w:fill="FFFFFF"/>
              </w:rPr>
              <w:t>110kV</w:t>
            </w:r>
            <w:r>
              <w:rPr>
                <w:rFonts w:hint="eastAsia"/>
                <w:kern w:val="0"/>
                <w:sz w:val="24"/>
                <w:shd w:val="clear" w:color="auto" w:fill="FFFFFF"/>
              </w:rPr>
              <w:t>双回输电</w:t>
            </w:r>
            <w:r>
              <w:rPr>
                <w:kern w:val="0"/>
                <w:sz w:val="24"/>
                <w:shd w:val="clear" w:color="auto" w:fill="FFFFFF"/>
              </w:rPr>
              <w:t>线路</w:t>
            </w:r>
            <w:r>
              <w:rPr>
                <w:rFonts w:hint="eastAsia"/>
                <w:kern w:val="0"/>
                <w:sz w:val="24"/>
                <w:shd w:val="clear" w:color="auto" w:fill="FFFFFF"/>
              </w:rPr>
              <w:t>（本期单边挂线）段</w:t>
            </w:r>
            <w:r>
              <w:rPr>
                <w:kern w:val="0"/>
                <w:sz w:val="24"/>
                <w:shd w:val="clear" w:color="auto" w:fill="FFFFFF"/>
              </w:rPr>
              <w:t>选择已运行的</w:t>
            </w:r>
            <w:r>
              <w:rPr>
                <w:rFonts w:hint="eastAsia"/>
                <w:color w:val="000000"/>
                <w:kern w:val="0"/>
                <w:sz w:val="24"/>
                <w:shd w:val="clear" w:color="auto" w:fill="FFFFFF"/>
              </w:rPr>
              <w:t>“团场110千伏变电站二期扩建工程”中110kV吉团一线、二线（双回路）</w:t>
            </w:r>
            <w:r>
              <w:rPr>
                <w:kern w:val="0"/>
                <w:sz w:val="24"/>
                <w:shd w:val="clear" w:color="auto" w:fill="FFFFFF"/>
              </w:rPr>
              <w:t>作为类比对象。类比线路与本工程线路主要技术指标对照表见</w:t>
            </w:r>
            <w:r>
              <w:rPr>
                <w:kern w:val="0"/>
                <w:sz w:val="24"/>
                <w:shd w:val="clear" w:color="auto" w:fill="FFFFFF"/>
              </w:rPr>
              <w:fldChar w:fldCharType="begin"/>
            </w:r>
            <w:r>
              <w:rPr>
                <w:kern w:val="0"/>
                <w:sz w:val="24"/>
                <w:shd w:val="clear" w:color="auto" w:fill="FFFFFF"/>
              </w:rPr>
              <w:instrText xml:space="preserve"> REF _Ref97714434 \h  \* MERGEFORMAT </w:instrText>
            </w:r>
            <w:r>
              <w:rPr>
                <w:kern w:val="0"/>
                <w:sz w:val="24"/>
                <w:shd w:val="clear" w:color="auto" w:fill="FFFFFF"/>
              </w:rPr>
              <w:fldChar w:fldCharType="separate"/>
            </w:r>
            <w:r>
              <w:rPr>
                <w:rFonts w:hint="eastAsia"/>
                <w:kern w:val="0"/>
                <w:sz w:val="24"/>
                <w:shd w:val="clear" w:color="auto" w:fill="FFFFFF"/>
              </w:rPr>
              <w:t xml:space="preserve">表 </w:t>
            </w:r>
            <w:r>
              <w:rPr>
                <w:kern w:val="0"/>
                <w:sz w:val="24"/>
                <w:shd w:val="clear" w:color="auto" w:fill="FFFFFF"/>
              </w:rPr>
              <w:t>19</w:t>
            </w:r>
            <w:r>
              <w:rPr>
                <w:kern w:val="0"/>
                <w:sz w:val="24"/>
                <w:shd w:val="clear" w:color="auto" w:fill="FFFFFF"/>
              </w:rPr>
              <w:fldChar w:fldCharType="end"/>
            </w:r>
            <w:r>
              <w:rPr>
                <w:kern w:val="0"/>
                <w:sz w:val="24"/>
                <w:shd w:val="clear" w:color="auto" w:fill="FFFFFF"/>
              </w:rPr>
              <w:t>。</w:t>
            </w:r>
          </w:p>
          <w:p>
            <w:pPr>
              <w:pStyle w:val="75"/>
              <w:rPr>
                <w:rFonts w:hint="eastAsia" w:ascii="黑体" w:hAnsi="黑体" w:eastAsia="黑体" w:cs="黑体"/>
                <w:bCs/>
                <w:sz w:val="21"/>
                <w:szCs w:val="21"/>
              </w:rPr>
            </w:pPr>
            <w:bookmarkStart w:id="663" w:name="_Ref97714434"/>
            <w:r>
              <w:rPr>
                <w:rFonts w:hint="eastAsia" w:ascii="黑体" w:hAnsi="黑体" w:eastAsia="黑体" w:cs="黑体"/>
                <w:bCs/>
                <w:sz w:val="21"/>
                <w:szCs w:val="21"/>
              </w:rPr>
              <w:t xml:space="preserve">表 </w:t>
            </w:r>
            <w:r>
              <w:rPr>
                <w:rFonts w:hint="eastAsia" w:ascii="黑体" w:hAnsi="黑体" w:eastAsia="黑体" w:cs="黑体"/>
                <w:bCs/>
                <w:sz w:val="21"/>
                <w:szCs w:val="21"/>
              </w:rPr>
              <w:fldChar w:fldCharType="begin"/>
            </w:r>
            <w:r>
              <w:rPr>
                <w:rFonts w:hint="eastAsia" w:ascii="黑体" w:hAnsi="黑体" w:eastAsia="黑体" w:cs="黑体"/>
                <w:bCs/>
                <w:sz w:val="21"/>
                <w:szCs w:val="21"/>
              </w:rPr>
              <w:instrText xml:space="preserve"> SEQ 表 \* ARABIC </w:instrText>
            </w:r>
            <w:r>
              <w:rPr>
                <w:rFonts w:hint="eastAsia" w:ascii="黑体" w:hAnsi="黑体" w:eastAsia="黑体" w:cs="黑体"/>
                <w:bCs/>
                <w:sz w:val="21"/>
                <w:szCs w:val="21"/>
              </w:rPr>
              <w:fldChar w:fldCharType="separate"/>
            </w:r>
            <w:r>
              <w:rPr>
                <w:rFonts w:ascii="黑体" w:hAnsi="黑体" w:eastAsia="黑体" w:cs="黑体"/>
                <w:bCs/>
                <w:sz w:val="21"/>
                <w:szCs w:val="21"/>
              </w:rPr>
              <w:t>19</w:t>
            </w:r>
            <w:r>
              <w:rPr>
                <w:rFonts w:hint="eastAsia" w:ascii="黑体" w:hAnsi="黑体" w:eastAsia="黑体" w:cs="黑体"/>
                <w:bCs/>
                <w:sz w:val="21"/>
                <w:szCs w:val="21"/>
              </w:rPr>
              <w:fldChar w:fldCharType="end"/>
            </w:r>
            <w:bookmarkEnd w:id="663"/>
            <w:r>
              <w:rPr>
                <w:rFonts w:hint="eastAsia" w:ascii="黑体" w:hAnsi="黑体" w:eastAsia="黑体" w:cs="黑体"/>
                <w:bCs/>
                <w:sz w:val="21"/>
                <w:szCs w:val="21"/>
              </w:rPr>
              <w:t xml:space="preserve">           类比线路与本工程线路（双回）技术指标对照表</w:t>
            </w:r>
          </w:p>
          <w:tbl>
            <w:tblPr>
              <w:tblStyle w:val="43"/>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21"/>
              <w:gridCol w:w="3221"/>
              <w:gridCol w:w="30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221" w:type="pct"/>
                  <w:tcBorders>
                    <w:top w:val="single" w:color="auto" w:sz="6" w:space="0"/>
                    <w:left w:val="single" w:color="auto" w:sz="6" w:space="0"/>
                    <w:bottom w:val="single" w:color="auto" w:sz="6" w:space="0"/>
                    <w:right w:val="single" w:color="auto" w:sz="6" w:space="0"/>
                  </w:tcBorders>
                  <w:vAlign w:val="center"/>
                </w:tcPr>
                <w:p>
                  <w:pPr>
                    <w:spacing w:before="48" w:beforeLines="20" w:after="48" w:afterLines="2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主要指标</w:t>
                  </w:r>
                </w:p>
              </w:tc>
              <w:tc>
                <w:tcPr>
                  <w:tcW w:w="1945" w:type="pct"/>
                  <w:tcBorders>
                    <w:top w:val="single" w:color="auto" w:sz="6" w:space="0"/>
                    <w:left w:val="single" w:color="auto" w:sz="6" w:space="0"/>
                    <w:bottom w:val="single" w:color="auto" w:sz="6" w:space="0"/>
                    <w:right w:val="single" w:color="auto" w:sz="6" w:space="0"/>
                  </w:tcBorders>
                  <w:vAlign w:val="center"/>
                </w:tcPr>
                <w:p>
                  <w:pPr>
                    <w:jc w:val="center"/>
                    <w:rPr>
                      <w:bCs/>
                      <w:color w:val="000000"/>
                      <w:szCs w:val="21"/>
                    </w:rPr>
                  </w:pPr>
                  <w:r>
                    <w:rPr>
                      <w:color w:val="000000"/>
                      <w:szCs w:val="21"/>
                      <w:shd w:val="clear" w:color="auto" w:fill="FFFFFF"/>
                    </w:rPr>
                    <w:t>110kV</w:t>
                  </w:r>
                  <w:r>
                    <w:rPr>
                      <w:rFonts w:hint="eastAsia"/>
                      <w:color w:val="000000"/>
                      <w:kern w:val="0"/>
                      <w:shd w:val="clear" w:color="auto" w:fill="FFFFFF"/>
                    </w:rPr>
                    <w:t>吉团一线、二线</w:t>
                  </w:r>
                </w:p>
              </w:tc>
              <w:tc>
                <w:tcPr>
                  <w:tcW w:w="1834" w:type="pct"/>
                  <w:tcBorders>
                    <w:top w:val="single" w:color="auto" w:sz="6" w:space="0"/>
                    <w:left w:val="single" w:color="auto" w:sz="6" w:space="0"/>
                    <w:bottom w:val="single" w:color="auto" w:sz="6" w:space="0"/>
                    <w:right w:val="single" w:color="auto" w:sz="6" w:space="0"/>
                  </w:tcBorders>
                  <w:vAlign w:val="center"/>
                </w:tcPr>
                <w:p>
                  <w:pPr>
                    <w:spacing w:before="48" w:beforeLines="20" w:after="48" w:afterLines="2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本</w:t>
                  </w:r>
                  <w:r>
                    <w:rPr>
                      <w:rFonts w:hint="eastAsia"/>
                      <w:bCs/>
                      <w:color w:val="000000" w:themeColor="text1"/>
                      <w:szCs w:val="21"/>
                      <w14:textFill>
                        <w14:solidFill>
                          <w14:schemeClr w14:val="tx1"/>
                        </w14:solidFill>
                      </w14:textFill>
                    </w:rPr>
                    <w:t>工程</w:t>
                  </w:r>
                  <w:r>
                    <w:rPr>
                      <w:bCs/>
                      <w:color w:val="000000" w:themeColor="text1"/>
                      <w:szCs w:val="21"/>
                      <w14:textFill>
                        <w14:solidFill>
                          <w14:schemeClr w14:val="tx1"/>
                        </w14:solidFill>
                      </w14:textFill>
                    </w:rPr>
                    <w:t>新建110kV线路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1" w:type="pct"/>
                  <w:tcBorders>
                    <w:top w:val="single" w:color="auto" w:sz="6" w:space="0"/>
                    <w:left w:val="single" w:color="auto" w:sz="6" w:space="0"/>
                    <w:bottom w:val="single" w:color="auto" w:sz="6" w:space="0"/>
                    <w:right w:val="single" w:color="auto" w:sz="6" w:space="0"/>
                  </w:tcBorders>
                  <w:vAlign w:val="center"/>
                </w:tcPr>
                <w:p>
                  <w:pPr>
                    <w:spacing w:before="48" w:beforeLines="20" w:after="48" w:after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电压等级</w:t>
                  </w:r>
                </w:p>
              </w:tc>
              <w:tc>
                <w:tcPr>
                  <w:tcW w:w="1945" w:type="pct"/>
                  <w:tcBorders>
                    <w:top w:val="single" w:color="auto" w:sz="6" w:space="0"/>
                    <w:left w:val="single" w:color="auto" w:sz="6" w:space="0"/>
                    <w:bottom w:val="single" w:color="auto" w:sz="6" w:space="0"/>
                    <w:right w:val="single" w:color="auto" w:sz="6" w:space="0"/>
                  </w:tcBorders>
                  <w:vAlign w:val="center"/>
                </w:tcPr>
                <w:p>
                  <w:pPr>
                    <w:jc w:val="center"/>
                    <w:rPr>
                      <w:color w:val="000000"/>
                      <w:szCs w:val="21"/>
                    </w:rPr>
                  </w:pPr>
                  <w:r>
                    <w:rPr>
                      <w:color w:val="000000"/>
                      <w:szCs w:val="21"/>
                    </w:rPr>
                    <w:t>110kV</w:t>
                  </w:r>
                </w:p>
              </w:tc>
              <w:tc>
                <w:tcPr>
                  <w:tcW w:w="1834" w:type="pct"/>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110kV</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221" w:type="pct"/>
                  <w:tcBorders>
                    <w:top w:val="single" w:color="auto" w:sz="6" w:space="0"/>
                    <w:left w:val="single" w:color="auto" w:sz="6" w:space="0"/>
                    <w:bottom w:val="single" w:color="auto" w:sz="6" w:space="0"/>
                    <w:right w:val="single" w:color="auto" w:sz="6" w:space="0"/>
                  </w:tcBorders>
                  <w:vAlign w:val="center"/>
                </w:tcPr>
                <w:p>
                  <w:pPr>
                    <w:spacing w:before="48" w:beforeLines="20" w:after="48" w:after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架设型式</w:t>
                  </w:r>
                </w:p>
              </w:tc>
              <w:tc>
                <w:tcPr>
                  <w:tcW w:w="1945" w:type="pct"/>
                  <w:tcBorders>
                    <w:top w:val="single" w:color="auto" w:sz="6" w:space="0"/>
                    <w:left w:val="single" w:color="auto" w:sz="6" w:space="0"/>
                    <w:bottom w:val="single" w:color="auto" w:sz="6" w:space="0"/>
                    <w:right w:val="single" w:color="auto" w:sz="6" w:space="0"/>
                  </w:tcBorders>
                  <w:vAlign w:val="center"/>
                </w:tcPr>
                <w:p>
                  <w:pPr>
                    <w:jc w:val="center"/>
                    <w:rPr>
                      <w:color w:val="000000"/>
                      <w:szCs w:val="21"/>
                    </w:rPr>
                  </w:pPr>
                  <w:r>
                    <w:rPr>
                      <w:color w:val="000000"/>
                      <w:szCs w:val="21"/>
                    </w:rPr>
                    <w:t>双回路架设</w:t>
                  </w:r>
                </w:p>
              </w:tc>
              <w:tc>
                <w:tcPr>
                  <w:tcW w:w="1834" w:type="pct"/>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双回路架设、双回路架设（本期单边挂线）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1" w:type="pct"/>
                  <w:tcBorders>
                    <w:top w:val="single" w:color="auto" w:sz="6" w:space="0"/>
                    <w:left w:val="single" w:color="auto" w:sz="6" w:space="0"/>
                    <w:bottom w:val="single" w:color="auto" w:sz="6" w:space="0"/>
                    <w:right w:val="single" w:color="auto" w:sz="6" w:space="0"/>
                  </w:tcBorders>
                  <w:vAlign w:val="center"/>
                </w:tcPr>
                <w:p>
                  <w:pPr>
                    <w:spacing w:before="48" w:beforeLines="20" w:after="48" w:after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架设及排列方式</w:t>
                  </w:r>
                </w:p>
              </w:tc>
              <w:tc>
                <w:tcPr>
                  <w:tcW w:w="1945" w:type="pct"/>
                  <w:tcBorders>
                    <w:top w:val="single" w:color="auto" w:sz="6" w:space="0"/>
                    <w:left w:val="single" w:color="auto" w:sz="6" w:space="0"/>
                    <w:bottom w:val="single" w:color="auto" w:sz="6" w:space="0"/>
                    <w:right w:val="single" w:color="auto" w:sz="6" w:space="0"/>
                  </w:tcBorders>
                  <w:vAlign w:val="center"/>
                </w:tcPr>
                <w:p>
                  <w:pPr>
                    <w:jc w:val="center"/>
                    <w:rPr>
                      <w:color w:val="000000"/>
                      <w:szCs w:val="21"/>
                    </w:rPr>
                  </w:pPr>
                  <w:r>
                    <w:rPr>
                      <w:color w:val="000000"/>
                      <w:szCs w:val="21"/>
                    </w:rPr>
                    <w:t>架空/</w:t>
                  </w:r>
                  <w:r>
                    <w:rPr>
                      <w:rFonts w:hint="eastAsia"/>
                      <w:color w:val="000000"/>
                      <w:szCs w:val="21"/>
                    </w:rPr>
                    <w:t>鼓型</w:t>
                  </w:r>
                  <w:r>
                    <w:rPr>
                      <w:color w:val="000000"/>
                      <w:kern w:val="0"/>
                      <w:szCs w:val="21"/>
                    </w:rPr>
                    <w:t>排列</w:t>
                  </w:r>
                </w:p>
              </w:tc>
              <w:tc>
                <w:tcPr>
                  <w:tcW w:w="1834" w:type="pct"/>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架空/伞</w:t>
                  </w:r>
                  <w:r>
                    <w:rPr>
                      <w:rFonts w:hint="eastAsia"/>
                      <w:color w:val="000000" w:themeColor="text1"/>
                      <w:szCs w:val="21"/>
                      <w14:textFill>
                        <w14:solidFill>
                          <w14:schemeClr w14:val="tx1"/>
                        </w14:solidFill>
                      </w14:textFill>
                    </w:rPr>
                    <w:t>型</w:t>
                  </w:r>
                  <w:r>
                    <w:rPr>
                      <w:color w:val="000000" w:themeColor="text1"/>
                      <w:szCs w:val="21"/>
                      <w14:textFill>
                        <w14:solidFill>
                          <w14:schemeClr w14:val="tx1"/>
                        </w14:solidFill>
                      </w14:textFill>
                    </w:rPr>
                    <w:t>排列、</w:t>
                  </w:r>
                  <w:r>
                    <w:rPr>
                      <w:rFonts w:hint="eastAsia"/>
                      <w:color w:val="000000" w:themeColor="text1"/>
                      <w:szCs w:val="21"/>
                      <w14:textFill>
                        <w14:solidFill>
                          <w14:schemeClr w14:val="tx1"/>
                        </w14:solidFill>
                      </w14:textFill>
                    </w:rPr>
                    <w:t>鼓型</w:t>
                  </w:r>
                  <w:r>
                    <w:rPr>
                      <w:color w:val="000000" w:themeColor="text1"/>
                      <w:kern w:val="0"/>
                      <w:szCs w:val="21"/>
                      <w14:textFill>
                        <w14:solidFill>
                          <w14:schemeClr w14:val="tx1"/>
                        </w14:solidFill>
                      </w14:textFill>
                    </w:rPr>
                    <w:t>排列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221" w:type="pct"/>
                  <w:tcBorders>
                    <w:top w:val="single" w:color="auto" w:sz="6" w:space="0"/>
                    <w:left w:val="single" w:color="auto" w:sz="6" w:space="0"/>
                    <w:bottom w:val="single" w:color="auto" w:sz="6" w:space="0"/>
                    <w:right w:val="single" w:color="auto" w:sz="6" w:space="0"/>
                  </w:tcBorders>
                  <w:vAlign w:val="center"/>
                </w:tcPr>
                <w:p>
                  <w:pPr>
                    <w:spacing w:before="48" w:beforeLines="20" w:after="48" w:after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导线型号</w:t>
                  </w:r>
                </w:p>
              </w:tc>
              <w:tc>
                <w:tcPr>
                  <w:tcW w:w="1945" w:type="pct"/>
                  <w:tcBorders>
                    <w:top w:val="single" w:color="auto" w:sz="6" w:space="0"/>
                    <w:left w:val="single" w:color="auto" w:sz="6" w:space="0"/>
                    <w:bottom w:val="single" w:color="auto" w:sz="6" w:space="0"/>
                    <w:right w:val="single" w:color="auto" w:sz="6" w:space="0"/>
                  </w:tcBorders>
                  <w:vAlign w:val="center"/>
                </w:tcPr>
                <w:p>
                  <w:pPr>
                    <w:jc w:val="center"/>
                    <w:rPr>
                      <w:color w:val="000000"/>
                      <w:szCs w:val="21"/>
                    </w:rPr>
                  </w:pPr>
                  <w:r>
                    <w:rPr>
                      <w:color w:val="000000"/>
                      <w:kern w:val="0"/>
                      <w:szCs w:val="21"/>
                    </w:rPr>
                    <w:t>JL/G1A-240/30</w:t>
                  </w:r>
                </w:p>
              </w:tc>
              <w:tc>
                <w:tcPr>
                  <w:tcW w:w="1834" w:type="pct"/>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JL/GIA-</w:t>
                  </w:r>
                  <w:r>
                    <w:rPr>
                      <w:color w:val="000000"/>
                      <w:kern w:val="0"/>
                      <w:szCs w:val="21"/>
                    </w:rPr>
                    <w:t>240/30</w:t>
                  </w:r>
                  <w:r>
                    <w:rPr>
                      <w:rFonts w:hint="eastAsia"/>
                      <w:color w:val="000000" w:themeColor="text1"/>
                      <w:kern w:val="0"/>
                      <w:szCs w:val="21"/>
                      <w14:textFill>
                        <w14:solidFill>
                          <w14:schemeClr w14:val="tx1"/>
                        </w14:solidFill>
                      </w14:textFill>
                    </w:rPr>
                    <w:t>型钢芯铝绞线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221" w:type="pct"/>
                  <w:tcBorders>
                    <w:top w:val="single" w:color="auto" w:sz="6" w:space="0"/>
                    <w:left w:val="single" w:color="auto" w:sz="6" w:space="0"/>
                    <w:bottom w:val="single" w:color="auto" w:sz="6" w:space="0"/>
                    <w:right w:val="single" w:color="auto" w:sz="6" w:space="0"/>
                  </w:tcBorders>
                  <w:vAlign w:val="center"/>
                </w:tcPr>
                <w:p>
                  <w:pPr>
                    <w:spacing w:before="48" w:beforeLines="20" w:after="48" w:after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导线直径</w:t>
                  </w:r>
                </w:p>
              </w:tc>
              <w:tc>
                <w:tcPr>
                  <w:tcW w:w="1945" w:type="pct"/>
                  <w:tcBorders>
                    <w:top w:val="single" w:color="auto" w:sz="6" w:space="0"/>
                    <w:left w:val="single" w:color="auto" w:sz="6" w:space="0"/>
                    <w:bottom w:val="single" w:color="auto" w:sz="6" w:space="0"/>
                    <w:right w:val="single" w:color="auto" w:sz="6" w:space="0"/>
                  </w:tcBorders>
                  <w:vAlign w:val="center"/>
                </w:tcPr>
                <w:p>
                  <w:pPr>
                    <w:jc w:val="center"/>
                    <w:rPr>
                      <w:color w:val="000000"/>
                      <w:szCs w:val="21"/>
                    </w:rPr>
                  </w:pPr>
                  <w:r>
                    <w:rPr>
                      <w:color w:val="000000"/>
                      <w:szCs w:val="21"/>
                    </w:rPr>
                    <w:t>21.6mm</w:t>
                  </w:r>
                </w:p>
              </w:tc>
              <w:tc>
                <w:tcPr>
                  <w:tcW w:w="1834" w:type="pct"/>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21.6</w:t>
                  </w:r>
                  <w:r>
                    <w:rPr>
                      <w:rFonts w:hint="eastAsia"/>
                      <w:color w:val="000000" w:themeColor="text1"/>
                      <w:szCs w:val="21"/>
                      <w14:textFill>
                        <w14:solidFill>
                          <w14:schemeClr w14:val="tx1"/>
                        </w14:solidFill>
                      </w14:textFill>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1" w:type="pct"/>
                  <w:tcBorders>
                    <w:top w:val="single" w:color="auto" w:sz="6" w:space="0"/>
                    <w:left w:val="single" w:color="auto" w:sz="6" w:space="0"/>
                    <w:bottom w:val="single" w:color="auto" w:sz="6" w:space="0"/>
                    <w:right w:val="single" w:color="auto" w:sz="6" w:space="0"/>
                  </w:tcBorders>
                  <w:vAlign w:val="center"/>
                </w:tcPr>
                <w:p>
                  <w:pPr>
                    <w:spacing w:before="48" w:beforeLines="20" w:after="48" w:after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导线高度</w:t>
                  </w:r>
                </w:p>
              </w:tc>
              <w:tc>
                <w:tcPr>
                  <w:tcW w:w="1945" w:type="pct"/>
                  <w:tcBorders>
                    <w:top w:val="single" w:color="auto" w:sz="6" w:space="0"/>
                    <w:left w:val="single" w:color="auto" w:sz="6" w:space="0"/>
                    <w:bottom w:val="single" w:color="auto" w:sz="6" w:space="0"/>
                    <w:right w:val="single" w:color="auto" w:sz="6" w:space="0"/>
                  </w:tcBorders>
                  <w:vAlign w:val="center"/>
                </w:tcPr>
                <w:p>
                  <w:pPr>
                    <w:jc w:val="center"/>
                    <w:rPr>
                      <w:color w:val="000000"/>
                      <w:szCs w:val="21"/>
                    </w:rPr>
                  </w:pPr>
                  <w:r>
                    <w:rPr>
                      <w:color w:val="000000"/>
                      <w:szCs w:val="21"/>
                    </w:rPr>
                    <w:t>11m</w:t>
                  </w:r>
                </w:p>
              </w:tc>
              <w:tc>
                <w:tcPr>
                  <w:tcW w:w="1834" w:type="pct"/>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非居民区不低于6m</w:t>
                  </w:r>
                  <w:r>
                    <w:rPr>
                      <w:rFonts w:hint="eastAsia"/>
                      <w:color w:val="000000" w:themeColor="text1"/>
                      <w:szCs w:val="21"/>
                      <w14:textFill>
                        <w14:solidFill>
                          <w14:schemeClr w14:val="tx1"/>
                        </w14:solidFill>
                      </w14:textFill>
                    </w:rPr>
                    <w:t>（设计阶段理论最小值）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221" w:type="pct"/>
                  <w:tcBorders>
                    <w:top w:val="single" w:color="auto" w:sz="6" w:space="0"/>
                    <w:left w:val="single" w:color="auto" w:sz="6" w:space="0"/>
                    <w:bottom w:val="single" w:color="auto" w:sz="6" w:space="0"/>
                    <w:right w:val="single" w:color="auto" w:sz="6" w:space="0"/>
                  </w:tcBorders>
                  <w:vAlign w:val="center"/>
                </w:tcPr>
                <w:p>
                  <w:pPr>
                    <w:spacing w:before="48" w:beforeLines="20" w:after="48" w:after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周边环境</w:t>
                  </w:r>
                </w:p>
              </w:tc>
              <w:tc>
                <w:tcPr>
                  <w:tcW w:w="1945"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平原、戈壁</w:t>
                  </w:r>
                </w:p>
              </w:tc>
              <w:tc>
                <w:tcPr>
                  <w:tcW w:w="1834" w:type="pct"/>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平原、戈壁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221" w:type="pct"/>
                  <w:tcBorders>
                    <w:top w:val="single" w:color="auto" w:sz="6" w:space="0"/>
                    <w:left w:val="single" w:color="auto" w:sz="6" w:space="0"/>
                    <w:bottom w:val="single" w:color="auto" w:sz="6" w:space="0"/>
                    <w:right w:val="single" w:color="auto" w:sz="6" w:space="0"/>
                  </w:tcBorders>
                  <w:vAlign w:val="center"/>
                </w:tcPr>
                <w:p>
                  <w:pPr>
                    <w:spacing w:before="48" w:beforeLines="20" w:after="48" w:after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声环境功能区</w:t>
                  </w:r>
                </w:p>
              </w:tc>
              <w:tc>
                <w:tcPr>
                  <w:tcW w:w="1945"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《声环境质量标准》</w:t>
                  </w:r>
                  <w:r>
                    <w:rPr>
                      <w:kern w:val="0"/>
                      <w:shd w:val="clear" w:color="auto" w:fill="FFFFFF"/>
                    </w:rPr>
                    <w:t>（GB3096-2008）</w:t>
                  </w:r>
                  <w:r>
                    <w:rPr>
                      <w:rFonts w:hint="eastAsia"/>
                      <w:kern w:val="0"/>
                      <w:shd w:val="clear" w:color="auto" w:fill="FFFFFF"/>
                    </w:rPr>
                    <w:t>2类</w:t>
                  </w:r>
                </w:p>
              </w:tc>
              <w:tc>
                <w:tcPr>
                  <w:tcW w:w="1834" w:type="pct"/>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《声环境质量标准》</w:t>
                  </w:r>
                  <w:r>
                    <w:rPr>
                      <w:kern w:val="0"/>
                      <w:shd w:val="clear" w:color="auto" w:fill="FFFFFF"/>
                    </w:rPr>
                    <w:t>（GB3096-2008）2</w:t>
                  </w:r>
                  <w:r>
                    <w:rPr>
                      <w:rFonts w:hint="eastAsia"/>
                      <w:kern w:val="0"/>
                      <w:shd w:val="clear" w:color="auto" w:fill="FFFFFF"/>
                    </w:rPr>
                    <w:t>类</w:t>
                  </w:r>
                </w:p>
              </w:tc>
            </w:tr>
          </w:tbl>
          <w:p>
            <w:pPr>
              <w:pStyle w:val="11"/>
              <w:shd w:val="clear" w:color="auto" w:fill="FFFFFF"/>
              <w:adjustRightInd w:val="0"/>
              <w:snapToGrid w:val="0"/>
              <w:ind w:firstLineChars="0"/>
              <w:outlineLvl w:val="4"/>
              <w:rPr>
                <w:rFonts w:eastAsia="楷体_GB2312"/>
                <w:b/>
                <w:bCs/>
                <w:color w:val="000000" w:themeColor="text1"/>
                <w14:textFill>
                  <w14:solidFill>
                    <w14:schemeClr w14:val="tx1"/>
                  </w14:solidFill>
                </w14:textFill>
              </w:rPr>
            </w:pPr>
            <w:r>
              <w:rPr>
                <w:rFonts w:eastAsia="楷体_GB2312"/>
                <w:b/>
                <w:bCs/>
                <w:color w:val="000000" w:themeColor="text1"/>
                <w14:textFill>
                  <w14:solidFill>
                    <w14:schemeClr w14:val="tx1"/>
                  </w14:solidFill>
                </w14:textFill>
              </w:rPr>
              <w:t>（2）类比对象可行性分析</w:t>
            </w:r>
          </w:p>
          <w:p>
            <w:pPr>
              <w:spacing w:line="360" w:lineRule="auto"/>
              <w:ind w:firstLine="480" w:firstLineChars="200"/>
              <w:rPr>
                <w:rFonts w:eastAsia="楷体_GB2312"/>
                <w:b/>
              </w:rPr>
            </w:pPr>
            <w:r>
              <w:rPr>
                <w:rFonts w:hint="eastAsia"/>
                <w:color w:val="000000" w:themeColor="text1"/>
                <w:kern w:val="0"/>
                <w:sz w:val="24"/>
                <w:shd w:val="clear" w:color="auto" w:fill="FFFFFF"/>
                <w14:textFill>
                  <w14:solidFill>
                    <w14:schemeClr w14:val="tx1"/>
                  </w14:solidFill>
                </w14:textFill>
              </w:rPr>
              <w:t>由</w:t>
            </w:r>
            <w:r>
              <w:rPr>
                <w:color w:val="000000" w:themeColor="text1"/>
                <w:kern w:val="0"/>
                <w:sz w:val="24"/>
                <w:shd w:val="clear" w:color="auto" w:fill="FFFFFF"/>
                <w14:textFill>
                  <w14:solidFill>
                    <w14:schemeClr w14:val="tx1"/>
                  </w14:solidFill>
                </w14:textFill>
              </w:rPr>
              <w:fldChar w:fldCharType="begin"/>
            </w:r>
            <w:r>
              <w:rPr>
                <w:color w:val="000000" w:themeColor="text1"/>
                <w:kern w:val="0"/>
                <w:sz w:val="24"/>
                <w:shd w:val="clear" w:color="auto" w:fill="FFFFFF"/>
                <w14:textFill>
                  <w14:solidFill>
                    <w14:schemeClr w14:val="tx1"/>
                  </w14:solidFill>
                </w14:textFill>
              </w:rPr>
              <w:instrText xml:space="preserve"> REF _Ref97714434 \h  \* MERGEFORMAT </w:instrText>
            </w:r>
            <w:r>
              <w:rPr>
                <w:color w:val="000000" w:themeColor="text1"/>
                <w:kern w:val="0"/>
                <w:sz w:val="24"/>
                <w:shd w:val="clear" w:color="auto" w:fill="FFFFFF"/>
                <w14:textFill>
                  <w14:solidFill>
                    <w14:schemeClr w14:val="tx1"/>
                  </w14:solidFill>
                </w14:textFill>
              </w:rPr>
              <w:fldChar w:fldCharType="separate"/>
            </w:r>
            <w:r>
              <w:rPr>
                <w:rFonts w:hint="eastAsia"/>
                <w:color w:val="000000" w:themeColor="text1"/>
                <w:sz w:val="24"/>
                <w14:textFill>
                  <w14:solidFill>
                    <w14:schemeClr w14:val="tx1"/>
                  </w14:solidFill>
                </w14:textFill>
              </w:rPr>
              <w:t xml:space="preserve">表 </w:t>
            </w:r>
            <w:r>
              <w:rPr>
                <w:color w:val="000000" w:themeColor="text1"/>
                <w:sz w:val="24"/>
                <w14:textFill>
                  <w14:solidFill>
                    <w14:schemeClr w14:val="tx1"/>
                  </w14:solidFill>
                </w14:textFill>
              </w:rPr>
              <w:t>19</w:t>
            </w:r>
            <w:r>
              <w:rPr>
                <w:color w:val="000000" w:themeColor="text1"/>
                <w:kern w:val="0"/>
                <w:sz w:val="24"/>
                <w:shd w:val="clear" w:color="auto" w:fill="FFFFFF"/>
                <w14:textFill>
                  <w14:solidFill>
                    <w14:schemeClr w14:val="tx1"/>
                  </w14:solidFill>
                </w14:textFill>
              </w:rPr>
              <w:fldChar w:fldCharType="end"/>
            </w:r>
            <w:r>
              <w:rPr>
                <w:rFonts w:hint="eastAsia"/>
                <w:color w:val="000000" w:themeColor="text1"/>
                <w:kern w:val="0"/>
                <w:sz w:val="24"/>
                <w:shd w:val="clear" w:color="auto" w:fill="FFFFFF"/>
                <w14:textFill>
                  <w14:solidFill>
                    <w14:schemeClr w14:val="tx1"/>
                  </w14:solidFill>
                </w14:textFill>
              </w:rPr>
              <w:t>可知，选取的类比线路导线型号、电压等级、架设型式、排列方式、周边环境及所处的声环境功能区与本工程线路基本一致。</w:t>
            </w:r>
            <w:r>
              <w:rPr>
                <w:color w:val="000000" w:themeColor="text1"/>
                <w:sz w:val="24"/>
                <w14:textFill>
                  <w14:solidFill>
                    <w14:schemeClr w14:val="tx1"/>
                  </w14:solidFill>
                </w14:textFill>
              </w:rPr>
              <w:t>本次所选类比线路架设高度与本工程输电线路存在一定差异，即类比线路架设高度为实际架设高度，环评阶段本工程输电线路高度为《110kV～750kV架空输电线路设计规范》（GB50545-2010）中规定的导线对地最低理论高度。实际架设时，结合沿线地形条件实际架设高度一般会大于最低理论高度，可与类比线路导线对地高度相当。</w:t>
            </w:r>
            <w:r>
              <w:rPr>
                <w:rFonts w:hint="eastAsia"/>
                <w:color w:val="000000" w:themeColor="text1"/>
                <w:kern w:val="0"/>
                <w:sz w:val="24"/>
                <w:shd w:val="clear" w:color="auto" w:fill="FFFFFF"/>
                <w14:textFill>
                  <w14:solidFill>
                    <w14:schemeClr w14:val="tx1"/>
                  </w14:solidFill>
                </w14:textFill>
              </w:rPr>
              <w:t>监测期间类比线路运行正常，故本次环评将</w:t>
            </w:r>
            <w:r>
              <w:rPr>
                <w:color w:val="000000"/>
                <w:sz w:val="24"/>
                <w:szCs w:val="21"/>
                <w:shd w:val="clear" w:color="auto" w:fill="FFFFFF"/>
              </w:rPr>
              <w:t>110kV</w:t>
            </w:r>
            <w:r>
              <w:rPr>
                <w:rFonts w:hint="eastAsia"/>
                <w:color w:val="000000"/>
                <w:kern w:val="0"/>
                <w:sz w:val="24"/>
                <w:shd w:val="clear" w:color="auto" w:fill="FFFFFF"/>
              </w:rPr>
              <w:t>吉团一线、二线</w:t>
            </w:r>
            <w:r>
              <w:rPr>
                <w:rFonts w:hint="eastAsia"/>
                <w:color w:val="000000" w:themeColor="text1"/>
                <w:kern w:val="0"/>
                <w:sz w:val="24"/>
                <w:shd w:val="clear" w:color="auto" w:fill="FFFFFF"/>
                <w14:textFill>
                  <w14:solidFill>
                    <w14:schemeClr w14:val="tx1"/>
                  </w14:solidFill>
                </w14:textFill>
              </w:rPr>
              <w:t>作为双回线路及双回线路（本期单边挂线）段类比对象是可行的，</w:t>
            </w:r>
            <w:r>
              <w:rPr>
                <w:color w:val="000000" w:themeColor="text1"/>
                <w:sz w:val="24"/>
                <w14:textFill>
                  <w14:solidFill>
                    <w14:schemeClr w14:val="tx1"/>
                  </w14:solidFill>
                </w14:textFill>
              </w:rPr>
              <w:t>类比线路的声环境监测结果能反映本工程输电线路运行后可能产生的声环境影响水平。</w:t>
            </w:r>
          </w:p>
          <w:p>
            <w:pPr>
              <w:pStyle w:val="11"/>
              <w:shd w:val="clear" w:color="auto" w:fill="FFFFFF"/>
              <w:adjustRightInd w:val="0"/>
              <w:snapToGrid w:val="0"/>
              <w:ind w:left="420" w:firstLine="0" w:firstLineChars="0"/>
              <w:outlineLvl w:val="4"/>
              <w:rPr>
                <w:rFonts w:eastAsia="楷体_GB2312"/>
                <w:b/>
              </w:rPr>
            </w:pPr>
            <w:r>
              <w:rPr>
                <w:rFonts w:eastAsia="楷体_GB2312"/>
                <w:b/>
              </w:rPr>
              <w:t>（3）类比监测点</w:t>
            </w:r>
          </w:p>
          <w:p>
            <w:pPr>
              <w:spacing w:line="360" w:lineRule="auto"/>
              <w:ind w:firstLine="482"/>
              <w:rPr>
                <w:kern w:val="0"/>
                <w:sz w:val="24"/>
                <w:shd w:val="clear" w:color="auto" w:fill="FFFFFF"/>
              </w:rPr>
            </w:pPr>
            <w:r>
              <w:rPr>
                <w:rFonts w:hint="eastAsia"/>
                <w:color w:val="000000"/>
                <w:kern w:val="0"/>
                <w:sz w:val="24"/>
                <w:shd w:val="clear" w:color="auto" w:fill="FFFFFF"/>
              </w:rPr>
              <w:t>以</w:t>
            </w:r>
            <w:r>
              <w:rPr>
                <w:color w:val="000000"/>
                <w:sz w:val="24"/>
                <w:szCs w:val="21"/>
                <w:shd w:val="clear" w:color="auto" w:fill="FFFFFF"/>
              </w:rPr>
              <w:t>110kV</w:t>
            </w:r>
            <w:r>
              <w:rPr>
                <w:rFonts w:hint="eastAsia"/>
                <w:color w:val="000000"/>
                <w:kern w:val="0"/>
                <w:sz w:val="24"/>
                <w:shd w:val="clear" w:color="auto" w:fill="FFFFFF"/>
              </w:rPr>
              <w:t>吉团一线6</w:t>
            </w:r>
            <w:r>
              <w:rPr>
                <w:color w:val="000000"/>
                <w:kern w:val="0"/>
                <w:sz w:val="24"/>
                <w:shd w:val="clear" w:color="auto" w:fill="FFFFFF"/>
              </w:rPr>
              <w:t>2#~63#</w:t>
            </w:r>
            <w:r>
              <w:rPr>
                <w:rFonts w:hint="eastAsia"/>
                <w:color w:val="000000"/>
                <w:kern w:val="0"/>
                <w:sz w:val="24"/>
                <w:shd w:val="clear" w:color="auto" w:fill="FFFFFF"/>
              </w:rPr>
              <w:t>号塔、二线</w:t>
            </w:r>
            <w:r>
              <w:rPr>
                <w:color w:val="000000"/>
                <w:kern w:val="0"/>
                <w:sz w:val="24"/>
                <w:shd w:val="clear" w:color="auto" w:fill="FFFFFF"/>
              </w:rPr>
              <w:t>69#~70#</w:t>
            </w:r>
            <w:r>
              <w:rPr>
                <w:rFonts w:hint="eastAsia"/>
                <w:color w:val="000000"/>
                <w:kern w:val="0"/>
                <w:sz w:val="24"/>
                <w:shd w:val="clear" w:color="auto" w:fill="FFFFFF"/>
              </w:rPr>
              <w:t>号塔导线弧垂最低位置杆塔中心对地投影点为起点，沿垂直于线路方向监测</w:t>
            </w:r>
            <w:r>
              <w:rPr>
                <w:kern w:val="0"/>
                <w:sz w:val="24"/>
                <w:shd w:val="clear" w:color="auto" w:fill="FFFFFF"/>
              </w:rPr>
              <w:t>。</w:t>
            </w:r>
          </w:p>
          <w:p>
            <w:pPr>
              <w:pStyle w:val="11"/>
              <w:shd w:val="clear" w:color="auto" w:fill="FFFFFF"/>
              <w:adjustRightInd w:val="0"/>
              <w:snapToGrid w:val="0"/>
              <w:ind w:left="420" w:firstLine="0" w:firstLineChars="0"/>
              <w:outlineLvl w:val="4"/>
              <w:rPr>
                <w:rFonts w:eastAsia="楷体_GB2312"/>
                <w:b/>
              </w:rPr>
            </w:pPr>
            <w:r>
              <w:rPr>
                <w:rFonts w:eastAsia="楷体_GB2312"/>
                <w:b/>
              </w:rPr>
              <w:t>（4）类比监测内容</w:t>
            </w:r>
          </w:p>
          <w:p>
            <w:pPr>
              <w:spacing w:line="360" w:lineRule="auto"/>
              <w:ind w:firstLine="482"/>
              <w:rPr>
                <w:kern w:val="0"/>
                <w:sz w:val="24"/>
                <w:shd w:val="clear" w:color="auto" w:fill="FFFFFF"/>
              </w:rPr>
            </w:pPr>
            <w:r>
              <w:rPr>
                <w:kern w:val="0"/>
                <w:sz w:val="24"/>
                <w:shd w:val="clear" w:color="auto" w:fill="FFFFFF"/>
              </w:rPr>
              <w:t>等效连续A声级。</w:t>
            </w:r>
          </w:p>
          <w:p>
            <w:pPr>
              <w:pStyle w:val="11"/>
              <w:shd w:val="clear" w:color="auto" w:fill="FFFFFF"/>
              <w:adjustRightInd w:val="0"/>
              <w:snapToGrid w:val="0"/>
              <w:ind w:left="420" w:firstLine="0" w:firstLineChars="0"/>
              <w:outlineLvl w:val="4"/>
              <w:rPr>
                <w:rFonts w:eastAsia="楷体_GB2312"/>
                <w:b/>
              </w:rPr>
            </w:pPr>
            <w:r>
              <w:rPr>
                <w:rFonts w:eastAsia="楷体_GB2312"/>
                <w:b/>
              </w:rPr>
              <w:t>（5）类比监测方法及频次</w:t>
            </w:r>
          </w:p>
          <w:p>
            <w:pPr>
              <w:spacing w:line="360" w:lineRule="auto"/>
              <w:ind w:firstLine="482"/>
              <w:rPr>
                <w:sz w:val="24"/>
              </w:rPr>
            </w:pPr>
            <w:r>
              <w:rPr>
                <w:kern w:val="0"/>
                <w:sz w:val="24"/>
                <w:shd w:val="clear" w:color="auto" w:fill="FFFFFF"/>
              </w:rPr>
              <w:t>按《声环境质量标准》（GB3096-2008）中的规定监测方法进行监测，昼间、夜间各监测一次，每个监测点位监测时间1min</w:t>
            </w:r>
            <w:r>
              <w:rPr>
                <w:sz w:val="24"/>
              </w:rPr>
              <w:t>。</w:t>
            </w:r>
          </w:p>
          <w:p>
            <w:pPr>
              <w:pStyle w:val="11"/>
              <w:shd w:val="clear" w:color="auto" w:fill="FFFFFF"/>
              <w:adjustRightInd w:val="0"/>
              <w:snapToGrid w:val="0"/>
              <w:ind w:left="420" w:firstLine="0" w:firstLineChars="0"/>
              <w:outlineLvl w:val="4"/>
              <w:rPr>
                <w:rFonts w:eastAsia="楷体_GB2312"/>
                <w:b/>
              </w:rPr>
            </w:pPr>
            <w:r>
              <w:rPr>
                <w:rFonts w:eastAsia="楷体_GB2312"/>
                <w:b/>
              </w:rPr>
              <w:t>（6）类比监测单位及测量仪器</w:t>
            </w:r>
          </w:p>
          <w:p>
            <w:pPr>
              <w:adjustRightInd w:val="0"/>
              <w:snapToGrid w:val="0"/>
              <w:spacing w:line="360" w:lineRule="auto"/>
              <w:ind w:firstLine="480" w:firstLineChars="200"/>
              <w:rPr>
                <w:kern w:val="0"/>
                <w:sz w:val="24"/>
                <w:shd w:val="clear" w:color="auto" w:fill="FFFFFF"/>
              </w:rPr>
            </w:pPr>
            <w:r>
              <w:rPr>
                <w:kern w:val="0"/>
                <w:sz w:val="24"/>
                <w:shd w:val="clear" w:color="auto" w:fill="FFFFFF"/>
              </w:rPr>
              <w:t>监测单位：</w:t>
            </w:r>
            <w:r>
              <w:rPr>
                <w:rFonts w:hint="eastAsia"/>
                <w:kern w:val="0"/>
                <w:sz w:val="24"/>
                <w:shd w:val="clear" w:color="auto" w:fill="FFFFFF"/>
              </w:rPr>
              <w:t>武汉中电工程检测有限公司</w:t>
            </w:r>
            <w:r>
              <w:rPr>
                <w:kern w:val="0"/>
                <w:sz w:val="24"/>
                <w:shd w:val="clear" w:color="auto" w:fill="FFFFFF"/>
              </w:rPr>
              <w:t>。</w:t>
            </w:r>
          </w:p>
          <w:p>
            <w:pPr>
              <w:adjustRightInd w:val="0"/>
              <w:snapToGrid w:val="0"/>
              <w:spacing w:line="360" w:lineRule="auto"/>
              <w:ind w:firstLine="480" w:firstLineChars="200"/>
              <w:rPr>
                <w:kern w:val="0"/>
                <w:sz w:val="24"/>
                <w:shd w:val="clear" w:color="auto" w:fill="FFFFFF"/>
              </w:rPr>
            </w:pPr>
            <w:r>
              <w:rPr>
                <w:kern w:val="0"/>
                <w:sz w:val="24"/>
                <w:shd w:val="clear" w:color="auto" w:fill="FFFFFF"/>
              </w:rPr>
              <w:t>监测仪器：</w:t>
            </w:r>
            <w:r>
              <w:rPr>
                <w:color w:val="000000"/>
                <w:kern w:val="0"/>
                <w:sz w:val="24"/>
                <w:shd w:val="clear" w:color="auto" w:fill="FFFFFF"/>
              </w:rPr>
              <w:t>AWA6228+</w:t>
            </w:r>
            <w:r>
              <w:rPr>
                <w:rFonts w:hint="eastAsia"/>
                <w:color w:val="000000"/>
                <w:kern w:val="0"/>
                <w:sz w:val="24"/>
                <w:shd w:val="clear" w:color="auto" w:fill="FFFFFF"/>
              </w:rPr>
              <w:t>积分声级计</w:t>
            </w:r>
            <w:r>
              <w:rPr>
                <w:kern w:val="0"/>
                <w:sz w:val="24"/>
                <w:shd w:val="clear" w:color="auto" w:fill="FFFFFF"/>
              </w:rPr>
              <w:t>。</w:t>
            </w:r>
          </w:p>
          <w:p>
            <w:pPr>
              <w:pStyle w:val="11"/>
              <w:shd w:val="clear" w:color="auto" w:fill="FFFFFF"/>
              <w:adjustRightInd w:val="0"/>
              <w:snapToGrid w:val="0"/>
              <w:ind w:left="420" w:firstLine="0" w:firstLineChars="0"/>
              <w:outlineLvl w:val="4"/>
              <w:rPr>
                <w:rFonts w:eastAsia="楷体_GB2312"/>
                <w:b/>
              </w:rPr>
            </w:pPr>
            <w:r>
              <w:rPr>
                <w:rFonts w:eastAsia="楷体_GB2312"/>
                <w:b/>
              </w:rPr>
              <w:t>（7）类比监测时间、监测环境</w:t>
            </w:r>
          </w:p>
          <w:p>
            <w:pPr>
              <w:adjustRightInd w:val="0"/>
              <w:snapToGrid w:val="0"/>
              <w:spacing w:line="360" w:lineRule="auto"/>
              <w:ind w:firstLine="480" w:firstLineChars="200"/>
              <w:rPr>
                <w:color w:val="000000"/>
                <w:kern w:val="0"/>
                <w:sz w:val="24"/>
                <w:shd w:val="clear" w:color="auto" w:fill="FFFFFF"/>
              </w:rPr>
            </w:pPr>
            <w:r>
              <w:rPr>
                <w:color w:val="000000"/>
                <w:kern w:val="0"/>
                <w:sz w:val="24"/>
                <w:shd w:val="clear" w:color="auto" w:fill="FFFFFF"/>
              </w:rPr>
              <w:t>测量时间：2025年1月12日。</w:t>
            </w:r>
          </w:p>
          <w:p>
            <w:pPr>
              <w:adjustRightInd w:val="0"/>
              <w:snapToGrid w:val="0"/>
              <w:spacing w:line="360" w:lineRule="auto"/>
              <w:ind w:firstLine="480" w:firstLineChars="200"/>
              <w:rPr>
                <w:color w:val="000000"/>
                <w:kern w:val="0"/>
                <w:sz w:val="24"/>
                <w:shd w:val="clear" w:color="auto" w:fill="FFFFFF"/>
              </w:rPr>
            </w:pPr>
            <w:r>
              <w:rPr>
                <w:color w:val="000000"/>
                <w:kern w:val="0"/>
                <w:sz w:val="24"/>
                <w:shd w:val="clear" w:color="auto" w:fill="FFFFFF"/>
              </w:rPr>
              <w:t>气象条件：晴，温度-18.4～-8.8℃，湿度37.9~39.8%，风速0.5m/s～0.8m/s。</w:t>
            </w:r>
          </w:p>
          <w:p>
            <w:pPr>
              <w:adjustRightInd w:val="0"/>
              <w:snapToGrid w:val="0"/>
              <w:spacing w:line="360" w:lineRule="auto"/>
              <w:ind w:firstLine="480" w:firstLineChars="200"/>
              <w:rPr>
                <w:kern w:val="0"/>
                <w:sz w:val="24"/>
                <w:shd w:val="clear" w:color="auto" w:fill="FFFFFF"/>
              </w:rPr>
            </w:pPr>
            <w:r>
              <w:rPr>
                <w:color w:val="000000"/>
                <w:kern w:val="0"/>
                <w:sz w:val="24"/>
                <w:shd w:val="clear" w:color="auto" w:fill="FFFFFF"/>
              </w:rPr>
              <w:t>监测时工况</w:t>
            </w:r>
            <w:r>
              <w:rPr>
                <w:rFonts w:hint="eastAsia"/>
                <w:color w:val="000000"/>
                <w:kern w:val="0"/>
                <w:sz w:val="24"/>
                <w:shd w:val="clear" w:color="auto" w:fill="FFFFFF"/>
              </w:rPr>
              <w:t>见</w:t>
            </w:r>
            <w:r>
              <w:rPr>
                <w:color w:val="000000"/>
                <w:kern w:val="0"/>
                <w:sz w:val="24"/>
                <w:shd w:val="clear" w:color="auto" w:fill="FFFFFF"/>
              </w:rPr>
              <w:fldChar w:fldCharType="begin"/>
            </w:r>
            <w:r>
              <w:rPr>
                <w:color w:val="000000"/>
                <w:kern w:val="0"/>
                <w:sz w:val="24"/>
                <w:shd w:val="clear" w:color="auto" w:fill="FFFFFF"/>
              </w:rPr>
              <w:instrText xml:space="preserve"> </w:instrText>
            </w:r>
            <w:r>
              <w:rPr>
                <w:rFonts w:hint="eastAsia"/>
                <w:color w:val="000000"/>
                <w:kern w:val="0"/>
                <w:sz w:val="24"/>
                <w:shd w:val="clear" w:color="auto" w:fill="FFFFFF"/>
              </w:rPr>
              <w:instrText xml:space="preserve">REF _Ref190888066 \h</w:instrText>
            </w:r>
            <w:r>
              <w:rPr>
                <w:color w:val="000000"/>
                <w:kern w:val="0"/>
                <w:sz w:val="24"/>
                <w:shd w:val="clear" w:color="auto" w:fill="FFFFFF"/>
              </w:rPr>
              <w:instrText xml:space="preserve">  \* MERGEFORMAT </w:instrText>
            </w:r>
            <w:r>
              <w:rPr>
                <w:color w:val="000000"/>
                <w:kern w:val="0"/>
                <w:sz w:val="24"/>
                <w:shd w:val="clear" w:color="auto" w:fill="FFFFFF"/>
              </w:rPr>
              <w:fldChar w:fldCharType="separate"/>
            </w:r>
            <w:r>
              <w:rPr>
                <w:rFonts w:hint="eastAsia"/>
                <w:sz w:val="24"/>
              </w:rPr>
              <w:t xml:space="preserve">表 </w:t>
            </w:r>
            <w:r>
              <w:rPr>
                <w:sz w:val="24"/>
              </w:rPr>
              <w:t>20</w:t>
            </w:r>
            <w:r>
              <w:rPr>
                <w:color w:val="000000"/>
                <w:kern w:val="0"/>
                <w:sz w:val="24"/>
                <w:shd w:val="clear" w:color="auto" w:fill="FFFFFF"/>
              </w:rPr>
              <w:fldChar w:fldCharType="end"/>
            </w:r>
            <w:r>
              <w:rPr>
                <w:kern w:val="0"/>
                <w:sz w:val="24"/>
                <w:shd w:val="clear" w:color="auto" w:fill="FFFFFF"/>
              </w:rPr>
              <w:t>。</w:t>
            </w:r>
          </w:p>
          <w:p>
            <w:pPr>
              <w:pStyle w:val="18"/>
              <w:ind w:firstLine="420"/>
            </w:pPr>
            <w:bookmarkStart w:id="664" w:name="_Ref190888066"/>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t>20</w:t>
            </w:r>
            <w:r>
              <w:fldChar w:fldCharType="end"/>
            </w:r>
            <w:bookmarkEnd w:id="664"/>
            <w:r>
              <w:t xml:space="preserve">                             </w:t>
            </w:r>
            <w:r>
              <w:rPr>
                <w:rFonts w:hint="eastAsia"/>
              </w:rPr>
              <w:t>监测时工况</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851"/>
              <w:gridCol w:w="1533"/>
              <w:gridCol w:w="1477"/>
              <w:gridCol w:w="1346"/>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23" w:type="dxa"/>
                  <w:vAlign w:val="center"/>
                </w:tcPr>
                <w:p>
                  <w:pPr>
                    <w:widowControl/>
                    <w:spacing w:line="276" w:lineRule="auto"/>
                    <w:jc w:val="center"/>
                    <w:rPr>
                      <w:b/>
                      <w:color w:val="000000"/>
                      <w:kern w:val="0"/>
                      <w:szCs w:val="21"/>
                    </w:rPr>
                  </w:pPr>
                  <w:r>
                    <w:rPr>
                      <w:rFonts w:hint="eastAsia"/>
                      <w:b/>
                      <w:color w:val="000000"/>
                      <w:kern w:val="0"/>
                      <w:szCs w:val="21"/>
                    </w:rPr>
                    <w:t>序号</w:t>
                  </w:r>
                </w:p>
              </w:tc>
              <w:tc>
                <w:tcPr>
                  <w:tcW w:w="1883" w:type="dxa"/>
                  <w:vAlign w:val="center"/>
                </w:tcPr>
                <w:p>
                  <w:pPr>
                    <w:widowControl/>
                    <w:spacing w:line="276" w:lineRule="auto"/>
                    <w:jc w:val="center"/>
                    <w:rPr>
                      <w:b/>
                      <w:color w:val="000000"/>
                      <w:kern w:val="0"/>
                      <w:szCs w:val="21"/>
                    </w:rPr>
                  </w:pPr>
                  <w:r>
                    <w:rPr>
                      <w:b/>
                      <w:color w:val="000000"/>
                      <w:kern w:val="0"/>
                      <w:szCs w:val="21"/>
                    </w:rPr>
                    <w:t>项目</w:t>
                  </w:r>
                </w:p>
              </w:tc>
              <w:tc>
                <w:tcPr>
                  <w:tcW w:w="1535" w:type="dxa"/>
                  <w:vAlign w:val="center"/>
                </w:tcPr>
                <w:p>
                  <w:pPr>
                    <w:widowControl/>
                    <w:spacing w:line="276" w:lineRule="auto"/>
                    <w:jc w:val="center"/>
                    <w:rPr>
                      <w:b/>
                      <w:color w:val="000000"/>
                      <w:kern w:val="0"/>
                      <w:szCs w:val="21"/>
                    </w:rPr>
                  </w:pPr>
                  <w:r>
                    <w:rPr>
                      <w:b/>
                      <w:color w:val="000000"/>
                      <w:kern w:val="0"/>
                      <w:szCs w:val="21"/>
                    </w:rPr>
                    <w:t>电压（kV）</w:t>
                  </w:r>
                </w:p>
              </w:tc>
              <w:tc>
                <w:tcPr>
                  <w:tcW w:w="1483" w:type="dxa"/>
                  <w:vAlign w:val="center"/>
                </w:tcPr>
                <w:p>
                  <w:pPr>
                    <w:widowControl/>
                    <w:spacing w:line="276" w:lineRule="auto"/>
                    <w:jc w:val="center"/>
                    <w:rPr>
                      <w:b/>
                      <w:color w:val="000000"/>
                      <w:kern w:val="0"/>
                      <w:szCs w:val="21"/>
                    </w:rPr>
                  </w:pPr>
                  <w:r>
                    <w:rPr>
                      <w:b/>
                      <w:color w:val="000000"/>
                      <w:kern w:val="0"/>
                      <w:szCs w:val="21"/>
                    </w:rPr>
                    <w:t>电流（A）</w:t>
                  </w:r>
                </w:p>
              </w:tc>
              <w:tc>
                <w:tcPr>
                  <w:tcW w:w="1350" w:type="dxa"/>
                  <w:vAlign w:val="center"/>
                </w:tcPr>
                <w:p>
                  <w:pPr>
                    <w:widowControl/>
                    <w:spacing w:line="276" w:lineRule="auto"/>
                    <w:jc w:val="center"/>
                    <w:rPr>
                      <w:b/>
                      <w:color w:val="000000"/>
                      <w:kern w:val="0"/>
                      <w:szCs w:val="21"/>
                    </w:rPr>
                  </w:pPr>
                  <w:r>
                    <w:rPr>
                      <w:b/>
                      <w:color w:val="000000"/>
                      <w:kern w:val="0"/>
                      <w:szCs w:val="21"/>
                    </w:rPr>
                    <w:t>有功功率（MW）</w:t>
                  </w:r>
                </w:p>
              </w:tc>
              <w:tc>
                <w:tcPr>
                  <w:tcW w:w="1386" w:type="dxa"/>
                  <w:vAlign w:val="center"/>
                </w:tcPr>
                <w:p>
                  <w:pPr>
                    <w:widowControl/>
                    <w:spacing w:line="276" w:lineRule="auto"/>
                    <w:jc w:val="center"/>
                    <w:rPr>
                      <w:b/>
                      <w:color w:val="000000"/>
                      <w:kern w:val="0"/>
                      <w:szCs w:val="21"/>
                    </w:rPr>
                  </w:pPr>
                  <w:r>
                    <w:rPr>
                      <w:b/>
                      <w:color w:val="000000"/>
                      <w:kern w:val="0"/>
                      <w:szCs w:val="21"/>
                    </w:rPr>
                    <w:t>无功功率（Mvar）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3" w:type="dxa"/>
                  <w:vAlign w:val="center"/>
                </w:tcPr>
                <w:p>
                  <w:pPr>
                    <w:widowControl/>
                    <w:spacing w:line="276" w:lineRule="auto"/>
                    <w:jc w:val="center"/>
                    <w:rPr>
                      <w:color w:val="000000"/>
                      <w:szCs w:val="21"/>
                    </w:rPr>
                  </w:pPr>
                  <w:r>
                    <w:rPr>
                      <w:rFonts w:hint="eastAsia"/>
                      <w:color w:val="000000"/>
                      <w:szCs w:val="21"/>
                    </w:rPr>
                    <w:t>1</w:t>
                  </w:r>
                </w:p>
              </w:tc>
              <w:tc>
                <w:tcPr>
                  <w:tcW w:w="1883" w:type="dxa"/>
                  <w:vAlign w:val="center"/>
                </w:tcPr>
                <w:p>
                  <w:pPr>
                    <w:widowControl/>
                    <w:spacing w:line="276" w:lineRule="auto"/>
                    <w:jc w:val="center"/>
                    <w:rPr>
                      <w:color w:val="000000"/>
                      <w:szCs w:val="21"/>
                    </w:rPr>
                  </w:pPr>
                  <w:r>
                    <w:rPr>
                      <w:color w:val="000000"/>
                      <w:szCs w:val="21"/>
                    </w:rPr>
                    <w:t>110</w:t>
                  </w:r>
                  <w:r>
                    <w:rPr>
                      <w:rFonts w:hint="eastAsia"/>
                      <w:color w:val="000000"/>
                      <w:szCs w:val="21"/>
                    </w:rPr>
                    <w:t>kV吉团一线</w:t>
                  </w:r>
                </w:p>
              </w:tc>
              <w:tc>
                <w:tcPr>
                  <w:tcW w:w="1535" w:type="dxa"/>
                  <w:vAlign w:val="center"/>
                </w:tcPr>
                <w:p>
                  <w:pPr>
                    <w:widowControl/>
                    <w:spacing w:line="276" w:lineRule="auto"/>
                    <w:jc w:val="center"/>
                    <w:rPr>
                      <w:color w:val="000000"/>
                      <w:szCs w:val="21"/>
                    </w:rPr>
                  </w:pPr>
                  <w:r>
                    <w:rPr>
                      <w:color w:val="000000"/>
                      <w:szCs w:val="21"/>
                    </w:rPr>
                    <w:t>117.21~117.42</w:t>
                  </w:r>
                </w:p>
              </w:tc>
              <w:tc>
                <w:tcPr>
                  <w:tcW w:w="1483" w:type="dxa"/>
                  <w:vAlign w:val="center"/>
                </w:tcPr>
                <w:p>
                  <w:pPr>
                    <w:widowControl/>
                    <w:spacing w:line="276" w:lineRule="auto"/>
                    <w:jc w:val="center"/>
                    <w:rPr>
                      <w:color w:val="000000"/>
                      <w:szCs w:val="21"/>
                    </w:rPr>
                  </w:pPr>
                  <w:r>
                    <w:rPr>
                      <w:color w:val="000000"/>
                      <w:szCs w:val="21"/>
                    </w:rPr>
                    <w:t>40.35~42.44</w:t>
                  </w:r>
                </w:p>
              </w:tc>
              <w:tc>
                <w:tcPr>
                  <w:tcW w:w="1350" w:type="dxa"/>
                  <w:vAlign w:val="center"/>
                </w:tcPr>
                <w:p>
                  <w:pPr>
                    <w:widowControl/>
                    <w:spacing w:line="276" w:lineRule="auto"/>
                    <w:jc w:val="center"/>
                    <w:rPr>
                      <w:color w:val="000000"/>
                      <w:szCs w:val="21"/>
                    </w:rPr>
                  </w:pPr>
                  <w:r>
                    <w:rPr>
                      <w:color w:val="000000"/>
                      <w:szCs w:val="21"/>
                    </w:rPr>
                    <w:t>-8.05~-7.63</w:t>
                  </w:r>
                </w:p>
              </w:tc>
              <w:tc>
                <w:tcPr>
                  <w:tcW w:w="1386" w:type="dxa"/>
                  <w:vAlign w:val="center"/>
                </w:tcPr>
                <w:p>
                  <w:pPr>
                    <w:widowControl/>
                    <w:spacing w:line="276" w:lineRule="auto"/>
                    <w:jc w:val="center"/>
                    <w:rPr>
                      <w:color w:val="000000"/>
                      <w:szCs w:val="21"/>
                    </w:rPr>
                  </w:pPr>
                  <w:r>
                    <w:rPr>
                      <w:color w:val="000000"/>
                      <w:szCs w:val="21"/>
                    </w:rPr>
                    <w:t>-1.34~-0.83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23" w:type="dxa"/>
                  <w:vAlign w:val="center"/>
                </w:tcPr>
                <w:p>
                  <w:pPr>
                    <w:widowControl/>
                    <w:spacing w:line="276" w:lineRule="auto"/>
                    <w:jc w:val="center"/>
                    <w:rPr>
                      <w:color w:val="000000"/>
                      <w:szCs w:val="21"/>
                    </w:rPr>
                  </w:pPr>
                  <w:r>
                    <w:rPr>
                      <w:rFonts w:hint="eastAsia"/>
                      <w:color w:val="000000"/>
                      <w:szCs w:val="21"/>
                    </w:rPr>
                    <w:t>2</w:t>
                  </w:r>
                </w:p>
              </w:tc>
              <w:tc>
                <w:tcPr>
                  <w:tcW w:w="1883" w:type="dxa"/>
                  <w:vAlign w:val="center"/>
                </w:tcPr>
                <w:p>
                  <w:pPr>
                    <w:widowControl/>
                    <w:spacing w:line="276" w:lineRule="auto"/>
                    <w:jc w:val="center"/>
                    <w:rPr>
                      <w:color w:val="000000"/>
                      <w:szCs w:val="21"/>
                    </w:rPr>
                  </w:pPr>
                  <w:r>
                    <w:rPr>
                      <w:color w:val="000000"/>
                      <w:szCs w:val="21"/>
                    </w:rPr>
                    <w:t>110</w:t>
                  </w:r>
                  <w:r>
                    <w:rPr>
                      <w:rFonts w:hint="eastAsia"/>
                      <w:color w:val="000000"/>
                      <w:szCs w:val="21"/>
                    </w:rPr>
                    <w:t>kV吉团二线</w:t>
                  </w:r>
                </w:p>
              </w:tc>
              <w:tc>
                <w:tcPr>
                  <w:tcW w:w="1535" w:type="dxa"/>
                  <w:vAlign w:val="center"/>
                </w:tcPr>
                <w:p>
                  <w:pPr>
                    <w:widowControl/>
                    <w:spacing w:line="276" w:lineRule="auto"/>
                    <w:jc w:val="center"/>
                    <w:rPr>
                      <w:color w:val="000000"/>
                      <w:szCs w:val="21"/>
                    </w:rPr>
                  </w:pPr>
                  <w:r>
                    <w:rPr>
                      <w:rFonts w:hint="eastAsia"/>
                      <w:color w:val="000000"/>
                      <w:szCs w:val="21"/>
                    </w:rPr>
                    <w:t>1</w:t>
                  </w:r>
                  <w:r>
                    <w:rPr>
                      <w:color w:val="000000"/>
                      <w:szCs w:val="21"/>
                    </w:rPr>
                    <w:t>16.35~117.01</w:t>
                  </w:r>
                </w:p>
              </w:tc>
              <w:tc>
                <w:tcPr>
                  <w:tcW w:w="1483" w:type="dxa"/>
                  <w:vAlign w:val="center"/>
                </w:tcPr>
                <w:p>
                  <w:pPr>
                    <w:widowControl/>
                    <w:spacing w:line="276" w:lineRule="auto"/>
                    <w:jc w:val="center"/>
                    <w:rPr>
                      <w:color w:val="000000"/>
                      <w:szCs w:val="21"/>
                    </w:rPr>
                  </w:pPr>
                  <w:r>
                    <w:rPr>
                      <w:rFonts w:hint="eastAsia"/>
                      <w:color w:val="000000"/>
                      <w:szCs w:val="21"/>
                    </w:rPr>
                    <w:t>4</w:t>
                  </w:r>
                  <w:r>
                    <w:rPr>
                      <w:color w:val="000000"/>
                      <w:szCs w:val="21"/>
                    </w:rPr>
                    <w:t>1.23~42.03</w:t>
                  </w:r>
                </w:p>
              </w:tc>
              <w:tc>
                <w:tcPr>
                  <w:tcW w:w="1350" w:type="dxa"/>
                  <w:vAlign w:val="center"/>
                </w:tcPr>
                <w:p>
                  <w:pPr>
                    <w:widowControl/>
                    <w:spacing w:line="276" w:lineRule="auto"/>
                    <w:jc w:val="center"/>
                    <w:rPr>
                      <w:color w:val="000000"/>
                      <w:szCs w:val="21"/>
                    </w:rPr>
                  </w:pPr>
                  <w:r>
                    <w:rPr>
                      <w:rFonts w:hint="eastAsia"/>
                      <w:color w:val="000000"/>
                      <w:szCs w:val="21"/>
                    </w:rPr>
                    <w:t>-</w:t>
                  </w:r>
                  <w:r>
                    <w:rPr>
                      <w:color w:val="000000"/>
                      <w:szCs w:val="21"/>
                    </w:rPr>
                    <w:t>8.01~-7.82</w:t>
                  </w:r>
                </w:p>
              </w:tc>
              <w:tc>
                <w:tcPr>
                  <w:tcW w:w="1386" w:type="dxa"/>
                  <w:vAlign w:val="center"/>
                </w:tcPr>
                <w:p>
                  <w:pPr>
                    <w:widowControl/>
                    <w:spacing w:line="276" w:lineRule="auto"/>
                    <w:jc w:val="center"/>
                    <w:rPr>
                      <w:color w:val="000000"/>
                      <w:szCs w:val="21"/>
                    </w:rPr>
                  </w:pPr>
                  <w:r>
                    <w:rPr>
                      <w:rFonts w:hint="eastAsia"/>
                      <w:color w:val="000000"/>
                      <w:szCs w:val="21"/>
                    </w:rPr>
                    <w:t>-</w:t>
                  </w:r>
                  <w:r>
                    <w:rPr>
                      <w:color w:val="000000"/>
                      <w:szCs w:val="21"/>
                    </w:rPr>
                    <w:t>1.12~-0.74</w:t>
                  </w:r>
                </w:p>
              </w:tc>
            </w:tr>
          </w:tbl>
          <w:p>
            <w:pPr>
              <w:pStyle w:val="11"/>
              <w:shd w:val="clear" w:color="auto" w:fill="FFFFFF"/>
              <w:adjustRightInd w:val="0"/>
              <w:snapToGrid w:val="0"/>
              <w:ind w:left="420" w:firstLine="0" w:firstLineChars="0"/>
              <w:outlineLvl w:val="4"/>
              <w:rPr>
                <w:rFonts w:eastAsia="楷体_GB2312"/>
                <w:b/>
              </w:rPr>
            </w:pPr>
            <w:r>
              <w:rPr>
                <w:rFonts w:eastAsia="楷体_GB2312"/>
                <w:b/>
              </w:rPr>
              <w:t>（8）类比监测结果</w:t>
            </w:r>
          </w:p>
          <w:p>
            <w:pPr>
              <w:adjustRightInd w:val="0"/>
              <w:snapToGrid w:val="0"/>
              <w:spacing w:line="360" w:lineRule="auto"/>
              <w:ind w:firstLine="480" w:firstLineChars="200"/>
              <w:rPr>
                <w:kern w:val="0"/>
                <w:sz w:val="24"/>
                <w:shd w:val="clear" w:color="auto" w:fill="FFFFFF"/>
              </w:rPr>
            </w:pPr>
            <w:r>
              <w:rPr>
                <w:color w:val="000000"/>
                <w:sz w:val="24"/>
                <w:szCs w:val="21"/>
                <w:shd w:val="clear" w:color="auto" w:fill="FFFFFF"/>
              </w:rPr>
              <w:t>110kV</w:t>
            </w:r>
            <w:r>
              <w:rPr>
                <w:rFonts w:hint="eastAsia"/>
                <w:color w:val="000000"/>
                <w:sz w:val="24"/>
                <w:szCs w:val="21"/>
              </w:rPr>
              <w:t>吉团</w:t>
            </w:r>
            <w:r>
              <w:rPr>
                <w:color w:val="000000"/>
                <w:sz w:val="24"/>
                <w:szCs w:val="21"/>
                <w:shd w:val="clear" w:color="auto" w:fill="FFFFFF"/>
              </w:rPr>
              <w:t>一线、二线</w:t>
            </w:r>
            <w:r>
              <w:rPr>
                <w:kern w:val="0"/>
                <w:sz w:val="24"/>
                <w:shd w:val="clear" w:color="auto" w:fill="FFFFFF"/>
              </w:rPr>
              <w:t>同塔双回段噪声监测结果见</w:t>
            </w:r>
            <w:r>
              <w:rPr>
                <w:kern w:val="0"/>
                <w:sz w:val="24"/>
                <w:shd w:val="clear" w:color="auto" w:fill="FFFFFF"/>
              </w:rPr>
              <w:fldChar w:fldCharType="begin"/>
            </w:r>
            <w:r>
              <w:rPr>
                <w:kern w:val="0"/>
                <w:sz w:val="24"/>
                <w:shd w:val="clear" w:color="auto" w:fill="FFFFFF"/>
              </w:rPr>
              <w:instrText xml:space="preserve"> REF _Ref97714523 \h  \* MERGEFORMAT </w:instrText>
            </w:r>
            <w:r>
              <w:rPr>
                <w:kern w:val="0"/>
                <w:sz w:val="24"/>
                <w:shd w:val="clear" w:color="auto" w:fill="FFFFFF"/>
              </w:rPr>
              <w:fldChar w:fldCharType="separate"/>
            </w:r>
            <w:r>
              <w:rPr>
                <w:kern w:val="0"/>
                <w:sz w:val="24"/>
                <w:shd w:val="clear" w:color="auto" w:fill="FFFFFF"/>
              </w:rPr>
              <w:t>表 21</w:t>
            </w:r>
            <w:r>
              <w:rPr>
                <w:kern w:val="0"/>
                <w:sz w:val="24"/>
                <w:shd w:val="clear" w:color="auto" w:fill="FFFFFF"/>
              </w:rPr>
              <w:fldChar w:fldCharType="end"/>
            </w:r>
            <w:r>
              <w:rPr>
                <w:kern w:val="0"/>
                <w:sz w:val="24"/>
                <w:shd w:val="clear" w:color="auto" w:fill="FFFFFF"/>
              </w:rPr>
              <w:t>。</w:t>
            </w:r>
          </w:p>
          <w:p>
            <w:pPr>
              <w:pStyle w:val="18"/>
              <w:ind w:firstLine="420"/>
            </w:pPr>
            <w:bookmarkStart w:id="665" w:name="_Ref97714523"/>
            <w:r>
              <w:t xml:space="preserve">表 </w:t>
            </w:r>
            <w:r>
              <w:fldChar w:fldCharType="begin"/>
            </w:r>
            <w:r>
              <w:instrText xml:space="preserve"> SEQ 表 \* ARABIC </w:instrText>
            </w:r>
            <w:r>
              <w:fldChar w:fldCharType="separate"/>
            </w:r>
            <w:r>
              <w:t>21</w:t>
            </w:r>
            <w:r>
              <w:fldChar w:fldCharType="end"/>
            </w:r>
            <w:bookmarkEnd w:id="665"/>
            <w:r>
              <w:t xml:space="preserve">     </w:t>
            </w:r>
            <w:r>
              <w:rPr>
                <w:color w:val="000000"/>
                <w:shd w:val="clear" w:color="auto" w:fill="FFFFFF"/>
              </w:rPr>
              <w:t>110kV</w:t>
            </w:r>
            <w:r>
              <w:rPr>
                <w:rFonts w:hint="eastAsia"/>
                <w:color w:val="000000"/>
              </w:rPr>
              <w:t>吉团</w:t>
            </w:r>
            <w:r>
              <w:rPr>
                <w:color w:val="000000"/>
                <w:shd w:val="clear" w:color="auto" w:fill="FFFFFF"/>
              </w:rPr>
              <w:t>一线、二线</w:t>
            </w:r>
            <w:r>
              <w:t>同塔双回段线路噪声类比监测结果    单位：dB(A)</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2745"/>
              <w:gridCol w:w="1214"/>
              <w:gridCol w:w="1214"/>
              <w:gridCol w:w="1214"/>
              <w:gridCol w:w="1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 w:hRule="atLeast"/>
                <w:jc w:val="center"/>
              </w:trPr>
              <w:tc>
                <w:tcPr>
                  <w:tcW w:w="429" w:type="pct"/>
                  <w:vMerge w:val="restart"/>
                  <w:vAlign w:val="center"/>
                </w:tcPr>
                <w:p>
                  <w:pPr>
                    <w:snapToGrid w:val="0"/>
                    <w:spacing w:before="60" w:beforeLines="25" w:after="60" w:afterLines="25"/>
                    <w:jc w:val="center"/>
                    <w:rPr>
                      <w:bCs/>
                      <w:color w:val="000000"/>
                      <w:szCs w:val="21"/>
                    </w:rPr>
                  </w:pPr>
                  <w:r>
                    <w:rPr>
                      <w:bCs/>
                      <w:color w:val="000000"/>
                      <w:szCs w:val="21"/>
                    </w:rPr>
                    <w:t>序号</w:t>
                  </w:r>
                </w:p>
              </w:tc>
              <w:tc>
                <w:tcPr>
                  <w:tcW w:w="1653" w:type="pct"/>
                  <w:vMerge w:val="restart"/>
                  <w:vAlign w:val="center"/>
                </w:tcPr>
                <w:p>
                  <w:pPr>
                    <w:snapToGrid w:val="0"/>
                    <w:jc w:val="center"/>
                    <w:rPr>
                      <w:bCs/>
                      <w:color w:val="000000"/>
                      <w:szCs w:val="21"/>
                    </w:rPr>
                  </w:pPr>
                  <w:r>
                    <w:rPr>
                      <w:bCs/>
                      <w:color w:val="000000"/>
                      <w:szCs w:val="21"/>
                    </w:rPr>
                    <w:t>监测点位描述</w:t>
                  </w:r>
                </w:p>
              </w:tc>
              <w:tc>
                <w:tcPr>
                  <w:tcW w:w="1461" w:type="pct"/>
                  <w:gridSpan w:val="2"/>
                  <w:vAlign w:val="center"/>
                </w:tcPr>
                <w:p>
                  <w:pPr>
                    <w:pStyle w:val="119"/>
                    <w:ind w:firstLine="480"/>
                  </w:pPr>
                  <w:r>
                    <w:rPr>
                      <w:rFonts w:hint="eastAsia"/>
                    </w:rPr>
                    <w:t>检测值</w:t>
                  </w:r>
                </w:p>
              </w:tc>
              <w:tc>
                <w:tcPr>
                  <w:tcW w:w="1456" w:type="pct"/>
                  <w:gridSpan w:val="2"/>
                </w:tcPr>
                <w:p>
                  <w:pPr>
                    <w:pStyle w:val="119"/>
                    <w:ind w:firstLine="480"/>
                  </w:pPr>
                  <w:r>
                    <w:rPr>
                      <w:rFonts w:hint="eastAsia"/>
                    </w:rPr>
                    <w:t>修约值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429" w:type="pct"/>
                  <w:vMerge w:val="continue"/>
                  <w:vAlign w:val="center"/>
                </w:tcPr>
                <w:p>
                  <w:pPr>
                    <w:snapToGrid w:val="0"/>
                    <w:spacing w:before="60" w:beforeLines="25" w:after="60" w:afterLines="25"/>
                    <w:jc w:val="center"/>
                    <w:rPr>
                      <w:bCs/>
                      <w:color w:val="000000"/>
                      <w:szCs w:val="21"/>
                    </w:rPr>
                  </w:pPr>
                </w:p>
              </w:tc>
              <w:tc>
                <w:tcPr>
                  <w:tcW w:w="1653" w:type="pct"/>
                  <w:vMerge w:val="continue"/>
                  <w:vAlign w:val="center"/>
                </w:tcPr>
                <w:p>
                  <w:pPr>
                    <w:snapToGrid w:val="0"/>
                    <w:jc w:val="center"/>
                    <w:rPr>
                      <w:bCs/>
                      <w:color w:val="000000"/>
                      <w:szCs w:val="21"/>
                    </w:rPr>
                  </w:pPr>
                </w:p>
              </w:tc>
              <w:tc>
                <w:tcPr>
                  <w:tcW w:w="731" w:type="pct"/>
                  <w:vAlign w:val="center"/>
                </w:tcPr>
                <w:p>
                  <w:pPr>
                    <w:snapToGrid w:val="0"/>
                    <w:jc w:val="center"/>
                    <w:rPr>
                      <w:bCs/>
                      <w:color w:val="000000"/>
                      <w:szCs w:val="21"/>
                    </w:rPr>
                  </w:pPr>
                  <w:r>
                    <w:rPr>
                      <w:bCs/>
                      <w:color w:val="000000"/>
                      <w:szCs w:val="21"/>
                    </w:rPr>
                    <w:t>昼间dB(A)</w:t>
                  </w:r>
                </w:p>
              </w:tc>
              <w:tc>
                <w:tcPr>
                  <w:tcW w:w="731" w:type="pct"/>
                  <w:vAlign w:val="center"/>
                </w:tcPr>
                <w:p>
                  <w:pPr>
                    <w:pStyle w:val="119"/>
                    <w:ind w:firstLine="480"/>
                  </w:pPr>
                  <w:r>
                    <w:t>夜间dB(A)</w:t>
                  </w:r>
                </w:p>
              </w:tc>
              <w:tc>
                <w:tcPr>
                  <w:tcW w:w="731" w:type="pct"/>
                  <w:vAlign w:val="center"/>
                </w:tcPr>
                <w:p>
                  <w:pPr>
                    <w:pStyle w:val="119"/>
                    <w:ind w:firstLine="480"/>
                  </w:pPr>
                  <w:r>
                    <w:t>昼间dB(A)</w:t>
                  </w:r>
                </w:p>
              </w:tc>
              <w:tc>
                <w:tcPr>
                  <w:tcW w:w="725" w:type="pct"/>
                  <w:vAlign w:val="center"/>
                </w:tcPr>
                <w:p>
                  <w:pPr>
                    <w:pStyle w:val="119"/>
                    <w:ind w:firstLine="480"/>
                  </w:pPr>
                  <w: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5" w:hRule="atLeast"/>
                <w:jc w:val="center"/>
              </w:trPr>
              <w:tc>
                <w:tcPr>
                  <w:tcW w:w="429" w:type="pct"/>
                  <w:vAlign w:val="center"/>
                </w:tcPr>
                <w:p>
                  <w:pPr>
                    <w:snapToGrid w:val="0"/>
                    <w:spacing w:before="60" w:beforeLines="25" w:after="60" w:afterLines="25"/>
                    <w:jc w:val="center"/>
                    <w:rPr>
                      <w:color w:val="000000"/>
                      <w:szCs w:val="21"/>
                    </w:rPr>
                  </w:pPr>
                  <w:r>
                    <w:rPr>
                      <w:color w:val="000000"/>
                      <w:szCs w:val="21"/>
                    </w:rPr>
                    <w:t>1</w:t>
                  </w:r>
                </w:p>
              </w:tc>
              <w:tc>
                <w:tcPr>
                  <w:tcW w:w="1653" w:type="pct"/>
                  <w:vAlign w:val="center"/>
                </w:tcPr>
                <w:p>
                  <w:pPr>
                    <w:widowControl/>
                    <w:spacing w:line="276" w:lineRule="auto"/>
                    <w:jc w:val="center"/>
                    <w:rPr>
                      <w:color w:val="000000"/>
                      <w:szCs w:val="21"/>
                    </w:rPr>
                  </w:pPr>
                  <w:r>
                    <w:rPr>
                      <w:rFonts w:hint="eastAsia"/>
                      <w:color w:val="000000"/>
                      <w:szCs w:val="21"/>
                    </w:rPr>
                    <w:t>与线路中心投影距离0m</w:t>
                  </w:r>
                </w:p>
              </w:tc>
              <w:tc>
                <w:tcPr>
                  <w:tcW w:w="731" w:type="pct"/>
                  <w:vAlign w:val="center"/>
                </w:tcPr>
                <w:p>
                  <w:pPr>
                    <w:widowControl/>
                    <w:jc w:val="center"/>
                    <w:rPr>
                      <w:color w:val="000000"/>
                      <w:szCs w:val="21"/>
                    </w:rPr>
                  </w:pPr>
                  <w:r>
                    <w:rPr>
                      <w:rFonts w:hint="eastAsia"/>
                      <w:color w:val="000000"/>
                      <w:szCs w:val="21"/>
                    </w:rPr>
                    <w:t>36.6</w:t>
                  </w:r>
                </w:p>
              </w:tc>
              <w:tc>
                <w:tcPr>
                  <w:tcW w:w="731" w:type="pct"/>
                  <w:vAlign w:val="center"/>
                </w:tcPr>
                <w:p>
                  <w:pPr>
                    <w:widowControl/>
                    <w:jc w:val="center"/>
                    <w:rPr>
                      <w:color w:val="000000"/>
                      <w:szCs w:val="21"/>
                    </w:rPr>
                  </w:pPr>
                  <w:r>
                    <w:rPr>
                      <w:rFonts w:hint="eastAsia"/>
                      <w:color w:val="000000"/>
                      <w:szCs w:val="21"/>
                    </w:rPr>
                    <w:t>35.6</w:t>
                  </w:r>
                </w:p>
              </w:tc>
              <w:tc>
                <w:tcPr>
                  <w:tcW w:w="731" w:type="pct"/>
                  <w:vAlign w:val="center"/>
                </w:tcPr>
                <w:p>
                  <w:pPr>
                    <w:widowControl/>
                    <w:jc w:val="center"/>
                    <w:rPr>
                      <w:color w:val="000000"/>
                      <w:szCs w:val="21"/>
                    </w:rPr>
                  </w:pPr>
                  <w:r>
                    <w:rPr>
                      <w:rFonts w:hint="eastAsia"/>
                      <w:color w:val="000000"/>
                      <w:szCs w:val="21"/>
                    </w:rPr>
                    <w:t>37</w:t>
                  </w:r>
                </w:p>
              </w:tc>
              <w:tc>
                <w:tcPr>
                  <w:tcW w:w="725" w:type="pct"/>
                  <w:vAlign w:val="center"/>
                </w:tcPr>
                <w:p>
                  <w:pPr>
                    <w:widowControl/>
                    <w:jc w:val="center"/>
                    <w:rPr>
                      <w:color w:val="000000"/>
                      <w:szCs w:val="21"/>
                    </w:rPr>
                  </w:pPr>
                  <w:r>
                    <w:rPr>
                      <w:rFonts w:hint="eastAsia"/>
                      <w:color w:val="00000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429" w:type="pct"/>
                  <w:vAlign w:val="center"/>
                </w:tcPr>
                <w:p>
                  <w:pPr>
                    <w:snapToGrid w:val="0"/>
                    <w:spacing w:before="60" w:beforeLines="25" w:after="60" w:afterLines="25"/>
                    <w:jc w:val="center"/>
                    <w:rPr>
                      <w:color w:val="000000"/>
                      <w:szCs w:val="21"/>
                    </w:rPr>
                  </w:pPr>
                  <w:r>
                    <w:rPr>
                      <w:color w:val="000000"/>
                      <w:szCs w:val="21"/>
                    </w:rPr>
                    <w:t>2</w:t>
                  </w:r>
                </w:p>
              </w:tc>
              <w:tc>
                <w:tcPr>
                  <w:tcW w:w="1653" w:type="pct"/>
                  <w:vAlign w:val="center"/>
                </w:tcPr>
                <w:p>
                  <w:pPr>
                    <w:widowControl/>
                    <w:spacing w:line="276" w:lineRule="auto"/>
                    <w:jc w:val="center"/>
                    <w:rPr>
                      <w:color w:val="000000"/>
                      <w:szCs w:val="21"/>
                    </w:rPr>
                  </w:pPr>
                  <w:r>
                    <w:rPr>
                      <w:rFonts w:hint="eastAsia"/>
                      <w:color w:val="000000"/>
                      <w:szCs w:val="21"/>
                    </w:rPr>
                    <w:t>与线路中心投影距离</w:t>
                  </w:r>
                  <w:r>
                    <w:rPr>
                      <w:color w:val="000000"/>
                      <w:szCs w:val="21"/>
                    </w:rPr>
                    <w:t>4</w:t>
                  </w:r>
                  <w:r>
                    <w:rPr>
                      <w:rFonts w:hint="eastAsia"/>
                      <w:color w:val="000000"/>
                      <w:szCs w:val="21"/>
                    </w:rPr>
                    <w:t>m（</w:t>
                  </w:r>
                  <w:r>
                    <w:rPr>
                      <w:color w:val="000000"/>
                      <w:szCs w:val="21"/>
                    </w:rPr>
                    <w:t>边导线下</w:t>
                  </w:r>
                  <w:r>
                    <w:rPr>
                      <w:rFonts w:hint="eastAsia"/>
                      <w:color w:val="000000"/>
                      <w:szCs w:val="21"/>
                    </w:rPr>
                    <w:t>）</w:t>
                  </w:r>
                </w:p>
              </w:tc>
              <w:tc>
                <w:tcPr>
                  <w:tcW w:w="731" w:type="pct"/>
                  <w:vAlign w:val="center"/>
                </w:tcPr>
                <w:p>
                  <w:pPr>
                    <w:widowControl/>
                    <w:jc w:val="center"/>
                    <w:rPr>
                      <w:color w:val="000000"/>
                      <w:szCs w:val="21"/>
                    </w:rPr>
                  </w:pPr>
                  <w:r>
                    <w:rPr>
                      <w:rFonts w:hint="eastAsia"/>
                      <w:color w:val="000000"/>
                      <w:szCs w:val="21"/>
                    </w:rPr>
                    <w:t>36.6</w:t>
                  </w:r>
                </w:p>
              </w:tc>
              <w:tc>
                <w:tcPr>
                  <w:tcW w:w="731" w:type="pct"/>
                  <w:vAlign w:val="center"/>
                </w:tcPr>
                <w:p>
                  <w:pPr>
                    <w:widowControl/>
                    <w:jc w:val="center"/>
                    <w:rPr>
                      <w:color w:val="000000"/>
                      <w:szCs w:val="21"/>
                    </w:rPr>
                  </w:pPr>
                  <w:r>
                    <w:rPr>
                      <w:rFonts w:hint="eastAsia"/>
                      <w:color w:val="000000"/>
                      <w:szCs w:val="21"/>
                    </w:rPr>
                    <w:t>35.6</w:t>
                  </w:r>
                </w:p>
              </w:tc>
              <w:tc>
                <w:tcPr>
                  <w:tcW w:w="731" w:type="pct"/>
                  <w:vAlign w:val="center"/>
                </w:tcPr>
                <w:p>
                  <w:pPr>
                    <w:widowControl/>
                    <w:jc w:val="center"/>
                    <w:rPr>
                      <w:color w:val="000000"/>
                      <w:szCs w:val="21"/>
                    </w:rPr>
                  </w:pPr>
                  <w:r>
                    <w:rPr>
                      <w:rFonts w:hint="eastAsia"/>
                      <w:color w:val="000000"/>
                      <w:szCs w:val="21"/>
                    </w:rPr>
                    <w:t>37</w:t>
                  </w:r>
                </w:p>
              </w:tc>
              <w:tc>
                <w:tcPr>
                  <w:tcW w:w="725" w:type="pct"/>
                  <w:vAlign w:val="center"/>
                </w:tcPr>
                <w:p>
                  <w:pPr>
                    <w:widowControl/>
                    <w:jc w:val="center"/>
                    <w:rPr>
                      <w:color w:val="000000"/>
                      <w:szCs w:val="21"/>
                    </w:rPr>
                  </w:pPr>
                  <w:r>
                    <w:rPr>
                      <w:rFonts w:hint="eastAsia"/>
                      <w:color w:val="00000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jc w:val="center"/>
              </w:trPr>
              <w:tc>
                <w:tcPr>
                  <w:tcW w:w="429" w:type="pct"/>
                  <w:vAlign w:val="center"/>
                </w:tcPr>
                <w:p>
                  <w:pPr>
                    <w:snapToGrid w:val="0"/>
                    <w:spacing w:before="60" w:beforeLines="25" w:after="60" w:afterLines="25"/>
                    <w:jc w:val="center"/>
                    <w:rPr>
                      <w:color w:val="000000"/>
                      <w:szCs w:val="21"/>
                    </w:rPr>
                  </w:pPr>
                  <w:r>
                    <w:rPr>
                      <w:color w:val="000000"/>
                      <w:szCs w:val="21"/>
                    </w:rPr>
                    <w:t>3</w:t>
                  </w:r>
                </w:p>
              </w:tc>
              <w:tc>
                <w:tcPr>
                  <w:tcW w:w="1653" w:type="pct"/>
                  <w:vAlign w:val="center"/>
                </w:tcPr>
                <w:p>
                  <w:pPr>
                    <w:widowControl/>
                    <w:spacing w:line="276" w:lineRule="auto"/>
                    <w:jc w:val="center"/>
                    <w:rPr>
                      <w:color w:val="000000"/>
                      <w:szCs w:val="21"/>
                    </w:rPr>
                  </w:pPr>
                  <w:r>
                    <w:rPr>
                      <w:rFonts w:hint="eastAsia"/>
                      <w:color w:val="000000"/>
                      <w:szCs w:val="21"/>
                    </w:rPr>
                    <w:t>边导线外5m</w:t>
                  </w:r>
                </w:p>
              </w:tc>
              <w:tc>
                <w:tcPr>
                  <w:tcW w:w="731" w:type="pct"/>
                  <w:vAlign w:val="center"/>
                </w:tcPr>
                <w:p>
                  <w:pPr>
                    <w:widowControl/>
                    <w:jc w:val="center"/>
                    <w:rPr>
                      <w:color w:val="000000"/>
                      <w:szCs w:val="21"/>
                    </w:rPr>
                  </w:pPr>
                  <w:r>
                    <w:rPr>
                      <w:rFonts w:hint="eastAsia"/>
                      <w:color w:val="000000"/>
                      <w:szCs w:val="21"/>
                    </w:rPr>
                    <w:t>36.4</w:t>
                  </w:r>
                </w:p>
              </w:tc>
              <w:tc>
                <w:tcPr>
                  <w:tcW w:w="731" w:type="pct"/>
                  <w:vAlign w:val="center"/>
                </w:tcPr>
                <w:p>
                  <w:pPr>
                    <w:widowControl/>
                    <w:jc w:val="center"/>
                    <w:rPr>
                      <w:color w:val="000000"/>
                      <w:szCs w:val="21"/>
                    </w:rPr>
                  </w:pPr>
                  <w:r>
                    <w:rPr>
                      <w:rFonts w:hint="eastAsia"/>
                      <w:color w:val="000000"/>
                      <w:szCs w:val="21"/>
                    </w:rPr>
                    <w:t>35.6</w:t>
                  </w:r>
                </w:p>
              </w:tc>
              <w:tc>
                <w:tcPr>
                  <w:tcW w:w="731" w:type="pct"/>
                  <w:vAlign w:val="center"/>
                </w:tcPr>
                <w:p>
                  <w:pPr>
                    <w:widowControl/>
                    <w:jc w:val="center"/>
                    <w:rPr>
                      <w:color w:val="000000"/>
                      <w:szCs w:val="21"/>
                    </w:rPr>
                  </w:pPr>
                  <w:r>
                    <w:rPr>
                      <w:rFonts w:hint="eastAsia"/>
                      <w:color w:val="000000"/>
                      <w:szCs w:val="21"/>
                    </w:rPr>
                    <w:t>36</w:t>
                  </w:r>
                </w:p>
              </w:tc>
              <w:tc>
                <w:tcPr>
                  <w:tcW w:w="725" w:type="pct"/>
                  <w:vAlign w:val="center"/>
                </w:tcPr>
                <w:p>
                  <w:pPr>
                    <w:widowControl/>
                    <w:jc w:val="center"/>
                    <w:rPr>
                      <w:color w:val="000000"/>
                      <w:szCs w:val="21"/>
                    </w:rPr>
                  </w:pPr>
                  <w:r>
                    <w:rPr>
                      <w:rFonts w:hint="eastAsia"/>
                      <w:color w:val="00000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jc w:val="center"/>
              </w:trPr>
              <w:tc>
                <w:tcPr>
                  <w:tcW w:w="429" w:type="pct"/>
                  <w:vAlign w:val="center"/>
                </w:tcPr>
                <w:p>
                  <w:pPr>
                    <w:snapToGrid w:val="0"/>
                    <w:spacing w:before="60" w:beforeLines="25" w:after="60" w:afterLines="25"/>
                    <w:jc w:val="center"/>
                    <w:rPr>
                      <w:color w:val="000000"/>
                      <w:szCs w:val="21"/>
                    </w:rPr>
                  </w:pPr>
                  <w:r>
                    <w:rPr>
                      <w:color w:val="000000"/>
                      <w:szCs w:val="21"/>
                    </w:rPr>
                    <w:t>4</w:t>
                  </w:r>
                </w:p>
              </w:tc>
              <w:tc>
                <w:tcPr>
                  <w:tcW w:w="1653" w:type="pct"/>
                  <w:vAlign w:val="center"/>
                </w:tcPr>
                <w:p>
                  <w:pPr>
                    <w:widowControl/>
                    <w:spacing w:line="276" w:lineRule="auto"/>
                    <w:jc w:val="center"/>
                    <w:rPr>
                      <w:color w:val="000000"/>
                      <w:szCs w:val="21"/>
                    </w:rPr>
                  </w:pPr>
                  <w:r>
                    <w:rPr>
                      <w:rFonts w:hint="eastAsia"/>
                      <w:color w:val="000000"/>
                      <w:szCs w:val="21"/>
                    </w:rPr>
                    <w:t>边导线外10m</w:t>
                  </w:r>
                </w:p>
              </w:tc>
              <w:tc>
                <w:tcPr>
                  <w:tcW w:w="731" w:type="pct"/>
                  <w:vAlign w:val="center"/>
                </w:tcPr>
                <w:p>
                  <w:pPr>
                    <w:widowControl/>
                    <w:jc w:val="center"/>
                    <w:rPr>
                      <w:color w:val="000000"/>
                      <w:szCs w:val="21"/>
                    </w:rPr>
                  </w:pPr>
                  <w:r>
                    <w:rPr>
                      <w:rFonts w:hint="eastAsia"/>
                      <w:color w:val="000000"/>
                      <w:szCs w:val="21"/>
                    </w:rPr>
                    <w:t>36.3</w:t>
                  </w:r>
                </w:p>
              </w:tc>
              <w:tc>
                <w:tcPr>
                  <w:tcW w:w="731" w:type="pct"/>
                  <w:vAlign w:val="center"/>
                </w:tcPr>
                <w:p>
                  <w:pPr>
                    <w:widowControl/>
                    <w:jc w:val="center"/>
                    <w:rPr>
                      <w:color w:val="000000"/>
                      <w:szCs w:val="21"/>
                    </w:rPr>
                  </w:pPr>
                  <w:r>
                    <w:rPr>
                      <w:rFonts w:hint="eastAsia"/>
                      <w:color w:val="000000"/>
                      <w:szCs w:val="21"/>
                    </w:rPr>
                    <w:t>35.5</w:t>
                  </w:r>
                </w:p>
              </w:tc>
              <w:tc>
                <w:tcPr>
                  <w:tcW w:w="731" w:type="pct"/>
                  <w:vAlign w:val="center"/>
                </w:tcPr>
                <w:p>
                  <w:pPr>
                    <w:widowControl/>
                    <w:jc w:val="center"/>
                    <w:rPr>
                      <w:color w:val="000000"/>
                      <w:szCs w:val="21"/>
                    </w:rPr>
                  </w:pPr>
                  <w:r>
                    <w:rPr>
                      <w:rFonts w:hint="eastAsia"/>
                      <w:color w:val="000000"/>
                      <w:szCs w:val="21"/>
                    </w:rPr>
                    <w:t>36</w:t>
                  </w:r>
                </w:p>
              </w:tc>
              <w:tc>
                <w:tcPr>
                  <w:tcW w:w="725" w:type="pct"/>
                  <w:vAlign w:val="center"/>
                </w:tcPr>
                <w:p>
                  <w:pPr>
                    <w:widowControl/>
                    <w:jc w:val="center"/>
                    <w:rPr>
                      <w:color w:val="000000"/>
                      <w:szCs w:val="21"/>
                    </w:rPr>
                  </w:pPr>
                  <w:r>
                    <w:rPr>
                      <w:rFonts w:hint="eastAsia"/>
                      <w:color w:val="00000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9" w:type="pct"/>
                  <w:vAlign w:val="center"/>
                </w:tcPr>
                <w:p>
                  <w:pPr>
                    <w:snapToGrid w:val="0"/>
                    <w:spacing w:before="60" w:beforeLines="25" w:after="60" w:afterLines="25"/>
                    <w:jc w:val="center"/>
                    <w:rPr>
                      <w:color w:val="000000"/>
                      <w:szCs w:val="21"/>
                    </w:rPr>
                  </w:pPr>
                  <w:r>
                    <w:rPr>
                      <w:color w:val="000000"/>
                      <w:szCs w:val="21"/>
                    </w:rPr>
                    <w:t>5</w:t>
                  </w:r>
                </w:p>
              </w:tc>
              <w:tc>
                <w:tcPr>
                  <w:tcW w:w="1653" w:type="pct"/>
                  <w:vAlign w:val="center"/>
                </w:tcPr>
                <w:p>
                  <w:pPr>
                    <w:widowControl/>
                    <w:spacing w:line="276" w:lineRule="auto"/>
                    <w:jc w:val="center"/>
                    <w:rPr>
                      <w:color w:val="000000"/>
                      <w:szCs w:val="21"/>
                    </w:rPr>
                  </w:pPr>
                  <w:r>
                    <w:rPr>
                      <w:rFonts w:hint="eastAsia"/>
                      <w:color w:val="000000"/>
                      <w:szCs w:val="21"/>
                    </w:rPr>
                    <w:t>边导线外15m</w:t>
                  </w:r>
                </w:p>
              </w:tc>
              <w:tc>
                <w:tcPr>
                  <w:tcW w:w="731" w:type="pct"/>
                  <w:vAlign w:val="center"/>
                </w:tcPr>
                <w:p>
                  <w:pPr>
                    <w:widowControl/>
                    <w:jc w:val="center"/>
                    <w:rPr>
                      <w:color w:val="000000"/>
                      <w:szCs w:val="21"/>
                    </w:rPr>
                  </w:pPr>
                  <w:r>
                    <w:rPr>
                      <w:rFonts w:hint="eastAsia"/>
                      <w:color w:val="000000"/>
                      <w:szCs w:val="21"/>
                    </w:rPr>
                    <w:t>36.3</w:t>
                  </w:r>
                </w:p>
              </w:tc>
              <w:tc>
                <w:tcPr>
                  <w:tcW w:w="731" w:type="pct"/>
                  <w:vAlign w:val="center"/>
                </w:tcPr>
                <w:p>
                  <w:pPr>
                    <w:widowControl/>
                    <w:jc w:val="center"/>
                    <w:rPr>
                      <w:color w:val="000000"/>
                      <w:szCs w:val="21"/>
                    </w:rPr>
                  </w:pPr>
                  <w:r>
                    <w:rPr>
                      <w:rFonts w:hint="eastAsia"/>
                      <w:color w:val="000000"/>
                      <w:szCs w:val="21"/>
                    </w:rPr>
                    <w:t>35.4</w:t>
                  </w:r>
                </w:p>
              </w:tc>
              <w:tc>
                <w:tcPr>
                  <w:tcW w:w="731" w:type="pct"/>
                  <w:vAlign w:val="center"/>
                </w:tcPr>
                <w:p>
                  <w:pPr>
                    <w:widowControl/>
                    <w:jc w:val="center"/>
                    <w:rPr>
                      <w:color w:val="000000"/>
                      <w:szCs w:val="21"/>
                    </w:rPr>
                  </w:pPr>
                  <w:r>
                    <w:rPr>
                      <w:rFonts w:hint="eastAsia"/>
                      <w:color w:val="000000"/>
                      <w:szCs w:val="21"/>
                    </w:rPr>
                    <w:t>36</w:t>
                  </w:r>
                </w:p>
              </w:tc>
              <w:tc>
                <w:tcPr>
                  <w:tcW w:w="725" w:type="pct"/>
                  <w:vAlign w:val="center"/>
                </w:tcPr>
                <w:p>
                  <w:pPr>
                    <w:widowControl/>
                    <w:jc w:val="center"/>
                    <w:rPr>
                      <w:color w:val="000000"/>
                      <w:szCs w:val="21"/>
                    </w:rPr>
                  </w:pPr>
                  <w:r>
                    <w:rPr>
                      <w:rFonts w:hint="eastAsia"/>
                      <w:color w:val="000000"/>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 w:hRule="atLeast"/>
                <w:jc w:val="center"/>
              </w:trPr>
              <w:tc>
                <w:tcPr>
                  <w:tcW w:w="429" w:type="pct"/>
                  <w:vAlign w:val="center"/>
                </w:tcPr>
                <w:p>
                  <w:pPr>
                    <w:snapToGrid w:val="0"/>
                    <w:spacing w:before="60" w:beforeLines="25" w:after="60" w:afterLines="25"/>
                    <w:jc w:val="center"/>
                    <w:rPr>
                      <w:color w:val="000000"/>
                      <w:szCs w:val="21"/>
                    </w:rPr>
                  </w:pPr>
                  <w:r>
                    <w:rPr>
                      <w:color w:val="000000"/>
                      <w:szCs w:val="21"/>
                    </w:rPr>
                    <w:t>6</w:t>
                  </w:r>
                </w:p>
              </w:tc>
              <w:tc>
                <w:tcPr>
                  <w:tcW w:w="1653" w:type="pct"/>
                  <w:vAlign w:val="center"/>
                </w:tcPr>
                <w:p>
                  <w:pPr>
                    <w:widowControl/>
                    <w:spacing w:line="276" w:lineRule="auto"/>
                    <w:jc w:val="center"/>
                    <w:rPr>
                      <w:color w:val="000000"/>
                      <w:szCs w:val="21"/>
                    </w:rPr>
                  </w:pPr>
                  <w:r>
                    <w:rPr>
                      <w:rFonts w:hint="eastAsia"/>
                      <w:color w:val="000000"/>
                      <w:szCs w:val="21"/>
                    </w:rPr>
                    <w:t>边导线外20m</w:t>
                  </w:r>
                </w:p>
              </w:tc>
              <w:tc>
                <w:tcPr>
                  <w:tcW w:w="731" w:type="pct"/>
                  <w:vAlign w:val="center"/>
                </w:tcPr>
                <w:p>
                  <w:pPr>
                    <w:widowControl/>
                    <w:jc w:val="center"/>
                    <w:rPr>
                      <w:color w:val="000000"/>
                      <w:szCs w:val="21"/>
                    </w:rPr>
                  </w:pPr>
                  <w:r>
                    <w:rPr>
                      <w:rFonts w:hint="eastAsia"/>
                      <w:color w:val="000000"/>
                      <w:szCs w:val="21"/>
                    </w:rPr>
                    <w:t>36.1</w:t>
                  </w:r>
                </w:p>
              </w:tc>
              <w:tc>
                <w:tcPr>
                  <w:tcW w:w="731" w:type="pct"/>
                  <w:vAlign w:val="center"/>
                </w:tcPr>
                <w:p>
                  <w:pPr>
                    <w:widowControl/>
                    <w:jc w:val="center"/>
                    <w:rPr>
                      <w:color w:val="000000"/>
                      <w:szCs w:val="21"/>
                    </w:rPr>
                  </w:pPr>
                  <w:r>
                    <w:rPr>
                      <w:rFonts w:hint="eastAsia"/>
                      <w:color w:val="000000"/>
                      <w:szCs w:val="21"/>
                    </w:rPr>
                    <w:t>35.4</w:t>
                  </w:r>
                </w:p>
              </w:tc>
              <w:tc>
                <w:tcPr>
                  <w:tcW w:w="731" w:type="pct"/>
                  <w:vAlign w:val="center"/>
                </w:tcPr>
                <w:p>
                  <w:pPr>
                    <w:widowControl/>
                    <w:jc w:val="center"/>
                    <w:rPr>
                      <w:color w:val="000000"/>
                      <w:szCs w:val="21"/>
                    </w:rPr>
                  </w:pPr>
                  <w:r>
                    <w:rPr>
                      <w:rFonts w:hint="eastAsia"/>
                      <w:color w:val="000000"/>
                      <w:szCs w:val="21"/>
                    </w:rPr>
                    <w:t>36</w:t>
                  </w:r>
                </w:p>
              </w:tc>
              <w:tc>
                <w:tcPr>
                  <w:tcW w:w="725" w:type="pct"/>
                  <w:vAlign w:val="center"/>
                </w:tcPr>
                <w:p>
                  <w:pPr>
                    <w:widowControl/>
                    <w:jc w:val="center"/>
                    <w:rPr>
                      <w:color w:val="000000"/>
                      <w:szCs w:val="21"/>
                    </w:rPr>
                  </w:pPr>
                  <w:r>
                    <w:rPr>
                      <w:rFonts w:hint="eastAsia"/>
                      <w:color w:val="000000"/>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9" w:type="pct"/>
                  <w:vAlign w:val="center"/>
                </w:tcPr>
                <w:p>
                  <w:pPr>
                    <w:snapToGrid w:val="0"/>
                    <w:spacing w:before="60" w:beforeLines="25" w:after="60" w:afterLines="25"/>
                    <w:jc w:val="center"/>
                    <w:rPr>
                      <w:color w:val="000000"/>
                      <w:szCs w:val="21"/>
                    </w:rPr>
                  </w:pPr>
                  <w:r>
                    <w:rPr>
                      <w:color w:val="000000"/>
                      <w:szCs w:val="21"/>
                    </w:rPr>
                    <w:t>7</w:t>
                  </w:r>
                </w:p>
              </w:tc>
              <w:tc>
                <w:tcPr>
                  <w:tcW w:w="1653" w:type="pct"/>
                  <w:vAlign w:val="center"/>
                </w:tcPr>
                <w:p>
                  <w:pPr>
                    <w:widowControl/>
                    <w:spacing w:line="276" w:lineRule="auto"/>
                    <w:jc w:val="center"/>
                    <w:rPr>
                      <w:color w:val="000000"/>
                      <w:szCs w:val="21"/>
                    </w:rPr>
                  </w:pPr>
                  <w:r>
                    <w:rPr>
                      <w:rFonts w:hint="eastAsia"/>
                      <w:color w:val="000000"/>
                      <w:szCs w:val="21"/>
                    </w:rPr>
                    <w:t>边导线外25m</w:t>
                  </w:r>
                </w:p>
              </w:tc>
              <w:tc>
                <w:tcPr>
                  <w:tcW w:w="731" w:type="pct"/>
                  <w:vAlign w:val="center"/>
                </w:tcPr>
                <w:p>
                  <w:pPr>
                    <w:widowControl/>
                    <w:jc w:val="center"/>
                    <w:rPr>
                      <w:color w:val="000000"/>
                      <w:szCs w:val="21"/>
                    </w:rPr>
                  </w:pPr>
                  <w:r>
                    <w:rPr>
                      <w:rFonts w:hint="eastAsia"/>
                      <w:color w:val="000000"/>
                      <w:szCs w:val="21"/>
                    </w:rPr>
                    <w:t>36.2</w:t>
                  </w:r>
                </w:p>
              </w:tc>
              <w:tc>
                <w:tcPr>
                  <w:tcW w:w="731" w:type="pct"/>
                  <w:vAlign w:val="center"/>
                </w:tcPr>
                <w:p>
                  <w:pPr>
                    <w:widowControl/>
                    <w:jc w:val="center"/>
                    <w:rPr>
                      <w:color w:val="000000"/>
                      <w:szCs w:val="21"/>
                    </w:rPr>
                  </w:pPr>
                  <w:r>
                    <w:rPr>
                      <w:rFonts w:hint="eastAsia"/>
                      <w:color w:val="000000"/>
                      <w:szCs w:val="21"/>
                    </w:rPr>
                    <w:t>35.2</w:t>
                  </w:r>
                </w:p>
              </w:tc>
              <w:tc>
                <w:tcPr>
                  <w:tcW w:w="731" w:type="pct"/>
                  <w:vAlign w:val="center"/>
                </w:tcPr>
                <w:p>
                  <w:pPr>
                    <w:widowControl/>
                    <w:jc w:val="center"/>
                    <w:rPr>
                      <w:color w:val="000000"/>
                      <w:szCs w:val="21"/>
                    </w:rPr>
                  </w:pPr>
                  <w:r>
                    <w:rPr>
                      <w:rFonts w:hint="eastAsia"/>
                      <w:color w:val="000000"/>
                      <w:szCs w:val="21"/>
                    </w:rPr>
                    <w:t>36</w:t>
                  </w:r>
                </w:p>
              </w:tc>
              <w:tc>
                <w:tcPr>
                  <w:tcW w:w="725" w:type="pct"/>
                  <w:vAlign w:val="center"/>
                </w:tcPr>
                <w:p>
                  <w:pPr>
                    <w:widowControl/>
                    <w:jc w:val="center"/>
                    <w:rPr>
                      <w:color w:val="000000"/>
                      <w:szCs w:val="21"/>
                    </w:rPr>
                  </w:pPr>
                  <w:r>
                    <w:rPr>
                      <w:rFonts w:hint="eastAsia"/>
                      <w:color w:val="000000"/>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 w:hRule="atLeast"/>
                <w:jc w:val="center"/>
              </w:trPr>
              <w:tc>
                <w:tcPr>
                  <w:tcW w:w="429" w:type="pct"/>
                  <w:vAlign w:val="center"/>
                </w:tcPr>
                <w:p>
                  <w:pPr>
                    <w:snapToGrid w:val="0"/>
                    <w:spacing w:before="60" w:beforeLines="25" w:after="60" w:afterLines="25"/>
                    <w:jc w:val="center"/>
                    <w:rPr>
                      <w:color w:val="000000"/>
                      <w:szCs w:val="21"/>
                    </w:rPr>
                  </w:pPr>
                  <w:r>
                    <w:rPr>
                      <w:color w:val="000000"/>
                      <w:szCs w:val="21"/>
                    </w:rPr>
                    <w:t>8</w:t>
                  </w:r>
                </w:p>
              </w:tc>
              <w:tc>
                <w:tcPr>
                  <w:tcW w:w="1653" w:type="pct"/>
                  <w:vAlign w:val="center"/>
                </w:tcPr>
                <w:p>
                  <w:pPr>
                    <w:widowControl/>
                    <w:spacing w:line="276" w:lineRule="auto"/>
                    <w:jc w:val="center"/>
                    <w:rPr>
                      <w:color w:val="000000"/>
                      <w:szCs w:val="21"/>
                    </w:rPr>
                  </w:pPr>
                  <w:r>
                    <w:rPr>
                      <w:rFonts w:hint="eastAsia"/>
                      <w:color w:val="000000"/>
                      <w:szCs w:val="21"/>
                    </w:rPr>
                    <w:t>边导线外30m</w:t>
                  </w:r>
                </w:p>
              </w:tc>
              <w:tc>
                <w:tcPr>
                  <w:tcW w:w="731" w:type="pct"/>
                  <w:vAlign w:val="center"/>
                </w:tcPr>
                <w:p>
                  <w:pPr>
                    <w:widowControl/>
                    <w:jc w:val="center"/>
                    <w:rPr>
                      <w:color w:val="000000"/>
                      <w:szCs w:val="21"/>
                    </w:rPr>
                  </w:pPr>
                  <w:r>
                    <w:rPr>
                      <w:rFonts w:hint="eastAsia"/>
                      <w:color w:val="000000"/>
                      <w:szCs w:val="21"/>
                    </w:rPr>
                    <w:t>36.0</w:t>
                  </w:r>
                </w:p>
              </w:tc>
              <w:tc>
                <w:tcPr>
                  <w:tcW w:w="731" w:type="pct"/>
                  <w:vAlign w:val="center"/>
                </w:tcPr>
                <w:p>
                  <w:pPr>
                    <w:widowControl/>
                    <w:jc w:val="center"/>
                    <w:rPr>
                      <w:color w:val="000000"/>
                      <w:szCs w:val="21"/>
                    </w:rPr>
                  </w:pPr>
                  <w:r>
                    <w:rPr>
                      <w:rFonts w:hint="eastAsia"/>
                      <w:color w:val="000000"/>
                      <w:szCs w:val="21"/>
                    </w:rPr>
                    <w:t>35.1</w:t>
                  </w:r>
                </w:p>
              </w:tc>
              <w:tc>
                <w:tcPr>
                  <w:tcW w:w="731" w:type="pct"/>
                  <w:vAlign w:val="center"/>
                </w:tcPr>
                <w:p>
                  <w:pPr>
                    <w:widowControl/>
                    <w:jc w:val="center"/>
                    <w:rPr>
                      <w:color w:val="000000"/>
                      <w:szCs w:val="21"/>
                    </w:rPr>
                  </w:pPr>
                  <w:r>
                    <w:rPr>
                      <w:rFonts w:hint="eastAsia"/>
                      <w:color w:val="000000"/>
                      <w:szCs w:val="21"/>
                    </w:rPr>
                    <w:t>36</w:t>
                  </w:r>
                </w:p>
              </w:tc>
              <w:tc>
                <w:tcPr>
                  <w:tcW w:w="725" w:type="pct"/>
                  <w:vAlign w:val="center"/>
                </w:tcPr>
                <w:p>
                  <w:pPr>
                    <w:widowControl/>
                    <w:jc w:val="center"/>
                    <w:rPr>
                      <w:color w:val="000000"/>
                      <w:szCs w:val="21"/>
                    </w:rPr>
                  </w:pPr>
                  <w:r>
                    <w:rPr>
                      <w:rFonts w:hint="eastAsia"/>
                      <w:color w:val="000000"/>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 w:hRule="atLeast"/>
                <w:jc w:val="center"/>
              </w:trPr>
              <w:tc>
                <w:tcPr>
                  <w:tcW w:w="429" w:type="pct"/>
                  <w:vAlign w:val="center"/>
                </w:tcPr>
                <w:p>
                  <w:pPr>
                    <w:snapToGrid w:val="0"/>
                    <w:spacing w:before="60" w:beforeLines="25" w:after="60" w:afterLines="25"/>
                    <w:jc w:val="center"/>
                    <w:rPr>
                      <w:color w:val="000000"/>
                      <w:szCs w:val="21"/>
                    </w:rPr>
                  </w:pPr>
                  <w:r>
                    <w:rPr>
                      <w:color w:val="000000"/>
                      <w:szCs w:val="21"/>
                    </w:rPr>
                    <w:t>9</w:t>
                  </w:r>
                </w:p>
              </w:tc>
              <w:tc>
                <w:tcPr>
                  <w:tcW w:w="1653" w:type="pct"/>
                  <w:vAlign w:val="center"/>
                </w:tcPr>
                <w:p>
                  <w:pPr>
                    <w:widowControl/>
                    <w:spacing w:line="276" w:lineRule="auto"/>
                    <w:jc w:val="center"/>
                    <w:rPr>
                      <w:color w:val="000000"/>
                      <w:szCs w:val="21"/>
                    </w:rPr>
                  </w:pPr>
                  <w:r>
                    <w:rPr>
                      <w:rFonts w:hint="eastAsia"/>
                      <w:color w:val="000000"/>
                      <w:szCs w:val="21"/>
                    </w:rPr>
                    <w:t>边导线外35m</w:t>
                  </w:r>
                </w:p>
              </w:tc>
              <w:tc>
                <w:tcPr>
                  <w:tcW w:w="731" w:type="pct"/>
                  <w:vAlign w:val="center"/>
                </w:tcPr>
                <w:p>
                  <w:pPr>
                    <w:widowControl/>
                    <w:jc w:val="center"/>
                    <w:rPr>
                      <w:color w:val="000000"/>
                      <w:szCs w:val="21"/>
                    </w:rPr>
                  </w:pPr>
                  <w:r>
                    <w:rPr>
                      <w:rFonts w:hint="eastAsia"/>
                      <w:color w:val="000000"/>
                      <w:szCs w:val="21"/>
                    </w:rPr>
                    <w:t>35.9</w:t>
                  </w:r>
                </w:p>
              </w:tc>
              <w:tc>
                <w:tcPr>
                  <w:tcW w:w="731" w:type="pct"/>
                  <w:vAlign w:val="center"/>
                </w:tcPr>
                <w:p>
                  <w:pPr>
                    <w:widowControl/>
                    <w:jc w:val="center"/>
                    <w:rPr>
                      <w:color w:val="000000"/>
                      <w:szCs w:val="21"/>
                    </w:rPr>
                  </w:pPr>
                  <w:r>
                    <w:rPr>
                      <w:rFonts w:hint="eastAsia"/>
                      <w:color w:val="000000"/>
                      <w:szCs w:val="21"/>
                    </w:rPr>
                    <w:t>35.0</w:t>
                  </w:r>
                </w:p>
              </w:tc>
              <w:tc>
                <w:tcPr>
                  <w:tcW w:w="731" w:type="pct"/>
                  <w:vAlign w:val="center"/>
                </w:tcPr>
                <w:p>
                  <w:pPr>
                    <w:widowControl/>
                    <w:jc w:val="center"/>
                    <w:rPr>
                      <w:color w:val="000000"/>
                      <w:szCs w:val="21"/>
                    </w:rPr>
                  </w:pPr>
                  <w:r>
                    <w:rPr>
                      <w:rFonts w:hint="eastAsia"/>
                      <w:color w:val="000000"/>
                      <w:szCs w:val="21"/>
                    </w:rPr>
                    <w:t>36</w:t>
                  </w:r>
                </w:p>
              </w:tc>
              <w:tc>
                <w:tcPr>
                  <w:tcW w:w="725" w:type="pct"/>
                  <w:vAlign w:val="center"/>
                </w:tcPr>
                <w:p>
                  <w:pPr>
                    <w:widowControl/>
                    <w:jc w:val="center"/>
                    <w:rPr>
                      <w:color w:val="000000"/>
                      <w:szCs w:val="21"/>
                    </w:rPr>
                  </w:pPr>
                  <w:r>
                    <w:rPr>
                      <w:rFonts w:hint="eastAsia"/>
                      <w:color w:val="000000"/>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9" w:type="pct"/>
                  <w:vAlign w:val="center"/>
                </w:tcPr>
                <w:p>
                  <w:pPr>
                    <w:snapToGrid w:val="0"/>
                    <w:spacing w:before="60" w:beforeLines="25" w:after="60" w:afterLines="25"/>
                    <w:jc w:val="center"/>
                    <w:rPr>
                      <w:color w:val="000000"/>
                      <w:szCs w:val="21"/>
                    </w:rPr>
                  </w:pPr>
                  <w:r>
                    <w:rPr>
                      <w:color w:val="000000"/>
                      <w:szCs w:val="21"/>
                    </w:rPr>
                    <w:t>10</w:t>
                  </w:r>
                </w:p>
              </w:tc>
              <w:tc>
                <w:tcPr>
                  <w:tcW w:w="1653" w:type="pct"/>
                  <w:vAlign w:val="center"/>
                </w:tcPr>
                <w:p>
                  <w:pPr>
                    <w:widowControl/>
                    <w:spacing w:line="276" w:lineRule="auto"/>
                    <w:jc w:val="center"/>
                    <w:rPr>
                      <w:color w:val="000000"/>
                      <w:szCs w:val="21"/>
                    </w:rPr>
                  </w:pPr>
                  <w:r>
                    <w:rPr>
                      <w:rFonts w:hint="eastAsia"/>
                      <w:color w:val="000000"/>
                      <w:szCs w:val="21"/>
                    </w:rPr>
                    <w:t>边导线外40m</w:t>
                  </w:r>
                </w:p>
              </w:tc>
              <w:tc>
                <w:tcPr>
                  <w:tcW w:w="731" w:type="pct"/>
                  <w:vAlign w:val="center"/>
                </w:tcPr>
                <w:p>
                  <w:pPr>
                    <w:widowControl/>
                    <w:jc w:val="center"/>
                    <w:rPr>
                      <w:color w:val="000000"/>
                      <w:szCs w:val="21"/>
                    </w:rPr>
                  </w:pPr>
                  <w:r>
                    <w:rPr>
                      <w:rFonts w:hint="eastAsia"/>
                      <w:color w:val="000000"/>
                      <w:szCs w:val="21"/>
                    </w:rPr>
                    <w:t>35.8</w:t>
                  </w:r>
                </w:p>
              </w:tc>
              <w:tc>
                <w:tcPr>
                  <w:tcW w:w="731" w:type="pct"/>
                  <w:vAlign w:val="center"/>
                </w:tcPr>
                <w:p>
                  <w:pPr>
                    <w:widowControl/>
                    <w:jc w:val="center"/>
                    <w:rPr>
                      <w:color w:val="000000"/>
                      <w:szCs w:val="21"/>
                    </w:rPr>
                  </w:pPr>
                  <w:r>
                    <w:rPr>
                      <w:rFonts w:hint="eastAsia"/>
                      <w:color w:val="000000"/>
                      <w:szCs w:val="21"/>
                    </w:rPr>
                    <w:t>35.0</w:t>
                  </w:r>
                </w:p>
              </w:tc>
              <w:tc>
                <w:tcPr>
                  <w:tcW w:w="731" w:type="pct"/>
                  <w:vAlign w:val="center"/>
                </w:tcPr>
                <w:p>
                  <w:pPr>
                    <w:widowControl/>
                    <w:jc w:val="center"/>
                    <w:rPr>
                      <w:color w:val="000000"/>
                      <w:szCs w:val="21"/>
                    </w:rPr>
                  </w:pPr>
                  <w:r>
                    <w:rPr>
                      <w:rFonts w:hint="eastAsia"/>
                      <w:color w:val="000000"/>
                      <w:szCs w:val="21"/>
                    </w:rPr>
                    <w:t>36</w:t>
                  </w:r>
                </w:p>
              </w:tc>
              <w:tc>
                <w:tcPr>
                  <w:tcW w:w="725" w:type="pct"/>
                  <w:vAlign w:val="center"/>
                </w:tcPr>
                <w:p>
                  <w:pPr>
                    <w:widowControl/>
                    <w:jc w:val="center"/>
                    <w:rPr>
                      <w:color w:val="000000"/>
                      <w:szCs w:val="21"/>
                    </w:rPr>
                  </w:pPr>
                  <w:r>
                    <w:rPr>
                      <w:rFonts w:hint="eastAsia"/>
                      <w:color w:val="000000"/>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 w:hRule="atLeast"/>
                <w:jc w:val="center"/>
              </w:trPr>
              <w:tc>
                <w:tcPr>
                  <w:tcW w:w="429" w:type="pct"/>
                  <w:vAlign w:val="center"/>
                </w:tcPr>
                <w:p>
                  <w:pPr>
                    <w:snapToGrid w:val="0"/>
                    <w:spacing w:before="60" w:beforeLines="25" w:after="60" w:afterLines="25"/>
                    <w:jc w:val="center"/>
                    <w:rPr>
                      <w:color w:val="000000"/>
                      <w:szCs w:val="21"/>
                    </w:rPr>
                  </w:pPr>
                  <w:r>
                    <w:rPr>
                      <w:color w:val="000000"/>
                      <w:szCs w:val="21"/>
                    </w:rPr>
                    <w:t>11</w:t>
                  </w:r>
                </w:p>
              </w:tc>
              <w:tc>
                <w:tcPr>
                  <w:tcW w:w="1653" w:type="pct"/>
                  <w:vAlign w:val="center"/>
                </w:tcPr>
                <w:p>
                  <w:pPr>
                    <w:widowControl/>
                    <w:spacing w:line="276" w:lineRule="auto"/>
                    <w:jc w:val="center"/>
                    <w:rPr>
                      <w:color w:val="000000"/>
                      <w:szCs w:val="21"/>
                    </w:rPr>
                  </w:pPr>
                  <w:r>
                    <w:rPr>
                      <w:rFonts w:hint="eastAsia"/>
                      <w:color w:val="000000"/>
                      <w:szCs w:val="21"/>
                    </w:rPr>
                    <w:t>边导线外</w:t>
                  </w:r>
                  <w:r>
                    <w:rPr>
                      <w:color w:val="000000"/>
                      <w:szCs w:val="21"/>
                    </w:rPr>
                    <w:t>45</w:t>
                  </w:r>
                  <w:r>
                    <w:rPr>
                      <w:rFonts w:hint="eastAsia"/>
                      <w:color w:val="000000"/>
                      <w:szCs w:val="21"/>
                    </w:rPr>
                    <w:t>m</w:t>
                  </w:r>
                </w:p>
              </w:tc>
              <w:tc>
                <w:tcPr>
                  <w:tcW w:w="731" w:type="pct"/>
                  <w:vAlign w:val="center"/>
                </w:tcPr>
                <w:p>
                  <w:pPr>
                    <w:widowControl/>
                    <w:jc w:val="center"/>
                    <w:rPr>
                      <w:color w:val="000000"/>
                      <w:szCs w:val="21"/>
                    </w:rPr>
                  </w:pPr>
                  <w:r>
                    <w:rPr>
                      <w:rFonts w:hint="eastAsia"/>
                      <w:color w:val="000000"/>
                      <w:szCs w:val="21"/>
                    </w:rPr>
                    <w:t>35.7</w:t>
                  </w:r>
                </w:p>
              </w:tc>
              <w:tc>
                <w:tcPr>
                  <w:tcW w:w="731" w:type="pct"/>
                  <w:vAlign w:val="center"/>
                </w:tcPr>
                <w:p>
                  <w:pPr>
                    <w:widowControl/>
                    <w:jc w:val="center"/>
                    <w:rPr>
                      <w:color w:val="000000"/>
                      <w:szCs w:val="21"/>
                    </w:rPr>
                  </w:pPr>
                  <w:r>
                    <w:rPr>
                      <w:rFonts w:hint="eastAsia"/>
                      <w:color w:val="000000"/>
                      <w:szCs w:val="21"/>
                    </w:rPr>
                    <w:t>34.8</w:t>
                  </w:r>
                </w:p>
              </w:tc>
              <w:tc>
                <w:tcPr>
                  <w:tcW w:w="731" w:type="pct"/>
                  <w:vAlign w:val="center"/>
                </w:tcPr>
                <w:p>
                  <w:pPr>
                    <w:widowControl/>
                    <w:jc w:val="center"/>
                    <w:rPr>
                      <w:color w:val="000000"/>
                      <w:szCs w:val="21"/>
                    </w:rPr>
                  </w:pPr>
                  <w:r>
                    <w:rPr>
                      <w:rFonts w:hint="eastAsia"/>
                      <w:color w:val="000000"/>
                      <w:szCs w:val="21"/>
                    </w:rPr>
                    <w:t>36</w:t>
                  </w:r>
                </w:p>
              </w:tc>
              <w:tc>
                <w:tcPr>
                  <w:tcW w:w="725" w:type="pct"/>
                  <w:vAlign w:val="center"/>
                </w:tcPr>
                <w:p>
                  <w:pPr>
                    <w:widowControl/>
                    <w:jc w:val="center"/>
                    <w:rPr>
                      <w:color w:val="000000"/>
                      <w:szCs w:val="21"/>
                    </w:rPr>
                  </w:pPr>
                  <w:r>
                    <w:rPr>
                      <w:rFonts w:hint="eastAsia"/>
                      <w:color w:val="000000"/>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9" w:type="pct"/>
                  <w:vAlign w:val="center"/>
                </w:tcPr>
                <w:p>
                  <w:pPr>
                    <w:snapToGrid w:val="0"/>
                    <w:spacing w:before="60" w:beforeLines="25" w:after="60" w:afterLines="25"/>
                    <w:jc w:val="center"/>
                    <w:rPr>
                      <w:color w:val="000000"/>
                      <w:szCs w:val="21"/>
                    </w:rPr>
                  </w:pPr>
                  <w:r>
                    <w:rPr>
                      <w:color w:val="000000"/>
                      <w:szCs w:val="21"/>
                    </w:rPr>
                    <w:t>12</w:t>
                  </w:r>
                </w:p>
              </w:tc>
              <w:tc>
                <w:tcPr>
                  <w:tcW w:w="1653" w:type="pct"/>
                  <w:vAlign w:val="center"/>
                </w:tcPr>
                <w:p>
                  <w:pPr>
                    <w:widowControl/>
                    <w:spacing w:line="276" w:lineRule="auto"/>
                    <w:jc w:val="center"/>
                    <w:rPr>
                      <w:color w:val="000000"/>
                      <w:szCs w:val="21"/>
                    </w:rPr>
                  </w:pPr>
                  <w:r>
                    <w:rPr>
                      <w:rFonts w:hint="eastAsia"/>
                      <w:color w:val="000000"/>
                      <w:szCs w:val="21"/>
                    </w:rPr>
                    <w:t>边导线外</w:t>
                  </w:r>
                  <w:r>
                    <w:rPr>
                      <w:color w:val="000000"/>
                      <w:szCs w:val="21"/>
                    </w:rPr>
                    <w:t>50</w:t>
                  </w:r>
                  <w:r>
                    <w:rPr>
                      <w:rFonts w:hint="eastAsia"/>
                      <w:color w:val="000000"/>
                      <w:szCs w:val="21"/>
                    </w:rPr>
                    <w:t>m</w:t>
                  </w:r>
                </w:p>
              </w:tc>
              <w:tc>
                <w:tcPr>
                  <w:tcW w:w="731" w:type="pct"/>
                  <w:vAlign w:val="center"/>
                </w:tcPr>
                <w:p>
                  <w:pPr>
                    <w:widowControl/>
                    <w:jc w:val="center"/>
                    <w:rPr>
                      <w:color w:val="000000"/>
                      <w:szCs w:val="21"/>
                    </w:rPr>
                  </w:pPr>
                  <w:r>
                    <w:rPr>
                      <w:rFonts w:hint="eastAsia"/>
                      <w:color w:val="000000"/>
                      <w:szCs w:val="21"/>
                    </w:rPr>
                    <w:t>35.5</w:t>
                  </w:r>
                </w:p>
              </w:tc>
              <w:tc>
                <w:tcPr>
                  <w:tcW w:w="731" w:type="pct"/>
                  <w:vAlign w:val="center"/>
                </w:tcPr>
                <w:p>
                  <w:pPr>
                    <w:widowControl/>
                    <w:jc w:val="center"/>
                    <w:rPr>
                      <w:color w:val="000000"/>
                      <w:szCs w:val="21"/>
                    </w:rPr>
                  </w:pPr>
                  <w:r>
                    <w:rPr>
                      <w:rFonts w:hint="eastAsia"/>
                      <w:color w:val="000000"/>
                      <w:szCs w:val="21"/>
                    </w:rPr>
                    <w:t>34.7</w:t>
                  </w:r>
                </w:p>
              </w:tc>
              <w:tc>
                <w:tcPr>
                  <w:tcW w:w="731" w:type="pct"/>
                  <w:vAlign w:val="center"/>
                </w:tcPr>
                <w:p>
                  <w:pPr>
                    <w:widowControl/>
                    <w:jc w:val="center"/>
                    <w:rPr>
                      <w:color w:val="000000"/>
                      <w:szCs w:val="21"/>
                    </w:rPr>
                  </w:pPr>
                  <w:r>
                    <w:rPr>
                      <w:rFonts w:hint="eastAsia"/>
                      <w:color w:val="000000"/>
                      <w:szCs w:val="21"/>
                    </w:rPr>
                    <w:t>36</w:t>
                  </w:r>
                </w:p>
              </w:tc>
              <w:tc>
                <w:tcPr>
                  <w:tcW w:w="725" w:type="pct"/>
                  <w:vAlign w:val="center"/>
                </w:tcPr>
                <w:p>
                  <w:pPr>
                    <w:widowControl/>
                    <w:jc w:val="center"/>
                    <w:rPr>
                      <w:color w:val="000000"/>
                      <w:szCs w:val="21"/>
                    </w:rPr>
                  </w:pPr>
                  <w:r>
                    <w:rPr>
                      <w:rFonts w:hint="eastAsia"/>
                      <w:color w:val="000000"/>
                      <w:szCs w:val="21"/>
                    </w:rPr>
                    <w:t>35</w:t>
                  </w:r>
                </w:p>
              </w:tc>
            </w:tr>
          </w:tbl>
          <w:p>
            <w:pPr>
              <w:pStyle w:val="11"/>
              <w:spacing w:before="120" w:beforeLines="50"/>
            </w:pPr>
            <w:r>
              <w:rPr>
                <w:color w:val="000000"/>
                <w:szCs w:val="21"/>
                <w:shd w:val="clear" w:color="auto" w:fill="FFFFFF"/>
              </w:rPr>
              <w:t>110kV</w:t>
            </w:r>
            <w:r>
              <w:rPr>
                <w:rFonts w:hint="eastAsia"/>
                <w:color w:val="000000"/>
                <w:szCs w:val="21"/>
              </w:rPr>
              <w:t>吉团</w:t>
            </w:r>
            <w:r>
              <w:rPr>
                <w:color w:val="000000"/>
                <w:szCs w:val="21"/>
                <w:shd w:val="clear" w:color="auto" w:fill="FFFFFF"/>
              </w:rPr>
              <w:t>一线、二线</w:t>
            </w:r>
            <w:r>
              <w:rPr>
                <w:kern w:val="0"/>
                <w:shd w:val="clear" w:color="auto" w:fill="FFFFFF"/>
              </w:rPr>
              <w:t>同塔双回段</w:t>
            </w:r>
            <w:r>
              <w:t>输电线路50m范围内</w:t>
            </w:r>
            <w:r>
              <w:rPr>
                <w:rFonts w:hint="eastAsia"/>
              </w:rPr>
              <w:t>昼间</w:t>
            </w:r>
            <w:r>
              <w:t>噪声监测值为</w:t>
            </w:r>
            <w:r>
              <w:rPr>
                <w:rFonts w:hint="eastAsia"/>
              </w:rPr>
              <w:t>36</w:t>
            </w:r>
            <w:r>
              <w:rPr>
                <w:color w:val="000000"/>
                <w:szCs w:val="24"/>
              </w:rPr>
              <w:t>～</w:t>
            </w:r>
            <w:r>
              <w:rPr>
                <w:rFonts w:hint="eastAsia"/>
                <w:color w:val="000000"/>
                <w:szCs w:val="24"/>
              </w:rPr>
              <w:t>37</w:t>
            </w:r>
            <w:r>
              <w:t>dB(A)，夜间噪声监测值为</w:t>
            </w:r>
            <w:r>
              <w:rPr>
                <w:rFonts w:hint="eastAsia"/>
              </w:rPr>
              <w:t>35</w:t>
            </w:r>
            <w:r>
              <w:rPr>
                <w:color w:val="000000"/>
                <w:szCs w:val="24"/>
              </w:rPr>
              <w:t>～</w:t>
            </w:r>
            <w:r>
              <w:rPr>
                <w:rFonts w:hint="eastAsia"/>
                <w:color w:val="000000"/>
                <w:szCs w:val="24"/>
              </w:rPr>
              <w:t>36</w:t>
            </w:r>
            <w:r>
              <w:t>dB(A)。由类比线路噪声监测结果可知，本工程新建</w:t>
            </w:r>
            <w:r>
              <w:rPr>
                <w:kern w:val="0"/>
                <w:shd w:val="clear" w:color="auto" w:fill="FFFFFF"/>
              </w:rPr>
              <w:t>110kV</w:t>
            </w:r>
            <w:r>
              <w:t>双回</w:t>
            </w:r>
            <w:r>
              <w:rPr>
                <w:rFonts w:hint="eastAsia"/>
              </w:rPr>
              <w:t>线路及双回线路（本期单边挂线）</w:t>
            </w:r>
            <w:r>
              <w:t>投运后对附近声环境影响可满足《声环境质量标准》（GB3096-2008）中</w:t>
            </w:r>
            <w:r>
              <w:rPr>
                <w:rFonts w:hint="eastAsia"/>
              </w:rPr>
              <w:t>2</w:t>
            </w:r>
            <w:r>
              <w:t>类标准要求</w:t>
            </w:r>
            <w:r>
              <w:rPr>
                <w:rFonts w:hint="eastAsia"/>
              </w:rPr>
              <w:t>。</w:t>
            </w:r>
          </w:p>
          <w:p>
            <w:pPr>
              <w:pStyle w:val="11"/>
            </w:pPr>
            <w:r>
              <w:rPr>
                <w:rFonts w:hint="eastAsia"/>
              </w:rPr>
              <w:t>根据类比监测数据，类比线路运行期夜间噪声随距离变化趋势不明显，根据夜间数据分析可知线路运行噪声对周围环境噪声的贡献值趋近于零，即基本不会对周围环境产生新的噪声增量影响，本工程线路投运前后周围声环境水平保持同一水平，能够满足相应声环境质量标准要求。</w:t>
            </w:r>
          </w:p>
          <w:p>
            <w:pPr>
              <w:pStyle w:val="11"/>
            </w:pPr>
            <w:r>
              <w:rPr>
                <w:rFonts w:hint="eastAsia"/>
              </w:rPr>
              <w:t>新建110kV双回线路及双回线路（本期单边挂线）评价范围内无声环境保护目标。</w:t>
            </w:r>
          </w:p>
          <w:p>
            <w:pPr>
              <w:pStyle w:val="11"/>
              <w:numPr>
                <w:ilvl w:val="3"/>
                <w:numId w:val="21"/>
              </w:numPr>
              <w:ind w:left="1270" w:firstLineChars="0"/>
              <w:rPr>
                <w:b/>
                <w:kern w:val="0"/>
                <w:szCs w:val="21"/>
              </w:rPr>
            </w:pPr>
            <w:r>
              <w:rPr>
                <w:rFonts w:hint="eastAsia"/>
                <w:b/>
                <w:kern w:val="0"/>
                <w:szCs w:val="21"/>
              </w:rPr>
              <w:t>输电</w:t>
            </w:r>
            <w:r>
              <w:rPr>
                <w:b/>
                <w:kern w:val="0"/>
                <w:szCs w:val="21"/>
              </w:rPr>
              <w:t>线路声环境影响评价结论</w:t>
            </w:r>
          </w:p>
          <w:p>
            <w:pPr>
              <w:pStyle w:val="11"/>
              <w:rPr>
                <w:kern w:val="0"/>
                <w:shd w:val="clear" w:color="auto" w:fill="FFFFFF"/>
              </w:rPr>
            </w:pPr>
            <w:r>
              <w:rPr>
                <w:rFonts w:hint="eastAsia"/>
                <w:kern w:val="0"/>
                <w:shd w:val="clear" w:color="auto" w:fill="FFFFFF"/>
              </w:rPr>
              <w:t>由类比监测结果可知，运行状态下110kV输电线路周边测点噪声基本为环境背景噪声；线路弧垂下方离地面1.2m高度处的噪声均满足《声环境质量标准》(GB3096-2008)中2类标准要求。</w:t>
            </w:r>
          </w:p>
          <w:p>
            <w:pPr>
              <w:pStyle w:val="11"/>
            </w:pPr>
            <w:r>
              <w:rPr>
                <w:rFonts w:hint="eastAsia"/>
                <w:kern w:val="0"/>
                <w:shd w:val="clear" w:color="auto" w:fill="FFFFFF"/>
              </w:rPr>
              <w:t>通过上述类比监测可以预测，110kV输电线路电晕噪声对环境的影响较小，本工程线路投运后沿线声环境可基本维持建设前水平，满足《声环境质量标准》（GB3096-2008）中相应标准要求</w:t>
            </w:r>
            <w:r>
              <w:rPr>
                <w:rFonts w:hint="eastAsia"/>
              </w:rPr>
              <w:t>。</w:t>
            </w:r>
          </w:p>
          <w:p>
            <w:pPr>
              <w:pStyle w:val="11"/>
              <w:numPr>
                <w:ilvl w:val="1"/>
                <w:numId w:val="21"/>
              </w:numPr>
              <w:ind w:left="987" w:firstLineChars="0"/>
              <w:rPr>
                <w:b/>
                <w:kern w:val="0"/>
                <w:szCs w:val="21"/>
              </w:rPr>
            </w:pPr>
            <w:r>
              <w:rPr>
                <w:b/>
                <w:kern w:val="0"/>
                <w:szCs w:val="21"/>
              </w:rPr>
              <w:t>运行期水环境影响分析</w:t>
            </w:r>
          </w:p>
          <w:p>
            <w:pPr>
              <w:pStyle w:val="11"/>
              <w:numPr>
                <w:ilvl w:val="2"/>
                <w:numId w:val="21"/>
              </w:numPr>
              <w:ind w:left="1129" w:firstLineChars="0"/>
              <w:rPr>
                <w:b/>
                <w:kern w:val="0"/>
                <w:szCs w:val="21"/>
              </w:rPr>
            </w:pPr>
            <w:r>
              <w:rPr>
                <w:b/>
                <w:kern w:val="0"/>
                <w:szCs w:val="21"/>
              </w:rPr>
              <w:t>变电站</w:t>
            </w:r>
            <w:r>
              <w:rPr>
                <w:rFonts w:hint="eastAsia"/>
                <w:b/>
                <w:kern w:val="0"/>
                <w:szCs w:val="21"/>
              </w:rPr>
              <w:t>新建</w:t>
            </w:r>
            <w:r>
              <w:rPr>
                <w:b/>
                <w:kern w:val="0"/>
                <w:szCs w:val="21"/>
              </w:rPr>
              <w:t>工程</w:t>
            </w:r>
          </w:p>
          <w:p>
            <w:pPr>
              <w:pStyle w:val="11"/>
              <w:rPr>
                <w:color w:val="000000"/>
              </w:rPr>
            </w:pPr>
            <w:r>
              <w:rPr>
                <w:rFonts w:hint="eastAsia"/>
                <w:color w:val="000000"/>
              </w:rPr>
              <w:t>东环110kV变电站</w:t>
            </w:r>
            <w:r>
              <w:rPr>
                <w:color w:val="000000"/>
              </w:rPr>
              <w:t>为</w:t>
            </w:r>
            <w:r>
              <w:rPr>
                <w:rFonts w:hint="eastAsia"/>
                <w:color w:val="000000"/>
              </w:rPr>
              <w:t>无人值守变电站，正常工况下，站内无工业废水产生，变电站内的废污水主要为巡检人员产生的少量生活污水。</w:t>
            </w:r>
          </w:p>
          <w:p>
            <w:pPr>
              <w:pStyle w:val="11"/>
              <w:rPr>
                <w:color w:val="000000"/>
              </w:rPr>
            </w:pPr>
            <w:r>
              <w:rPr>
                <w:rFonts w:hint="eastAsia"/>
                <w:color w:val="000000"/>
              </w:rPr>
              <w:t>变电站生活污水采用化粪池处理后定期清理，不外排，不会对变电站附近水环境产生影响。</w:t>
            </w:r>
          </w:p>
          <w:p>
            <w:pPr>
              <w:pStyle w:val="11"/>
              <w:numPr>
                <w:ilvl w:val="2"/>
                <w:numId w:val="21"/>
              </w:numPr>
              <w:ind w:left="1129" w:firstLineChars="0"/>
              <w:rPr>
                <w:b/>
                <w:kern w:val="0"/>
                <w:szCs w:val="21"/>
              </w:rPr>
            </w:pPr>
            <w:r>
              <w:rPr>
                <w:rFonts w:hint="eastAsia"/>
                <w:b/>
                <w:kern w:val="0"/>
                <w:szCs w:val="21"/>
              </w:rPr>
              <w:t>输电线路工程</w:t>
            </w:r>
          </w:p>
          <w:p>
            <w:pPr>
              <w:pStyle w:val="11"/>
            </w:pPr>
            <w:r>
              <w:rPr>
                <w:rFonts w:hint="eastAsia"/>
              </w:rPr>
              <w:t>本工程</w:t>
            </w:r>
            <w:r>
              <w:t>输电线路运行期无废污水产生，不会对附近水环境产生影响。</w:t>
            </w:r>
          </w:p>
          <w:p>
            <w:pPr>
              <w:pStyle w:val="11"/>
              <w:numPr>
                <w:ilvl w:val="1"/>
                <w:numId w:val="21"/>
              </w:numPr>
              <w:ind w:left="987" w:firstLineChars="0"/>
              <w:rPr>
                <w:b/>
                <w:kern w:val="0"/>
                <w:szCs w:val="21"/>
              </w:rPr>
            </w:pPr>
            <w:r>
              <w:rPr>
                <w:b/>
                <w:kern w:val="0"/>
                <w:szCs w:val="21"/>
              </w:rPr>
              <w:t>运行期</w:t>
            </w:r>
            <w:r>
              <w:rPr>
                <w:rFonts w:hint="eastAsia"/>
                <w:b/>
                <w:kern w:val="0"/>
                <w:szCs w:val="21"/>
              </w:rPr>
              <w:t>环境大气</w:t>
            </w:r>
            <w:r>
              <w:rPr>
                <w:b/>
                <w:kern w:val="0"/>
                <w:szCs w:val="21"/>
              </w:rPr>
              <w:t>影响分析</w:t>
            </w:r>
          </w:p>
          <w:p>
            <w:pPr>
              <w:pStyle w:val="11"/>
            </w:pPr>
            <w:r>
              <w:t>本工程</w:t>
            </w:r>
            <w:r>
              <w:rPr>
                <w:rFonts w:hint="eastAsia"/>
              </w:rPr>
              <w:t>变电站和输电线路运行期</w:t>
            </w:r>
            <w:r>
              <w:t>无废气产生，不会对附近大气环境产生影响。</w:t>
            </w:r>
          </w:p>
          <w:p>
            <w:pPr>
              <w:pStyle w:val="11"/>
              <w:numPr>
                <w:ilvl w:val="1"/>
                <w:numId w:val="21"/>
              </w:numPr>
              <w:ind w:left="987" w:firstLineChars="0"/>
              <w:rPr>
                <w:b/>
                <w:kern w:val="0"/>
                <w:szCs w:val="21"/>
              </w:rPr>
            </w:pPr>
            <w:r>
              <w:rPr>
                <w:b/>
                <w:kern w:val="0"/>
                <w:szCs w:val="21"/>
              </w:rPr>
              <w:t>运行期固体废物环境影响分析</w:t>
            </w:r>
          </w:p>
          <w:p>
            <w:pPr>
              <w:pStyle w:val="11"/>
              <w:numPr>
                <w:ilvl w:val="2"/>
                <w:numId w:val="21"/>
              </w:numPr>
              <w:ind w:left="1129" w:firstLineChars="0"/>
              <w:rPr>
                <w:b/>
                <w:color w:val="000000"/>
                <w:kern w:val="0"/>
                <w:szCs w:val="21"/>
              </w:rPr>
            </w:pPr>
            <w:r>
              <w:rPr>
                <w:b/>
                <w:color w:val="000000"/>
                <w:kern w:val="0"/>
                <w:szCs w:val="21"/>
              </w:rPr>
              <w:t>变电站</w:t>
            </w:r>
            <w:r>
              <w:rPr>
                <w:rFonts w:hint="eastAsia"/>
                <w:b/>
                <w:color w:val="000000"/>
                <w:kern w:val="0"/>
                <w:szCs w:val="21"/>
              </w:rPr>
              <w:t>新建</w:t>
            </w:r>
            <w:r>
              <w:rPr>
                <w:b/>
                <w:color w:val="000000"/>
                <w:kern w:val="0"/>
                <w:szCs w:val="21"/>
              </w:rPr>
              <w:t>工程</w:t>
            </w:r>
          </w:p>
          <w:p>
            <w:pPr>
              <w:pStyle w:val="11"/>
              <w:rPr>
                <w:color w:val="000000"/>
              </w:rPr>
            </w:pPr>
            <w:r>
              <w:rPr>
                <w:color w:val="000000"/>
              </w:rPr>
              <w:t>变电站运行期间固体废物为定期巡检人员产生的生活垃圾以及变电站内的废旧蓄电池。</w:t>
            </w:r>
          </w:p>
          <w:p>
            <w:pPr>
              <w:pStyle w:val="11"/>
              <w:rPr>
                <w:color w:val="000000"/>
              </w:rPr>
            </w:pPr>
            <w:r>
              <w:rPr>
                <w:color w:val="000000"/>
              </w:rPr>
              <w:t>对于定期巡检人员产生的少量生活垃圾，应收集集中后运至当地镇区的生活垃圾转运点，交由环卫部门妥善处理。</w:t>
            </w:r>
          </w:p>
          <w:p>
            <w:pPr>
              <w:pStyle w:val="11"/>
            </w:pPr>
            <w:r>
              <w:rPr>
                <w:rFonts w:hint="eastAsia"/>
                <w:color w:val="000000"/>
              </w:rPr>
              <w:t>变电站采用铅酸蓄电池作为备用电源，根据《国家危险废物名录（2025年版）》（生态环境部 部令第36号），废铅酸蓄电池及废铅酸蓄电池拆解过程中产生的废铅板、废铅膏和酸液属于危险废物，废物类别为HW31含铅废物，废物代码为900-052-31，危险特性为毒性、腐蚀性（T，C）</w:t>
            </w:r>
            <w:r>
              <w:rPr>
                <w:color w:val="000000"/>
              </w:rPr>
              <w:t>。变电站内蓄电池由有资质单位定期进行检测</w:t>
            </w:r>
            <w:r>
              <w:rPr>
                <w:rFonts w:hint="eastAsia"/>
                <w:color w:val="000000"/>
              </w:rPr>
              <w:t>，经检测</w:t>
            </w:r>
            <w:r>
              <w:rPr>
                <w:color w:val="000000"/>
              </w:rPr>
              <w:t>其使用寿命结束后</w:t>
            </w:r>
            <w:r>
              <w:rPr>
                <w:rFonts w:hint="eastAsia"/>
                <w:color w:val="000000"/>
              </w:rPr>
              <w:t>，</w:t>
            </w:r>
            <w:r>
              <w:rPr>
                <w:color w:val="000000"/>
              </w:rPr>
              <w:t>由有资质单位进行处置</w:t>
            </w:r>
            <w:r>
              <w:rPr>
                <w:rFonts w:hint="eastAsia"/>
                <w:color w:val="000000"/>
              </w:rPr>
              <w:t>。</w:t>
            </w:r>
            <w:r>
              <w:rPr>
                <w:color w:val="000000"/>
              </w:rPr>
              <w:t>变电站内蓄电池达到寿命周期后</w:t>
            </w:r>
            <w:r>
              <w:rPr>
                <w:rFonts w:hint="eastAsia"/>
                <w:color w:val="000000"/>
              </w:rPr>
              <w:t>及时</w:t>
            </w:r>
            <w:r>
              <w:rPr>
                <w:color w:val="000000"/>
              </w:rPr>
              <w:t>交由有资质单位</w:t>
            </w:r>
            <w:r>
              <w:rPr>
                <w:rFonts w:hint="eastAsia"/>
                <w:color w:val="000000"/>
              </w:rPr>
              <w:t>处置</w:t>
            </w:r>
            <w:r>
              <w:rPr>
                <w:color w:val="000000"/>
              </w:rPr>
              <w:t>，严禁随意丢弃。</w:t>
            </w:r>
            <w:r>
              <w:rPr>
                <w:rFonts w:hint="eastAsia"/>
              </w:rPr>
              <w:t>同时根据该名录附录“危险废物豁免管理清单”内容，废弃蓄电池为“未破损”状态时，在“运输”环节，当运输工具满足防雨、防渗漏、防遗撒要求时，可进行豁免，不按危险废物进行运输。</w:t>
            </w:r>
          </w:p>
          <w:p>
            <w:pPr>
              <w:pStyle w:val="11"/>
              <w:rPr>
                <w:color w:val="000000"/>
              </w:rPr>
            </w:pPr>
            <w:r>
              <w:rPr>
                <w:rFonts w:hint="eastAsia"/>
                <w:color w:val="000000"/>
              </w:rPr>
              <w:t>本工程运行期检修维护时会产生一些报废零部件、废旧金具、少量含油抹布和废手套等，均属于一般固废。检修维护期间所产生的报废零部件集中收集后交由厂家回收处置；废旧金具由吐鲁番供电公司物资部统一回收处理；根据《国家危险废物名录（2025版）》危险废物豁免管理清单中，未分类收集的“废弃的含油抹布、劳保用品”全过程不按危险废物管理。因此，检修过程中产生的少量含油抹布和废手套由检修人员带走，随生活垃圾一起收集后统一运至环卫部门指定生活垃圾转运站处置。</w:t>
            </w:r>
          </w:p>
          <w:p>
            <w:pPr>
              <w:pStyle w:val="11"/>
              <w:numPr>
                <w:ilvl w:val="2"/>
                <w:numId w:val="21"/>
              </w:numPr>
              <w:ind w:left="1129" w:firstLineChars="0"/>
              <w:rPr>
                <w:b/>
                <w:color w:val="000000"/>
                <w:kern w:val="0"/>
                <w:szCs w:val="21"/>
              </w:rPr>
            </w:pPr>
            <w:r>
              <w:rPr>
                <w:b/>
                <w:color w:val="000000"/>
                <w:kern w:val="0"/>
                <w:szCs w:val="21"/>
              </w:rPr>
              <w:t>输电线路工程</w:t>
            </w:r>
          </w:p>
          <w:p>
            <w:pPr>
              <w:pStyle w:val="11"/>
            </w:pPr>
            <w:r>
              <w:t>输电线路运行期无固体废物产生，对外环境无影响。</w:t>
            </w:r>
          </w:p>
          <w:p>
            <w:pPr>
              <w:pStyle w:val="11"/>
            </w:pPr>
            <w:r>
              <w:rPr>
                <w:rFonts w:hint="eastAsia"/>
              </w:rPr>
              <w:t>在输电线路定期巡线过程中，线路的检修可能产生少量废弃绝缘子、生活垃圾等固体废物，运行维护人员应将生活垃圾带至垃圾集中收集点妥善处置，废弃绝缘子等废物回收处理。</w:t>
            </w:r>
          </w:p>
          <w:p>
            <w:pPr>
              <w:pStyle w:val="11"/>
              <w:numPr>
                <w:ilvl w:val="1"/>
                <w:numId w:val="21"/>
              </w:numPr>
              <w:ind w:left="987" w:firstLineChars="0"/>
              <w:rPr>
                <w:b/>
                <w:kern w:val="0"/>
                <w:szCs w:val="21"/>
              </w:rPr>
            </w:pPr>
            <w:r>
              <w:rPr>
                <w:b/>
                <w:kern w:val="0"/>
                <w:szCs w:val="21"/>
              </w:rPr>
              <w:t>环境风险分析</w:t>
            </w:r>
          </w:p>
          <w:p>
            <w:pPr>
              <w:pStyle w:val="11"/>
              <w:rPr>
                <w:color w:val="000000"/>
              </w:rPr>
            </w:pPr>
            <w:bookmarkStart w:id="666" w:name="_Toc386904090"/>
            <w:bookmarkStart w:id="667" w:name="_Toc344400065"/>
            <w:bookmarkStart w:id="668" w:name="_Toc344398329"/>
            <w:r>
              <w:rPr>
                <w:color w:val="000000"/>
              </w:rPr>
              <w:t>由于冷却或绝缘需要，变电站内变压器及其它电气设备均使用电力用油，这些冷却或绝缘油都装在电气设备的外壳内，一般无需更换（一般定期（一年一次或大修后）作预防性试验，通过对绝缘电阻、吸收比、极化指数、介质损耗、绕组泄漏电流、油中微水等综合分析，综合判断受潮情况、杂质情况、油老化情况等，如果不合格，过滤再生后继续使用），也不会外泄对环境造成危害。但在设备在发生事故并失控时，可能泄漏，污染环境，造成环境风险。根据《国家危险废物名录（2025年版）》，事故变压器油经油/水分离设施处理后产生的废油、污泥属危险废物，类别代码为HW08废矿物油与含矿物油废物，废物代码为900-220-08，危险特性为（T、I）。</w:t>
            </w:r>
          </w:p>
          <w:p>
            <w:pPr>
              <w:pStyle w:val="11"/>
              <w:rPr>
                <w:color w:val="000000"/>
              </w:rPr>
            </w:pPr>
            <w:r>
              <w:rPr>
                <w:color w:val="000000"/>
              </w:rPr>
              <w:t>为防止事故、检修时造成废油污染，变电站内一般均设置有变压器油排蓄系统，变压器基座四周设有事故油坑，事故油坑通过底部的事故排油管道与具有油水分离功能的总事故油池相连。在发生事故时，泄漏的变压器油将通过排油管道排入总事故油池。排入事故油池的变压器油大部分可以回收再利用，不能回收利用的少量含油废水应交由有相应资质单位处理。根据《火力发电厂与变电站设计防火标准》（GB50229-2019），变电站内应设置事故油坑和总事故油池，事故油池容积宜按其接入的油量最大台全部油量确定。</w:t>
            </w:r>
          </w:p>
          <w:bookmarkEnd w:id="666"/>
          <w:bookmarkEnd w:id="667"/>
          <w:bookmarkEnd w:id="668"/>
          <w:p>
            <w:pPr>
              <w:pStyle w:val="11"/>
              <w:rPr>
                <w:szCs w:val="28"/>
              </w:rPr>
            </w:pPr>
            <w:r>
              <w:rPr>
                <w:rFonts w:hint="eastAsia"/>
                <w:color w:val="000000"/>
              </w:rPr>
              <w:t>东环110kV变电站</w:t>
            </w:r>
            <w:r>
              <w:rPr>
                <w:rFonts w:hint="eastAsia"/>
                <w:bCs/>
                <w:color w:val="000000"/>
                <w:kern w:val="0"/>
                <w:szCs w:val="24"/>
              </w:rPr>
              <w:t>本期建设一座有效容积约为3</w:t>
            </w:r>
            <w:r>
              <w:rPr>
                <w:bCs/>
                <w:color w:val="000000"/>
                <w:kern w:val="0"/>
                <w:szCs w:val="24"/>
              </w:rPr>
              <w:t>0</w:t>
            </w:r>
            <w:r>
              <w:rPr>
                <w:rFonts w:hint="eastAsia"/>
                <w:bCs/>
                <w:color w:val="000000"/>
                <w:kern w:val="0"/>
                <w:szCs w:val="24"/>
              </w:rPr>
              <w:t>m³的事故油池，</w:t>
            </w:r>
            <w:r>
              <w:rPr>
                <w:rFonts w:hint="eastAsia" w:ascii="宋体" w:hAnsi="宋体" w:cs="宋体"/>
                <w:bCs/>
                <w:color w:val="000000"/>
                <w:kern w:val="0"/>
                <w:szCs w:val="24"/>
              </w:rPr>
              <w:t>主变</w:t>
            </w:r>
            <w:r>
              <w:rPr>
                <w:rFonts w:hint="eastAsia"/>
                <w:bCs/>
                <w:color w:val="000000"/>
                <w:kern w:val="0"/>
                <w:szCs w:val="24"/>
              </w:rPr>
              <w:t>下设置有卵石层和储油坑，通过事故排油管与事故油池相连。</w:t>
            </w:r>
            <w:r>
              <w:rPr>
                <w:rFonts w:hint="eastAsia"/>
                <w:color w:val="000000"/>
              </w:rPr>
              <w:t>东环变电站本期拟建#</w:t>
            </w:r>
            <w:r>
              <w:rPr>
                <w:color w:val="000000"/>
              </w:rPr>
              <w:t>1</w:t>
            </w:r>
            <w:r>
              <w:rPr>
                <w:rFonts w:hint="eastAsia"/>
                <w:color w:val="000000"/>
              </w:rPr>
              <w:t>、#</w:t>
            </w:r>
            <w:r>
              <w:rPr>
                <w:color w:val="000000"/>
              </w:rPr>
              <w:t>2</w:t>
            </w:r>
            <w:r>
              <w:rPr>
                <w:rFonts w:hint="eastAsia"/>
                <w:color w:val="000000"/>
              </w:rPr>
              <w:t>主变压器含油量约为16t，</w:t>
            </w:r>
            <w:r>
              <w:rPr>
                <w:rFonts w:hint="eastAsia"/>
              </w:rPr>
              <w:t>按照主变绝缘油密度</w:t>
            </w:r>
            <w:r>
              <w:t>0.895g/ml</w:t>
            </w:r>
            <w:r>
              <w:rPr>
                <w:rFonts w:hint="eastAsia"/>
              </w:rPr>
              <w:t>计算，主变绝缘油折合体积约为17.88</w:t>
            </w:r>
            <w:r>
              <w:t>m</w:t>
            </w:r>
            <w:r>
              <w:rPr>
                <w:vertAlign w:val="superscript"/>
              </w:rPr>
              <w:t>3</w:t>
            </w:r>
            <w:r>
              <w:rPr>
                <w:rFonts w:hint="eastAsia"/>
              </w:rPr>
              <w:t>，设计建设的事故油池有效容积能够满足事故状态下最大单台主变</w:t>
            </w:r>
            <w:r>
              <w:t>100</w:t>
            </w:r>
            <w:r>
              <w:rPr>
                <w:rFonts w:hint="eastAsia"/>
              </w:rPr>
              <w:t>％的油量储存要求</w:t>
            </w:r>
            <w:r>
              <w:rPr>
                <w:rFonts w:hint="eastAsia"/>
                <w:color w:val="000000"/>
              </w:rPr>
              <w:t>。</w:t>
            </w:r>
          </w:p>
          <w:p>
            <w:pPr>
              <w:pStyle w:val="11"/>
              <w:rPr>
                <w:szCs w:val="24"/>
              </w:rPr>
            </w:pPr>
            <w:r>
              <w:rPr>
                <w:szCs w:val="24"/>
              </w:rPr>
              <w:t>除主变压器外，变电站内还存在其他含油设备需要进行维护和检测，以确保其正常工作状态。在变电站的检修过程中，这些含油设备可能会产生废矿物油、废油桶，根据《国家危险废物名录</w:t>
            </w:r>
            <w:r>
              <w:rPr>
                <w:rFonts w:hint="eastAsia"/>
                <w:szCs w:val="24"/>
              </w:rPr>
              <w:t>（</w:t>
            </w:r>
            <w:r>
              <w:rPr>
                <w:szCs w:val="24"/>
              </w:rPr>
              <w:t>2025年版</w:t>
            </w:r>
            <w:r>
              <w:rPr>
                <w:rFonts w:hint="eastAsia"/>
                <w:szCs w:val="24"/>
              </w:rPr>
              <w:t>）</w:t>
            </w:r>
            <w:r>
              <w:rPr>
                <w:szCs w:val="24"/>
              </w:rPr>
              <w:t>》，废矿物油、废油桶属于“HW08废矿物油与含矿物油废物”中的“非特定行业”，危险废物代码“900-249-08”</w:t>
            </w:r>
            <w:r>
              <w:rPr>
                <w:rFonts w:hint="eastAsia"/>
                <w:szCs w:val="24"/>
              </w:rPr>
              <w:t>。</w:t>
            </w:r>
          </w:p>
          <w:p>
            <w:pPr>
              <w:pStyle w:val="11"/>
            </w:pPr>
            <w:r>
              <w:rPr>
                <w:szCs w:val="24"/>
              </w:rPr>
              <w:t>本项目变电站废矿物油</w:t>
            </w:r>
            <w:r>
              <w:rPr>
                <w:rFonts w:hint="eastAsia"/>
                <w:szCs w:val="24"/>
              </w:rPr>
              <w:t>、</w:t>
            </w:r>
            <w:r>
              <w:rPr>
                <w:szCs w:val="24"/>
              </w:rPr>
              <w:t>废油桶</w:t>
            </w:r>
            <w:r>
              <w:rPr>
                <w:rFonts w:hint="eastAsia"/>
                <w:szCs w:val="24"/>
              </w:rPr>
              <w:t>的</w:t>
            </w:r>
            <w:r>
              <w:rPr>
                <w:szCs w:val="24"/>
              </w:rPr>
              <w:t>产生量较小，</w:t>
            </w:r>
            <w:r>
              <w:rPr>
                <w:rFonts w:hint="eastAsia"/>
                <w:color w:val="000000"/>
              </w:rPr>
              <w:t>事故状态下产生废绝缘油由事故油池收集储存，事故油池收集储存的废绝缘油和维护过程中产生的废油桶、废机油等危险废物及时交由有危废处置资质的单位处理，不随意处置。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7" w:type="dxa"/>
            <w:tcMar>
              <w:left w:w="28" w:type="dxa"/>
              <w:right w:w="28" w:type="dxa"/>
            </w:tcMar>
            <w:vAlign w:val="center"/>
          </w:tcPr>
          <w:p>
            <w:pPr>
              <w:adjustRightInd w:val="0"/>
              <w:snapToGrid w:val="0"/>
              <w:jc w:val="center"/>
              <w:rPr>
                <w:color w:val="FF0000"/>
                <w:szCs w:val="21"/>
                <w:highlight w:val="yellow"/>
              </w:rPr>
            </w:pPr>
            <w:bookmarkStart w:id="669" w:name="_Toc176763859"/>
            <w:bookmarkStart w:id="670" w:name="_Toc180743647"/>
            <w:bookmarkStart w:id="671" w:name="_Toc202348367"/>
            <w:bookmarkStart w:id="672" w:name="_Toc202348514"/>
            <w:bookmarkStart w:id="673" w:name="_Toc206503789"/>
            <w:r>
              <w:rPr>
                <w:b/>
                <w:bCs/>
                <w:spacing w:val="10"/>
                <w:sz w:val="24"/>
              </w:rPr>
              <w:t>选址选线环境合理性分析</w:t>
            </w:r>
            <w:bookmarkEnd w:id="669"/>
            <w:bookmarkEnd w:id="670"/>
            <w:bookmarkEnd w:id="671"/>
            <w:bookmarkEnd w:id="672"/>
            <w:bookmarkEnd w:id="673"/>
          </w:p>
        </w:tc>
        <w:tc>
          <w:tcPr>
            <w:tcW w:w="8528" w:type="dxa"/>
          </w:tcPr>
          <w:p>
            <w:pPr>
              <w:pStyle w:val="11"/>
              <w:spacing w:line="440" w:lineRule="exact"/>
            </w:pPr>
            <w:r>
              <w:rPr>
                <w:rFonts w:hint="eastAsia"/>
              </w:rPr>
              <w:t>本工程新建东环110kV变电站</w:t>
            </w:r>
            <w:r>
              <w:t>在选址时</w:t>
            </w:r>
            <w:r>
              <w:rPr>
                <w:rFonts w:hint="eastAsia"/>
              </w:rPr>
              <w:t>已</w:t>
            </w:r>
            <w:r>
              <w:t>按终期规模综合考虑进出线走廊规划，避免</w:t>
            </w:r>
            <w:r>
              <w:rPr>
                <w:rFonts w:hint="eastAsia"/>
              </w:rPr>
              <w:t>了</w:t>
            </w:r>
            <w:r>
              <w:t>进出线进入自然保护区、饮用水水源保护区等环境敏感区</w:t>
            </w:r>
            <w:r>
              <w:rPr>
                <w:rFonts w:hint="eastAsia"/>
              </w:rPr>
              <w:t>。同时在选址时</w:t>
            </w:r>
            <w:r>
              <w:t>关注以居住、医疗卫生、文化教育、科研、行政办公等为主要功能的区域</w:t>
            </w:r>
            <w:r>
              <w:rPr>
                <w:rFonts w:hint="eastAsia"/>
              </w:rPr>
              <w:t>，变电站电磁影响评价范围内无电磁和声环境敏感目标。本工程变电站占用裸土地，减少了对植被的破坏。通过优化总平面布置，</w:t>
            </w:r>
            <w:r>
              <w:t>减少</w:t>
            </w:r>
            <w:r>
              <w:rPr>
                <w:rFonts w:hint="eastAsia"/>
              </w:rPr>
              <w:t>了</w:t>
            </w:r>
            <w:r>
              <w:t>土地占用</w:t>
            </w:r>
            <w:r>
              <w:rPr>
                <w:rFonts w:hint="eastAsia"/>
              </w:rPr>
              <w:t>，且本工程变电站为填方区，土建施工产生的余土用于站区垫高，减少了</w:t>
            </w:r>
            <w:r>
              <w:t>弃土弃渣</w:t>
            </w:r>
            <w:r>
              <w:rPr>
                <w:rFonts w:hint="eastAsia"/>
              </w:rPr>
              <w:t>产生量，进而</w:t>
            </w:r>
            <w:r>
              <w:t>减少对生态环境的不利影响</w:t>
            </w:r>
            <w:r>
              <w:rPr>
                <w:rFonts w:hint="eastAsia"/>
              </w:rPr>
              <w:t>。</w:t>
            </w:r>
          </w:p>
          <w:p>
            <w:pPr>
              <w:pStyle w:val="11"/>
              <w:spacing w:line="440" w:lineRule="exact"/>
            </w:pPr>
            <w:r>
              <w:rPr>
                <w:rFonts w:hint="eastAsia"/>
              </w:rPr>
              <w:t>本工程新建110kV线路选线过程中避让了新疆维吾尔自治区生态保护红线、永久基本农田，工程评价范围内不涉及《建设项目环境影响评价分类管理名录（2021年版）》（生态环境部令第16号）第三条（一）中的环境敏感区；不涉及《环境影响评价技术导则 生态影响》（HJ19-2022）3.3中规定的生态敏感区；不涉及《环境影响评价技术导则 地表水环境》（HJ2.3-2018）中规定的水环境敏感目标。 工程选线已取得了工程所在地吐鲁番市高昌区林业和草原局、吐鲁番市高昌区发展和改革委员会等部门的意见，工程与沿线区域的相关规划不冲突。</w:t>
            </w:r>
          </w:p>
          <w:p>
            <w:pPr>
              <w:pStyle w:val="11"/>
              <w:spacing w:line="440" w:lineRule="exact"/>
            </w:pPr>
            <w:r>
              <w:rPr>
                <w:rFonts w:hint="eastAsia"/>
              </w:rPr>
              <w:t>经本环评预测，在采取本环评报告中提出的各项污染防治措施和生态保护措施的基础上，工程建设和运行过程中对线路沿线的环境不会产生污染影响，且可有效减轻本工程施工及运行过程中对线路沿线生态环境的影响。从环境保护角度考虑，本工程110kV东环变电站新建方案、新建110kV线路路径方案无环境保护制约性因素，本工程线路选线具有环境合理性</w:t>
            </w:r>
            <w:r>
              <w:t>。</w:t>
            </w:r>
          </w:p>
          <w:p>
            <w:pPr>
              <w:pStyle w:val="11"/>
              <w:spacing w:line="440" w:lineRule="exact"/>
            </w:pPr>
          </w:p>
          <w:p>
            <w:pPr>
              <w:pStyle w:val="11"/>
              <w:spacing w:line="440" w:lineRule="exact"/>
            </w:pPr>
          </w:p>
          <w:p>
            <w:pPr>
              <w:pStyle w:val="11"/>
              <w:spacing w:line="440" w:lineRule="exact"/>
            </w:pPr>
          </w:p>
          <w:p>
            <w:pPr>
              <w:pStyle w:val="11"/>
              <w:spacing w:line="440" w:lineRule="exact"/>
            </w:pPr>
          </w:p>
          <w:p>
            <w:pPr>
              <w:pStyle w:val="11"/>
              <w:spacing w:line="440" w:lineRule="exact"/>
            </w:pPr>
          </w:p>
          <w:p>
            <w:pPr>
              <w:pStyle w:val="11"/>
              <w:spacing w:line="440" w:lineRule="exact"/>
            </w:pPr>
          </w:p>
          <w:p>
            <w:pPr>
              <w:pStyle w:val="11"/>
              <w:spacing w:line="440" w:lineRule="exact"/>
            </w:pPr>
          </w:p>
          <w:p>
            <w:pPr>
              <w:pStyle w:val="11"/>
              <w:spacing w:line="440" w:lineRule="exact"/>
            </w:pPr>
          </w:p>
          <w:p>
            <w:pPr>
              <w:pStyle w:val="11"/>
              <w:spacing w:line="440" w:lineRule="exact"/>
            </w:pPr>
          </w:p>
          <w:p>
            <w:pPr>
              <w:pStyle w:val="11"/>
              <w:spacing w:line="440" w:lineRule="exact"/>
            </w:pPr>
          </w:p>
          <w:p>
            <w:pPr>
              <w:pStyle w:val="11"/>
              <w:spacing w:line="440" w:lineRule="exact"/>
            </w:pPr>
          </w:p>
          <w:p>
            <w:pPr>
              <w:pStyle w:val="11"/>
              <w:spacing w:line="440" w:lineRule="exact"/>
            </w:pPr>
          </w:p>
          <w:p>
            <w:pPr>
              <w:pStyle w:val="11"/>
              <w:spacing w:line="440" w:lineRule="exact"/>
            </w:pPr>
          </w:p>
          <w:p>
            <w:pPr>
              <w:pStyle w:val="11"/>
              <w:spacing w:line="440" w:lineRule="exact"/>
            </w:pPr>
          </w:p>
          <w:p>
            <w:pPr>
              <w:pStyle w:val="11"/>
              <w:spacing w:line="440" w:lineRule="exact"/>
            </w:pPr>
          </w:p>
          <w:p>
            <w:pPr>
              <w:pStyle w:val="11"/>
              <w:spacing w:line="440" w:lineRule="exact"/>
              <w:ind w:firstLine="0" w:firstLineChars="0"/>
              <w:rPr>
                <w:rFonts w:hint="eastAsia"/>
              </w:rPr>
            </w:pPr>
          </w:p>
        </w:tc>
      </w:tr>
    </w:tbl>
    <w:p>
      <w:pPr>
        <w:widowControl/>
        <w:jc w:val="left"/>
        <w:rPr>
          <w:highlight w:val="yellow"/>
        </w:rPr>
        <w:sectPr>
          <w:pgSz w:w="11906" w:h="16838"/>
          <w:pgMar w:top="1440" w:right="1797" w:bottom="1440" w:left="1797" w:header="851" w:footer="1077" w:gutter="0"/>
          <w:cols w:space="720" w:num="1"/>
          <w:docGrid w:linePitch="312" w:charSpace="0"/>
        </w:sectPr>
      </w:pPr>
    </w:p>
    <w:p>
      <w:pPr>
        <w:rPr>
          <w:color w:val="000000"/>
          <w:highlight w:val="yellow"/>
        </w:rPr>
      </w:pPr>
    </w:p>
    <w:p>
      <w:pPr>
        <w:pStyle w:val="39"/>
        <w:jc w:val="center"/>
        <w:outlineLvl w:val="0"/>
        <w:rPr>
          <w:rFonts w:ascii="Times New Roman" w:hAnsi="Times New Roman"/>
          <w:b/>
          <w:bCs/>
          <w:snapToGrid w:val="0"/>
          <w:color w:val="000000"/>
          <w:sz w:val="32"/>
          <w:szCs w:val="32"/>
        </w:rPr>
      </w:pPr>
      <w:bookmarkStart w:id="674" w:name="_Toc27016"/>
      <w:bookmarkStart w:id="675" w:name="_Toc23987"/>
      <w:bookmarkStart w:id="676" w:name="_Toc111564328"/>
      <w:r>
        <w:rPr>
          <w:rFonts w:ascii="Times New Roman" w:hAnsi="Times New Roman"/>
          <w:b/>
          <w:bCs/>
          <w:snapToGrid w:val="0"/>
          <w:color w:val="000000"/>
          <w:sz w:val="32"/>
          <w:szCs w:val="32"/>
        </w:rPr>
        <w:t>五、主要生态环境保护措施</w:t>
      </w:r>
      <w:bookmarkEnd w:id="674"/>
      <w:bookmarkEnd w:id="675"/>
      <w:bookmarkEnd w:id="676"/>
    </w:p>
    <w:tbl>
      <w:tblPr>
        <w:tblStyle w:val="43"/>
        <w:tblW w:w="86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6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7" w:type="dxa"/>
            <w:tcMar>
              <w:left w:w="28" w:type="dxa"/>
              <w:right w:w="28" w:type="dxa"/>
            </w:tcMar>
            <w:vAlign w:val="center"/>
          </w:tcPr>
          <w:p>
            <w:pPr>
              <w:adjustRightInd w:val="0"/>
              <w:snapToGrid w:val="0"/>
              <w:jc w:val="center"/>
              <w:rPr>
                <w:b/>
                <w:bCs/>
                <w:color w:val="FF0000"/>
                <w:szCs w:val="21"/>
                <w:highlight w:val="yellow"/>
              </w:rPr>
            </w:pPr>
            <w:r>
              <w:rPr>
                <w:b/>
                <w:bCs/>
                <w:spacing w:val="10"/>
                <w:sz w:val="24"/>
              </w:rPr>
              <w:t>施工期生态环境保护措施</w:t>
            </w:r>
          </w:p>
        </w:tc>
        <w:tc>
          <w:tcPr>
            <w:tcW w:w="8090" w:type="dxa"/>
          </w:tcPr>
          <w:p>
            <w:pPr>
              <w:numPr>
                <w:ilvl w:val="0"/>
                <w:numId w:val="23"/>
              </w:numPr>
              <w:spacing w:line="360" w:lineRule="auto"/>
              <w:rPr>
                <w:b/>
                <w:kern w:val="0"/>
                <w:sz w:val="24"/>
                <w:szCs w:val="21"/>
              </w:rPr>
            </w:pPr>
            <w:r>
              <w:rPr>
                <w:rFonts w:hint="eastAsia"/>
                <w:b/>
                <w:kern w:val="0"/>
                <w:sz w:val="24"/>
                <w:szCs w:val="21"/>
              </w:rPr>
              <w:t>施工期生态环境保护措施</w:t>
            </w:r>
          </w:p>
          <w:p>
            <w:pPr>
              <w:pStyle w:val="11"/>
              <w:numPr>
                <w:ilvl w:val="1"/>
                <w:numId w:val="24"/>
              </w:numPr>
              <w:ind w:firstLineChars="0"/>
              <w:rPr>
                <w:b/>
                <w:kern w:val="0"/>
                <w:szCs w:val="21"/>
              </w:rPr>
            </w:pPr>
            <w:r>
              <w:rPr>
                <w:rFonts w:hint="eastAsia"/>
                <w:b/>
                <w:kern w:val="0"/>
                <w:szCs w:val="21"/>
              </w:rPr>
              <w:t>土地占用保护措施</w:t>
            </w:r>
            <w:r>
              <w:rPr>
                <w:b/>
                <w:kern w:val="0"/>
                <w:szCs w:val="21"/>
              </w:rPr>
              <w:t xml:space="preserve"> </w:t>
            </w:r>
          </w:p>
          <w:p>
            <w:pPr>
              <w:pStyle w:val="114"/>
              <w:widowControl/>
              <w:numPr>
                <w:ilvl w:val="2"/>
                <w:numId w:val="24"/>
              </w:numPr>
              <w:spacing w:line="360" w:lineRule="auto"/>
              <w:ind w:left="0" w:firstLine="482" w:firstLineChars="0"/>
              <w:jc w:val="left"/>
              <w:rPr>
                <w:sz w:val="24"/>
              </w:rPr>
            </w:pPr>
            <w:r>
              <w:rPr>
                <w:rFonts w:hint="eastAsia"/>
                <w:sz w:val="24"/>
              </w:rPr>
              <w:t>裸岩砾地占用保护措施</w:t>
            </w:r>
          </w:p>
          <w:p>
            <w:pPr>
              <w:spacing w:line="360" w:lineRule="auto"/>
              <w:ind w:firstLine="480" w:firstLineChars="200"/>
              <w:rPr>
                <w:sz w:val="24"/>
              </w:rPr>
            </w:pPr>
            <w:r>
              <w:rPr>
                <w:rFonts w:hint="eastAsia"/>
                <w:sz w:val="24"/>
              </w:rPr>
              <w:t>（1）建议业主以合同形式要求施工单位在施工过程中必须按照设计要求</w:t>
            </w:r>
            <w:r>
              <w:rPr>
                <w:rFonts w:hint="eastAsia"/>
                <w:sz w:val="24"/>
                <w:lang w:eastAsia="zh-CN"/>
              </w:rPr>
              <w:t>，将</w:t>
            </w:r>
            <w:r>
              <w:rPr>
                <w:rFonts w:hint="eastAsia"/>
                <w:sz w:val="24"/>
              </w:rPr>
              <w:t>施工活动限制在规定范围内。</w:t>
            </w:r>
          </w:p>
          <w:p>
            <w:pPr>
              <w:spacing w:line="360" w:lineRule="auto"/>
              <w:ind w:firstLine="480" w:firstLineChars="200"/>
              <w:rPr>
                <w:sz w:val="24"/>
              </w:rPr>
            </w:pPr>
            <w:r>
              <w:rPr>
                <w:rFonts w:hint="eastAsia"/>
                <w:sz w:val="24"/>
              </w:rPr>
              <w:t>（2）施工时开挖多余的土石方不允许随意倾倒，应采取塔基范围内回填或综合利用等方式妥善处置。</w:t>
            </w:r>
          </w:p>
          <w:p>
            <w:pPr>
              <w:spacing w:line="360" w:lineRule="auto"/>
              <w:ind w:firstLine="480" w:firstLineChars="200"/>
              <w:rPr>
                <w:sz w:val="24"/>
              </w:rPr>
            </w:pPr>
            <w:r>
              <w:rPr>
                <w:rFonts w:hint="eastAsia"/>
                <w:sz w:val="24"/>
              </w:rPr>
              <w:t>（3）施工过程中对临时堆土采取彩条布铺垫、密目网苫盖、编织袋拦挡、彩条旗围护等措施。</w:t>
            </w:r>
          </w:p>
          <w:p>
            <w:pPr>
              <w:spacing w:line="360" w:lineRule="auto"/>
              <w:ind w:firstLine="480" w:firstLineChars="200"/>
              <w:rPr>
                <w:sz w:val="24"/>
              </w:rPr>
            </w:pPr>
            <w:r>
              <w:rPr>
                <w:rFonts w:hint="eastAsia"/>
                <w:sz w:val="24"/>
              </w:rPr>
              <w:t>（4）施工完成后立即清理施工迹地，做到“工完料尽场地清”。施工结束后，对临时占地进行地表清理和土地整治，表面形成“人工结皮”恢复原有土地功能。</w:t>
            </w:r>
          </w:p>
          <w:p>
            <w:pPr>
              <w:pStyle w:val="114"/>
              <w:widowControl/>
              <w:numPr>
                <w:ilvl w:val="2"/>
                <w:numId w:val="24"/>
              </w:numPr>
              <w:spacing w:line="360" w:lineRule="auto"/>
              <w:ind w:left="0" w:firstLine="482" w:firstLineChars="0"/>
              <w:jc w:val="left"/>
              <w:rPr>
                <w:sz w:val="24"/>
              </w:rPr>
            </w:pPr>
            <w:r>
              <w:rPr>
                <w:rFonts w:hint="eastAsia"/>
                <w:sz w:val="24"/>
              </w:rPr>
              <w:t>林草地占用保护措施</w:t>
            </w:r>
          </w:p>
          <w:p>
            <w:pPr>
              <w:spacing w:line="360" w:lineRule="auto"/>
              <w:ind w:firstLine="480" w:firstLineChars="200"/>
              <w:rPr>
                <w:sz w:val="24"/>
              </w:rPr>
            </w:pPr>
            <w:r>
              <w:rPr>
                <w:rFonts w:hint="eastAsia"/>
                <w:sz w:val="24"/>
              </w:rPr>
              <w:t>（1）塔基施工期优化塔位选址，避免占用植被覆盖度高的区域，施工前划定施工范围</w:t>
            </w:r>
            <w:r>
              <w:rPr>
                <w:rFonts w:hint="eastAsia"/>
                <w:sz w:val="24"/>
                <w:lang w:eastAsia="zh-CN"/>
              </w:rPr>
              <w:t>，在</w:t>
            </w:r>
            <w:r>
              <w:rPr>
                <w:rFonts w:hint="eastAsia"/>
                <w:sz w:val="24"/>
              </w:rPr>
              <w:t>施工边界设置围栏、彩条旗等措施，严格限制施工活动。</w:t>
            </w:r>
          </w:p>
          <w:p>
            <w:pPr>
              <w:spacing w:line="360" w:lineRule="auto"/>
              <w:ind w:firstLine="480" w:firstLineChars="200"/>
              <w:rPr>
                <w:sz w:val="24"/>
              </w:rPr>
            </w:pPr>
            <w:r>
              <w:rPr>
                <w:rFonts w:hint="eastAsia"/>
                <w:sz w:val="24"/>
              </w:rPr>
              <w:t>（2）施工前对材料堆场、堆土场等非开挖扰动的临时占用林草地区域采取彩条布铺垫保护，减少对地表植被的压占影响。</w:t>
            </w:r>
          </w:p>
          <w:p>
            <w:pPr>
              <w:spacing w:line="360" w:lineRule="auto"/>
              <w:ind w:firstLine="480" w:firstLineChars="200"/>
              <w:rPr>
                <w:sz w:val="24"/>
              </w:rPr>
            </w:pPr>
            <w:r>
              <w:rPr>
                <w:rFonts w:hint="eastAsia"/>
                <w:sz w:val="24"/>
              </w:rPr>
              <w:t>（3）应选择地势较高、平坦、排水良好的地方作为表土堆存点，尽量远离干沟，防止表土被雨水冲刷进入水体造成水土流失和水污染。同时，要考虑堆存点与施工区域的距离，便于施工结束后表土的回覆利用，减少运输成本和对周边环境的二次扰动在表土堆存点周围设置围挡，如采用编织袋土埂，高度一般不低于1.5米，防止表土被风吹散或被雨水冲刷流失。同时，在堆存点顶部及坡面覆盖防尘网或草帘等，既能防止扬尘，又能起到一定的保水作用，减少表土水分蒸发。</w:t>
            </w:r>
          </w:p>
          <w:p>
            <w:pPr>
              <w:pStyle w:val="11"/>
            </w:pPr>
            <w:r>
              <w:rPr>
                <w:rFonts w:hint="eastAsia"/>
              </w:rPr>
              <w:t>（</w:t>
            </w:r>
            <w:r>
              <w:t>4）施工结束后及时将基础余土在塔基区征地范围内平整压实，临时占地需及时清理施工迹地，</w:t>
            </w:r>
            <w:r>
              <w:rPr>
                <w:rFonts w:hint="eastAsia"/>
              </w:rPr>
              <w:t>对开挖扰动的临时占用林草地区域进行洒水、土地整治和植被恢复措施</w:t>
            </w:r>
            <w:r>
              <w:t>，植被恢复应选择当地本土物种，建设单位和施工单位应做好占用</w:t>
            </w:r>
            <w:r>
              <w:rPr>
                <w:rFonts w:hint="eastAsia"/>
              </w:rPr>
              <w:t>林</w:t>
            </w:r>
            <w:r>
              <w:t>草地补偿工作和植被恢复工作。</w:t>
            </w:r>
          </w:p>
          <w:p>
            <w:pPr>
              <w:pStyle w:val="11"/>
              <w:numPr>
                <w:ilvl w:val="1"/>
                <w:numId w:val="24"/>
              </w:numPr>
              <w:ind w:firstLineChars="0"/>
              <w:rPr>
                <w:b/>
                <w:kern w:val="0"/>
                <w:szCs w:val="21"/>
              </w:rPr>
            </w:pPr>
            <w:r>
              <w:rPr>
                <w:rFonts w:hint="eastAsia"/>
                <w:b/>
                <w:kern w:val="0"/>
                <w:szCs w:val="21"/>
              </w:rPr>
              <w:t>植物</w:t>
            </w:r>
            <w:r>
              <w:rPr>
                <w:b/>
                <w:kern w:val="0"/>
                <w:szCs w:val="21"/>
              </w:rPr>
              <w:t>保护措施</w:t>
            </w:r>
          </w:p>
          <w:p>
            <w:pPr>
              <w:pStyle w:val="11"/>
            </w:pPr>
            <w:r>
              <w:rPr>
                <w:rFonts w:hint="eastAsia"/>
              </w:rPr>
              <w:t>（1）合理规划、设计施工便道及场地，机械施工便道宽度不得大于3.5m，并要求各种机械和车辆固定行车路线，不能随意下道行驶或另开辟便道，禁止对施工区以外地区进行碾压和破坏，以保证周围地表和植被不受破坏。</w:t>
            </w:r>
          </w:p>
          <w:p>
            <w:pPr>
              <w:pStyle w:val="11"/>
            </w:pPr>
            <w:r>
              <w:rPr>
                <w:rFonts w:hint="eastAsia"/>
              </w:rPr>
              <w:t>（2）材料运输过程中对施工道路进行合理的选择，施工运输道路一般为单行道，尽量避免过多扰动原地貌，避免在植被完好的地段进行道路修筑工作。对运至塔位的塔材，选择合适的位置进行堆放，减少场地的占用。</w:t>
            </w:r>
          </w:p>
          <w:p>
            <w:pPr>
              <w:pStyle w:val="11"/>
            </w:pPr>
            <w:r>
              <w:rPr>
                <w:rFonts w:hint="eastAsia"/>
              </w:rPr>
              <w:t>（3）施工时应在工期安排上合理有序，先设置围栏措施，后进行工程建设尽量减少对地表和植被的破坏，除施工必须不得不铲除或碾压植被外，不允许以其它任何理由铲除植被，以减少对生态环境的破坏。</w:t>
            </w:r>
          </w:p>
          <w:p>
            <w:pPr>
              <w:pStyle w:val="11"/>
            </w:pPr>
            <w:r>
              <w:rPr>
                <w:rFonts w:hint="eastAsia"/>
              </w:rPr>
              <w:t>（</w:t>
            </w:r>
            <w:r>
              <w:t>4</w:t>
            </w:r>
            <w:r>
              <w:rPr>
                <w:rFonts w:hint="eastAsia"/>
              </w:rPr>
              <w:t>）基坑开挖尽量保持坑壁成型完好，并做好临时堆土的挡护及苫盖，基础坑开挖好后应尽快浇筑混凝土。</w:t>
            </w:r>
          </w:p>
          <w:p>
            <w:pPr>
              <w:pStyle w:val="11"/>
            </w:pPr>
            <w:r>
              <w:rPr>
                <w:rFonts w:hint="eastAsia"/>
              </w:rPr>
              <w:t>（</w:t>
            </w:r>
            <w:r>
              <w:t>5</w:t>
            </w:r>
            <w:r>
              <w:rPr>
                <w:rFonts w:hint="eastAsia"/>
              </w:rPr>
              <w:t>）严格控制施工范围，应尽量控制作业面，施工后期对各类施工临时占地予以土地整治。</w:t>
            </w:r>
          </w:p>
          <w:p>
            <w:pPr>
              <w:pStyle w:val="11"/>
            </w:pPr>
            <w:r>
              <w:rPr>
                <w:rFonts w:hint="eastAsia"/>
              </w:rPr>
              <w:t>（</w:t>
            </w:r>
            <w:r>
              <w:t>6</w:t>
            </w:r>
            <w:r>
              <w:rPr>
                <w:rFonts w:hint="eastAsia"/>
              </w:rPr>
              <w:t>）在塔基基础及杆塔等施工完毕后，应按设计要求立即对塔基基础周边开挖部分进行覆土，并进行平整夯实，以减少水土流失；对作业区、牵张场等施工扰动区地表进行平整。</w:t>
            </w:r>
          </w:p>
          <w:p>
            <w:pPr>
              <w:pStyle w:val="11"/>
              <w:numPr>
                <w:ilvl w:val="1"/>
                <w:numId w:val="24"/>
              </w:numPr>
              <w:ind w:firstLineChars="0"/>
              <w:rPr>
                <w:b/>
                <w:kern w:val="0"/>
                <w:szCs w:val="21"/>
              </w:rPr>
            </w:pPr>
            <w:r>
              <w:rPr>
                <w:rFonts w:hint="eastAsia"/>
                <w:b/>
                <w:kern w:val="0"/>
                <w:szCs w:val="21"/>
              </w:rPr>
              <w:t>动物</w:t>
            </w:r>
            <w:r>
              <w:rPr>
                <w:b/>
                <w:kern w:val="0"/>
                <w:szCs w:val="21"/>
              </w:rPr>
              <w:t>保护措施</w:t>
            </w:r>
          </w:p>
          <w:p>
            <w:pPr>
              <w:pStyle w:val="11"/>
            </w:pPr>
            <w:r>
              <w:t>（1）</w:t>
            </w:r>
            <w:r>
              <w:rPr>
                <w:rFonts w:hint="eastAsia"/>
              </w:rPr>
              <w:t>施工前对施工人员进行宣传和教育，严禁发生捕捉伤害野生动物的行为，提高保护野生动物的意识；发现有野生动物繁殖地时，应尽量避开，不得随意干扰和破坏野生动物的栖息、活动场所。</w:t>
            </w:r>
          </w:p>
          <w:p>
            <w:pPr>
              <w:pStyle w:val="11"/>
            </w:pPr>
            <w:r>
              <w:t>（2）</w:t>
            </w:r>
            <w:r>
              <w:rPr>
                <w:rFonts w:hint="eastAsia"/>
              </w:rPr>
              <w:t>选用低噪声的施工设备及工艺，施工活动主要集中在白天进行，夜间不施工。在施工过程中若发现野生动物的活动地，应进行避让和保护，以防影响野生动物的栖息，同时要杜绝施工人员捕杀野生动物。</w:t>
            </w:r>
          </w:p>
          <w:p>
            <w:pPr>
              <w:pStyle w:val="11"/>
            </w:pPr>
            <w:r>
              <w:t>（3）</w:t>
            </w:r>
            <w:r>
              <w:rPr>
                <w:rFonts w:hint="eastAsia"/>
              </w:rPr>
              <w:t>施工期如发现保护动物应采取妥善措施进行保护，不得杀害和损伤保护动物。对受伤的动物应及时联系野生动物保护部门，及时救治。</w:t>
            </w:r>
          </w:p>
          <w:p>
            <w:pPr>
              <w:pStyle w:val="11"/>
              <w:numPr>
                <w:ilvl w:val="1"/>
                <w:numId w:val="24"/>
              </w:numPr>
              <w:ind w:firstLineChars="0"/>
              <w:rPr>
                <w:b/>
                <w:kern w:val="0"/>
                <w:szCs w:val="21"/>
              </w:rPr>
            </w:pPr>
            <w:r>
              <w:rPr>
                <w:rFonts w:hint="eastAsia"/>
                <w:b/>
                <w:kern w:val="0"/>
                <w:szCs w:val="21"/>
              </w:rPr>
              <w:t>拆除杆塔保护</w:t>
            </w:r>
            <w:r>
              <w:rPr>
                <w:b/>
                <w:kern w:val="0"/>
                <w:szCs w:val="21"/>
              </w:rPr>
              <w:t>措施</w:t>
            </w:r>
          </w:p>
          <w:p>
            <w:pPr>
              <w:pStyle w:val="11"/>
            </w:pPr>
            <w:r>
              <w:t>（1）</w:t>
            </w:r>
            <w:r>
              <w:rPr>
                <w:rFonts w:hint="eastAsia"/>
              </w:rPr>
              <w:t>原有塔基拆除后，地下基础保留，在塔基基础周围进行土地平整。</w:t>
            </w:r>
          </w:p>
          <w:p>
            <w:pPr>
              <w:pStyle w:val="11"/>
            </w:pPr>
            <w:r>
              <w:rPr>
                <w:rFonts w:hint="eastAsia"/>
              </w:rPr>
              <w:t>（2）对不可避免而造成的局部植被破坏区域采用适宜当地生长植被进行植被恢复，恢复原有土地利用功能。</w:t>
            </w:r>
          </w:p>
          <w:p>
            <w:pPr>
              <w:pStyle w:val="11"/>
            </w:pPr>
            <w:r>
              <w:t>（3）</w:t>
            </w:r>
            <w:r>
              <w:rPr>
                <w:rFonts w:hint="eastAsia"/>
              </w:rPr>
              <w:t>施工结束后及时做好建筑垃圾清运、场地清理和迹地恢复。</w:t>
            </w:r>
          </w:p>
          <w:p>
            <w:pPr>
              <w:numPr>
                <w:ilvl w:val="0"/>
                <w:numId w:val="25"/>
              </w:numPr>
              <w:spacing w:line="360" w:lineRule="auto"/>
              <w:rPr>
                <w:b/>
                <w:kern w:val="0"/>
                <w:sz w:val="24"/>
                <w:szCs w:val="21"/>
              </w:rPr>
            </w:pPr>
            <w:r>
              <w:rPr>
                <w:b/>
                <w:kern w:val="0"/>
                <w:sz w:val="24"/>
                <w:szCs w:val="21"/>
              </w:rPr>
              <w:t>施工期声环境污染控制措施</w:t>
            </w:r>
          </w:p>
          <w:p>
            <w:pPr>
              <w:pStyle w:val="11"/>
            </w:pPr>
            <w:r>
              <w:t>为减小工程施工期噪声对周围环境的影响，本环评要求施工单位在整个施工期采取如下噪声防治措施：</w:t>
            </w:r>
          </w:p>
          <w:p>
            <w:pPr>
              <w:tabs>
                <w:tab w:val="left" w:pos="720"/>
              </w:tabs>
              <w:adjustRightInd w:val="0"/>
              <w:snapToGrid w:val="0"/>
              <w:spacing w:line="360" w:lineRule="auto"/>
              <w:ind w:firstLine="480" w:firstLineChars="200"/>
              <w:rPr>
                <w:sz w:val="24"/>
              </w:rPr>
            </w:pPr>
            <w:r>
              <w:rPr>
                <w:rFonts w:hint="eastAsia"/>
                <w:sz w:val="24"/>
              </w:rPr>
              <w:t>（1）要求施工单位文明施工，加强施工期的环境管理和环境监控工作，并接受生态环境主管部门的监督管理。</w:t>
            </w:r>
          </w:p>
          <w:p>
            <w:pPr>
              <w:tabs>
                <w:tab w:val="left" w:pos="720"/>
              </w:tabs>
              <w:adjustRightInd w:val="0"/>
              <w:snapToGrid w:val="0"/>
              <w:spacing w:line="360" w:lineRule="auto"/>
              <w:ind w:firstLine="480" w:firstLineChars="200"/>
              <w:rPr>
                <w:sz w:val="24"/>
              </w:rPr>
            </w:pPr>
            <w:r>
              <w:rPr>
                <w:rFonts w:hint="eastAsia"/>
                <w:sz w:val="24"/>
              </w:rPr>
              <w:t>（2）依法限制施工期噪声源强，应当优先使用低噪声施工工艺和设备。本环评要求施工作业应按《低噪声施工设备指导名录（2024年版）》（工业和信息化部、生态环境部、住房和城乡建设部、市场监管总局 四部门公告2024年 第40号），优先选用低噪声施工设备进行施工。</w:t>
            </w:r>
          </w:p>
          <w:p>
            <w:pPr>
              <w:tabs>
                <w:tab w:val="left" w:pos="720"/>
              </w:tabs>
              <w:adjustRightInd w:val="0"/>
              <w:snapToGrid w:val="0"/>
              <w:spacing w:line="360" w:lineRule="auto"/>
              <w:ind w:firstLine="480" w:firstLineChars="200"/>
              <w:rPr>
                <w:sz w:val="24"/>
              </w:rPr>
            </w:pPr>
            <w:r>
              <w:rPr>
                <w:rFonts w:hint="eastAsia"/>
                <w:sz w:val="24"/>
              </w:rPr>
              <w:t>（3）优化施工方案，合理安排工期，依法限制夜间施工。按《中华人民共和国噪声污染防治法》的规定，禁止夜间进行产生噪声的建筑施工作业，但抢修、抢险施工作业，因生产工艺要求或者其他特殊需要必须连续施工作业的除外。因特殊需要必须连续施工作业的，应当取得地方人民政府住房和城乡建设、生态环境主管部门或者地方人民政府指定的部门的证明，并在施工现场显著位置公示或者以其他方式公告附近居民。</w:t>
            </w:r>
          </w:p>
          <w:p>
            <w:pPr>
              <w:pStyle w:val="11"/>
            </w:pPr>
            <w:r>
              <w:rPr>
                <w:rFonts w:hint="eastAsia"/>
              </w:rPr>
              <w:t>（4）变电站新建工程施工时，应先修建围墙，利用围墙的隔声作用，减缓施工噪声对周围环境的影响</w:t>
            </w:r>
            <w:r>
              <w:t>。</w:t>
            </w:r>
          </w:p>
          <w:p>
            <w:pPr>
              <w:tabs>
                <w:tab w:val="left" w:pos="720"/>
              </w:tabs>
              <w:adjustRightInd w:val="0"/>
              <w:snapToGrid w:val="0"/>
              <w:spacing w:line="360" w:lineRule="auto"/>
              <w:ind w:firstLine="480" w:firstLineChars="200"/>
              <w:rPr>
                <w:sz w:val="24"/>
              </w:rPr>
            </w:pPr>
            <w:r>
              <w:rPr>
                <w:rFonts w:hint="eastAsia"/>
                <w:sz w:val="24"/>
              </w:rPr>
              <w:t>（5）加强施工车辆在施工区附近的交通管理，当车辆途经附近居民点时，限速行驶、不高音鸣笛，以减少施工车辆行驶对沿途居民点的噪声影响。</w:t>
            </w:r>
          </w:p>
          <w:p>
            <w:pPr>
              <w:pStyle w:val="11"/>
            </w:pPr>
            <w:r>
              <w:rPr>
                <w:rFonts w:hint="eastAsia"/>
              </w:rPr>
              <w:t>本工程</w:t>
            </w:r>
            <w:r>
              <w:rPr>
                <w:rFonts w:hint="eastAsia"/>
                <w:color w:val="000000"/>
              </w:rPr>
              <w:t>变电站采取限制源强、先行修建围墙和依法限制夜间高噪声施工等措施，</w:t>
            </w:r>
            <w:r>
              <w:rPr>
                <w:rFonts w:hint="eastAsia"/>
              </w:rPr>
              <w:t>线路塔基处分散施工，单个塔基施工期较短，且施工场地大部分位于拟建道路及已建道路两侧，施工区域对噪声影响不敏感，在采取上述环境保护措施后，本工程施工期对声环境影响</w:t>
            </w:r>
            <w:r>
              <w:t>较小。</w:t>
            </w:r>
          </w:p>
          <w:p>
            <w:pPr>
              <w:numPr>
                <w:ilvl w:val="0"/>
                <w:numId w:val="25"/>
              </w:numPr>
              <w:spacing w:line="360" w:lineRule="auto"/>
              <w:rPr>
                <w:b/>
                <w:kern w:val="0"/>
                <w:sz w:val="24"/>
                <w:szCs w:val="21"/>
              </w:rPr>
            </w:pPr>
            <w:r>
              <w:rPr>
                <w:b/>
                <w:kern w:val="0"/>
                <w:sz w:val="24"/>
                <w:szCs w:val="21"/>
              </w:rPr>
              <w:t>施工期</w:t>
            </w:r>
            <w:r>
              <w:rPr>
                <w:rFonts w:hint="eastAsia"/>
                <w:b/>
                <w:kern w:val="0"/>
                <w:sz w:val="24"/>
                <w:szCs w:val="21"/>
              </w:rPr>
              <w:t>大气环境污染</w:t>
            </w:r>
            <w:r>
              <w:rPr>
                <w:b/>
                <w:kern w:val="0"/>
                <w:sz w:val="24"/>
                <w:szCs w:val="21"/>
              </w:rPr>
              <w:t>控制措施</w:t>
            </w:r>
          </w:p>
          <w:p>
            <w:pPr>
              <w:pStyle w:val="11"/>
            </w:pPr>
            <w:r>
              <w:t>为减小工程施工期扬尘对周围环境的影响，本环评要求施工单位在整个施工期采取如下施工期扬尘防治措施：</w:t>
            </w:r>
          </w:p>
          <w:p>
            <w:pPr>
              <w:adjustRightInd w:val="0"/>
              <w:snapToGrid w:val="0"/>
              <w:spacing w:line="360" w:lineRule="auto"/>
              <w:ind w:firstLine="480" w:firstLineChars="200"/>
              <w:rPr>
                <w:sz w:val="24"/>
              </w:rPr>
            </w:pPr>
            <w:r>
              <w:rPr>
                <w:sz w:val="24"/>
              </w:rPr>
              <w:t>（1）施工单位应文明施工，加强施工期的环境管理和环境监控工作。</w:t>
            </w:r>
            <w:r>
              <w:rPr>
                <w:rFonts w:hint="eastAsia"/>
                <w:sz w:val="24"/>
              </w:rPr>
              <w:t>加强施工期现场和车辆运输扬尘污染防治，对临时堆土和细颗粒建筑材料采取苫盖遮挡措施，土石方和建筑垃圾应采取防尘布苫盖等密闭运输方式，加强施工区域裸露地表苫盖，干燥或易起尘天气下有条件的应尽量采取洒水降尘措施。</w:t>
            </w:r>
          </w:p>
          <w:p>
            <w:pPr>
              <w:adjustRightInd w:val="0"/>
              <w:snapToGrid w:val="0"/>
              <w:spacing w:line="360" w:lineRule="auto"/>
              <w:ind w:firstLine="480" w:firstLineChars="200"/>
              <w:rPr>
                <w:sz w:val="24"/>
              </w:rPr>
            </w:pPr>
            <w:r>
              <w:rPr>
                <w:sz w:val="24"/>
              </w:rPr>
              <w:t>（2）施工产生的建筑垃圾等要合理堆放，应定期清运。</w:t>
            </w:r>
          </w:p>
          <w:p>
            <w:pPr>
              <w:adjustRightInd w:val="0"/>
              <w:snapToGrid w:val="0"/>
              <w:spacing w:line="360" w:lineRule="auto"/>
              <w:ind w:firstLine="480" w:firstLineChars="200"/>
              <w:rPr>
                <w:sz w:val="24"/>
              </w:rPr>
            </w:pPr>
            <w:r>
              <w:rPr>
                <w:sz w:val="24"/>
              </w:rPr>
              <w:t>（3）车辆运输土方</w:t>
            </w:r>
            <w:r>
              <w:rPr>
                <w:rFonts w:hint="eastAsia"/>
                <w:sz w:val="24"/>
              </w:rPr>
              <w:t>或散体材料</w:t>
            </w:r>
            <w:r>
              <w:rPr>
                <w:sz w:val="24"/>
              </w:rPr>
              <w:t>时，必须密闭、包扎、覆盖，避免沿途漏撒，并且在规定的时间内按指定路段行驶，控制扬尘污染。</w:t>
            </w:r>
          </w:p>
          <w:p>
            <w:pPr>
              <w:adjustRightInd w:val="0"/>
              <w:snapToGrid w:val="0"/>
              <w:spacing w:line="360" w:lineRule="auto"/>
              <w:ind w:firstLine="480" w:firstLineChars="200"/>
              <w:rPr>
                <w:sz w:val="24"/>
              </w:rPr>
            </w:pPr>
            <w:r>
              <w:rPr>
                <w:sz w:val="24"/>
              </w:rPr>
              <w:t>（4）加强材料转运与使用的管理，合理装卸，规范操作。</w:t>
            </w:r>
          </w:p>
          <w:p>
            <w:pPr>
              <w:adjustRightInd w:val="0"/>
              <w:snapToGrid w:val="0"/>
              <w:spacing w:line="360" w:lineRule="auto"/>
              <w:ind w:firstLine="480" w:firstLineChars="200"/>
              <w:rPr>
                <w:sz w:val="24"/>
              </w:rPr>
            </w:pPr>
            <w:r>
              <w:rPr>
                <w:sz w:val="24"/>
              </w:rPr>
              <w:t>（5）</w:t>
            </w:r>
            <w:r>
              <w:rPr>
                <w:color w:val="000000"/>
                <w:sz w:val="24"/>
              </w:rPr>
              <w:t>变电站及</w:t>
            </w:r>
            <w:r>
              <w:rPr>
                <w:sz w:val="24"/>
              </w:rPr>
              <w:t>输电线路附近的道路在车辆进出时洒水，保持湿润，减少或避免产生扬尘。</w:t>
            </w:r>
          </w:p>
          <w:p>
            <w:pPr>
              <w:adjustRightInd w:val="0"/>
              <w:snapToGrid w:val="0"/>
              <w:spacing w:line="360" w:lineRule="auto"/>
              <w:ind w:firstLine="480" w:firstLineChars="200"/>
              <w:rPr>
                <w:sz w:val="24"/>
              </w:rPr>
            </w:pPr>
            <w:r>
              <w:rPr>
                <w:sz w:val="24"/>
              </w:rPr>
              <w:t>（6）临时堆土应及时苫盖</w:t>
            </w:r>
            <w:r>
              <w:rPr>
                <w:rFonts w:hint="eastAsia"/>
                <w:sz w:val="24"/>
              </w:rPr>
              <w:t>，</w:t>
            </w:r>
            <w:r>
              <w:rPr>
                <w:sz w:val="24"/>
              </w:rPr>
              <w:t>干燥天气下易起尘的裸露土地及时洒水抑尘。</w:t>
            </w:r>
          </w:p>
          <w:p>
            <w:pPr>
              <w:adjustRightInd w:val="0"/>
              <w:snapToGrid w:val="0"/>
              <w:spacing w:line="360" w:lineRule="auto"/>
              <w:ind w:firstLine="480" w:firstLineChars="200"/>
              <w:rPr>
                <w:sz w:val="24"/>
              </w:rPr>
            </w:pPr>
            <w:r>
              <w:rPr>
                <w:sz w:val="24"/>
              </w:rPr>
              <w:t>（7）</w:t>
            </w:r>
            <w:r>
              <w:rPr>
                <w:rFonts w:hint="eastAsia"/>
                <w:color w:val="000000"/>
                <w:sz w:val="24"/>
              </w:rPr>
              <w:t>施工期间，加强施工场地抑尘和降尘措施，施工物料集中堆放并采取苫盖措施，变电站施工期间严格落实“施工工地周边100%围挡、物料堆放100%覆盖、出入车辆100%冲洗、施工现场地面100%硬化、拆迁工地100%湿法作业、渣土车辆100%密闭运输”的6个100%控尘要求</w:t>
            </w:r>
            <w:r>
              <w:rPr>
                <w:rFonts w:hint="eastAsia"/>
                <w:sz w:val="24"/>
              </w:rPr>
              <w:t>。</w:t>
            </w:r>
          </w:p>
          <w:p>
            <w:pPr>
              <w:pStyle w:val="11"/>
            </w:pPr>
            <w:r>
              <w:rPr>
                <w:rFonts w:hint="eastAsia"/>
              </w:rPr>
              <w:t>本工程施工期较短且施工地点较分散，在采取上述防护措施后，本工程施工期对环境大气影响较小</w:t>
            </w:r>
            <w:r>
              <w:t>。</w:t>
            </w:r>
          </w:p>
          <w:p>
            <w:pPr>
              <w:numPr>
                <w:ilvl w:val="0"/>
                <w:numId w:val="25"/>
              </w:numPr>
              <w:spacing w:line="360" w:lineRule="auto"/>
              <w:rPr>
                <w:b/>
                <w:kern w:val="0"/>
                <w:sz w:val="24"/>
                <w:szCs w:val="21"/>
              </w:rPr>
            </w:pPr>
            <w:r>
              <w:rPr>
                <w:b/>
                <w:kern w:val="0"/>
                <w:sz w:val="24"/>
                <w:szCs w:val="21"/>
              </w:rPr>
              <w:t>施工期水环境污染控制措施</w:t>
            </w:r>
          </w:p>
          <w:p>
            <w:pPr>
              <w:pStyle w:val="114"/>
              <w:numPr>
                <w:ilvl w:val="0"/>
                <w:numId w:val="24"/>
              </w:numPr>
              <w:spacing w:line="360" w:lineRule="auto"/>
              <w:ind w:firstLine="480" w:firstLineChars="0"/>
              <w:rPr>
                <w:bCs/>
                <w:vanish/>
                <w:sz w:val="24"/>
              </w:rPr>
            </w:pPr>
          </w:p>
          <w:p>
            <w:pPr>
              <w:pStyle w:val="114"/>
              <w:numPr>
                <w:ilvl w:val="0"/>
                <w:numId w:val="24"/>
              </w:numPr>
              <w:spacing w:line="360" w:lineRule="auto"/>
              <w:ind w:firstLine="480" w:firstLineChars="0"/>
              <w:rPr>
                <w:bCs/>
                <w:vanish/>
                <w:sz w:val="24"/>
              </w:rPr>
            </w:pPr>
          </w:p>
          <w:p>
            <w:pPr>
              <w:pStyle w:val="114"/>
              <w:numPr>
                <w:ilvl w:val="0"/>
                <w:numId w:val="24"/>
              </w:numPr>
              <w:spacing w:line="360" w:lineRule="auto"/>
              <w:ind w:firstLine="480" w:firstLineChars="0"/>
              <w:rPr>
                <w:bCs/>
                <w:vanish/>
                <w:sz w:val="24"/>
              </w:rPr>
            </w:pPr>
          </w:p>
          <w:p>
            <w:pPr>
              <w:pStyle w:val="11"/>
            </w:pPr>
            <w:r>
              <w:t>为减小工程施工期废水对周围环境的影响，本环评要求施工单位在整个施工期采取如下施工期废水防治措施：</w:t>
            </w:r>
          </w:p>
          <w:p>
            <w:pPr>
              <w:pStyle w:val="11"/>
            </w:pPr>
            <w:r>
              <w:rPr>
                <w:rFonts w:hint="eastAsia"/>
              </w:rPr>
              <w:t>（1）</w:t>
            </w:r>
            <w:r>
              <w:rPr>
                <w:rFonts w:hint="eastAsia"/>
                <w:color w:val="000000"/>
              </w:rPr>
              <w:t>变电站新建工程应先修建化粪池，施工期施工人员生活废水依托变电站化粪池和施工生产生活区设置的临时厕所收集处理，定期清掏不外排。</w:t>
            </w:r>
          </w:p>
          <w:p>
            <w:pPr>
              <w:pStyle w:val="11"/>
            </w:pPr>
            <w:r>
              <w:t>（</w:t>
            </w:r>
            <w:r>
              <w:rPr>
                <w:rFonts w:hint="eastAsia"/>
              </w:rPr>
              <w:t>2</w:t>
            </w:r>
            <w:r>
              <w:t>）</w:t>
            </w:r>
            <w:r>
              <w:rPr>
                <w:rFonts w:hint="eastAsia"/>
              </w:rPr>
              <w:t>线路工程施工人员生活污水可经施工生产生活区设置的临时厕所和沿线设置的移动环保厕所收集处理，临时厕所和移动环保厕所需做好防渗处理，收集处理的污水定期清掏，不得随意排放。</w:t>
            </w:r>
          </w:p>
          <w:p>
            <w:pPr>
              <w:pStyle w:val="11"/>
            </w:pPr>
            <w:r>
              <w:t>（</w:t>
            </w:r>
            <w:r>
              <w:rPr>
                <w:rFonts w:hint="eastAsia"/>
              </w:rPr>
              <w:t>3</w:t>
            </w:r>
            <w:r>
              <w:t>）</w:t>
            </w:r>
            <w:r>
              <w:rPr>
                <w:rFonts w:hint="eastAsia"/>
              </w:rPr>
              <w:t>输电线路施工时，现场施工废水产生量较少，主要由基础养护冲洗和少量车辆冲洗产生，施工单位现场可设置简易沉砂池，采用掏挖方式并用防水布衬垫防渗，施工废水经收集沉淀后可用于场地洒水降尘或自然蒸发。</w:t>
            </w:r>
          </w:p>
          <w:p>
            <w:pPr>
              <w:pStyle w:val="11"/>
              <w:rPr>
                <w:snapToGrid w:val="0"/>
                <w:kern w:val="0"/>
                <w:szCs w:val="24"/>
              </w:rPr>
            </w:pPr>
            <w:r>
              <w:t>（</w:t>
            </w:r>
            <w:r>
              <w:rPr>
                <w:rFonts w:hint="eastAsia"/>
              </w:rPr>
              <w:t>4</w:t>
            </w:r>
            <w:r>
              <w:t>）</w:t>
            </w:r>
            <w:r>
              <w:rPr>
                <w:rFonts w:hint="eastAsia"/>
                <w:kern w:val="0"/>
                <w:szCs w:val="24"/>
              </w:rPr>
              <w:t>对线路运行维护人员进行水环境相关知识的培训，提高他们的环境保护意识，将工程运行维护过程中产生的生活垃圾等废物妥善处置，及时消除由此带来的环境影响</w:t>
            </w:r>
            <w:r>
              <w:rPr>
                <w:rFonts w:hint="eastAsia"/>
                <w:snapToGrid w:val="0"/>
                <w:kern w:val="0"/>
                <w:szCs w:val="24"/>
              </w:rPr>
              <w:t>。</w:t>
            </w:r>
          </w:p>
          <w:p>
            <w:pPr>
              <w:pStyle w:val="11"/>
              <w:rPr>
                <w:color w:val="000000" w:themeColor="text1"/>
                <w14:textFill>
                  <w14:solidFill>
                    <w14:schemeClr w14:val="tx1"/>
                  </w14:solidFill>
                </w14:textFill>
              </w:rPr>
            </w:pPr>
            <w:r>
              <w:rPr>
                <w:rFonts w:hint="eastAsia"/>
                <w:color w:val="000000" w:themeColor="text1"/>
                <w14:textFill>
                  <w14:solidFill>
                    <w14:schemeClr w14:val="tx1"/>
                  </w14:solidFill>
                </w14:textFill>
              </w:rPr>
              <w:t>在采取了上述废水防治措施后，本工程施工期对水环境影响很小。</w:t>
            </w:r>
          </w:p>
          <w:p>
            <w:pPr>
              <w:numPr>
                <w:ilvl w:val="0"/>
                <w:numId w:val="25"/>
              </w:numPr>
              <w:spacing w:line="360" w:lineRule="auto"/>
              <w:rPr>
                <w:b/>
                <w:kern w:val="0"/>
                <w:sz w:val="24"/>
                <w:szCs w:val="21"/>
              </w:rPr>
            </w:pPr>
            <w:r>
              <w:rPr>
                <w:b/>
                <w:kern w:val="0"/>
                <w:sz w:val="24"/>
                <w:szCs w:val="21"/>
              </w:rPr>
              <w:t>固体废物污染控制措施</w:t>
            </w:r>
          </w:p>
          <w:p>
            <w:pPr>
              <w:pStyle w:val="11"/>
            </w:pPr>
            <w:r>
              <w:t>为减小工程施工期固体废物对周围环境的影响，本环评要求施工单位在整个施工期采取如下施工期固体废物防治措施：</w:t>
            </w:r>
          </w:p>
          <w:p>
            <w:pPr>
              <w:adjustRightInd w:val="0"/>
              <w:snapToGrid w:val="0"/>
              <w:spacing w:line="360" w:lineRule="auto"/>
              <w:ind w:firstLine="480" w:firstLineChars="200"/>
            </w:pPr>
            <w:r>
              <w:rPr>
                <w:color w:val="000000"/>
                <w:sz w:val="24"/>
              </w:rPr>
              <w:t>（1）明确要求施工过程中的建筑垃圾及生活垃圾应分别收集存放，及时清运</w:t>
            </w:r>
            <w:r>
              <w:rPr>
                <w:rFonts w:hint="eastAsia"/>
                <w:color w:val="000000"/>
                <w:sz w:val="24"/>
              </w:rPr>
              <w:t>，严禁随意丢弃</w:t>
            </w:r>
            <w:r>
              <w:rPr>
                <w:color w:val="000000"/>
                <w:sz w:val="24"/>
              </w:rPr>
              <w:t>。</w:t>
            </w:r>
            <w:r>
              <w:rPr>
                <w:rFonts w:hint="eastAsia"/>
                <w:color w:val="000000"/>
                <w:sz w:val="24"/>
              </w:rPr>
              <w:t>施工现场及施工生产生活区的</w:t>
            </w:r>
            <w:r>
              <w:rPr>
                <w:color w:val="000000"/>
                <w:sz w:val="24"/>
              </w:rPr>
              <w:t>生活垃圾实行袋装化，封闭贮存</w:t>
            </w:r>
            <w:r>
              <w:rPr>
                <w:rFonts w:hint="eastAsia"/>
                <w:color w:val="000000"/>
                <w:sz w:val="24"/>
              </w:rPr>
              <w:t>及时清运</w:t>
            </w:r>
            <w:r>
              <w:rPr>
                <w:color w:val="000000"/>
                <w:sz w:val="24"/>
              </w:rPr>
              <w:t>；建筑垃圾分类堆存，并采取必要的防护措施（防雨、防扬尘等）。</w:t>
            </w:r>
          </w:p>
          <w:p>
            <w:pPr>
              <w:adjustRightInd w:val="0"/>
              <w:snapToGrid w:val="0"/>
              <w:spacing w:line="360" w:lineRule="auto"/>
              <w:ind w:firstLine="480" w:firstLineChars="200"/>
              <w:rPr>
                <w:color w:val="000000"/>
                <w:sz w:val="24"/>
              </w:rPr>
            </w:pPr>
            <w:r>
              <w:rPr>
                <w:color w:val="000000"/>
                <w:sz w:val="24"/>
              </w:rPr>
              <w:t>（</w:t>
            </w:r>
            <w:r>
              <w:rPr>
                <w:rFonts w:hint="eastAsia"/>
                <w:color w:val="000000"/>
                <w:sz w:val="24"/>
              </w:rPr>
              <w:t>2</w:t>
            </w:r>
            <w:r>
              <w:rPr>
                <w:color w:val="000000"/>
                <w:sz w:val="24"/>
              </w:rPr>
              <w:t>）本工程变电站</w:t>
            </w:r>
            <w:r>
              <w:rPr>
                <w:rFonts w:hint="eastAsia"/>
                <w:color w:val="000000"/>
                <w:sz w:val="24"/>
              </w:rPr>
              <w:t>三</w:t>
            </w:r>
            <w:r>
              <w:rPr>
                <w:color w:val="000000"/>
                <w:sz w:val="24"/>
              </w:rPr>
              <w:t>通一平工作产生的表土应集中收集堆放，结合附近区域的绿化工程或土地改造工程综合利用</w:t>
            </w:r>
            <w:r>
              <w:rPr>
                <w:rFonts w:hint="eastAsia"/>
                <w:color w:val="000000"/>
                <w:sz w:val="24"/>
              </w:rPr>
              <w:t>，</w:t>
            </w:r>
            <w:r>
              <w:rPr>
                <w:color w:val="000000"/>
                <w:sz w:val="24"/>
              </w:rPr>
              <w:t>严禁边挖边弃。</w:t>
            </w:r>
          </w:p>
          <w:p>
            <w:pPr>
              <w:tabs>
                <w:tab w:val="left" w:pos="720"/>
              </w:tabs>
              <w:adjustRightInd w:val="0"/>
              <w:snapToGrid w:val="0"/>
              <w:spacing w:line="360" w:lineRule="auto"/>
              <w:ind w:firstLine="480" w:firstLineChars="200"/>
              <w:rPr>
                <w:color w:val="000000"/>
                <w:sz w:val="24"/>
              </w:rPr>
            </w:pPr>
            <w:r>
              <w:rPr>
                <w:color w:val="000000"/>
                <w:sz w:val="24"/>
              </w:rPr>
              <w:t>（</w:t>
            </w:r>
            <w:r>
              <w:rPr>
                <w:rFonts w:hint="eastAsia"/>
                <w:color w:val="000000"/>
                <w:sz w:val="24"/>
              </w:rPr>
              <w:t>3</w:t>
            </w:r>
            <w:r>
              <w:rPr>
                <w:color w:val="000000"/>
                <w:sz w:val="24"/>
              </w:rPr>
              <w:t>）新建输电线路塔基开挖多余土方应在塔基征地范围内进行平整</w:t>
            </w:r>
            <w:r>
              <w:rPr>
                <w:rFonts w:hint="eastAsia"/>
                <w:color w:val="000000"/>
                <w:sz w:val="24"/>
              </w:rPr>
              <w:t>压实</w:t>
            </w:r>
            <w:r>
              <w:rPr>
                <w:color w:val="000000"/>
                <w:sz w:val="24"/>
              </w:rPr>
              <w:t>。</w:t>
            </w:r>
          </w:p>
          <w:p>
            <w:pPr>
              <w:tabs>
                <w:tab w:val="left" w:pos="720"/>
              </w:tabs>
              <w:adjustRightInd w:val="0"/>
              <w:snapToGrid w:val="0"/>
              <w:spacing w:line="360" w:lineRule="auto"/>
              <w:ind w:firstLine="480" w:firstLineChars="200"/>
              <w:rPr>
                <w:sz w:val="24"/>
              </w:rPr>
            </w:pPr>
            <w:r>
              <w:rPr>
                <w:rFonts w:hint="eastAsia"/>
                <w:color w:val="000000"/>
                <w:sz w:val="24"/>
              </w:rPr>
              <w:t>（4）施工结束后对施工区域再次进行清理，做到“工完、料尽、场地清”</w:t>
            </w:r>
            <w:r>
              <w:rPr>
                <w:rFonts w:hint="eastAsia"/>
                <w:sz w:val="24"/>
              </w:rPr>
              <w:t>。</w:t>
            </w:r>
          </w:p>
          <w:p>
            <w:pPr>
              <w:pStyle w:val="11"/>
            </w:pPr>
            <w:r>
              <w:rPr>
                <w:rFonts w:hint="eastAsia"/>
              </w:rPr>
              <w:t>（5）</w:t>
            </w:r>
            <w:r>
              <w:rPr>
                <w:szCs w:val="24"/>
              </w:rPr>
              <w:t>拆除线路产生的塔材、导线、金具等物料统一集中处置，根据拆除杆塔的数量和尺寸，合理规划堆放区域的大小和形状，确保堆放整齐、稳定。为防止雨水、风沙等恶劣天气对杆塔造成损害，应采用苫布进行覆盖</w:t>
            </w:r>
            <w:r>
              <w:rPr>
                <w:rFonts w:hint="eastAsia"/>
              </w:rPr>
              <w:t>。</w:t>
            </w:r>
          </w:p>
          <w:p>
            <w:pPr>
              <w:pStyle w:val="11"/>
            </w:pPr>
            <w:r>
              <w:rPr>
                <w:rFonts w:hint="eastAsia"/>
              </w:rPr>
              <w:t>（6）拆除施工需遵循“减量化、资源化、无害化”原则，可再利用的塔材、导线和金具等材料应及时交由吐鲁番供电公司物资部回收利用。无法利用的塔材、导线和金具等材料应作为建筑垃圾及时清运。</w:t>
            </w:r>
          </w:p>
          <w:p>
            <w:pPr>
              <w:pStyle w:val="11"/>
            </w:pPr>
            <w:r>
              <w:t>在采取了上述固体废物防治措施后，本工程施工期产生的固体废物对环境影响很小。</w:t>
            </w:r>
          </w:p>
          <w:p>
            <w:pPr>
              <w:pStyle w:val="11"/>
            </w:pPr>
            <w:r>
              <w:t>各项污染防治措施</w:t>
            </w:r>
            <w:r>
              <w:rPr>
                <w:rFonts w:hint="eastAsia"/>
              </w:rPr>
              <w:t>均</w:t>
            </w:r>
            <w:r>
              <w:t>根据国家环境保护要求及相关的设计规程规范提出</w:t>
            </w:r>
            <w:r>
              <w:rPr>
                <w:rFonts w:hint="eastAsia"/>
              </w:rPr>
              <w:t>和</w:t>
            </w:r>
            <w:r>
              <w:t>设计，同时结合已建成的同等级的输变电工程设计、实际运行经验确定的，因此在技术上合理、可操作性强</w:t>
            </w:r>
            <w:r>
              <w:rPr>
                <w:rFonts w:hint="eastAsia"/>
              </w:rPr>
              <w:t>，</w:t>
            </w:r>
            <w:r>
              <w:t>是可行的。</w:t>
            </w:r>
          </w:p>
          <w:p>
            <w:pPr>
              <w:pStyle w:val="11"/>
            </w:pPr>
            <w:r>
              <w:t>在采取上述临时防护措施后，可有效的保护生态环境，使本工程的建设对生态环境的影响在环境可接受的范围内。</w:t>
            </w:r>
          </w:p>
          <w:p>
            <w:pPr>
              <w:numPr>
                <w:ilvl w:val="0"/>
                <w:numId w:val="25"/>
              </w:numPr>
              <w:spacing w:line="360" w:lineRule="auto"/>
              <w:rPr>
                <w:b/>
                <w:kern w:val="0"/>
                <w:sz w:val="24"/>
                <w:szCs w:val="21"/>
              </w:rPr>
            </w:pPr>
            <w:r>
              <w:rPr>
                <w:rFonts w:hint="eastAsia"/>
                <w:b/>
                <w:kern w:val="0"/>
                <w:sz w:val="24"/>
                <w:szCs w:val="21"/>
              </w:rPr>
              <w:t>施工期生态环境保护措施及预期效果</w:t>
            </w:r>
          </w:p>
          <w:p>
            <w:pPr>
              <w:widowControl/>
              <w:spacing w:line="360" w:lineRule="auto"/>
              <w:ind w:firstLine="480" w:firstLineChars="200"/>
            </w:pPr>
            <w:r>
              <w:rPr>
                <w:rStyle w:val="91"/>
                <w:rFonts w:ascii="Times New Roman" w:eastAsia="宋体" w:cs="Times New Roman"/>
                <w:sz w:val="24"/>
              </w:rPr>
              <w:t>本项目施工期主要生态环境保护措施及预期效果详见</w:t>
            </w:r>
            <w:r>
              <w:rPr>
                <w:rStyle w:val="91"/>
                <w:rFonts w:ascii="Times New Roman" w:eastAsia="宋体" w:cs="Times New Roman"/>
                <w:sz w:val="24"/>
                <w:szCs w:val="24"/>
              </w:rPr>
              <w:fldChar w:fldCharType="begin"/>
            </w:r>
            <w:r>
              <w:rPr>
                <w:rStyle w:val="91"/>
                <w:rFonts w:ascii="Times New Roman" w:eastAsia="宋体" w:cs="Times New Roman"/>
                <w:sz w:val="24"/>
                <w:szCs w:val="24"/>
              </w:rPr>
              <w:instrText xml:space="preserve"> REF _Ref202638335 \h  \* MERGEFORMAT </w:instrText>
            </w:r>
            <w:r>
              <w:rPr>
                <w:rStyle w:val="91"/>
                <w:rFonts w:ascii="Times New Roman" w:eastAsia="宋体" w:cs="Times New Roman"/>
                <w:sz w:val="24"/>
                <w:szCs w:val="24"/>
              </w:rPr>
              <w:fldChar w:fldCharType="separate"/>
            </w:r>
            <w:r>
              <w:rPr>
                <w:rFonts w:hint="eastAsia"/>
                <w:sz w:val="24"/>
              </w:rPr>
              <w:t xml:space="preserve">表 </w:t>
            </w:r>
            <w:r>
              <w:rPr>
                <w:sz w:val="24"/>
              </w:rPr>
              <w:t>22</w:t>
            </w:r>
            <w:r>
              <w:rPr>
                <w:rStyle w:val="91"/>
                <w:rFonts w:ascii="Times New Roman" w:eastAsia="宋体" w:cs="Times New Roman"/>
                <w:sz w:val="24"/>
                <w:szCs w:val="24"/>
              </w:rPr>
              <w:fldChar w:fldCharType="end"/>
            </w:r>
            <w:r>
              <w:rPr>
                <w:rStyle w:val="91"/>
                <w:rFonts w:ascii="Times New Roman" w:eastAsia="宋体" w:cs="Times New Roman"/>
                <w:sz w:val="24"/>
              </w:rPr>
              <w:t>，包括：生态环境保护措施实施的部位、时间、责任主体、实施保障、实施效果等</w:t>
            </w:r>
            <w:r>
              <w:rPr>
                <w:rStyle w:val="91"/>
                <w:rFonts w:hint="eastAsia" w:ascii="Times New Roman" w:eastAsia="宋体" w:cs="Times New Roman"/>
                <w:sz w:val="24"/>
              </w:rPr>
              <w:t>。</w:t>
            </w:r>
          </w:p>
          <w:p>
            <w:pPr>
              <w:pStyle w:val="18"/>
              <w:ind w:firstLine="420"/>
            </w:pPr>
            <w:bookmarkStart w:id="677" w:name="_Ref202638335"/>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t>22</w:t>
            </w:r>
            <w:r>
              <w:fldChar w:fldCharType="end"/>
            </w:r>
            <w:bookmarkEnd w:id="677"/>
            <w:r>
              <w:t xml:space="preserve">                   </w:t>
            </w:r>
            <w:r>
              <w:rPr>
                <w:rFonts w:hint="eastAsia"/>
              </w:rPr>
              <w:t>施工期生态环境保护措施及预期效果一览表</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2684"/>
              <w:gridCol w:w="833"/>
              <w:gridCol w:w="694"/>
              <w:gridCol w:w="694"/>
              <w:gridCol w:w="963"/>
              <w:gridCol w:w="1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3" w:type="dxa"/>
                  <w:vAlign w:val="center"/>
                </w:tcPr>
                <w:p>
                  <w:pPr>
                    <w:pStyle w:val="11"/>
                    <w:spacing w:line="240" w:lineRule="auto"/>
                    <w:ind w:firstLine="0" w:firstLineChars="0"/>
                    <w:jc w:val="center"/>
                    <w:rPr>
                      <w:sz w:val="21"/>
                      <w:szCs w:val="21"/>
                    </w:rPr>
                  </w:pPr>
                  <w:r>
                    <w:rPr>
                      <w:sz w:val="21"/>
                      <w:szCs w:val="21"/>
                    </w:rPr>
                    <w:t>序号</w:t>
                  </w:r>
                </w:p>
              </w:tc>
              <w:tc>
                <w:tcPr>
                  <w:tcW w:w="2684" w:type="dxa"/>
                  <w:vAlign w:val="center"/>
                </w:tcPr>
                <w:p>
                  <w:pPr>
                    <w:pStyle w:val="11"/>
                    <w:spacing w:line="240" w:lineRule="auto"/>
                    <w:ind w:firstLine="0" w:firstLineChars="0"/>
                    <w:jc w:val="center"/>
                    <w:rPr>
                      <w:sz w:val="21"/>
                      <w:szCs w:val="21"/>
                    </w:rPr>
                  </w:pPr>
                  <w:r>
                    <w:rPr>
                      <w:sz w:val="21"/>
                      <w:szCs w:val="21"/>
                    </w:rPr>
                    <w:t>生态保护措施要求</w:t>
                  </w:r>
                </w:p>
              </w:tc>
              <w:tc>
                <w:tcPr>
                  <w:tcW w:w="833" w:type="dxa"/>
                  <w:vAlign w:val="center"/>
                </w:tcPr>
                <w:p>
                  <w:pPr>
                    <w:pStyle w:val="11"/>
                    <w:spacing w:line="240" w:lineRule="auto"/>
                    <w:ind w:firstLine="0" w:firstLineChars="0"/>
                    <w:jc w:val="center"/>
                    <w:rPr>
                      <w:sz w:val="21"/>
                      <w:szCs w:val="21"/>
                    </w:rPr>
                  </w:pPr>
                  <w:r>
                    <w:rPr>
                      <w:sz w:val="21"/>
                      <w:szCs w:val="21"/>
                    </w:rPr>
                    <w:t>实施区域</w:t>
                  </w:r>
                </w:p>
              </w:tc>
              <w:tc>
                <w:tcPr>
                  <w:tcW w:w="694" w:type="dxa"/>
                  <w:vAlign w:val="center"/>
                </w:tcPr>
                <w:p>
                  <w:pPr>
                    <w:pStyle w:val="11"/>
                    <w:spacing w:line="240" w:lineRule="auto"/>
                    <w:ind w:firstLine="0" w:firstLineChars="0"/>
                    <w:jc w:val="center"/>
                    <w:rPr>
                      <w:sz w:val="21"/>
                      <w:szCs w:val="21"/>
                    </w:rPr>
                  </w:pPr>
                  <w:r>
                    <w:rPr>
                      <w:sz w:val="21"/>
                      <w:szCs w:val="21"/>
                    </w:rPr>
                    <w:t>实施时间</w:t>
                  </w:r>
                </w:p>
              </w:tc>
              <w:tc>
                <w:tcPr>
                  <w:tcW w:w="694" w:type="dxa"/>
                  <w:vAlign w:val="center"/>
                </w:tcPr>
                <w:p>
                  <w:pPr>
                    <w:pStyle w:val="11"/>
                    <w:spacing w:line="240" w:lineRule="auto"/>
                    <w:ind w:firstLine="0" w:firstLineChars="0"/>
                    <w:jc w:val="center"/>
                    <w:rPr>
                      <w:sz w:val="21"/>
                      <w:szCs w:val="21"/>
                    </w:rPr>
                  </w:pPr>
                  <w:r>
                    <w:rPr>
                      <w:sz w:val="21"/>
                      <w:szCs w:val="21"/>
                    </w:rPr>
                    <w:t>责任主体</w:t>
                  </w:r>
                </w:p>
              </w:tc>
              <w:tc>
                <w:tcPr>
                  <w:tcW w:w="963" w:type="dxa"/>
                  <w:vAlign w:val="center"/>
                </w:tcPr>
                <w:p>
                  <w:pPr>
                    <w:pStyle w:val="11"/>
                    <w:spacing w:line="240" w:lineRule="auto"/>
                    <w:ind w:firstLine="0" w:firstLineChars="0"/>
                    <w:jc w:val="center"/>
                    <w:rPr>
                      <w:sz w:val="21"/>
                      <w:szCs w:val="21"/>
                    </w:rPr>
                  </w:pPr>
                  <w:r>
                    <w:rPr>
                      <w:sz w:val="21"/>
                      <w:szCs w:val="21"/>
                    </w:rPr>
                    <w:t>实施保障</w:t>
                  </w:r>
                </w:p>
              </w:tc>
              <w:tc>
                <w:tcPr>
                  <w:tcW w:w="1855" w:type="dxa"/>
                  <w:vAlign w:val="center"/>
                </w:tcPr>
                <w:p>
                  <w:pPr>
                    <w:pStyle w:val="11"/>
                    <w:spacing w:line="240" w:lineRule="auto"/>
                    <w:ind w:firstLine="0" w:firstLineChars="0"/>
                    <w:jc w:val="center"/>
                    <w:rPr>
                      <w:sz w:val="21"/>
                      <w:szCs w:val="21"/>
                    </w:rPr>
                  </w:pPr>
                  <w:r>
                    <w:rPr>
                      <w:sz w:val="21"/>
                      <w:szCs w:val="21"/>
                    </w:rPr>
                    <w:t>实施效果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3" w:type="dxa"/>
                  <w:vAlign w:val="center"/>
                </w:tcPr>
                <w:p>
                  <w:pPr>
                    <w:pStyle w:val="11"/>
                    <w:spacing w:line="240" w:lineRule="auto"/>
                    <w:ind w:firstLine="0" w:firstLineChars="0"/>
                    <w:jc w:val="center"/>
                    <w:rPr>
                      <w:sz w:val="21"/>
                      <w:szCs w:val="21"/>
                    </w:rPr>
                  </w:pPr>
                  <w:r>
                    <w:rPr>
                      <w:sz w:val="21"/>
                      <w:szCs w:val="21"/>
                    </w:rPr>
                    <w:t>1</w:t>
                  </w:r>
                </w:p>
              </w:tc>
              <w:tc>
                <w:tcPr>
                  <w:tcW w:w="2684" w:type="dxa"/>
                  <w:vAlign w:val="center"/>
                </w:tcPr>
                <w:p>
                  <w:pPr>
                    <w:pStyle w:val="11"/>
                    <w:spacing w:line="240" w:lineRule="auto"/>
                    <w:ind w:firstLine="0" w:firstLineChars="0"/>
                    <w:rPr>
                      <w:sz w:val="21"/>
                      <w:szCs w:val="21"/>
                    </w:rPr>
                  </w:pPr>
                  <w:r>
                    <w:rPr>
                      <w:sz w:val="21"/>
                      <w:szCs w:val="21"/>
                    </w:rPr>
                    <w:t>各类占地应提前办理相关用地手续。</w:t>
                  </w:r>
                </w:p>
              </w:tc>
              <w:tc>
                <w:tcPr>
                  <w:tcW w:w="833" w:type="dxa"/>
                  <w:vMerge w:val="restart"/>
                  <w:vAlign w:val="center"/>
                </w:tcPr>
                <w:p>
                  <w:pPr>
                    <w:pStyle w:val="11"/>
                    <w:spacing w:line="240" w:lineRule="auto"/>
                    <w:ind w:firstLine="0" w:firstLineChars="0"/>
                    <w:jc w:val="center"/>
                    <w:rPr>
                      <w:sz w:val="21"/>
                      <w:szCs w:val="21"/>
                    </w:rPr>
                  </w:pPr>
                  <w:r>
                    <w:rPr>
                      <w:sz w:val="21"/>
                      <w:szCs w:val="21"/>
                    </w:rPr>
                    <w:t>工程施工场所、区域</w:t>
                  </w:r>
                </w:p>
              </w:tc>
              <w:tc>
                <w:tcPr>
                  <w:tcW w:w="694" w:type="dxa"/>
                  <w:vAlign w:val="center"/>
                </w:tcPr>
                <w:p>
                  <w:pPr>
                    <w:pStyle w:val="11"/>
                    <w:spacing w:line="240" w:lineRule="auto"/>
                    <w:ind w:firstLine="0" w:firstLineChars="0"/>
                    <w:jc w:val="center"/>
                    <w:rPr>
                      <w:sz w:val="21"/>
                      <w:szCs w:val="21"/>
                    </w:rPr>
                  </w:pPr>
                  <w:r>
                    <w:rPr>
                      <w:sz w:val="21"/>
                      <w:szCs w:val="21"/>
                    </w:rPr>
                    <w:t>开工前</w:t>
                  </w:r>
                </w:p>
              </w:tc>
              <w:tc>
                <w:tcPr>
                  <w:tcW w:w="694" w:type="dxa"/>
                  <w:vAlign w:val="center"/>
                </w:tcPr>
                <w:p>
                  <w:pPr>
                    <w:pStyle w:val="11"/>
                    <w:spacing w:line="240" w:lineRule="auto"/>
                    <w:ind w:firstLine="0" w:firstLineChars="0"/>
                    <w:jc w:val="center"/>
                    <w:rPr>
                      <w:sz w:val="21"/>
                      <w:szCs w:val="21"/>
                    </w:rPr>
                  </w:pPr>
                  <w:r>
                    <w:rPr>
                      <w:sz w:val="21"/>
                      <w:szCs w:val="21"/>
                    </w:rPr>
                    <w:t>建设单位</w:t>
                  </w:r>
                </w:p>
              </w:tc>
              <w:tc>
                <w:tcPr>
                  <w:tcW w:w="963" w:type="dxa"/>
                  <w:vMerge w:val="restart"/>
                  <w:vAlign w:val="center"/>
                </w:tcPr>
                <w:p>
                  <w:pPr>
                    <w:pStyle w:val="11"/>
                    <w:spacing w:line="240" w:lineRule="auto"/>
                    <w:ind w:firstLine="0" w:firstLineChars="0"/>
                    <w:jc w:val="center"/>
                    <w:rPr>
                      <w:sz w:val="21"/>
                      <w:szCs w:val="21"/>
                    </w:rPr>
                  </w:pPr>
                  <w:r>
                    <w:rPr>
                      <w:rFonts w:hint="eastAsia" w:ascii="宋体" w:hAnsi="宋体" w:cs="宋体"/>
                      <w:sz w:val="21"/>
                      <w:szCs w:val="21"/>
                    </w:rPr>
                    <w:t>①</w:t>
                  </w:r>
                  <w:r>
                    <w:rPr>
                      <w:sz w:val="21"/>
                      <w:szCs w:val="21"/>
                    </w:rPr>
                    <w:t>建立环境管理机构，配备专职或兼职环保管理人员；</w:t>
                  </w:r>
                  <w:r>
                    <w:rPr>
                      <w:rFonts w:hint="eastAsia" w:ascii="宋体" w:hAnsi="宋体" w:cs="宋体"/>
                      <w:sz w:val="21"/>
                      <w:szCs w:val="21"/>
                    </w:rPr>
                    <w:t>②</w:t>
                  </w:r>
                  <w:r>
                    <w:rPr>
                      <w:sz w:val="21"/>
                      <w:szCs w:val="21"/>
                    </w:rPr>
                    <w:t>制定相关方环境管理条例、质量管理规定；</w:t>
                  </w:r>
                  <w:r>
                    <w:rPr>
                      <w:rFonts w:hint="eastAsia" w:ascii="宋体" w:hAnsi="宋体" w:cs="宋体"/>
                      <w:sz w:val="21"/>
                      <w:szCs w:val="21"/>
                    </w:rPr>
                    <w:t>③</w:t>
                  </w:r>
                  <w:r>
                    <w:rPr>
                      <w:sz w:val="21"/>
                      <w:szCs w:val="21"/>
                    </w:rPr>
                    <w:t>加强环境监理，开展经常性检查、监督，发现问题及时解决、纠正</w:t>
                  </w:r>
                </w:p>
              </w:tc>
              <w:tc>
                <w:tcPr>
                  <w:tcW w:w="1855" w:type="dxa"/>
                  <w:vAlign w:val="center"/>
                </w:tcPr>
                <w:p>
                  <w:pPr>
                    <w:pStyle w:val="11"/>
                    <w:spacing w:line="240" w:lineRule="auto"/>
                    <w:ind w:firstLine="0" w:firstLineChars="0"/>
                    <w:jc w:val="center"/>
                    <w:rPr>
                      <w:sz w:val="21"/>
                      <w:szCs w:val="21"/>
                    </w:rPr>
                  </w:pPr>
                  <w:r>
                    <w:rPr>
                      <w:sz w:val="21"/>
                      <w:szCs w:val="21"/>
                    </w:rPr>
                    <w:t>取得用地手续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3" w:type="dxa"/>
                  <w:vAlign w:val="center"/>
                </w:tcPr>
                <w:p>
                  <w:pPr>
                    <w:pStyle w:val="11"/>
                    <w:spacing w:line="240" w:lineRule="auto"/>
                    <w:ind w:firstLine="0" w:firstLineChars="0"/>
                    <w:jc w:val="center"/>
                    <w:rPr>
                      <w:sz w:val="21"/>
                      <w:szCs w:val="21"/>
                    </w:rPr>
                  </w:pPr>
                  <w:r>
                    <w:rPr>
                      <w:sz w:val="21"/>
                      <w:szCs w:val="21"/>
                    </w:rPr>
                    <w:t>2</w:t>
                  </w:r>
                </w:p>
              </w:tc>
              <w:tc>
                <w:tcPr>
                  <w:tcW w:w="2684" w:type="dxa"/>
                  <w:vAlign w:val="center"/>
                </w:tcPr>
                <w:p>
                  <w:pPr>
                    <w:pStyle w:val="11"/>
                    <w:spacing w:line="240" w:lineRule="auto"/>
                    <w:ind w:firstLine="0" w:firstLineChars="0"/>
                    <w:rPr>
                      <w:sz w:val="21"/>
                      <w:szCs w:val="21"/>
                    </w:rPr>
                  </w:pPr>
                  <w:r>
                    <w:rPr>
                      <w:sz w:val="21"/>
                      <w:szCs w:val="21"/>
                    </w:rPr>
                    <w:t>严格控制施工范围</w:t>
                  </w:r>
                  <w:r>
                    <w:rPr>
                      <w:rFonts w:hint="eastAsia"/>
                      <w:sz w:val="21"/>
                      <w:szCs w:val="21"/>
                      <w:lang w:eastAsia="zh-CN"/>
                    </w:rPr>
                    <w:t>，在</w:t>
                  </w:r>
                  <w:r>
                    <w:rPr>
                      <w:sz w:val="21"/>
                      <w:szCs w:val="21"/>
                    </w:rPr>
                    <w:t>施工边界设置围栏、彩条旗等措施，严格限制施工活动、合理规划、设计施工便道及场地，施工结束后及时对临时占地进行平整，开展迹地恢复工作，恢复临时占地的原有土地功能。</w:t>
                  </w:r>
                </w:p>
              </w:tc>
              <w:tc>
                <w:tcPr>
                  <w:tcW w:w="833" w:type="dxa"/>
                  <w:vMerge w:val="continue"/>
                  <w:vAlign w:val="center"/>
                </w:tcPr>
                <w:p>
                  <w:pPr>
                    <w:pStyle w:val="11"/>
                    <w:spacing w:line="240" w:lineRule="auto"/>
                    <w:ind w:firstLine="0" w:firstLineChars="0"/>
                    <w:jc w:val="center"/>
                    <w:rPr>
                      <w:sz w:val="21"/>
                      <w:szCs w:val="21"/>
                    </w:rPr>
                  </w:pPr>
                </w:p>
              </w:tc>
              <w:tc>
                <w:tcPr>
                  <w:tcW w:w="694" w:type="dxa"/>
                  <w:vMerge w:val="restart"/>
                  <w:vAlign w:val="center"/>
                </w:tcPr>
                <w:p>
                  <w:pPr>
                    <w:pStyle w:val="11"/>
                    <w:spacing w:line="240" w:lineRule="auto"/>
                    <w:ind w:firstLine="0" w:firstLineChars="0"/>
                    <w:jc w:val="center"/>
                    <w:rPr>
                      <w:sz w:val="21"/>
                      <w:szCs w:val="21"/>
                    </w:rPr>
                  </w:pPr>
                  <w:r>
                    <w:rPr>
                      <w:sz w:val="21"/>
                      <w:szCs w:val="21"/>
                    </w:rPr>
                    <w:t>全部施工期</w:t>
                  </w:r>
                </w:p>
              </w:tc>
              <w:tc>
                <w:tcPr>
                  <w:tcW w:w="694" w:type="dxa"/>
                  <w:vMerge w:val="restart"/>
                  <w:vAlign w:val="center"/>
                </w:tcPr>
                <w:p>
                  <w:pPr>
                    <w:pStyle w:val="11"/>
                    <w:spacing w:line="240" w:lineRule="auto"/>
                    <w:ind w:firstLine="0" w:firstLineChars="0"/>
                    <w:jc w:val="center"/>
                    <w:rPr>
                      <w:sz w:val="21"/>
                      <w:szCs w:val="21"/>
                    </w:rPr>
                  </w:pPr>
                  <w:r>
                    <w:rPr>
                      <w:sz w:val="21"/>
                      <w:szCs w:val="21"/>
                    </w:rPr>
                    <w:t>施工单位</w:t>
                  </w:r>
                </w:p>
              </w:tc>
              <w:tc>
                <w:tcPr>
                  <w:tcW w:w="963" w:type="dxa"/>
                  <w:vMerge w:val="continue"/>
                  <w:vAlign w:val="center"/>
                </w:tcPr>
                <w:p>
                  <w:pPr>
                    <w:pStyle w:val="11"/>
                    <w:spacing w:line="240" w:lineRule="auto"/>
                    <w:ind w:firstLine="0" w:firstLineChars="0"/>
                    <w:jc w:val="center"/>
                    <w:rPr>
                      <w:sz w:val="21"/>
                      <w:szCs w:val="21"/>
                    </w:rPr>
                  </w:pPr>
                </w:p>
              </w:tc>
              <w:tc>
                <w:tcPr>
                  <w:tcW w:w="1855" w:type="dxa"/>
                  <w:vAlign w:val="center"/>
                </w:tcPr>
                <w:p>
                  <w:pPr>
                    <w:pStyle w:val="11"/>
                    <w:spacing w:line="240" w:lineRule="auto"/>
                    <w:ind w:firstLine="0" w:firstLineChars="0"/>
                    <w:rPr>
                      <w:sz w:val="21"/>
                      <w:szCs w:val="21"/>
                    </w:rPr>
                  </w:pPr>
                  <w:r>
                    <w:rPr>
                      <w:sz w:val="21"/>
                      <w:szCs w:val="21"/>
                    </w:rPr>
                    <w:t>划定施工作业范围，将施工占地控制在最小范围；施工迹地得以恢复。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3" w:type="dxa"/>
                  <w:vAlign w:val="center"/>
                </w:tcPr>
                <w:p>
                  <w:pPr>
                    <w:pStyle w:val="11"/>
                    <w:spacing w:line="240" w:lineRule="auto"/>
                    <w:ind w:firstLine="0" w:firstLineChars="0"/>
                    <w:jc w:val="center"/>
                    <w:rPr>
                      <w:sz w:val="21"/>
                      <w:szCs w:val="21"/>
                    </w:rPr>
                  </w:pPr>
                  <w:r>
                    <w:rPr>
                      <w:sz w:val="21"/>
                      <w:szCs w:val="21"/>
                    </w:rPr>
                    <w:t>3</w:t>
                  </w:r>
                </w:p>
              </w:tc>
              <w:tc>
                <w:tcPr>
                  <w:tcW w:w="2684" w:type="dxa"/>
                  <w:vAlign w:val="center"/>
                </w:tcPr>
                <w:p>
                  <w:pPr>
                    <w:pStyle w:val="11"/>
                    <w:spacing w:line="240" w:lineRule="auto"/>
                    <w:ind w:firstLine="0" w:firstLineChars="0"/>
                    <w:rPr>
                      <w:sz w:val="21"/>
                      <w:szCs w:val="21"/>
                    </w:rPr>
                  </w:pPr>
                  <w:r>
                    <w:rPr>
                      <w:rFonts w:hint="eastAsia"/>
                      <w:sz w:val="21"/>
                      <w:szCs w:val="21"/>
                    </w:rPr>
                    <w:t>变电站及输电线路</w:t>
                  </w:r>
                  <w:r>
                    <w:rPr>
                      <w:sz w:val="21"/>
                      <w:szCs w:val="21"/>
                    </w:rPr>
                    <w:t>施工场地采取洒水降尘措施；施工结束，将施工临时占地范围进行清理、平整、压实，便于后续开展恢复工作。</w:t>
                  </w:r>
                </w:p>
              </w:tc>
              <w:tc>
                <w:tcPr>
                  <w:tcW w:w="833" w:type="dxa"/>
                  <w:vMerge w:val="continue"/>
                  <w:vAlign w:val="center"/>
                </w:tcPr>
                <w:p>
                  <w:pPr>
                    <w:pStyle w:val="11"/>
                    <w:spacing w:line="240" w:lineRule="auto"/>
                    <w:ind w:firstLine="0" w:firstLineChars="0"/>
                    <w:jc w:val="center"/>
                    <w:rPr>
                      <w:sz w:val="21"/>
                      <w:szCs w:val="21"/>
                    </w:rPr>
                  </w:pPr>
                </w:p>
              </w:tc>
              <w:tc>
                <w:tcPr>
                  <w:tcW w:w="694" w:type="dxa"/>
                  <w:vMerge w:val="continue"/>
                  <w:vAlign w:val="center"/>
                </w:tcPr>
                <w:p>
                  <w:pPr>
                    <w:pStyle w:val="11"/>
                    <w:spacing w:line="240" w:lineRule="auto"/>
                    <w:ind w:firstLine="0" w:firstLineChars="0"/>
                    <w:jc w:val="center"/>
                    <w:rPr>
                      <w:sz w:val="21"/>
                      <w:szCs w:val="21"/>
                    </w:rPr>
                  </w:pPr>
                </w:p>
              </w:tc>
              <w:tc>
                <w:tcPr>
                  <w:tcW w:w="694" w:type="dxa"/>
                  <w:vMerge w:val="continue"/>
                  <w:vAlign w:val="center"/>
                </w:tcPr>
                <w:p>
                  <w:pPr>
                    <w:pStyle w:val="11"/>
                    <w:spacing w:line="240" w:lineRule="auto"/>
                    <w:ind w:firstLine="0" w:firstLineChars="0"/>
                    <w:jc w:val="center"/>
                    <w:rPr>
                      <w:sz w:val="21"/>
                      <w:szCs w:val="21"/>
                    </w:rPr>
                  </w:pPr>
                </w:p>
              </w:tc>
              <w:tc>
                <w:tcPr>
                  <w:tcW w:w="963" w:type="dxa"/>
                  <w:vMerge w:val="continue"/>
                  <w:vAlign w:val="center"/>
                </w:tcPr>
                <w:p>
                  <w:pPr>
                    <w:pStyle w:val="11"/>
                    <w:spacing w:line="240" w:lineRule="auto"/>
                    <w:ind w:firstLine="0" w:firstLineChars="0"/>
                    <w:jc w:val="center"/>
                    <w:rPr>
                      <w:sz w:val="21"/>
                      <w:szCs w:val="21"/>
                    </w:rPr>
                  </w:pPr>
                </w:p>
              </w:tc>
              <w:tc>
                <w:tcPr>
                  <w:tcW w:w="1855" w:type="dxa"/>
                  <w:vMerge w:val="restart"/>
                  <w:vAlign w:val="center"/>
                </w:tcPr>
                <w:p>
                  <w:pPr>
                    <w:pStyle w:val="11"/>
                    <w:spacing w:line="240" w:lineRule="auto"/>
                    <w:ind w:firstLine="0" w:firstLineChars="0"/>
                    <w:rPr>
                      <w:sz w:val="21"/>
                      <w:szCs w:val="21"/>
                    </w:rPr>
                  </w:pPr>
                  <w:r>
                    <w:rPr>
                      <w:sz w:val="21"/>
                      <w:szCs w:val="21"/>
                    </w:rPr>
                    <w:t>减少土壤养分的流失，恢复土壤肥力和土壤理化性质，使土壤、植被受影响程度最低。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3" w:type="dxa"/>
                  <w:vAlign w:val="center"/>
                </w:tcPr>
                <w:p>
                  <w:pPr>
                    <w:pStyle w:val="11"/>
                    <w:spacing w:line="240" w:lineRule="auto"/>
                    <w:ind w:firstLine="0" w:firstLineChars="0"/>
                    <w:jc w:val="center"/>
                    <w:rPr>
                      <w:sz w:val="21"/>
                      <w:szCs w:val="21"/>
                    </w:rPr>
                  </w:pPr>
                  <w:r>
                    <w:rPr>
                      <w:sz w:val="21"/>
                      <w:szCs w:val="21"/>
                    </w:rPr>
                    <w:t>4</w:t>
                  </w:r>
                </w:p>
              </w:tc>
              <w:tc>
                <w:tcPr>
                  <w:tcW w:w="2684" w:type="dxa"/>
                  <w:vAlign w:val="center"/>
                </w:tcPr>
                <w:p>
                  <w:pPr>
                    <w:pStyle w:val="11"/>
                    <w:spacing w:line="240" w:lineRule="auto"/>
                    <w:ind w:firstLine="0" w:firstLineChars="0"/>
                    <w:rPr>
                      <w:sz w:val="21"/>
                      <w:szCs w:val="21"/>
                    </w:rPr>
                  </w:pPr>
                  <w:r>
                    <w:rPr>
                      <w:rStyle w:val="91"/>
                      <w:rFonts w:ascii="Times New Roman" w:eastAsia="宋体" w:cs="Times New Roman"/>
                      <w:sz w:val="21"/>
                      <w:szCs w:val="21"/>
                    </w:rPr>
                    <w:t>减少地表开挖裸露时间、避开雨季及大风天气施工、及时进行迹地恢复等。</w:t>
                  </w:r>
                </w:p>
              </w:tc>
              <w:tc>
                <w:tcPr>
                  <w:tcW w:w="833" w:type="dxa"/>
                  <w:vMerge w:val="continue"/>
                  <w:vAlign w:val="center"/>
                </w:tcPr>
                <w:p>
                  <w:pPr>
                    <w:pStyle w:val="11"/>
                    <w:spacing w:line="240" w:lineRule="auto"/>
                    <w:ind w:firstLine="0" w:firstLineChars="0"/>
                    <w:jc w:val="center"/>
                    <w:rPr>
                      <w:sz w:val="21"/>
                      <w:szCs w:val="21"/>
                    </w:rPr>
                  </w:pPr>
                </w:p>
              </w:tc>
              <w:tc>
                <w:tcPr>
                  <w:tcW w:w="694" w:type="dxa"/>
                  <w:vMerge w:val="continue"/>
                  <w:vAlign w:val="center"/>
                </w:tcPr>
                <w:p>
                  <w:pPr>
                    <w:pStyle w:val="11"/>
                    <w:spacing w:line="240" w:lineRule="auto"/>
                    <w:ind w:firstLine="0" w:firstLineChars="0"/>
                    <w:jc w:val="center"/>
                    <w:rPr>
                      <w:sz w:val="21"/>
                      <w:szCs w:val="21"/>
                    </w:rPr>
                  </w:pPr>
                </w:p>
              </w:tc>
              <w:tc>
                <w:tcPr>
                  <w:tcW w:w="694" w:type="dxa"/>
                  <w:vMerge w:val="continue"/>
                  <w:vAlign w:val="center"/>
                </w:tcPr>
                <w:p>
                  <w:pPr>
                    <w:pStyle w:val="11"/>
                    <w:spacing w:line="240" w:lineRule="auto"/>
                    <w:ind w:firstLine="0" w:firstLineChars="0"/>
                    <w:jc w:val="center"/>
                    <w:rPr>
                      <w:sz w:val="21"/>
                      <w:szCs w:val="21"/>
                    </w:rPr>
                  </w:pPr>
                </w:p>
              </w:tc>
              <w:tc>
                <w:tcPr>
                  <w:tcW w:w="963" w:type="dxa"/>
                  <w:vMerge w:val="continue"/>
                  <w:vAlign w:val="center"/>
                </w:tcPr>
                <w:p>
                  <w:pPr>
                    <w:pStyle w:val="11"/>
                    <w:spacing w:line="240" w:lineRule="auto"/>
                    <w:ind w:firstLine="0" w:firstLineChars="0"/>
                    <w:jc w:val="center"/>
                    <w:rPr>
                      <w:sz w:val="21"/>
                      <w:szCs w:val="21"/>
                    </w:rPr>
                  </w:pPr>
                </w:p>
              </w:tc>
              <w:tc>
                <w:tcPr>
                  <w:tcW w:w="1855" w:type="dxa"/>
                  <w:vMerge w:val="continue"/>
                  <w:vAlign w:val="center"/>
                </w:tcPr>
                <w:p>
                  <w:pPr>
                    <w:pStyle w:val="11"/>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3" w:type="dxa"/>
                  <w:vAlign w:val="center"/>
                </w:tcPr>
                <w:p>
                  <w:pPr>
                    <w:pStyle w:val="11"/>
                    <w:spacing w:line="240" w:lineRule="auto"/>
                    <w:ind w:firstLine="0" w:firstLineChars="0"/>
                    <w:jc w:val="center"/>
                    <w:rPr>
                      <w:sz w:val="21"/>
                      <w:szCs w:val="21"/>
                    </w:rPr>
                  </w:pPr>
                  <w:r>
                    <w:rPr>
                      <w:sz w:val="21"/>
                      <w:szCs w:val="21"/>
                    </w:rPr>
                    <w:t>5</w:t>
                  </w:r>
                </w:p>
              </w:tc>
              <w:tc>
                <w:tcPr>
                  <w:tcW w:w="2684" w:type="dxa"/>
                  <w:vAlign w:val="center"/>
                </w:tcPr>
                <w:p>
                  <w:pPr>
                    <w:pStyle w:val="11"/>
                    <w:spacing w:line="240" w:lineRule="auto"/>
                    <w:ind w:firstLine="0" w:firstLineChars="0"/>
                    <w:rPr>
                      <w:sz w:val="21"/>
                      <w:szCs w:val="21"/>
                    </w:rPr>
                  </w:pPr>
                  <w:r>
                    <w:rPr>
                      <w:rStyle w:val="91"/>
                      <w:rFonts w:ascii="Times New Roman" w:eastAsia="宋体" w:cs="Times New Roman"/>
                      <w:sz w:val="21"/>
                      <w:szCs w:val="21"/>
                    </w:rPr>
                    <w:t>占地范围内清理平整，恢复地貌。</w:t>
                  </w:r>
                </w:p>
              </w:tc>
              <w:tc>
                <w:tcPr>
                  <w:tcW w:w="833" w:type="dxa"/>
                  <w:vMerge w:val="continue"/>
                  <w:vAlign w:val="center"/>
                </w:tcPr>
                <w:p>
                  <w:pPr>
                    <w:pStyle w:val="11"/>
                    <w:spacing w:line="240" w:lineRule="auto"/>
                    <w:ind w:firstLine="0" w:firstLineChars="0"/>
                    <w:jc w:val="center"/>
                    <w:rPr>
                      <w:sz w:val="21"/>
                      <w:szCs w:val="21"/>
                    </w:rPr>
                  </w:pPr>
                </w:p>
              </w:tc>
              <w:tc>
                <w:tcPr>
                  <w:tcW w:w="694" w:type="dxa"/>
                  <w:vAlign w:val="center"/>
                </w:tcPr>
                <w:p>
                  <w:pPr>
                    <w:pStyle w:val="11"/>
                    <w:spacing w:line="240" w:lineRule="auto"/>
                    <w:ind w:firstLine="0" w:firstLineChars="0"/>
                    <w:jc w:val="center"/>
                    <w:rPr>
                      <w:sz w:val="21"/>
                      <w:szCs w:val="21"/>
                    </w:rPr>
                  </w:pPr>
                  <w:r>
                    <w:rPr>
                      <w:sz w:val="21"/>
                      <w:szCs w:val="21"/>
                    </w:rPr>
                    <w:t>施工后期</w:t>
                  </w:r>
                </w:p>
              </w:tc>
              <w:tc>
                <w:tcPr>
                  <w:tcW w:w="694" w:type="dxa"/>
                  <w:vMerge w:val="continue"/>
                  <w:vAlign w:val="center"/>
                </w:tcPr>
                <w:p>
                  <w:pPr>
                    <w:pStyle w:val="11"/>
                    <w:spacing w:line="240" w:lineRule="auto"/>
                    <w:ind w:firstLine="0" w:firstLineChars="0"/>
                    <w:jc w:val="center"/>
                    <w:rPr>
                      <w:sz w:val="21"/>
                      <w:szCs w:val="21"/>
                    </w:rPr>
                  </w:pPr>
                </w:p>
              </w:tc>
              <w:tc>
                <w:tcPr>
                  <w:tcW w:w="963" w:type="dxa"/>
                  <w:vMerge w:val="continue"/>
                  <w:vAlign w:val="center"/>
                </w:tcPr>
                <w:p>
                  <w:pPr>
                    <w:pStyle w:val="11"/>
                    <w:spacing w:line="240" w:lineRule="auto"/>
                    <w:ind w:firstLine="0" w:firstLineChars="0"/>
                    <w:jc w:val="center"/>
                    <w:rPr>
                      <w:sz w:val="21"/>
                      <w:szCs w:val="21"/>
                    </w:rPr>
                  </w:pPr>
                </w:p>
              </w:tc>
              <w:tc>
                <w:tcPr>
                  <w:tcW w:w="1855" w:type="dxa"/>
                  <w:vAlign w:val="center"/>
                </w:tcPr>
                <w:p>
                  <w:pPr>
                    <w:pStyle w:val="11"/>
                    <w:spacing w:line="240" w:lineRule="auto"/>
                    <w:ind w:firstLine="0" w:firstLineChars="0"/>
                    <w:jc w:val="center"/>
                    <w:rPr>
                      <w:sz w:val="21"/>
                      <w:szCs w:val="21"/>
                    </w:rPr>
                  </w:pPr>
                  <w:r>
                    <w:rPr>
                      <w:rStyle w:val="91"/>
                      <w:rFonts w:ascii="Times New Roman" w:eastAsia="宋体" w:cs="Times New Roman"/>
                      <w:sz w:val="21"/>
                      <w:szCs w:val="21"/>
                    </w:rPr>
                    <w:t>施工后做到工完料净场地清。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3" w:type="dxa"/>
                  <w:vAlign w:val="center"/>
                </w:tcPr>
                <w:p>
                  <w:pPr>
                    <w:pStyle w:val="11"/>
                    <w:spacing w:line="240" w:lineRule="auto"/>
                    <w:ind w:firstLine="0" w:firstLineChars="0"/>
                    <w:jc w:val="center"/>
                    <w:rPr>
                      <w:sz w:val="21"/>
                      <w:szCs w:val="21"/>
                    </w:rPr>
                  </w:pPr>
                  <w:r>
                    <w:rPr>
                      <w:sz w:val="21"/>
                      <w:szCs w:val="21"/>
                    </w:rPr>
                    <w:t>6</w:t>
                  </w:r>
                </w:p>
              </w:tc>
              <w:tc>
                <w:tcPr>
                  <w:tcW w:w="2684" w:type="dxa"/>
                  <w:vAlign w:val="center"/>
                </w:tcPr>
                <w:p>
                  <w:pPr>
                    <w:pStyle w:val="11"/>
                    <w:spacing w:line="240" w:lineRule="auto"/>
                    <w:ind w:firstLine="0" w:firstLineChars="0"/>
                    <w:rPr>
                      <w:sz w:val="21"/>
                      <w:szCs w:val="21"/>
                    </w:rPr>
                  </w:pPr>
                  <w:r>
                    <w:rPr>
                      <w:rStyle w:val="91"/>
                      <w:rFonts w:ascii="Times New Roman" w:eastAsia="宋体" w:cs="Times New Roman"/>
                      <w:sz w:val="21"/>
                      <w:szCs w:val="21"/>
                    </w:rPr>
                    <w:t>加强宣传教育，设置环保宣传牌。</w:t>
                  </w:r>
                </w:p>
              </w:tc>
              <w:tc>
                <w:tcPr>
                  <w:tcW w:w="833" w:type="dxa"/>
                  <w:vMerge w:val="continue"/>
                  <w:vAlign w:val="center"/>
                </w:tcPr>
                <w:p>
                  <w:pPr>
                    <w:pStyle w:val="11"/>
                    <w:spacing w:line="240" w:lineRule="auto"/>
                    <w:ind w:firstLine="0" w:firstLineChars="0"/>
                    <w:jc w:val="center"/>
                    <w:rPr>
                      <w:sz w:val="21"/>
                      <w:szCs w:val="21"/>
                    </w:rPr>
                  </w:pPr>
                </w:p>
              </w:tc>
              <w:tc>
                <w:tcPr>
                  <w:tcW w:w="694" w:type="dxa"/>
                  <w:vMerge w:val="restart"/>
                  <w:vAlign w:val="center"/>
                </w:tcPr>
                <w:p>
                  <w:pPr>
                    <w:pStyle w:val="11"/>
                    <w:spacing w:line="240" w:lineRule="auto"/>
                    <w:ind w:firstLine="0" w:firstLineChars="0"/>
                    <w:jc w:val="center"/>
                    <w:rPr>
                      <w:sz w:val="21"/>
                      <w:szCs w:val="21"/>
                    </w:rPr>
                  </w:pPr>
                  <w:r>
                    <w:rPr>
                      <w:sz w:val="21"/>
                      <w:szCs w:val="21"/>
                    </w:rPr>
                    <w:t>全部施工期</w:t>
                  </w:r>
                </w:p>
              </w:tc>
              <w:tc>
                <w:tcPr>
                  <w:tcW w:w="694" w:type="dxa"/>
                  <w:vMerge w:val="continue"/>
                  <w:vAlign w:val="center"/>
                </w:tcPr>
                <w:p>
                  <w:pPr>
                    <w:pStyle w:val="11"/>
                    <w:spacing w:line="240" w:lineRule="auto"/>
                    <w:ind w:firstLine="0" w:firstLineChars="0"/>
                    <w:jc w:val="center"/>
                    <w:rPr>
                      <w:sz w:val="21"/>
                      <w:szCs w:val="21"/>
                    </w:rPr>
                  </w:pPr>
                </w:p>
              </w:tc>
              <w:tc>
                <w:tcPr>
                  <w:tcW w:w="963" w:type="dxa"/>
                  <w:vMerge w:val="continue"/>
                  <w:vAlign w:val="center"/>
                </w:tcPr>
                <w:p>
                  <w:pPr>
                    <w:pStyle w:val="11"/>
                    <w:spacing w:line="240" w:lineRule="auto"/>
                    <w:ind w:firstLine="0" w:firstLineChars="0"/>
                    <w:jc w:val="center"/>
                    <w:rPr>
                      <w:sz w:val="21"/>
                      <w:szCs w:val="21"/>
                    </w:rPr>
                  </w:pPr>
                </w:p>
              </w:tc>
              <w:tc>
                <w:tcPr>
                  <w:tcW w:w="1855" w:type="dxa"/>
                  <w:vAlign w:val="center"/>
                </w:tcPr>
                <w:p>
                  <w:pPr>
                    <w:widowControl/>
                    <w:jc w:val="left"/>
                    <w:rPr>
                      <w:szCs w:val="21"/>
                    </w:rPr>
                  </w:pPr>
                  <w:r>
                    <w:rPr>
                      <w:color w:val="000000"/>
                      <w:szCs w:val="21"/>
                    </w:rPr>
                    <w:t>避免发生施工人员随意惊吓、捕杀野生动物，踩踏、破坏植被的现象。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3" w:type="dxa"/>
                  <w:vAlign w:val="center"/>
                </w:tcPr>
                <w:p>
                  <w:pPr>
                    <w:pStyle w:val="11"/>
                    <w:spacing w:line="240" w:lineRule="auto"/>
                    <w:ind w:firstLine="0" w:firstLineChars="0"/>
                    <w:jc w:val="center"/>
                    <w:rPr>
                      <w:sz w:val="21"/>
                      <w:szCs w:val="21"/>
                    </w:rPr>
                  </w:pPr>
                  <w:r>
                    <w:rPr>
                      <w:rFonts w:hint="eastAsia"/>
                      <w:sz w:val="21"/>
                      <w:szCs w:val="21"/>
                    </w:rPr>
                    <w:t>7</w:t>
                  </w:r>
                </w:p>
              </w:tc>
              <w:tc>
                <w:tcPr>
                  <w:tcW w:w="2684" w:type="dxa"/>
                  <w:vAlign w:val="center"/>
                </w:tcPr>
                <w:p>
                  <w:pPr>
                    <w:pStyle w:val="11"/>
                    <w:spacing w:line="240" w:lineRule="auto"/>
                    <w:ind w:firstLine="0" w:firstLineChars="0"/>
                    <w:rPr>
                      <w:color w:val="000000"/>
                      <w:sz w:val="21"/>
                    </w:rPr>
                  </w:pPr>
                  <w:r>
                    <w:rPr>
                      <w:rFonts w:hint="eastAsia"/>
                      <w:color w:val="000000"/>
                      <w:sz w:val="21"/>
                    </w:rPr>
                    <w:t>变电站新建工程应先修建化粪池，施工期施工人员生活废水依托变电站化粪池和施工生产生活区设置的临时厕所收集处理，定期清掏不外排。</w:t>
                  </w:r>
                </w:p>
              </w:tc>
              <w:tc>
                <w:tcPr>
                  <w:tcW w:w="833" w:type="dxa"/>
                  <w:vMerge w:val="restart"/>
                  <w:vAlign w:val="center"/>
                </w:tcPr>
                <w:p>
                  <w:pPr>
                    <w:pStyle w:val="11"/>
                    <w:spacing w:line="240" w:lineRule="auto"/>
                    <w:ind w:firstLine="0" w:firstLineChars="0"/>
                    <w:rPr>
                      <w:sz w:val="21"/>
                      <w:szCs w:val="21"/>
                    </w:rPr>
                  </w:pPr>
                  <w:r>
                    <w:rPr>
                      <w:sz w:val="21"/>
                      <w:szCs w:val="21"/>
                    </w:rPr>
                    <w:t>施工现场</w:t>
                  </w:r>
                </w:p>
              </w:tc>
              <w:tc>
                <w:tcPr>
                  <w:tcW w:w="694" w:type="dxa"/>
                  <w:vMerge w:val="continue"/>
                  <w:vAlign w:val="center"/>
                </w:tcPr>
                <w:p>
                  <w:pPr>
                    <w:pStyle w:val="11"/>
                    <w:spacing w:line="240" w:lineRule="auto"/>
                    <w:ind w:firstLine="0" w:firstLineChars="0"/>
                    <w:jc w:val="center"/>
                    <w:rPr>
                      <w:sz w:val="21"/>
                      <w:szCs w:val="21"/>
                    </w:rPr>
                  </w:pPr>
                </w:p>
              </w:tc>
              <w:tc>
                <w:tcPr>
                  <w:tcW w:w="694" w:type="dxa"/>
                  <w:vMerge w:val="continue"/>
                  <w:vAlign w:val="center"/>
                </w:tcPr>
                <w:p>
                  <w:pPr>
                    <w:pStyle w:val="11"/>
                    <w:spacing w:line="240" w:lineRule="auto"/>
                    <w:ind w:firstLine="0" w:firstLineChars="0"/>
                    <w:jc w:val="center"/>
                    <w:rPr>
                      <w:sz w:val="21"/>
                      <w:szCs w:val="21"/>
                    </w:rPr>
                  </w:pPr>
                </w:p>
              </w:tc>
              <w:tc>
                <w:tcPr>
                  <w:tcW w:w="963" w:type="dxa"/>
                  <w:vMerge w:val="continue"/>
                  <w:vAlign w:val="center"/>
                </w:tcPr>
                <w:p>
                  <w:pPr>
                    <w:pStyle w:val="11"/>
                    <w:spacing w:line="240" w:lineRule="auto"/>
                    <w:ind w:firstLine="0" w:firstLineChars="0"/>
                    <w:jc w:val="center"/>
                    <w:rPr>
                      <w:sz w:val="21"/>
                      <w:szCs w:val="21"/>
                    </w:rPr>
                  </w:pPr>
                </w:p>
              </w:tc>
              <w:tc>
                <w:tcPr>
                  <w:tcW w:w="1855" w:type="dxa"/>
                  <w:vMerge w:val="restart"/>
                  <w:vAlign w:val="center"/>
                </w:tcPr>
                <w:p>
                  <w:pPr>
                    <w:pStyle w:val="11"/>
                    <w:spacing w:line="240" w:lineRule="auto"/>
                    <w:ind w:firstLine="0" w:firstLineChars="0"/>
                    <w:rPr>
                      <w:sz w:val="21"/>
                      <w:szCs w:val="21"/>
                    </w:rPr>
                  </w:pPr>
                  <w:r>
                    <w:rPr>
                      <w:sz w:val="21"/>
                      <w:szCs w:val="21"/>
                    </w:rPr>
                    <w:t>废水不外排，地表水环境未受到污染。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3" w:type="dxa"/>
                  <w:vAlign w:val="center"/>
                </w:tcPr>
                <w:p>
                  <w:pPr>
                    <w:pStyle w:val="11"/>
                    <w:spacing w:line="240" w:lineRule="auto"/>
                    <w:ind w:firstLine="0" w:firstLineChars="0"/>
                    <w:jc w:val="center"/>
                    <w:rPr>
                      <w:sz w:val="21"/>
                      <w:szCs w:val="21"/>
                    </w:rPr>
                  </w:pPr>
                  <w:r>
                    <w:rPr>
                      <w:rFonts w:hint="eastAsia"/>
                      <w:sz w:val="21"/>
                      <w:szCs w:val="21"/>
                    </w:rPr>
                    <w:t>8</w:t>
                  </w:r>
                </w:p>
              </w:tc>
              <w:tc>
                <w:tcPr>
                  <w:tcW w:w="2684" w:type="dxa"/>
                  <w:vAlign w:val="center"/>
                </w:tcPr>
                <w:p>
                  <w:pPr>
                    <w:pStyle w:val="11"/>
                    <w:spacing w:line="240" w:lineRule="auto"/>
                    <w:ind w:firstLine="0" w:firstLineChars="0"/>
                    <w:rPr>
                      <w:sz w:val="21"/>
                      <w:szCs w:val="21"/>
                    </w:rPr>
                  </w:pPr>
                  <w:r>
                    <w:rPr>
                      <w:rFonts w:hint="eastAsia"/>
                      <w:sz w:val="21"/>
                      <w:szCs w:val="21"/>
                    </w:rPr>
                    <w:t>输电线路施工现场设置移动环保厕所并做好防渗处理，</w:t>
                  </w:r>
                  <w:r>
                    <w:rPr>
                      <w:sz w:val="21"/>
                      <w:szCs w:val="21"/>
                    </w:rPr>
                    <w:t>生活污水收集后进行定期清运</w:t>
                  </w:r>
                  <w:r>
                    <w:rPr>
                      <w:rFonts w:hint="eastAsia"/>
                      <w:sz w:val="21"/>
                      <w:szCs w:val="21"/>
                    </w:rPr>
                    <w:t>，不外排。</w:t>
                  </w:r>
                </w:p>
              </w:tc>
              <w:tc>
                <w:tcPr>
                  <w:tcW w:w="833" w:type="dxa"/>
                  <w:vMerge w:val="continue"/>
                  <w:vAlign w:val="center"/>
                </w:tcPr>
                <w:p>
                  <w:pPr>
                    <w:pStyle w:val="11"/>
                    <w:spacing w:line="240" w:lineRule="auto"/>
                    <w:ind w:firstLine="0" w:firstLineChars="0"/>
                    <w:jc w:val="center"/>
                    <w:rPr>
                      <w:sz w:val="21"/>
                      <w:szCs w:val="21"/>
                    </w:rPr>
                  </w:pPr>
                </w:p>
              </w:tc>
              <w:tc>
                <w:tcPr>
                  <w:tcW w:w="694" w:type="dxa"/>
                  <w:vMerge w:val="continue"/>
                  <w:vAlign w:val="center"/>
                </w:tcPr>
                <w:p>
                  <w:pPr>
                    <w:pStyle w:val="11"/>
                    <w:spacing w:line="240" w:lineRule="auto"/>
                    <w:ind w:firstLine="0" w:firstLineChars="0"/>
                    <w:jc w:val="center"/>
                    <w:rPr>
                      <w:sz w:val="21"/>
                      <w:szCs w:val="21"/>
                    </w:rPr>
                  </w:pPr>
                </w:p>
              </w:tc>
              <w:tc>
                <w:tcPr>
                  <w:tcW w:w="694" w:type="dxa"/>
                  <w:vMerge w:val="continue"/>
                  <w:vAlign w:val="center"/>
                </w:tcPr>
                <w:p>
                  <w:pPr>
                    <w:pStyle w:val="11"/>
                    <w:spacing w:line="240" w:lineRule="auto"/>
                    <w:ind w:firstLine="0" w:firstLineChars="0"/>
                    <w:jc w:val="center"/>
                    <w:rPr>
                      <w:sz w:val="21"/>
                      <w:szCs w:val="21"/>
                    </w:rPr>
                  </w:pPr>
                </w:p>
              </w:tc>
              <w:tc>
                <w:tcPr>
                  <w:tcW w:w="963" w:type="dxa"/>
                  <w:vMerge w:val="continue"/>
                  <w:vAlign w:val="center"/>
                </w:tcPr>
                <w:p>
                  <w:pPr>
                    <w:pStyle w:val="11"/>
                    <w:spacing w:line="240" w:lineRule="auto"/>
                    <w:ind w:firstLine="0" w:firstLineChars="0"/>
                    <w:jc w:val="center"/>
                    <w:rPr>
                      <w:sz w:val="21"/>
                      <w:szCs w:val="21"/>
                    </w:rPr>
                  </w:pPr>
                </w:p>
              </w:tc>
              <w:tc>
                <w:tcPr>
                  <w:tcW w:w="1855" w:type="dxa"/>
                  <w:vMerge w:val="continue"/>
                  <w:vAlign w:val="center"/>
                </w:tcPr>
                <w:p>
                  <w:pPr>
                    <w:pStyle w:val="11"/>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3" w:type="dxa"/>
                  <w:vAlign w:val="center"/>
                </w:tcPr>
                <w:p>
                  <w:pPr>
                    <w:pStyle w:val="11"/>
                    <w:spacing w:line="240" w:lineRule="auto"/>
                    <w:ind w:firstLine="0" w:firstLineChars="0"/>
                    <w:jc w:val="center"/>
                    <w:rPr>
                      <w:sz w:val="21"/>
                      <w:szCs w:val="21"/>
                    </w:rPr>
                  </w:pPr>
                  <w:r>
                    <w:rPr>
                      <w:rFonts w:hint="eastAsia"/>
                      <w:sz w:val="21"/>
                      <w:szCs w:val="21"/>
                    </w:rPr>
                    <w:t>9</w:t>
                  </w:r>
                </w:p>
              </w:tc>
              <w:tc>
                <w:tcPr>
                  <w:tcW w:w="2684" w:type="dxa"/>
                  <w:vAlign w:val="center"/>
                </w:tcPr>
                <w:p>
                  <w:pPr>
                    <w:pStyle w:val="11"/>
                    <w:spacing w:line="240" w:lineRule="auto"/>
                    <w:ind w:firstLine="0" w:firstLineChars="0"/>
                    <w:rPr>
                      <w:sz w:val="21"/>
                      <w:szCs w:val="21"/>
                    </w:rPr>
                  </w:pPr>
                  <w:r>
                    <w:rPr>
                      <w:rStyle w:val="91"/>
                      <w:rFonts w:ascii="Times New Roman" w:eastAsia="宋体" w:cs="Times New Roman"/>
                      <w:sz w:val="21"/>
                      <w:szCs w:val="21"/>
                    </w:rPr>
                    <w:t>文明施工，采用低噪声施工设备，加强维护保养，严格操作规程，依法限制夜间施工。</w:t>
                  </w:r>
                </w:p>
              </w:tc>
              <w:tc>
                <w:tcPr>
                  <w:tcW w:w="833" w:type="dxa"/>
                  <w:vMerge w:val="restart"/>
                  <w:vAlign w:val="center"/>
                </w:tcPr>
                <w:p>
                  <w:pPr>
                    <w:pStyle w:val="11"/>
                    <w:spacing w:line="240" w:lineRule="auto"/>
                    <w:ind w:firstLine="0" w:firstLineChars="0"/>
                    <w:jc w:val="center"/>
                    <w:rPr>
                      <w:sz w:val="21"/>
                      <w:szCs w:val="21"/>
                    </w:rPr>
                  </w:pPr>
                  <w:r>
                    <w:rPr>
                      <w:sz w:val="21"/>
                      <w:szCs w:val="21"/>
                    </w:rPr>
                    <w:t>工程施工场所、区域</w:t>
                  </w:r>
                </w:p>
              </w:tc>
              <w:tc>
                <w:tcPr>
                  <w:tcW w:w="694" w:type="dxa"/>
                  <w:vMerge w:val="continue"/>
                  <w:vAlign w:val="center"/>
                </w:tcPr>
                <w:p>
                  <w:pPr>
                    <w:pStyle w:val="11"/>
                    <w:spacing w:line="240" w:lineRule="auto"/>
                    <w:ind w:firstLine="0" w:firstLineChars="0"/>
                    <w:jc w:val="center"/>
                    <w:rPr>
                      <w:sz w:val="21"/>
                      <w:szCs w:val="21"/>
                    </w:rPr>
                  </w:pPr>
                </w:p>
              </w:tc>
              <w:tc>
                <w:tcPr>
                  <w:tcW w:w="694" w:type="dxa"/>
                  <w:vMerge w:val="continue"/>
                  <w:vAlign w:val="center"/>
                </w:tcPr>
                <w:p>
                  <w:pPr>
                    <w:pStyle w:val="11"/>
                    <w:spacing w:line="240" w:lineRule="auto"/>
                    <w:ind w:firstLine="0" w:firstLineChars="0"/>
                    <w:jc w:val="center"/>
                    <w:rPr>
                      <w:sz w:val="21"/>
                      <w:szCs w:val="21"/>
                    </w:rPr>
                  </w:pPr>
                </w:p>
              </w:tc>
              <w:tc>
                <w:tcPr>
                  <w:tcW w:w="963" w:type="dxa"/>
                  <w:vMerge w:val="continue"/>
                  <w:vAlign w:val="center"/>
                </w:tcPr>
                <w:p>
                  <w:pPr>
                    <w:pStyle w:val="11"/>
                    <w:spacing w:line="240" w:lineRule="auto"/>
                    <w:ind w:firstLine="0" w:firstLineChars="0"/>
                    <w:jc w:val="center"/>
                    <w:rPr>
                      <w:sz w:val="21"/>
                      <w:szCs w:val="21"/>
                    </w:rPr>
                  </w:pPr>
                </w:p>
              </w:tc>
              <w:tc>
                <w:tcPr>
                  <w:tcW w:w="1855" w:type="dxa"/>
                  <w:vMerge w:val="restart"/>
                  <w:vAlign w:val="center"/>
                </w:tcPr>
                <w:p>
                  <w:pPr>
                    <w:pStyle w:val="11"/>
                    <w:spacing w:line="240" w:lineRule="auto"/>
                    <w:ind w:firstLine="0" w:firstLineChars="0"/>
                    <w:jc w:val="center"/>
                    <w:rPr>
                      <w:sz w:val="21"/>
                      <w:szCs w:val="21"/>
                    </w:rPr>
                  </w:pPr>
                  <w:r>
                    <w:rPr>
                      <w:rStyle w:val="91"/>
                      <w:rFonts w:ascii="Times New Roman" w:eastAsia="宋体" w:cs="Times New Roman"/>
                      <w:sz w:val="21"/>
                      <w:szCs w:val="21"/>
                    </w:rPr>
                    <w:t>对周边声环境影响较小。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3" w:type="dxa"/>
                  <w:vAlign w:val="center"/>
                </w:tcPr>
                <w:p>
                  <w:pPr>
                    <w:pStyle w:val="11"/>
                    <w:spacing w:line="240" w:lineRule="auto"/>
                    <w:ind w:firstLine="0" w:firstLineChars="0"/>
                    <w:jc w:val="center"/>
                    <w:rPr>
                      <w:sz w:val="21"/>
                      <w:szCs w:val="21"/>
                    </w:rPr>
                  </w:pPr>
                  <w:r>
                    <w:rPr>
                      <w:rFonts w:hint="eastAsia"/>
                      <w:sz w:val="21"/>
                      <w:szCs w:val="21"/>
                    </w:rPr>
                    <w:t>10</w:t>
                  </w:r>
                </w:p>
              </w:tc>
              <w:tc>
                <w:tcPr>
                  <w:tcW w:w="2684" w:type="dxa"/>
                  <w:vAlign w:val="center"/>
                </w:tcPr>
                <w:p>
                  <w:pPr>
                    <w:pStyle w:val="11"/>
                    <w:spacing w:line="240" w:lineRule="auto"/>
                    <w:ind w:firstLine="0" w:firstLineChars="0"/>
                    <w:rPr>
                      <w:rStyle w:val="91"/>
                      <w:rFonts w:ascii="Times New Roman" w:eastAsia="宋体" w:cs="Times New Roman"/>
                      <w:sz w:val="21"/>
                      <w:szCs w:val="21"/>
                    </w:rPr>
                  </w:pPr>
                  <w:r>
                    <w:rPr>
                      <w:rFonts w:hint="eastAsia"/>
                      <w:sz w:val="21"/>
                    </w:rPr>
                    <w:t>变电站先修建围墙，利用围墙的隔声作用，减缓施工噪声对周围环境的影响。</w:t>
                  </w:r>
                </w:p>
              </w:tc>
              <w:tc>
                <w:tcPr>
                  <w:tcW w:w="833" w:type="dxa"/>
                  <w:vMerge w:val="continue"/>
                  <w:vAlign w:val="center"/>
                </w:tcPr>
                <w:p>
                  <w:pPr>
                    <w:pStyle w:val="11"/>
                    <w:spacing w:line="240" w:lineRule="auto"/>
                    <w:ind w:firstLine="0" w:firstLineChars="0"/>
                    <w:jc w:val="center"/>
                    <w:rPr>
                      <w:sz w:val="21"/>
                      <w:szCs w:val="21"/>
                    </w:rPr>
                  </w:pPr>
                </w:p>
              </w:tc>
              <w:tc>
                <w:tcPr>
                  <w:tcW w:w="694" w:type="dxa"/>
                  <w:vMerge w:val="continue"/>
                  <w:vAlign w:val="center"/>
                </w:tcPr>
                <w:p>
                  <w:pPr>
                    <w:pStyle w:val="11"/>
                    <w:spacing w:line="240" w:lineRule="auto"/>
                    <w:ind w:firstLine="0" w:firstLineChars="0"/>
                    <w:jc w:val="center"/>
                    <w:rPr>
                      <w:sz w:val="21"/>
                      <w:szCs w:val="21"/>
                    </w:rPr>
                  </w:pPr>
                </w:p>
              </w:tc>
              <w:tc>
                <w:tcPr>
                  <w:tcW w:w="694" w:type="dxa"/>
                  <w:vMerge w:val="continue"/>
                  <w:vAlign w:val="center"/>
                </w:tcPr>
                <w:p>
                  <w:pPr>
                    <w:pStyle w:val="11"/>
                    <w:spacing w:line="240" w:lineRule="auto"/>
                    <w:ind w:firstLine="0" w:firstLineChars="0"/>
                    <w:jc w:val="center"/>
                    <w:rPr>
                      <w:sz w:val="21"/>
                      <w:szCs w:val="21"/>
                    </w:rPr>
                  </w:pPr>
                </w:p>
              </w:tc>
              <w:tc>
                <w:tcPr>
                  <w:tcW w:w="963" w:type="dxa"/>
                  <w:vMerge w:val="continue"/>
                  <w:vAlign w:val="center"/>
                </w:tcPr>
                <w:p>
                  <w:pPr>
                    <w:pStyle w:val="11"/>
                    <w:spacing w:line="240" w:lineRule="auto"/>
                    <w:ind w:firstLine="0" w:firstLineChars="0"/>
                    <w:jc w:val="center"/>
                    <w:rPr>
                      <w:sz w:val="21"/>
                      <w:szCs w:val="21"/>
                    </w:rPr>
                  </w:pPr>
                </w:p>
              </w:tc>
              <w:tc>
                <w:tcPr>
                  <w:tcW w:w="1855" w:type="dxa"/>
                  <w:vMerge w:val="continue"/>
                  <w:vAlign w:val="center"/>
                </w:tcPr>
                <w:p>
                  <w:pPr>
                    <w:pStyle w:val="11"/>
                    <w:spacing w:line="240" w:lineRule="auto"/>
                    <w:ind w:firstLine="0" w:firstLineChars="0"/>
                    <w:jc w:val="center"/>
                    <w:rPr>
                      <w:rStyle w:val="91"/>
                      <w:rFonts w:asci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3" w:type="dxa"/>
                  <w:vAlign w:val="center"/>
                </w:tcPr>
                <w:p>
                  <w:pPr>
                    <w:pStyle w:val="11"/>
                    <w:spacing w:line="240" w:lineRule="auto"/>
                    <w:ind w:firstLine="0" w:firstLineChars="0"/>
                    <w:jc w:val="center"/>
                    <w:rPr>
                      <w:sz w:val="21"/>
                      <w:szCs w:val="21"/>
                    </w:rPr>
                  </w:pPr>
                  <w:r>
                    <w:rPr>
                      <w:rFonts w:hint="eastAsia"/>
                      <w:sz w:val="21"/>
                      <w:szCs w:val="21"/>
                    </w:rPr>
                    <w:t>11</w:t>
                  </w:r>
                </w:p>
              </w:tc>
              <w:tc>
                <w:tcPr>
                  <w:tcW w:w="2684" w:type="dxa"/>
                  <w:vAlign w:val="center"/>
                </w:tcPr>
                <w:p>
                  <w:pPr>
                    <w:pStyle w:val="11"/>
                    <w:spacing w:line="240" w:lineRule="auto"/>
                    <w:ind w:firstLine="0" w:firstLineChars="0"/>
                    <w:rPr>
                      <w:sz w:val="21"/>
                      <w:szCs w:val="21"/>
                    </w:rPr>
                  </w:pPr>
                  <w:r>
                    <w:rPr>
                      <w:rStyle w:val="91"/>
                      <w:rFonts w:ascii="Times New Roman" w:eastAsia="宋体" w:cs="Times New Roman"/>
                      <w:sz w:val="21"/>
                      <w:szCs w:val="21"/>
                    </w:rPr>
                    <w:t>土石方和建筑垃圾运输篷布遮盖、临时堆土和细颗粒建筑材料采取苫盖遮挡措施、裸露地表采取苫盖遮挡措施道路及施工面洒水降尘</w:t>
                  </w:r>
                  <w:r>
                    <w:rPr>
                      <w:rStyle w:val="91"/>
                      <w:rFonts w:hint="eastAsia" w:ascii="Times New Roman" w:eastAsia="宋体" w:cs="Times New Roman"/>
                      <w:sz w:val="21"/>
                      <w:szCs w:val="21"/>
                    </w:rPr>
                    <w:t>。</w:t>
                  </w:r>
                </w:p>
              </w:tc>
              <w:tc>
                <w:tcPr>
                  <w:tcW w:w="833" w:type="dxa"/>
                  <w:vMerge w:val="continue"/>
                  <w:vAlign w:val="center"/>
                </w:tcPr>
                <w:p>
                  <w:pPr>
                    <w:pStyle w:val="11"/>
                    <w:spacing w:line="240" w:lineRule="auto"/>
                    <w:ind w:firstLine="0" w:firstLineChars="0"/>
                    <w:jc w:val="center"/>
                    <w:rPr>
                      <w:sz w:val="21"/>
                      <w:szCs w:val="21"/>
                    </w:rPr>
                  </w:pPr>
                </w:p>
              </w:tc>
              <w:tc>
                <w:tcPr>
                  <w:tcW w:w="694" w:type="dxa"/>
                  <w:vMerge w:val="continue"/>
                  <w:vAlign w:val="center"/>
                </w:tcPr>
                <w:p>
                  <w:pPr>
                    <w:pStyle w:val="11"/>
                    <w:spacing w:line="240" w:lineRule="auto"/>
                    <w:ind w:firstLine="0" w:firstLineChars="0"/>
                    <w:jc w:val="center"/>
                    <w:rPr>
                      <w:sz w:val="21"/>
                      <w:szCs w:val="21"/>
                    </w:rPr>
                  </w:pPr>
                </w:p>
              </w:tc>
              <w:tc>
                <w:tcPr>
                  <w:tcW w:w="694" w:type="dxa"/>
                  <w:vMerge w:val="continue"/>
                  <w:vAlign w:val="center"/>
                </w:tcPr>
                <w:p>
                  <w:pPr>
                    <w:pStyle w:val="11"/>
                    <w:spacing w:line="240" w:lineRule="auto"/>
                    <w:ind w:firstLine="0" w:firstLineChars="0"/>
                    <w:jc w:val="center"/>
                    <w:rPr>
                      <w:sz w:val="21"/>
                      <w:szCs w:val="21"/>
                    </w:rPr>
                  </w:pPr>
                </w:p>
              </w:tc>
              <w:tc>
                <w:tcPr>
                  <w:tcW w:w="963" w:type="dxa"/>
                  <w:vMerge w:val="continue"/>
                  <w:vAlign w:val="center"/>
                </w:tcPr>
                <w:p>
                  <w:pPr>
                    <w:pStyle w:val="11"/>
                    <w:spacing w:line="240" w:lineRule="auto"/>
                    <w:ind w:firstLine="0" w:firstLineChars="0"/>
                    <w:jc w:val="center"/>
                    <w:rPr>
                      <w:sz w:val="21"/>
                      <w:szCs w:val="21"/>
                    </w:rPr>
                  </w:pPr>
                </w:p>
              </w:tc>
              <w:tc>
                <w:tcPr>
                  <w:tcW w:w="1855" w:type="dxa"/>
                  <w:vAlign w:val="center"/>
                </w:tcPr>
                <w:p>
                  <w:pPr>
                    <w:pStyle w:val="11"/>
                    <w:spacing w:line="240" w:lineRule="auto"/>
                    <w:ind w:firstLine="0" w:firstLineChars="0"/>
                    <w:jc w:val="center"/>
                    <w:rPr>
                      <w:sz w:val="21"/>
                      <w:szCs w:val="21"/>
                    </w:rPr>
                  </w:pPr>
                  <w:r>
                    <w:rPr>
                      <w:rStyle w:val="91"/>
                      <w:rFonts w:ascii="Times New Roman" w:eastAsia="宋体" w:cs="Times New Roman"/>
                      <w:sz w:val="21"/>
                      <w:szCs w:val="21"/>
                    </w:rPr>
                    <w:t>对周边大气环境影响较小。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3" w:type="dxa"/>
                  <w:vAlign w:val="center"/>
                </w:tcPr>
                <w:p>
                  <w:pPr>
                    <w:pStyle w:val="11"/>
                    <w:spacing w:line="240" w:lineRule="auto"/>
                    <w:ind w:firstLine="0" w:firstLineChars="0"/>
                    <w:jc w:val="center"/>
                    <w:rPr>
                      <w:sz w:val="21"/>
                      <w:szCs w:val="21"/>
                    </w:rPr>
                  </w:pPr>
                  <w:r>
                    <w:rPr>
                      <w:sz w:val="21"/>
                      <w:szCs w:val="21"/>
                    </w:rPr>
                    <w:t>1</w:t>
                  </w:r>
                  <w:r>
                    <w:rPr>
                      <w:rFonts w:hint="eastAsia"/>
                      <w:sz w:val="21"/>
                      <w:szCs w:val="21"/>
                    </w:rPr>
                    <w:t>2</w:t>
                  </w:r>
                </w:p>
              </w:tc>
              <w:tc>
                <w:tcPr>
                  <w:tcW w:w="2684" w:type="dxa"/>
                  <w:vAlign w:val="center"/>
                </w:tcPr>
                <w:p>
                  <w:pPr>
                    <w:pStyle w:val="11"/>
                    <w:spacing w:line="240" w:lineRule="auto"/>
                    <w:ind w:firstLine="0" w:firstLineChars="0"/>
                    <w:rPr>
                      <w:rStyle w:val="91"/>
                      <w:rFonts w:ascii="Times New Roman" w:eastAsia="宋体" w:cs="Times New Roman"/>
                      <w:sz w:val="21"/>
                      <w:szCs w:val="21"/>
                    </w:rPr>
                  </w:pPr>
                  <w:r>
                    <w:rPr>
                      <w:rStyle w:val="91"/>
                      <w:rFonts w:ascii="Times New Roman" w:eastAsia="宋体" w:cs="Times New Roman"/>
                      <w:sz w:val="21"/>
                      <w:szCs w:val="21"/>
                    </w:rPr>
                    <w:t>建筑垃圾及生活垃圾应分别收集存放，及时清运，统一处置；多余土方应在塔基征地范围内进行平整，同时在表面进行土地平整；施工结束后对施工区域再次进行清理，做到“工完、料尽、场地清”</w:t>
                  </w:r>
                  <w:r>
                    <w:rPr>
                      <w:rStyle w:val="91"/>
                      <w:rFonts w:hint="eastAsia" w:ascii="Times New Roman" w:eastAsia="宋体" w:cs="Times New Roman"/>
                      <w:sz w:val="21"/>
                      <w:szCs w:val="21"/>
                    </w:rPr>
                    <w:t>。</w:t>
                  </w:r>
                </w:p>
              </w:tc>
              <w:tc>
                <w:tcPr>
                  <w:tcW w:w="833" w:type="dxa"/>
                  <w:vMerge w:val="continue"/>
                  <w:vAlign w:val="center"/>
                </w:tcPr>
                <w:p>
                  <w:pPr>
                    <w:pStyle w:val="11"/>
                    <w:spacing w:line="240" w:lineRule="auto"/>
                    <w:ind w:firstLine="0" w:firstLineChars="0"/>
                    <w:jc w:val="center"/>
                    <w:rPr>
                      <w:sz w:val="21"/>
                      <w:szCs w:val="21"/>
                    </w:rPr>
                  </w:pPr>
                </w:p>
              </w:tc>
              <w:tc>
                <w:tcPr>
                  <w:tcW w:w="694" w:type="dxa"/>
                  <w:vMerge w:val="continue"/>
                  <w:vAlign w:val="center"/>
                </w:tcPr>
                <w:p>
                  <w:pPr>
                    <w:pStyle w:val="11"/>
                    <w:spacing w:line="240" w:lineRule="auto"/>
                    <w:ind w:firstLine="0" w:firstLineChars="0"/>
                    <w:jc w:val="center"/>
                    <w:rPr>
                      <w:sz w:val="21"/>
                      <w:szCs w:val="21"/>
                    </w:rPr>
                  </w:pPr>
                </w:p>
              </w:tc>
              <w:tc>
                <w:tcPr>
                  <w:tcW w:w="694" w:type="dxa"/>
                  <w:vMerge w:val="continue"/>
                  <w:vAlign w:val="center"/>
                </w:tcPr>
                <w:p>
                  <w:pPr>
                    <w:pStyle w:val="11"/>
                    <w:spacing w:line="240" w:lineRule="auto"/>
                    <w:ind w:firstLine="0" w:firstLineChars="0"/>
                    <w:jc w:val="center"/>
                    <w:rPr>
                      <w:sz w:val="21"/>
                      <w:szCs w:val="21"/>
                    </w:rPr>
                  </w:pPr>
                </w:p>
              </w:tc>
              <w:tc>
                <w:tcPr>
                  <w:tcW w:w="963" w:type="dxa"/>
                  <w:vMerge w:val="continue"/>
                  <w:vAlign w:val="center"/>
                </w:tcPr>
                <w:p>
                  <w:pPr>
                    <w:pStyle w:val="11"/>
                    <w:spacing w:line="240" w:lineRule="auto"/>
                    <w:ind w:firstLine="0" w:firstLineChars="0"/>
                    <w:jc w:val="center"/>
                    <w:rPr>
                      <w:sz w:val="21"/>
                      <w:szCs w:val="21"/>
                    </w:rPr>
                  </w:pPr>
                </w:p>
              </w:tc>
              <w:tc>
                <w:tcPr>
                  <w:tcW w:w="1855" w:type="dxa"/>
                  <w:vMerge w:val="restart"/>
                  <w:vAlign w:val="center"/>
                </w:tcPr>
                <w:p>
                  <w:pPr>
                    <w:pStyle w:val="11"/>
                    <w:spacing w:line="240" w:lineRule="auto"/>
                    <w:ind w:firstLine="0" w:firstLineChars="0"/>
                    <w:jc w:val="center"/>
                    <w:rPr>
                      <w:rStyle w:val="91"/>
                      <w:rFonts w:ascii="Times New Roman" w:eastAsia="宋体" w:cs="Times New Roman"/>
                      <w:sz w:val="21"/>
                      <w:szCs w:val="21"/>
                    </w:rPr>
                  </w:pPr>
                  <w:r>
                    <w:rPr>
                      <w:rStyle w:val="91"/>
                      <w:rFonts w:ascii="Times New Roman" w:eastAsia="宋体" w:cs="Times New Roman"/>
                      <w:sz w:val="21"/>
                      <w:szCs w:val="21"/>
                    </w:rPr>
                    <w:t>固废均得到有效处置，施工迹地得以恢复。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3" w:type="dxa"/>
                  <w:vAlign w:val="center"/>
                </w:tcPr>
                <w:p>
                  <w:pPr>
                    <w:pStyle w:val="11"/>
                    <w:spacing w:line="240" w:lineRule="auto"/>
                    <w:ind w:firstLine="0" w:firstLineChars="0"/>
                    <w:jc w:val="center"/>
                    <w:rPr>
                      <w:sz w:val="21"/>
                      <w:szCs w:val="21"/>
                    </w:rPr>
                  </w:pPr>
                  <w:r>
                    <w:rPr>
                      <w:sz w:val="21"/>
                      <w:szCs w:val="21"/>
                    </w:rPr>
                    <w:t>1</w:t>
                  </w:r>
                  <w:r>
                    <w:rPr>
                      <w:rFonts w:hint="eastAsia"/>
                      <w:sz w:val="21"/>
                      <w:szCs w:val="21"/>
                    </w:rPr>
                    <w:t>3</w:t>
                  </w:r>
                </w:p>
              </w:tc>
              <w:tc>
                <w:tcPr>
                  <w:tcW w:w="2684" w:type="dxa"/>
                  <w:vAlign w:val="center"/>
                </w:tcPr>
                <w:p>
                  <w:pPr>
                    <w:pStyle w:val="11"/>
                    <w:spacing w:line="240" w:lineRule="auto"/>
                    <w:ind w:firstLine="0" w:firstLineChars="0"/>
                    <w:rPr>
                      <w:rStyle w:val="91"/>
                      <w:rFonts w:ascii="Times New Roman" w:eastAsia="宋体" w:cs="Times New Roman"/>
                      <w:sz w:val="21"/>
                      <w:szCs w:val="21"/>
                    </w:rPr>
                  </w:pPr>
                  <w:r>
                    <w:rPr>
                      <w:rFonts w:hint="eastAsia"/>
                      <w:sz w:val="21"/>
                    </w:rPr>
                    <w:t>拆除施工需遵循“减量化、资源化、无害化”原则，可再利用的塔材、导线和金具等材料应及时交由吐鲁番供电公司物资部回收利用。无法利用的塔材、导线和金具等材料应作为建筑垃圾及时清运。</w:t>
                  </w:r>
                </w:p>
              </w:tc>
              <w:tc>
                <w:tcPr>
                  <w:tcW w:w="833" w:type="dxa"/>
                  <w:vMerge w:val="continue"/>
                  <w:vAlign w:val="center"/>
                </w:tcPr>
                <w:p>
                  <w:pPr>
                    <w:pStyle w:val="11"/>
                    <w:spacing w:line="240" w:lineRule="auto"/>
                    <w:ind w:firstLine="0" w:firstLineChars="0"/>
                    <w:jc w:val="center"/>
                    <w:rPr>
                      <w:sz w:val="21"/>
                      <w:szCs w:val="21"/>
                    </w:rPr>
                  </w:pPr>
                </w:p>
              </w:tc>
              <w:tc>
                <w:tcPr>
                  <w:tcW w:w="694" w:type="dxa"/>
                  <w:vMerge w:val="continue"/>
                  <w:vAlign w:val="center"/>
                </w:tcPr>
                <w:p>
                  <w:pPr>
                    <w:pStyle w:val="11"/>
                    <w:spacing w:line="240" w:lineRule="auto"/>
                    <w:ind w:firstLine="0" w:firstLineChars="0"/>
                    <w:jc w:val="center"/>
                    <w:rPr>
                      <w:sz w:val="21"/>
                      <w:szCs w:val="21"/>
                    </w:rPr>
                  </w:pPr>
                </w:p>
              </w:tc>
              <w:tc>
                <w:tcPr>
                  <w:tcW w:w="694" w:type="dxa"/>
                  <w:vMerge w:val="continue"/>
                  <w:vAlign w:val="center"/>
                </w:tcPr>
                <w:p>
                  <w:pPr>
                    <w:pStyle w:val="11"/>
                    <w:spacing w:line="240" w:lineRule="auto"/>
                    <w:ind w:firstLine="0" w:firstLineChars="0"/>
                    <w:jc w:val="center"/>
                    <w:rPr>
                      <w:sz w:val="21"/>
                      <w:szCs w:val="21"/>
                    </w:rPr>
                  </w:pPr>
                </w:p>
              </w:tc>
              <w:tc>
                <w:tcPr>
                  <w:tcW w:w="963" w:type="dxa"/>
                  <w:vMerge w:val="continue"/>
                  <w:vAlign w:val="center"/>
                </w:tcPr>
                <w:p>
                  <w:pPr>
                    <w:pStyle w:val="11"/>
                    <w:spacing w:line="240" w:lineRule="auto"/>
                    <w:ind w:firstLine="0" w:firstLineChars="0"/>
                    <w:jc w:val="center"/>
                    <w:rPr>
                      <w:sz w:val="21"/>
                      <w:szCs w:val="21"/>
                    </w:rPr>
                  </w:pPr>
                </w:p>
              </w:tc>
              <w:tc>
                <w:tcPr>
                  <w:tcW w:w="1855" w:type="dxa"/>
                  <w:vMerge w:val="continue"/>
                  <w:vAlign w:val="center"/>
                </w:tcPr>
                <w:p>
                  <w:pPr>
                    <w:pStyle w:val="11"/>
                    <w:spacing w:line="240" w:lineRule="auto"/>
                    <w:ind w:firstLine="0" w:firstLineChars="0"/>
                    <w:jc w:val="center"/>
                    <w:rPr>
                      <w:rStyle w:val="91"/>
                      <w:rFonts w:ascii="Times New Roman" w:eastAsia="宋体" w:cs="Times New Roman"/>
                      <w:sz w:val="21"/>
                      <w:szCs w:val="21"/>
                    </w:rPr>
                  </w:pPr>
                </w:p>
              </w:tc>
            </w:tr>
          </w:tbl>
          <w:p>
            <w:pPr>
              <w:pStyle w:val="11"/>
              <w:rPr>
                <w:color w:val="FF0000"/>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99" w:hRule="atLeast"/>
          <w:jc w:val="center"/>
        </w:trPr>
        <w:tc>
          <w:tcPr>
            <w:tcW w:w="557" w:type="dxa"/>
            <w:tcMar>
              <w:left w:w="28" w:type="dxa"/>
              <w:right w:w="28" w:type="dxa"/>
            </w:tcMar>
            <w:vAlign w:val="center"/>
          </w:tcPr>
          <w:p>
            <w:pPr>
              <w:adjustRightInd w:val="0"/>
              <w:snapToGrid w:val="0"/>
              <w:jc w:val="center"/>
              <w:rPr>
                <w:b/>
                <w:bCs/>
                <w:color w:val="FF0000"/>
                <w:spacing w:val="10"/>
                <w:szCs w:val="21"/>
                <w:highlight w:val="yellow"/>
              </w:rPr>
            </w:pPr>
            <w:r>
              <w:rPr>
                <w:b/>
                <w:bCs/>
                <w:spacing w:val="10"/>
                <w:sz w:val="24"/>
              </w:rPr>
              <w:t>运行期生态环境保护措施</w:t>
            </w:r>
          </w:p>
        </w:tc>
        <w:tc>
          <w:tcPr>
            <w:tcW w:w="8090" w:type="dxa"/>
          </w:tcPr>
          <w:p>
            <w:pPr>
              <w:numPr>
                <w:ilvl w:val="0"/>
                <w:numId w:val="26"/>
              </w:numPr>
              <w:spacing w:line="360" w:lineRule="auto"/>
              <w:rPr>
                <w:b/>
                <w:kern w:val="0"/>
                <w:sz w:val="24"/>
                <w:szCs w:val="21"/>
              </w:rPr>
            </w:pPr>
            <w:r>
              <w:rPr>
                <w:rFonts w:hint="eastAsia"/>
                <w:b/>
                <w:kern w:val="0"/>
                <w:sz w:val="24"/>
                <w:szCs w:val="21"/>
              </w:rPr>
              <w:t>运行期生态环境保护措施</w:t>
            </w:r>
          </w:p>
          <w:p>
            <w:pPr>
              <w:pStyle w:val="11"/>
              <w:rPr>
                <w:rFonts w:ascii="Segoe UI" w:hAnsi="Segoe UI" w:cs="Segoe UI"/>
                <w:shd w:val="clear" w:color="auto" w:fill="FFFFFF"/>
              </w:rPr>
            </w:pPr>
            <w:r>
              <w:rPr>
                <w:rFonts w:hint="eastAsia"/>
              </w:rPr>
              <w:t>（1）加强</w:t>
            </w:r>
            <w:r>
              <w:rPr>
                <w:rFonts w:ascii="Segoe UI" w:hAnsi="Segoe UI" w:cs="Segoe UI"/>
                <w:shd w:val="clear" w:color="auto" w:fill="FFFFFF"/>
              </w:rPr>
              <w:t>对巡检人员开展生态保护知识培训，增强</w:t>
            </w:r>
            <w:r>
              <w:rPr>
                <w:rFonts w:hint="eastAsia" w:ascii="Segoe UI" w:hAnsi="Segoe UI" w:cs="Segoe UI"/>
                <w:shd w:val="clear" w:color="auto" w:fill="FFFFFF"/>
              </w:rPr>
              <w:t>巡检人员</w:t>
            </w:r>
            <w:r>
              <w:rPr>
                <w:rFonts w:ascii="Segoe UI" w:hAnsi="Segoe UI" w:cs="Segoe UI"/>
                <w:shd w:val="clear" w:color="auto" w:fill="FFFFFF"/>
              </w:rPr>
              <w:t>保护意识，规范巡检行为，禁止随意践踏植被、破坏地表结皮。</w:t>
            </w:r>
          </w:p>
          <w:p>
            <w:pPr>
              <w:pStyle w:val="11"/>
              <w:rPr>
                <w:rFonts w:ascii="Segoe UI" w:hAnsi="Segoe UI" w:cs="Segoe UI"/>
                <w:shd w:val="clear" w:color="auto" w:fill="FFFFFF"/>
              </w:rPr>
            </w:pPr>
            <w:r>
              <w:rPr>
                <w:rFonts w:hint="eastAsia" w:ascii="Segoe UI" w:hAnsi="Segoe UI" w:cs="Segoe UI"/>
                <w:shd w:val="clear" w:color="auto" w:fill="FFFFFF"/>
              </w:rPr>
              <w:t>（2）</w:t>
            </w:r>
            <w:r>
              <w:rPr>
                <w:rFonts w:ascii="Segoe UI" w:hAnsi="Segoe UI" w:cs="Segoe UI"/>
                <w:shd w:val="clear" w:color="auto" w:fill="FFFFFF"/>
              </w:rPr>
              <w:t>明确规定巡检人员的行为准则，必须沿指定路线行走，不得为图方便擅自开辟新路径；在植被生长区域，要避免进入非必要区域，减少对植被的踩踏。</w:t>
            </w:r>
          </w:p>
          <w:p>
            <w:pPr>
              <w:pStyle w:val="11"/>
              <w:rPr>
                <w:rFonts w:ascii="Segoe UI" w:hAnsi="Segoe UI" w:cs="Segoe UI"/>
                <w:shd w:val="clear" w:color="auto" w:fill="FFFFFF"/>
              </w:rPr>
            </w:pPr>
            <w:r>
              <w:rPr>
                <w:shd w:val="clear" w:color="auto" w:fill="FFFFFF"/>
              </w:rPr>
              <w:t>（3）</w:t>
            </w:r>
            <w:r>
              <w:rPr>
                <w:rFonts w:ascii="Segoe UI" w:hAnsi="Segoe UI" w:cs="Segoe UI"/>
                <w:shd w:val="clear" w:color="auto" w:fill="FFFFFF"/>
              </w:rPr>
              <w:t>规划巡检路线时，尽量利用现有的道路、小径等，</w:t>
            </w:r>
            <w:r>
              <w:rPr>
                <w:rFonts w:hint="eastAsia" w:ascii="Segoe UI" w:hAnsi="Segoe UI" w:cs="Segoe UI"/>
                <w:shd w:val="clear" w:color="auto" w:fill="FFFFFF"/>
              </w:rPr>
              <w:t>避免</w:t>
            </w:r>
            <w:r>
              <w:rPr>
                <w:rFonts w:ascii="Segoe UI" w:hAnsi="Segoe UI" w:cs="Segoe UI"/>
                <w:shd w:val="clear" w:color="auto" w:fill="FFFFFF"/>
              </w:rPr>
              <w:t>再开辟新路线。如果必须</w:t>
            </w:r>
            <w:r>
              <w:rPr>
                <w:rFonts w:hint="eastAsia" w:ascii="Segoe UI" w:hAnsi="Segoe UI" w:cs="Segoe UI"/>
                <w:shd w:val="clear" w:color="auto" w:fill="FFFFFF"/>
              </w:rPr>
              <w:t>开辟新路线</w:t>
            </w:r>
            <w:r>
              <w:rPr>
                <w:rFonts w:ascii="Segoe UI" w:hAnsi="Segoe UI" w:cs="Segoe UI"/>
                <w:shd w:val="clear" w:color="auto" w:fill="FFFFFF"/>
              </w:rPr>
              <w:t>，应选择植被覆盖程度相对较轻的区域，并固定路线，避免车辆随意行驶碾压大面积土地。</w:t>
            </w:r>
          </w:p>
          <w:p>
            <w:pPr>
              <w:pStyle w:val="11"/>
              <w:rPr>
                <w:color w:val="000000"/>
              </w:rPr>
            </w:pPr>
            <w:r>
              <w:rPr>
                <w:shd w:val="clear" w:color="auto" w:fill="FFFFFF"/>
              </w:rPr>
              <w:t>（4）</w:t>
            </w:r>
            <w:r>
              <w:rPr>
                <w:rFonts w:hint="eastAsia"/>
                <w:shd w:val="clear" w:color="auto" w:fill="FFFFFF"/>
              </w:rPr>
              <w:t>若</w:t>
            </w:r>
            <w:r>
              <w:rPr>
                <w:shd w:val="clear" w:color="auto" w:fill="FFFFFF"/>
              </w:rPr>
              <w:t>巡</w:t>
            </w:r>
            <w:r>
              <w:rPr>
                <w:rFonts w:hint="eastAsia" w:ascii="Segoe UI" w:hAnsi="Segoe UI" w:cs="Segoe UI"/>
                <w:shd w:val="clear" w:color="auto" w:fill="FFFFFF"/>
              </w:rPr>
              <w:t>检</w:t>
            </w:r>
            <w:r>
              <w:rPr>
                <w:rFonts w:hint="eastAsia"/>
                <w:color w:val="000000"/>
              </w:rPr>
              <w:t>过程中发现土地沙化的，应当及时报告当地人民政府。</w:t>
            </w:r>
          </w:p>
          <w:p>
            <w:pPr>
              <w:pStyle w:val="11"/>
            </w:pPr>
            <w:r>
              <w:rPr>
                <w:rFonts w:hint="eastAsia"/>
                <w:color w:val="000000"/>
              </w:rPr>
              <w:t>（5）</w:t>
            </w:r>
            <w:r>
              <w:rPr>
                <w:rFonts w:hint="eastAsia"/>
              </w:rPr>
              <w:t>巡检人员应将工程巡检过程中产生的废弃绝缘子、生活垃圾等废弃物随身带走妥善处置，及时消除由此带来的环境风险影响。</w:t>
            </w:r>
          </w:p>
          <w:p>
            <w:pPr>
              <w:numPr>
                <w:ilvl w:val="0"/>
                <w:numId w:val="26"/>
              </w:numPr>
              <w:spacing w:line="360" w:lineRule="auto"/>
              <w:rPr>
                <w:b/>
                <w:kern w:val="0"/>
                <w:sz w:val="24"/>
                <w:szCs w:val="21"/>
              </w:rPr>
            </w:pPr>
            <w:r>
              <w:rPr>
                <w:b/>
                <w:kern w:val="0"/>
                <w:sz w:val="24"/>
                <w:szCs w:val="21"/>
              </w:rPr>
              <w:t>运行期电磁环境污染控制措施</w:t>
            </w:r>
          </w:p>
          <w:p>
            <w:pPr>
              <w:pStyle w:val="11"/>
            </w:pPr>
            <w:r>
              <w:rPr>
                <w:rFonts w:hint="eastAsia"/>
              </w:rPr>
              <w:t>（1）</w:t>
            </w:r>
            <w:r>
              <w:t>严格落实导线对地最低设计高度</w:t>
            </w:r>
            <w:r>
              <w:rPr>
                <w:rFonts w:hint="eastAsia"/>
              </w:rPr>
              <w:t>，</w:t>
            </w:r>
            <w:r>
              <w:t>降低电磁环境的影响</w:t>
            </w:r>
            <w:r>
              <w:rPr>
                <w:rFonts w:hint="eastAsia"/>
              </w:rPr>
              <w:t>。</w:t>
            </w:r>
          </w:p>
          <w:p>
            <w:pPr>
              <w:pStyle w:val="11"/>
            </w:pPr>
            <w:r>
              <w:rPr>
                <w:rFonts w:hint="eastAsia"/>
              </w:rPr>
              <w:t>（2）杆塔悬挂警示警告标志，加强员工安全教育，加强电磁环境科普知识的宣贯。</w:t>
            </w:r>
          </w:p>
          <w:p>
            <w:pPr>
              <w:pStyle w:val="11"/>
            </w:pPr>
            <w:r>
              <w:rPr>
                <w:rFonts w:hint="eastAsia"/>
              </w:rPr>
              <w:t>（3）</w:t>
            </w:r>
            <w:r>
              <w:t>运行期</w:t>
            </w:r>
            <w:r>
              <w:rPr>
                <w:rFonts w:hint="eastAsia"/>
              </w:rPr>
              <w:t>需要</w:t>
            </w:r>
            <w:r>
              <w:t>做好设施的维护和运行管理，定期开展环境监测，确保电磁环境满足《电磁环境控制限值》（GB8702-2014）相关要求。</w:t>
            </w:r>
          </w:p>
          <w:p>
            <w:pPr>
              <w:pStyle w:val="11"/>
              <w:jc w:val="left"/>
              <w:outlineLvl w:val="1"/>
            </w:pPr>
            <w:bookmarkStart w:id="678" w:name="_Toc206503791"/>
            <w:bookmarkStart w:id="679" w:name="_Toc202348516"/>
            <w:bookmarkStart w:id="680" w:name="_Toc24676"/>
            <w:bookmarkStart w:id="681" w:name="_Toc202348369"/>
            <w:r>
              <w:rPr>
                <w:rFonts w:hint="eastAsia"/>
              </w:rPr>
              <w:t>（4）</w:t>
            </w:r>
            <w:r>
              <w:rPr>
                <w:rFonts w:hint="eastAsia" w:ascii="宋体" w:hAnsi="宋体" w:cs="宋体"/>
                <w:color w:val="000000" w:themeColor="text1"/>
                <w:szCs w:val="24"/>
                <w14:textFill>
                  <w14:solidFill>
                    <w14:schemeClr w14:val="tx1"/>
                  </w14:solidFill>
                </w14:textFill>
              </w:rPr>
              <w:t>在项目运行期，要求变电站运行维护人员对变电站进行定期巡查及维护，保障变电站的正常运行，防止由于变电站运行故障产生额外电磁环境影响的情况发生。</w:t>
            </w:r>
            <w:bookmarkEnd w:id="678"/>
            <w:bookmarkEnd w:id="679"/>
            <w:bookmarkEnd w:id="680"/>
            <w:bookmarkEnd w:id="681"/>
          </w:p>
          <w:p>
            <w:pPr>
              <w:numPr>
                <w:ilvl w:val="0"/>
                <w:numId w:val="26"/>
              </w:numPr>
              <w:spacing w:line="360" w:lineRule="auto"/>
              <w:rPr>
                <w:b/>
                <w:kern w:val="0"/>
                <w:sz w:val="24"/>
                <w:szCs w:val="21"/>
              </w:rPr>
            </w:pPr>
            <w:r>
              <w:rPr>
                <w:b/>
                <w:kern w:val="0"/>
                <w:sz w:val="24"/>
                <w:szCs w:val="21"/>
              </w:rPr>
              <w:t>运行期</w:t>
            </w:r>
            <w:r>
              <w:rPr>
                <w:rFonts w:hint="eastAsia"/>
                <w:b/>
                <w:kern w:val="0"/>
                <w:sz w:val="24"/>
                <w:szCs w:val="21"/>
              </w:rPr>
              <w:t>噪声</w:t>
            </w:r>
            <w:r>
              <w:rPr>
                <w:b/>
                <w:kern w:val="0"/>
                <w:sz w:val="24"/>
                <w:szCs w:val="21"/>
              </w:rPr>
              <w:t>污染控制措施</w:t>
            </w:r>
          </w:p>
          <w:p>
            <w:pPr>
              <w:pStyle w:val="11"/>
            </w:pPr>
            <w:r>
              <w:rPr>
                <w:color w:val="000000"/>
              </w:rPr>
              <w:t>运行期</w:t>
            </w:r>
            <w:r>
              <w:rPr>
                <w:rFonts w:hint="eastAsia"/>
                <w:color w:val="000000"/>
              </w:rPr>
              <w:t>需要</w:t>
            </w:r>
            <w:r>
              <w:rPr>
                <w:color w:val="000000"/>
              </w:rPr>
              <w:t>做好设施的维护和运行管理，定期开展环境监测，变电站运行期间厂界噪声均满足《工业企业厂界环境噪声排放标准》（GB12348-2008）</w:t>
            </w:r>
            <w:r>
              <w:rPr>
                <w:rFonts w:hint="eastAsia"/>
                <w:color w:val="000000"/>
              </w:rPr>
              <w:t>2类排放</w:t>
            </w:r>
            <w:r>
              <w:rPr>
                <w:color w:val="000000"/>
              </w:rPr>
              <w:t>标准限值要求，输电线路沿线声环境满足《声环境质量标准》（GB3096-2008）</w:t>
            </w:r>
            <w:r>
              <w:rPr>
                <w:rFonts w:hint="eastAsia"/>
                <w:color w:val="000000"/>
              </w:rPr>
              <w:t>相应声</w:t>
            </w:r>
            <w:r>
              <w:rPr>
                <w:color w:val="000000"/>
              </w:rPr>
              <w:t>功能区标准限值要求。</w:t>
            </w:r>
          </w:p>
          <w:p>
            <w:pPr>
              <w:numPr>
                <w:ilvl w:val="0"/>
                <w:numId w:val="26"/>
              </w:numPr>
              <w:spacing w:line="360" w:lineRule="auto"/>
              <w:rPr>
                <w:b/>
                <w:kern w:val="0"/>
                <w:sz w:val="24"/>
                <w:szCs w:val="21"/>
              </w:rPr>
            </w:pPr>
            <w:r>
              <w:rPr>
                <w:b/>
                <w:kern w:val="0"/>
                <w:sz w:val="24"/>
                <w:szCs w:val="21"/>
              </w:rPr>
              <w:t>运行期水环境污染控制措施</w:t>
            </w:r>
          </w:p>
          <w:p>
            <w:pPr>
              <w:widowControl/>
              <w:spacing w:line="360" w:lineRule="auto"/>
              <w:ind w:firstLine="480" w:firstLineChars="200"/>
              <w:rPr>
                <w:sz w:val="24"/>
              </w:rPr>
            </w:pPr>
            <w:r>
              <w:rPr>
                <w:rFonts w:hint="eastAsia"/>
                <w:sz w:val="24"/>
              </w:rPr>
              <w:t>变电站运行期排水采取雨污分流制排水系统。站区内雨水采取散排及自渗排水方式。变电站站区内生活污水经化粪池处理后定期清理</w:t>
            </w:r>
            <w:r>
              <w:rPr>
                <w:sz w:val="24"/>
              </w:rPr>
              <w:t>。</w:t>
            </w:r>
          </w:p>
          <w:p>
            <w:pPr>
              <w:numPr>
                <w:ilvl w:val="0"/>
                <w:numId w:val="26"/>
              </w:numPr>
              <w:spacing w:line="360" w:lineRule="auto"/>
              <w:rPr>
                <w:b/>
                <w:kern w:val="0"/>
                <w:sz w:val="24"/>
                <w:szCs w:val="21"/>
              </w:rPr>
            </w:pPr>
            <w:r>
              <w:rPr>
                <w:b/>
                <w:kern w:val="0"/>
                <w:sz w:val="24"/>
                <w:szCs w:val="21"/>
              </w:rPr>
              <w:t>运行期</w:t>
            </w:r>
            <w:r>
              <w:rPr>
                <w:rFonts w:hint="eastAsia"/>
                <w:b/>
                <w:kern w:val="0"/>
                <w:sz w:val="24"/>
                <w:szCs w:val="21"/>
              </w:rPr>
              <w:t>环境大气</w:t>
            </w:r>
            <w:r>
              <w:rPr>
                <w:b/>
                <w:kern w:val="0"/>
                <w:sz w:val="24"/>
                <w:szCs w:val="21"/>
              </w:rPr>
              <w:t>污染控制措施</w:t>
            </w:r>
          </w:p>
          <w:p>
            <w:pPr>
              <w:widowControl/>
              <w:spacing w:line="360" w:lineRule="auto"/>
              <w:ind w:firstLine="480" w:firstLineChars="200"/>
              <w:rPr>
                <w:sz w:val="24"/>
              </w:rPr>
            </w:pPr>
            <w:r>
              <w:rPr>
                <w:sz w:val="24"/>
              </w:rPr>
              <w:t>本工程运行期不产生大气污染物，不会对项目周边环境</w:t>
            </w:r>
            <w:r>
              <w:rPr>
                <w:rFonts w:hint="eastAsia"/>
                <w:sz w:val="24"/>
              </w:rPr>
              <w:t>大气</w:t>
            </w:r>
            <w:r>
              <w:rPr>
                <w:sz w:val="24"/>
              </w:rPr>
              <w:t>产生影响。</w:t>
            </w:r>
          </w:p>
          <w:p>
            <w:pPr>
              <w:numPr>
                <w:ilvl w:val="0"/>
                <w:numId w:val="26"/>
              </w:numPr>
              <w:spacing w:line="360" w:lineRule="auto"/>
              <w:rPr>
                <w:b/>
                <w:kern w:val="0"/>
                <w:sz w:val="24"/>
                <w:szCs w:val="21"/>
              </w:rPr>
            </w:pPr>
            <w:r>
              <w:rPr>
                <w:b/>
                <w:kern w:val="0"/>
                <w:sz w:val="24"/>
                <w:szCs w:val="21"/>
              </w:rPr>
              <w:t>运行期固体废物污染控制措施</w:t>
            </w:r>
          </w:p>
          <w:p>
            <w:pPr>
              <w:pStyle w:val="11"/>
              <w:rPr>
                <w:color w:val="000000"/>
              </w:rPr>
            </w:pPr>
            <w:r>
              <w:rPr>
                <w:color w:val="000000"/>
              </w:rPr>
              <w:t>变电站运行期间固体废物为定期巡检人员产生的生活垃圾以及变电站内的废旧蓄电池。</w:t>
            </w:r>
          </w:p>
          <w:p>
            <w:pPr>
              <w:pStyle w:val="11"/>
              <w:rPr>
                <w:color w:val="000000"/>
              </w:rPr>
            </w:pPr>
            <w:r>
              <w:rPr>
                <w:rFonts w:hint="eastAsia"/>
                <w:color w:val="000000"/>
              </w:rPr>
              <w:t>（1）</w:t>
            </w:r>
            <w:r>
              <w:rPr>
                <w:color w:val="000000"/>
              </w:rPr>
              <w:t>对于定期巡检人员产生的少量生活垃圾</w:t>
            </w:r>
            <w:r>
              <w:rPr>
                <w:rFonts w:hint="eastAsia"/>
                <w:color w:val="000000"/>
              </w:rPr>
              <w:t>和可能产生的报废零部件、废旧金具、少量含油抹布和废手套等固废，</w:t>
            </w:r>
            <w:r>
              <w:rPr>
                <w:color w:val="000000"/>
              </w:rPr>
              <w:t>应收集集中后运至当地镇区的生活垃圾转运点，交由环卫部门妥善处理。</w:t>
            </w:r>
          </w:p>
          <w:p>
            <w:pPr>
              <w:pStyle w:val="11"/>
              <w:rPr>
                <w:color w:val="000000"/>
              </w:rPr>
            </w:pPr>
            <w:r>
              <w:rPr>
                <w:rFonts w:hint="eastAsia"/>
                <w:color w:val="000000"/>
              </w:rPr>
              <w:t>（2）</w:t>
            </w:r>
            <w:r>
              <w:rPr>
                <w:color w:val="000000"/>
              </w:rPr>
              <w:t>变电站采用蓄电池作为备用电源，待蓄电池达到使用寿命或需要更换时交由有</w:t>
            </w:r>
            <w:r>
              <w:rPr>
                <w:rFonts w:hint="eastAsia"/>
                <w:color w:val="000000"/>
              </w:rPr>
              <w:t>危废处置</w:t>
            </w:r>
            <w:r>
              <w:rPr>
                <w:color w:val="000000"/>
              </w:rPr>
              <w:t>资质</w:t>
            </w:r>
            <w:r>
              <w:rPr>
                <w:rFonts w:hint="eastAsia"/>
                <w:color w:val="000000"/>
              </w:rPr>
              <w:t>的</w:t>
            </w:r>
            <w:r>
              <w:rPr>
                <w:color w:val="000000"/>
              </w:rPr>
              <w:t>单位</w:t>
            </w:r>
            <w:r>
              <w:rPr>
                <w:rFonts w:hint="eastAsia"/>
                <w:color w:val="000000"/>
              </w:rPr>
              <w:t>进行</w:t>
            </w:r>
            <w:r>
              <w:rPr>
                <w:color w:val="000000"/>
              </w:rPr>
              <w:t>处</w:t>
            </w:r>
            <w:r>
              <w:rPr>
                <w:rFonts w:hint="eastAsia"/>
                <w:color w:val="000000"/>
              </w:rPr>
              <w:t>置</w:t>
            </w:r>
            <w:r>
              <w:rPr>
                <w:color w:val="000000"/>
              </w:rPr>
              <w:t>，严禁随意丢弃。</w:t>
            </w:r>
          </w:p>
          <w:p>
            <w:pPr>
              <w:pStyle w:val="11"/>
              <w:rPr>
                <w:color w:val="000000"/>
              </w:rPr>
            </w:pPr>
            <w:r>
              <w:rPr>
                <w:rFonts w:hint="eastAsia"/>
                <w:color w:val="000000"/>
              </w:rPr>
              <w:t>（3）变电站正常运行期间不会产生废变压器油，事故状态下产生废绝缘油由事故油池收集储存，事故油池收集储存的废绝缘油和维护过程中产生的废油桶、废机油等危险废物及时交由有危废处置资质的单位处理，不随意处置。</w:t>
            </w:r>
          </w:p>
          <w:p>
            <w:pPr>
              <w:pStyle w:val="11"/>
              <w:rPr>
                <w:b/>
                <w:kern w:val="0"/>
                <w:szCs w:val="21"/>
              </w:rPr>
            </w:pPr>
            <w:r>
              <w:rPr>
                <w:rFonts w:hint="eastAsia"/>
                <w:color w:val="000000"/>
              </w:rPr>
              <w:t>（4）</w:t>
            </w:r>
            <w:r>
              <w:rPr>
                <w:color w:val="000000"/>
              </w:rPr>
              <w:t>在输电线路运行期，定期巡线过程中，线路的检修可能产生少量固体废物，运行维护过程中产生的废弃绝缘子、生活垃圾等废物不得随意丢弃，线路运</w:t>
            </w:r>
            <w:r>
              <w:rPr>
                <w:rFonts w:hint="eastAsia"/>
                <w:color w:val="000000"/>
              </w:rPr>
              <w:t>行</w:t>
            </w:r>
            <w:r>
              <w:rPr>
                <w:color w:val="000000"/>
              </w:rPr>
              <w:t>维护人员应将生活垃圾带至垃圾集中收集点妥善处置，废弃绝缘子等废物回收处理</w:t>
            </w:r>
            <w:r>
              <w:t>。</w:t>
            </w:r>
          </w:p>
          <w:p>
            <w:pPr>
              <w:numPr>
                <w:ilvl w:val="0"/>
                <w:numId w:val="26"/>
              </w:numPr>
              <w:spacing w:line="360" w:lineRule="auto"/>
              <w:rPr>
                <w:b/>
                <w:kern w:val="0"/>
                <w:sz w:val="24"/>
                <w:szCs w:val="21"/>
              </w:rPr>
            </w:pPr>
            <w:r>
              <w:rPr>
                <w:b/>
                <w:kern w:val="0"/>
                <w:sz w:val="24"/>
                <w:szCs w:val="21"/>
              </w:rPr>
              <w:t>运行期环境风险控制措施</w:t>
            </w:r>
          </w:p>
          <w:p>
            <w:pPr>
              <w:pStyle w:val="11"/>
              <w:rPr>
                <w:color w:val="000000"/>
              </w:rPr>
            </w:pPr>
            <w:r>
              <w:rPr>
                <w:color w:val="000000"/>
              </w:rPr>
              <w:t>变电站内设置变压器油排蓄系统，变压器基座四周设有事故油坑，事故油坑通过底部的事故排油管道与具有油水分离功能的总事故油池相连，</w:t>
            </w:r>
            <w:r>
              <w:rPr>
                <w:rFonts w:hint="eastAsia"/>
                <w:snapToGrid w:val="0"/>
                <w:color w:val="000000"/>
              </w:rPr>
              <w:t>事故油池防渗效果需满足</w:t>
            </w:r>
            <w:r>
              <w:rPr>
                <w:rFonts w:hint="eastAsia"/>
                <w:color w:val="000000"/>
              </w:rPr>
              <w:t>《危险废物贮存污染控制标准》（</w:t>
            </w:r>
            <w:r>
              <w:rPr>
                <w:color w:val="000000"/>
              </w:rPr>
              <w:t>GB18597-2023</w:t>
            </w:r>
            <w:r>
              <w:rPr>
                <w:rFonts w:hint="eastAsia"/>
                <w:color w:val="000000"/>
              </w:rPr>
              <w:t>）</w:t>
            </w:r>
            <w:r>
              <w:rPr>
                <w:rFonts w:hint="eastAsia"/>
                <w:snapToGrid w:val="0"/>
                <w:color w:val="000000"/>
              </w:rPr>
              <w:t>的相关要求。</w:t>
            </w:r>
            <w:r>
              <w:rPr>
                <w:color w:val="000000"/>
              </w:rPr>
              <w:t>在发生事故时，泄漏的变压器油将通过排油管道排入总事故油池。排入事故油池的变压器油大部分可以回收再利用，不能回收利用的少量含油废水应交由有相应资质单位</w:t>
            </w:r>
            <w:r>
              <w:rPr>
                <w:rFonts w:hint="eastAsia"/>
                <w:color w:val="000000"/>
              </w:rPr>
              <w:t>处理，不随意处置</w:t>
            </w:r>
            <w:r>
              <w:rPr>
                <w:color w:val="000000"/>
              </w:rPr>
              <w:t>。</w:t>
            </w:r>
          </w:p>
          <w:p>
            <w:pPr>
              <w:pStyle w:val="11"/>
              <w:ind w:firstLineChars="0"/>
            </w:pPr>
            <w:r>
              <w:rPr>
                <w:color w:val="000000"/>
              </w:rPr>
              <w:t>加强对事故油池及其排导系统的巡查和维护，做好运行期间的管理工作；对于产生的事故油及含油废水不得随意处置，必须由具有危险废物处理资格的机构妥善处理</w:t>
            </w:r>
            <w:r>
              <w:rPr>
                <w:rFonts w:hint="eastAsia"/>
              </w:rPr>
              <w:t>。</w:t>
            </w:r>
            <w:r>
              <w:rPr>
                <w:rFonts w:hint="eastAsia"/>
                <w:color w:val="000000"/>
              </w:rPr>
              <w:t>事故状态下产生废绝缘油由事故油池收集储存，事故油池收集储存的废绝缘油和维护过程中产生的废油桶、废机油等危险废物及时交由有资质的单位进行处理，不随意处置。</w:t>
            </w:r>
          </w:p>
          <w:p>
            <w:pPr>
              <w:pStyle w:val="11"/>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针对变电站内可能发生的突发环境事件，应按照国家有关规定制定突发环境事件应急预案，并定期演练。</w:t>
            </w:r>
          </w:p>
          <w:p>
            <w:pPr>
              <w:numPr>
                <w:ilvl w:val="0"/>
                <w:numId w:val="25"/>
              </w:numPr>
              <w:spacing w:line="360" w:lineRule="auto"/>
              <w:rPr>
                <w:b/>
                <w:kern w:val="0"/>
                <w:sz w:val="24"/>
                <w:szCs w:val="21"/>
              </w:rPr>
            </w:pPr>
            <w:r>
              <w:rPr>
                <w:rFonts w:hint="eastAsia"/>
                <w:b/>
                <w:kern w:val="0"/>
                <w:sz w:val="24"/>
                <w:szCs w:val="21"/>
              </w:rPr>
              <w:t>运行期生态环境保护措施及预期效果</w:t>
            </w:r>
          </w:p>
          <w:p>
            <w:pPr>
              <w:pStyle w:val="11"/>
              <w:ind w:firstLineChars="0"/>
              <w:rPr>
                <w:rStyle w:val="91"/>
                <w:rFonts w:ascii="Times New Roman" w:eastAsia="宋体" w:cs="Times New Roman"/>
                <w:sz w:val="24"/>
              </w:rPr>
            </w:pPr>
            <w:r>
              <w:rPr>
                <w:rStyle w:val="91"/>
                <w:rFonts w:ascii="Times New Roman" w:eastAsia="宋体" w:cs="Times New Roman"/>
                <w:sz w:val="24"/>
              </w:rPr>
              <w:t>本项目施工期主要生态环境保护措施及预期效果详见</w:t>
            </w:r>
            <w:r>
              <w:rPr>
                <w:rStyle w:val="91"/>
                <w:rFonts w:ascii="Times New Roman" w:eastAsia="宋体" w:cs="Times New Roman"/>
                <w:sz w:val="24"/>
                <w:szCs w:val="24"/>
              </w:rPr>
              <w:fldChar w:fldCharType="begin"/>
            </w:r>
            <w:r>
              <w:rPr>
                <w:rStyle w:val="91"/>
                <w:rFonts w:ascii="Times New Roman" w:eastAsia="宋体" w:cs="Times New Roman"/>
                <w:sz w:val="24"/>
              </w:rPr>
              <w:instrText xml:space="preserve"> REF _Ref202717464 \h </w:instrText>
            </w:r>
            <w:r>
              <w:rPr>
                <w:rStyle w:val="91"/>
                <w:rFonts w:ascii="Times New Roman" w:eastAsia="宋体" w:cs="Times New Roman"/>
                <w:sz w:val="24"/>
                <w:szCs w:val="24"/>
              </w:rPr>
              <w:fldChar w:fldCharType="separate"/>
            </w:r>
            <w:r>
              <w:rPr>
                <w:rFonts w:hint="eastAsia"/>
              </w:rPr>
              <w:t xml:space="preserve">表 </w:t>
            </w:r>
            <w:r>
              <w:t>23</w:t>
            </w:r>
            <w:r>
              <w:rPr>
                <w:rStyle w:val="91"/>
                <w:rFonts w:ascii="Times New Roman" w:eastAsia="宋体" w:cs="Times New Roman"/>
                <w:sz w:val="24"/>
                <w:szCs w:val="24"/>
              </w:rPr>
              <w:fldChar w:fldCharType="end"/>
            </w:r>
            <w:r>
              <w:rPr>
                <w:rStyle w:val="91"/>
                <w:rFonts w:ascii="Times New Roman" w:eastAsia="宋体" w:cs="Times New Roman"/>
                <w:sz w:val="24"/>
              </w:rPr>
              <w:t>，包括：生态环境保护措施实施的部位、时间、责任主体、实施保障、实施效果等</w:t>
            </w:r>
            <w:r>
              <w:rPr>
                <w:rStyle w:val="91"/>
                <w:rFonts w:hint="eastAsia" w:ascii="Times New Roman" w:eastAsia="宋体" w:cs="Times New Roman"/>
                <w:sz w:val="24"/>
              </w:rPr>
              <w:t>。</w:t>
            </w:r>
          </w:p>
          <w:p>
            <w:pPr>
              <w:pStyle w:val="18"/>
              <w:ind w:firstLine="420"/>
            </w:pPr>
            <w:bookmarkStart w:id="682" w:name="_Ref202717464"/>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t>23</w:t>
            </w:r>
            <w:r>
              <w:fldChar w:fldCharType="end"/>
            </w:r>
            <w:bookmarkEnd w:id="682"/>
            <w:r>
              <w:t xml:space="preserve">                  </w:t>
            </w:r>
            <w:r>
              <w:rPr>
                <w:rFonts w:hint="eastAsia"/>
              </w:rPr>
              <w:t>运行期生态环境保护措施及预期效果一览表</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2753"/>
              <w:gridCol w:w="711"/>
              <w:gridCol w:w="706"/>
              <w:gridCol w:w="706"/>
              <w:gridCol w:w="989"/>
              <w:gridCol w:w="1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rPr>
              <w:tc>
                <w:tcPr>
                  <w:tcW w:w="465" w:type="dxa"/>
                  <w:vAlign w:val="center"/>
                </w:tcPr>
                <w:p>
                  <w:pPr>
                    <w:pStyle w:val="11"/>
                    <w:spacing w:line="240" w:lineRule="auto"/>
                    <w:ind w:firstLine="0" w:firstLineChars="0"/>
                    <w:jc w:val="center"/>
                    <w:rPr>
                      <w:sz w:val="21"/>
                      <w:szCs w:val="21"/>
                    </w:rPr>
                  </w:pPr>
                  <w:r>
                    <w:rPr>
                      <w:sz w:val="21"/>
                      <w:szCs w:val="21"/>
                    </w:rPr>
                    <w:t>序号</w:t>
                  </w:r>
                </w:p>
              </w:tc>
              <w:tc>
                <w:tcPr>
                  <w:tcW w:w="2753" w:type="dxa"/>
                  <w:vAlign w:val="center"/>
                </w:tcPr>
                <w:p>
                  <w:pPr>
                    <w:pStyle w:val="11"/>
                    <w:spacing w:line="240" w:lineRule="auto"/>
                    <w:ind w:firstLine="0" w:firstLineChars="0"/>
                    <w:jc w:val="center"/>
                    <w:rPr>
                      <w:sz w:val="21"/>
                      <w:szCs w:val="21"/>
                    </w:rPr>
                  </w:pPr>
                  <w:r>
                    <w:rPr>
                      <w:sz w:val="21"/>
                      <w:szCs w:val="21"/>
                    </w:rPr>
                    <w:t>生态保护措施要求</w:t>
                  </w:r>
                </w:p>
              </w:tc>
              <w:tc>
                <w:tcPr>
                  <w:tcW w:w="711" w:type="dxa"/>
                  <w:vAlign w:val="center"/>
                </w:tcPr>
                <w:p>
                  <w:pPr>
                    <w:pStyle w:val="11"/>
                    <w:spacing w:line="240" w:lineRule="auto"/>
                    <w:ind w:firstLine="0" w:firstLineChars="0"/>
                    <w:jc w:val="center"/>
                    <w:rPr>
                      <w:sz w:val="21"/>
                      <w:szCs w:val="21"/>
                    </w:rPr>
                  </w:pPr>
                  <w:r>
                    <w:rPr>
                      <w:sz w:val="21"/>
                      <w:szCs w:val="21"/>
                    </w:rPr>
                    <w:t>实施区域</w:t>
                  </w:r>
                </w:p>
              </w:tc>
              <w:tc>
                <w:tcPr>
                  <w:tcW w:w="706" w:type="dxa"/>
                  <w:vAlign w:val="center"/>
                </w:tcPr>
                <w:p>
                  <w:pPr>
                    <w:pStyle w:val="11"/>
                    <w:spacing w:line="240" w:lineRule="auto"/>
                    <w:ind w:firstLine="0" w:firstLineChars="0"/>
                    <w:jc w:val="center"/>
                    <w:rPr>
                      <w:sz w:val="21"/>
                      <w:szCs w:val="21"/>
                    </w:rPr>
                  </w:pPr>
                  <w:r>
                    <w:rPr>
                      <w:sz w:val="21"/>
                      <w:szCs w:val="21"/>
                    </w:rPr>
                    <w:t>实施时间</w:t>
                  </w:r>
                </w:p>
              </w:tc>
              <w:tc>
                <w:tcPr>
                  <w:tcW w:w="706" w:type="dxa"/>
                  <w:vAlign w:val="center"/>
                </w:tcPr>
                <w:p>
                  <w:pPr>
                    <w:pStyle w:val="11"/>
                    <w:spacing w:line="240" w:lineRule="auto"/>
                    <w:ind w:firstLine="0" w:firstLineChars="0"/>
                    <w:jc w:val="center"/>
                    <w:rPr>
                      <w:sz w:val="21"/>
                      <w:szCs w:val="21"/>
                    </w:rPr>
                  </w:pPr>
                  <w:r>
                    <w:rPr>
                      <w:sz w:val="21"/>
                      <w:szCs w:val="21"/>
                    </w:rPr>
                    <w:t>责任主体</w:t>
                  </w:r>
                </w:p>
              </w:tc>
              <w:tc>
                <w:tcPr>
                  <w:tcW w:w="989" w:type="dxa"/>
                  <w:vAlign w:val="center"/>
                </w:tcPr>
                <w:p>
                  <w:pPr>
                    <w:pStyle w:val="11"/>
                    <w:spacing w:line="240" w:lineRule="auto"/>
                    <w:ind w:firstLine="0" w:firstLineChars="0"/>
                    <w:jc w:val="center"/>
                    <w:rPr>
                      <w:sz w:val="21"/>
                      <w:szCs w:val="21"/>
                    </w:rPr>
                  </w:pPr>
                  <w:r>
                    <w:rPr>
                      <w:sz w:val="21"/>
                      <w:szCs w:val="21"/>
                    </w:rPr>
                    <w:t>实施保障</w:t>
                  </w:r>
                </w:p>
              </w:tc>
              <w:tc>
                <w:tcPr>
                  <w:tcW w:w="1917" w:type="dxa"/>
                  <w:vAlign w:val="center"/>
                </w:tcPr>
                <w:p>
                  <w:pPr>
                    <w:pStyle w:val="11"/>
                    <w:spacing w:line="240" w:lineRule="auto"/>
                    <w:ind w:firstLine="0" w:firstLineChars="0"/>
                    <w:jc w:val="center"/>
                    <w:rPr>
                      <w:sz w:val="21"/>
                      <w:szCs w:val="21"/>
                    </w:rPr>
                  </w:pPr>
                  <w:r>
                    <w:rPr>
                      <w:sz w:val="21"/>
                      <w:szCs w:val="21"/>
                    </w:rPr>
                    <w:t>实施效果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465" w:type="dxa"/>
                  <w:vAlign w:val="center"/>
                </w:tcPr>
                <w:p>
                  <w:pPr>
                    <w:pStyle w:val="11"/>
                    <w:spacing w:line="240" w:lineRule="auto"/>
                    <w:ind w:firstLine="0" w:firstLineChars="0"/>
                    <w:jc w:val="center"/>
                    <w:rPr>
                      <w:sz w:val="21"/>
                      <w:szCs w:val="21"/>
                    </w:rPr>
                  </w:pPr>
                  <w:r>
                    <w:rPr>
                      <w:sz w:val="21"/>
                      <w:szCs w:val="21"/>
                    </w:rPr>
                    <w:t>1</w:t>
                  </w:r>
                </w:p>
              </w:tc>
              <w:tc>
                <w:tcPr>
                  <w:tcW w:w="2753" w:type="dxa"/>
                  <w:vAlign w:val="center"/>
                </w:tcPr>
                <w:p>
                  <w:pPr>
                    <w:pStyle w:val="11"/>
                    <w:spacing w:line="240" w:lineRule="auto"/>
                    <w:ind w:firstLine="0" w:firstLineChars="0"/>
                    <w:jc w:val="center"/>
                    <w:rPr>
                      <w:sz w:val="21"/>
                      <w:szCs w:val="21"/>
                    </w:rPr>
                  </w:pPr>
                  <w:r>
                    <w:rPr>
                      <w:sz w:val="21"/>
                      <w:szCs w:val="21"/>
                    </w:rPr>
                    <w:t>运行期利用已有道路开展巡检工作，加强对运行维护人员的环境保护教育。</w:t>
                  </w:r>
                </w:p>
              </w:tc>
              <w:tc>
                <w:tcPr>
                  <w:tcW w:w="711" w:type="dxa"/>
                  <w:vMerge w:val="restart"/>
                  <w:vAlign w:val="center"/>
                </w:tcPr>
                <w:p>
                  <w:pPr>
                    <w:pStyle w:val="11"/>
                    <w:spacing w:line="240" w:lineRule="auto"/>
                    <w:ind w:firstLine="0" w:firstLineChars="0"/>
                    <w:jc w:val="center"/>
                    <w:rPr>
                      <w:sz w:val="21"/>
                      <w:szCs w:val="21"/>
                    </w:rPr>
                  </w:pPr>
                  <w:r>
                    <w:rPr>
                      <w:sz w:val="21"/>
                      <w:szCs w:val="21"/>
                    </w:rPr>
                    <w:t>工程运行场所、区域</w:t>
                  </w:r>
                </w:p>
              </w:tc>
              <w:tc>
                <w:tcPr>
                  <w:tcW w:w="706" w:type="dxa"/>
                  <w:vMerge w:val="restart"/>
                  <w:vAlign w:val="center"/>
                </w:tcPr>
                <w:p>
                  <w:pPr>
                    <w:pStyle w:val="11"/>
                    <w:spacing w:line="240" w:lineRule="auto"/>
                    <w:ind w:firstLine="0" w:firstLineChars="0"/>
                    <w:jc w:val="center"/>
                    <w:rPr>
                      <w:sz w:val="21"/>
                      <w:szCs w:val="21"/>
                    </w:rPr>
                  </w:pPr>
                  <w:r>
                    <w:rPr>
                      <w:sz w:val="21"/>
                      <w:szCs w:val="21"/>
                    </w:rPr>
                    <w:t>运行期</w:t>
                  </w:r>
                </w:p>
              </w:tc>
              <w:tc>
                <w:tcPr>
                  <w:tcW w:w="706" w:type="dxa"/>
                  <w:vMerge w:val="restart"/>
                  <w:vAlign w:val="center"/>
                </w:tcPr>
                <w:p>
                  <w:pPr>
                    <w:pStyle w:val="11"/>
                    <w:spacing w:line="240" w:lineRule="auto"/>
                    <w:ind w:firstLine="0" w:firstLineChars="0"/>
                    <w:jc w:val="center"/>
                    <w:rPr>
                      <w:sz w:val="21"/>
                      <w:szCs w:val="21"/>
                    </w:rPr>
                  </w:pPr>
                  <w:r>
                    <w:rPr>
                      <w:sz w:val="21"/>
                      <w:szCs w:val="21"/>
                    </w:rPr>
                    <w:t>建设单位</w:t>
                  </w:r>
                </w:p>
              </w:tc>
              <w:tc>
                <w:tcPr>
                  <w:tcW w:w="989" w:type="dxa"/>
                  <w:vMerge w:val="restart"/>
                  <w:vAlign w:val="center"/>
                </w:tcPr>
                <w:p>
                  <w:pPr>
                    <w:pStyle w:val="11"/>
                    <w:spacing w:line="240" w:lineRule="auto"/>
                    <w:ind w:firstLine="0" w:firstLineChars="0"/>
                    <w:jc w:val="center"/>
                    <w:rPr>
                      <w:sz w:val="21"/>
                      <w:szCs w:val="21"/>
                    </w:rPr>
                  </w:pPr>
                  <w:r>
                    <w:rPr>
                      <w:rFonts w:hint="eastAsia" w:ascii="宋体" w:hAnsi="宋体" w:cs="宋体"/>
                      <w:sz w:val="21"/>
                      <w:szCs w:val="21"/>
                    </w:rPr>
                    <w:t>①</w:t>
                  </w:r>
                  <w:r>
                    <w:rPr>
                      <w:sz w:val="21"/>
                      <w:szCs w:val="21"/>
                    </w:rPr>
                    <w:t>建立环境管理机构，配备专职或兼职环保管理人员；</w:t>
                  </w:r>
                  <w:r>
                    <w:rPr>
                      <w:rFonts w:hint="eastAsia" w:ascii="宋体" w:hAnsi="宋体" w:cs="宋体"/>
                      <w:sz w:val="21"/>
                      <w:szCs w:val="21"/>
                    </w:rPr>
                    <w:t>②</w:t>
                  </w:r>
                  <w:r>
                    <w:rPr>
                      <w:sz w:val="21"/>
                      <w:szCs w:val="21"/>
                    </w:rPr>
                    <w:t>制定相关方环境管理条例、质量管理规定；</w:t>
                  </w:r>
                  <w:r>
                    <w:rPr>
                      <w:rFonts w:hint="eastAsia" w:ascii="宋体" w:hAnsi="宋体" w:cs="宋体"/>
                      <w:sz w:val="21"/>
                      <w:szCs w:val="21"/>
                    </w:rPr>
                    <w:t>③</w:t>
                  </w:r>
                  <w:r>
                    <w:rPr>
                      <w:sz w:val="21"/>
                      <w:szCs w:val="21"/>
                    </w:rPr>
                    <w:t>加强环境监理，开展经常性检查、监督，发现问题及时解决、纠正</w:t>
                  </w:r>
                </w:p>
              </w:tc>
              <w:tc>
                <w:tcPr>
                  <w:tcW w:w="1917" w:type="dxa"/>
                  <w:vAlign w:val="center"/>
                </w:tcPr>
                <w:p>
                  <w:pPr>
                    <w:pStyle w:val="11"/>
                    <w:spacing w:line="240" w:lineRule="auto"/>
                    <w:ind w:firstLine="0" w:firstLineChars="0"/>
                    <w:rPr>
                      <w:sz w:val="21"/>
                      <w:szCs w:val="21"/>
                    </w:rPr>
                  </w:pPr>
                  <w:r>
                    <w:rPr>
                      <w:rStyle w:val="91"/>
                      <w:rFonts w:ascii="Times New Roman" w:eastAsia="宋体" w:cs="Times New Roman"/>
                      <w:sz w:val="21"/>
                      <w:szCs w:val="21"/>
                    </w:rPr>
                    <w:t>不对项目周边区域的动植物及生态环境造成破坏。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6" w:hRule="atLeast"/>
              </w:trPr>
              <w:tc>
                <w:tcPr>
                  <w:tcW w:w="465" w:type="dxa"/>
                  <w:vAlign w:val="center"/>
                </w:tcPr>
                <w:p>
                  <w:pPr>
                    <w:pStyle w:val="11"/>
                    <w:spacing w:line="240" w:lineRule="auto"/>
                    <w:ind w:firstLine="0" w:firstLineChars="0"/>
                    <w:jc w:val="center"/>
                    <w:rPr>
                      <w:sz w:val="21"/>
                      <w:szCs w:val="21"/>
                    </w:rPr>
                  </w:pPr>
                  <w:r>
                    <w:rPr>
                      <w:sz w:val="21"/>
                      <w:szCs w:val="21"/>
                    </w:rPr>
                    <w:t>2</w:t>
                  </w:r>
                </w:p>
              </w:tc>
              <w:tc>
                <w:tcPr>
                  <w:tcW w:w="2753" w:type="dxa"/>
                  <w:vAlign w:val="center"/>
                </w:tcPr>
                <w:p>
                  <w:pPr>
                    <w:pStyle w:val="11"/>
                    <w:spacing w:line="240" w:lineRule="auto"/>
                    <w:ind w:firstLine="0" w:firstLineChars="0"/>
                    <w:rPr>
                      <w:sz w:val="21"/>
                      <w:szCs w:val="21"/>
                    </w:rPr>
                  </w:pPr>
                  <w:r>
                    <w:rPr>
                      <w:rStyle w:val="91"/>
                      <w:rFonts w:ascii="Times New Roman" w:eastAsia="宋体" w:cs="Times New Roman"/>
                      <w:sz w:val="21"/>
                      <w:szCs w:val="21"/>
                    </w:rPr>
                    <w:t>加强对</w:t>
                  </w:r>
                  <w:r>
                    <w:rPr>
                      <w:rStyle w:val="91"/>
                      <w:rFonts w:hint="eastAsia" w:cs="Times New Roman"/>
                      <w:sz w:val="21"/>
                      <w:szCs w:val="21"/>
                    </w:rPr>
                    <w:t>东环</w:t>
                  </w:r>
                  <w:r>
                    <w:rPr>
                      <w:rStyle w:val="91"/>
                      <w:rFonts w:ascii="Times New Roman" w:eastAsia="宋体" w:cs="Times New Roman"/>
                      <w:sz w:val="21"/>
                      <w:szCs w:val="21"/>
                    </w:rPr>
                    <w:t>变电站及输电线路沿线</w:t>
                  </w:r>
                  <w:r>
                    <w:rPr>
                      <w:rStyle w:val="91"/>
                      <w:rFonts w:hint="eastAsia" w:ascii="Times New Roman" w:eastAsia="宋体" w:cs="Times New Roman"/>
                      <w:sz w:val="21"/>
                      <w:szCs w:val="21"/>
                    </w:rPr>
                    <w:t>电磁和</w:t>
                  </w:r>
                  <w:r>
                    <w:rPr>
                      <w:rStyle w:val="91"/>
                      <w:rFonts w:ascii="Times New Roman" w:eastAsia="宋体" w:cs="Times New Roman"/>
                      <w:sz w:val="21"/>
                      <w:szCs w:val="21"/>
                    </w:rPr>
                    <w:t>声环境监测，及时发现问题并按照相关要求进行处理。</w:t>
                  </w:r>
                </w:p>
              </w:tc>
              <w:tc>
                <w:tcPr>
                  <w:tcW w:w="711" w:type="dxa"/>
                  <w:vMerge w:val="continue"/>
                  <w:vAlign w:val="center"/>
                </w:tcPr>
                <w:p>
                  <w:pPr>
                    <w:pStyle w:val="11"/>
                    <w:spacing w:line="240" w:lineRule="auto"/>
                    <w:ind w:firstLine="0" w:firstLineChars="0"/>
                    <w:jc w:val="center"/>
                    <w:rPr>
                      <w:sz w:val="21"/>
                      <w:szCs w:val="21"/>
                    </w:rPr>
                  </w:pPr>
                </w:p>
              </w:tc>
              <w:tc>
                <w:tcPr>
                  <w:tcW w:w="706" w:type="dxa"/>
                  <w:vMerge w:val="continue"/>
                  <w:vAlign w:val="center"/>
                </w:tcPr>
                <w:p>
                  <w:pPr>
                    <w:pStyle w:val="11"/>
                    <w:spacing w:line="240" w:lineRule="auto"/>
                    <w:ind w:firstLine="0" w:firstLineChars="0"/>
                    <w:jc w:val="center"/>
                    <w:rPr>
                      <w:sz w:val="21"/>
                      <w:szCs w:val="21"/>
                    </w:rPr>
                  </w:pPr>
                </w:p>
              </w:tc>
              <w:tc>
                <w:tcPr>
                  <w:tcW w:w="706" w:type="dxa"/>
                  <w:vMerge w:val="continue"/>
                  <w:vAlign w:val="center"/>
                </w:tcPr>
                <w:p>
                  <w:pPr>
                    <w:pStyle w:val="11"/>
                    <w:spacing w:line="240" w:lineRule="auto"/>
                    <w:ind w:firstLine="0" w:firstLineChars="0"/>
                    <w:jc w:val="center"/>
                    <w:rPr>
                      <w:sz w:val="21"/>
                      <w:szCs w:val="21"/>
                    </w:rPr>
                  </w:pPr>
                </w:p>
              </w:tc>
              <w:tc>
                <w:tcPr>
                  <w:tcW w:w="989" w:type="dxa"/>
                  <w:vMerge w:val="continue"/>
                  <w:vAlign w:val="center"/>
                </w:tcPr>
                <w:p>
                  <w:pPr>
                    <w:pStyle w:val="11"/>
                    <w:spacing w:line="240" w:lineRule="auto"/>
                    <w:ind w:firstLine="0" w:firstLineChars="0"/>
                    <w:jc w:val="center"/>
                    <w:rPr>
                      <w:sz w:val="21"/>
                      <w:szCs w:val="21"/>
                    </w:rPr>
                  </w:pPr>
                </w:p>
              </w:tc>
              <w:tc>
                <w:tcPr>
                  <w:tcW w:w="1917" w:type="dxa"/>
                  <w:vAlign w:val="center"/>
                </w:tcPr>
                <w:p>
                  <w:pPr>
                    <w:pStyle w:val="11"/>
                    <w:spacing w:line="240" w:lineRule="auto"/>
                    <w:ind w:firstLine="0" w:firstLineChars="0"/>
                    <w:rPr>
                      <w:sz w:val="21"/>
                      <w:szCs w:val="21"/>
                    </w:rPr>
                  </w:pPr>
                  <w:r>
                    <w:rPr>
                      <w:rStyle w:val="91"/>
                      <w:rFonts w:ascii="Times New Roman" w:eastAsia="宋体" w:cs="Times New Roman"/>
                      <w:sz w:val="21"/>
                      <w:szCs w:val="21"/>
                    </w:rPr>
                    <w:t>变电站厂界及输电线路沿线声环境达标。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02" w:hRule="atLeast"/>
              </w:trPr>
              <w:tc>
                <w:tcPr>
                  <w:tcW w:w="465" w:type="dxa"/>
                  <w:vAlign w:val="center"/>
                </w:tcPr>
                <w:p>
                  <w:pPr>
                    <w:pStyle w:val="11"/>
                    <w:spacing w:line="240" w:lineRule="auto"/>
                    <w:ind w:firstLine="0" w:firstLineChars="0"/>
                    <w:jc w:val="center"/>
                    <w:rPr>
                      <w:sz w:val="21"/>
                      <w:szCs w:val="21"/>
                    </w:rPr>
                  </w:pPr>
                  <w:r>
                    <w:rPr>
                      <w:sz w:val="21"/>
                      <w:szCs w:val="21"/>
                    </w:rPr>
                    <w:t>3</w:t>
                  </w:r>
                </w:p>
              </w:tc>
              <w:tc>
                <w:tcPr>
                  <w:tcW w:w="2753" w:type="dxa"/>
                  <w:vAlign w:val="center"/>
                </w:tcPr>
                <w:p>
                  <w:pPr>
                    <w:pStyle w:val="11"/>
                    <w:spacing w:line="240" w:lineRule="auto"/>
                    <w:ind w:firstLine="0" w:firstLineChars="0"/>
                    <w:rPr>
                      <w:sz w:val="21"/>
                      <w:szCs w:val="21"/>
                    </w:rPr>
                  </w:pPr>
                  <w:r>
                    <w:rPr>
                      <w:sz w:val="21"/>
                      <w:szCs w:val="21"/>
                    </w:rPr>
                    <w:t>严格落实导线对地最低设计高度，杆塔悬挂警示警告标志，加强员工安全教育，加强电磁环境科普知识的宣贯。</w:t>
                  </w:r>
                </w:p>
              </w:tc>
              <w:tc>
                <w:tcPr>
                  <w:tcW w:w="711" w:type="dxa"/>
                  <w:vMerge w:val="continue"/>
                  <w:vAlign w:val="center"/>
                </w:tcPr>
                <w:p>
                  <w:pPr>
                    <w:pStyle w:val="11"/>
                    <w:spacing w:line="240" w:lineRule="auto"/>
                    <w:ind w:firstLine="0" w:firstLineChars="0"/>
                    <w:jc w:val="center"/>
                    <w:rPr>
                      <w:sz w:val="21"/>
                      <w:szCs w:val="21"/>
                    </w:rPr>
                  </w:pPr>
                </w:p>
              </w:tc>
              <w:tc>
                <w:tcPr>
                  <w:tcW w:w="706" w:type="dxa"/>
                  <w:vMerge w:val="continue"/>
                  <w:vAlign w:val="center"/>
                </w:tcPr>
                <w:p>
                  <w:pPr>
                    <w:pStyle w:val="11"/>
                    <w:spacing w:line="240" w:lineRule="auto"/>
                    <w:ind w:firstLine="0" w:firstLineChars="0"/>
                    <w:jc w:val="center"/>
                    <w:rPr>
                      <w:sz w:val="21"/>
                      <w:szCs w:val="21"/>
                    </w:rPr>
                  </w:pPr>
                </w:p>
              </w:tc>
              <w:tc>
                <w:tcPr>
                  <w:tcW w:w="706" w:type="dxa"/>
                  <w:vMerge w:val="continue"/>
                  <w:vAlign w:val="center"/>
                </w:tcPr>
                <w:p>
                  <w:pPr>
                    <w:pStyle w:val="11"/>
                    <w:spacing w:line="240" w:lineRule="auto"/>
                    <w:ind w:firstLine="0" w:firstLineChars="0"/>
                    <w:jc w:val="center"/>
                    <w:rPr>
                      <w:sz w:val="21"/>
                      <w:szCs w:val="21"/>
                    </w:rPr>
                  </w:pPr>
                </w:p>
              </w:tc>
              <w:tc>
                <w:tcPr>
                  <w:tcW w:w="989" w:type="dxa"/>
                  <w:vMerge w:val="continue"/>
                  <w:vAlign w:val="center"/>
                </w:tcPr>
                <w:p>
                  <w:pPr>
                    <w:pStyle w:val="11"/>
                    <w:spacing w:line="240" w:lineRule="auto"/>
                    <w:ind w:firstLine="0" w:firstLineChars="0"/>
                    <w:jc w:val="center"/>
                    <w:rPr>
                      <w:sz w:val="21"/>
                      <w:szCs w:val="21"/>
                    </w:rPr>
                  </w:pPr>
                </w:p>
              </w:tc>
              <w:tc>
                <w:tcPr>
                  <w:tcW w:w="1917" w:type="dxa"/>
                  <w:vAlign w:val="center"/>
                </w:tcPr>
                <w:p>
                  <w:pPr>
                    <w:pStyle w:val="11"/>
                    <w:spacing w:line="240" w:lineRule="auto"/>
                    <w:ind w:firstLine="0" w:firstLineChars="0"/>
                    <w:rPr>
                      <w:sz w:val="21"/>
                      <w:szCs w:val="21"/>
                    </w:rPr>
                  </w:pPr>
                  <w:r>
                    <w:rPr>
                      <w:rStyle w:val="91"/>
                      <w:rFonts w:ascii="Times New Roman" w:eastAsia="宋体" w:cs="Times New Roman"/>
                      <w:sz w:val="21"/>
                      <w:szCs w:val="21"/>
                    </w:rPr>
                    <w:t>输电线路运行时电磁环境满足《电磁环境控制限值》（</w:t>
                  </w:r>
                  <w:r>
                    <w:rPr>
                      <w:rStyle w:val="100"/>
                      <w:sz w:val="21"/>
                      <w:szCs w:val="21"/>
                    </w:rPr>
                    <w:t>GB8702-2014</w:t>
                  </w:r>
                  <w:r>
                    <w:rPr>
                      <w:rStyle w:val="91"/>
                      <w:rFonts w:ascii="Times New Roman" w:eastAsia="宋体" w:cs="Times New Roman"/>
                      <w:sz w:val="21"/>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6" w:hRule="atLeast"/>
              </w:trPr>
              <w:tc>
                <w:tcPr>
                  <w:tcW w:w="465" w:type="dxa"/>
                  <w:vAlign w:val="center"/>
                </w:tcPr>
                <w:p>
                  <w:pPr>
                    <w:pStyle w:val="11"/>
                    <w:spacing w:line="240" w:lineRule="auto"/>
                    <w:ind w:firstLine="0" w:firstLineChars="0"/>
                    <w:jc w:val="center"/>
                    <w:rPr>
                      <w:sz w:val="21"/>
                      <w:szCs w:val="21"/>
                    </w:rPr>
                  </w:pPr>
                  <w:r>
                    <w:rPr>
                      <w:sz w:val="21"/>
                      <w:szCs w:val="21"/>
                    </w:rPr>
                    <w:t>4</w:t>
                  </w:r>
                </w:p>
              </w:tc>
              <w:tc>
                <w:tcPr>
                  <w:tcW w:w="2753" w:type="dxa"/>
                  <w:vAlign w:val="center"/>
                </w:tcPr>
                <w:p>
                  <w:pPr>
                    <w:pStyle w:val="11"/>
                    <w:spacing w:line="240" w:lineRule="auto"/>
                    <w:ind w:firstLine="0" w:firstLineChars="0"/>
                    <w:rPr>
                      <w:sz w:val="21"/>
                      <w:szCs w:val="21"/>
                    </w:rPr>
                  </w:pPr>
                  <w:r>
                    <w:rPr>
                      <w:sz w:val="21"/>
                      <w:szCs w:val="21"/>
                    </w:rPr>
                    <w:t>站区生活污水经污水管道汇集自流至化粪池，经过化粪池处理后的污水定期清掏不外排。</w:t>
                  </w:r>
                </w:p>
              </w:tc>
              <w:tc>
                <w:tcPr>
                  <w:tcW w:w="711" w:type="dxa"/>
                  <w:vMerge w:val="continue"/>
                  <w:vAlign w:val="center"/>
                </w:tcPr>
                <w:p>
                  <w:pPr>
                    <w:pStyle w:val="11"/>
                    <w:spacing w:line="240" w:lineRule="auto"/>
                    <w:ind w:firstLine="0" w:firstLineChars="0"/>
                    <w:jc w:val="center"/>
                    <w:rPr>
                      <w:sz w:val="21"/>
                      <w:szCs w:val="21"/>
                    </w:rPr>
                  </w:pPr>
                </w:p>
              </w:tc>
              <w:tc>
                <w:tcPr>
                  <w:tcW w:w="706" w:type="dxa"/>
                  <w:vMerge w:val="continue"/>
                  <w:vAlign w:val="center"/>
                </w:tcPr>
                <w:p>
                  <w:pPr>
                    <w:pStyle w:val="11"/>
                    <w:spacing w:line="240" w:lineRule="auto"/>
                    <w:ind w:firstLine="0" w:firstLineChars="0"/>
                    <w:jc w:val="center"/>
                    <w:rPr>
                      <w:sz w:val="21"/>
                      <w:szCs w:val="21"/>
                    </w:rPr>
                  </w:pPr>
                </w:p>
              </w:tc>
              <w:tc>
                <w:tcPr>
                  <w:tcW w:w="706" w:type="dxa"/>
                  <w:vMerge w:val="continue"/>
                  <w:vAlign w:val="center"/>
                </w:tcPr>
                <w:p>
                  <w:pPr>
                    <w:pStyle w:val="11"/>
                    <w:spacing w:line="240" w:lineRule="auto"/>
                    <w:ind w:firstLine="0" w:firstLineChars="0"/>
                    <w:jc w:val="center"/>
                    <w:rPr>
                      <w:sz w:val="21"/>
                      <w:szCs w:val="21"/>
                    </w:rPr>
                  </w:pPr>
                </w:p>
              </w:tc>
              <w:tc>
                <w:tcPr>
                  <w:tcW w:w="989" w:type="dxa"/>
                  <w:vMerge w:val="continue"/>
                  <w:vAlign w:val="center"/>
                </w:tcPr>
                <w:p>
                  <w:pPr>
                    <w:pStyle w:val="11"/>
                    <w:spacing w:line="240" w:lineRule="auto"/>
                    <w:ind w:firstLine="0" w:firstLineChars="0"/>
                    <w:jc w:val="center"/>
                    <w:rPr>
                      <w:sz w:val="21"/>
                      <w:szCs w:val="21"/>
                    </w:rPr>
                  </w:pPr>
                </w:p>
              </w:tc>
              <w:tc>
                <w:tcPr>
                  <w:tcW w:w="1917" w:type="dxa"/>
                  <w:vAlign w:val="center"/>
                </w:tcPr>
                <w:p>
                  <w:pPr>
                    <w:pStyle w:val="11"/>
                    <w:spacing w:line="240" w:lineRule="auto"/>
                    <w:ind w:firstLine="0" w:firstLineChars="0"/>
                    <w:rPr>
                      <w:rStyle w:val="91"/>
                      <w:rFonts w:ascii="Times New Roman" w:eastAsia="宋体" w:cs="Times New Roman"/>
                      <w:sz w:val="21"/>
                      <w:szCs w:val="21"/>
                    </w:rPr>
                  </w:pPr>
                  <w:r>
                    <w:rPr>
                      <w:rStyle w:val="91"/>
                      <w:rFonts w:ascii="Times New Roman" w:eastAsia="宋体" w:cs="Times New Roman"/>
                      <w:sz w:val="21"/>
                      <w:szCs w:val="21"/>
                    </w:rPr>
                    <w:t>变电站运维人员生活污水不外排。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47" w:hRule="atLeast"/>
              </w:trPr>
              <w:tc>
                <w:tcPr>
                  <w:tcW w:w="465" w:type="dxa"/>
                  <w:vAlign w:val="center"/>
                </w:tcPr>
                <w:p>
                  <w:pPr>
                    <w:pStyle w:val="11"/>
                    <w:spacing w:line="240" w:lineRule="auto"/>
                    <w:ind w:firstLine="0" w:firstLineChars="0"/>
                    <w:jc w:val="center"/>
                    <w:rPr>
                      <w:sz w:val="21"/>
                      <w:szCs w:val="21"/>
                    </w:rPr>
                  </w:pPr>
                  <w:r>
                    <w:rPr>
                      <w:sz w:val="21"/>
                      <w:szCs w:val="21"/>
                    </w:rPr>
                    <w:t>5</w:t>
                  </w:r>
                </w:p>
              </w:tc>
              <w:tc>
                <w:tcPr>
                  <w:tcW w:w="2753" w:type="dxa"/>
                  <w:vAlign w:val="center"/>
                </w:tcPr>
                <w:p>
                  <w:pPr>
                    <w:pStyle w:val="11"/>
                    <w:spacing w:line="240" w:lineRule="auto"/>
                    <w:ind w:firstLine="0" w:firstLineChars="0"/>
                    <w:rPr>
                      <w:sz w:val="21"/>
                      <w:szCs w:val="21"/>
                    </w:rPr>
                  </w:pPr>
                  <w:r>
                    <w:rPr>
                      <w:sz w:val="21"/>
                      <w:szCs w:val="21"/>
                    </w:rPr>
                    <w:t>生活垃圾集中收集后运至当地镇区的生活垃圾转运点，交由环卫部门妥善处理；加强事故油池维护</w:t>
                  </w:r>
                  <w:r>
                    <w:rPr>
                      <w:rFonts w:hint="eastAsia"/>
                      <w:sz w:val="21"/>
                      <w:szCs w:val="21"/>
                      <w:lang w:eastAsia="zh-CN"/>
                    </w:rPr>
                    <w:t>，将</w:t>
                  </w:r>
                  <w:r>
                    <w:rPr>
                      <w:sz w:val="21"/>
                      <w:szCs w:val="21"/>
                    </w:rPr>
                    <w:t>事故油交由有资质的单位处置；蓄电池达到使用寿命或需要更换时应交由有危废处置资质的单位进行处置；输电线路维护时产生少量淘汰下来的废旧金具、绝缘子串等安装附件应及时收集，统一处置，禁止现场随意丢弃。</w:t>
                  </w:r>
                </w:p>
              </w:tc>
              <w:tc>
                <w:tcPr>
                  <w:tcW w:w="711" w:type="dxa"/>
                  <w:vMerge w:val="continue"/>
                  <w:vAlign w:val="center"/>
                </w:tcPr>
                <w:p>
                  <w:pPr>
                    <w:pStyle w:val="11"/>
                    <w:spacing w:line="240" w:lineRule="auto"/>
                    <w:ind w:firstLine="0" w:firstLineChars="0"/>
                    <w:jc w:val="center"/>
                    <w:rPr>
                      <w:sz w:val="21"/>
                      <w:szCs w:val="21"/>
                    </w:rPr>
                  </w:pPr>
                </w:p>
              </w:tc>
              <w:tc>
                <w:tcPr>
                  <w:tcW w:w="706" w:type="dxa"/>
                  <w:vMerge w:val="continue"/>
                  <w:vAlign w:val="center"/>
                </w:tcPr>
                <w:p>
                  <w:pPr>
                    <w:pStyle w:val="11"/>
                    <w:spacing w:line="240" w:lineRule="auto"/>
                    <w:ind w:firstLine="0" w:firstLineChars="0"/>
                    <w:jc w:val="center"/>
                    <w:rPr>
                      <w:sz w:val="21"/>
                      <w:szCs w:val="21"/>
                    </w:rPr>
                  </w:pPr>
                </w:p>
              </w:tc>
              <w:tc>
                <w:tcPr>
                  <w:tcW w:w="706" w:type="dxa"/>
                  <w:vMerge w:val="continue"/>
                  <w:vAlign w:val="center"/>
                </w:tcPr>
                <w:p>
                  <w:pPr>
                    <w:pStyle w:val="11"/>
                    <w:spacing w:line="240" w:lineRule="auto"/>
                    <w:ind w:firstLine="0" w:firstLineChars="0"/>
                    <w:jc w:val="center"/>
                    <w:rPr>
                      <w:sz w:val="21"/>
                      <w:szCs w:val="21"/>
                    </w:rPr>
                  </w:pPr>
                </w:p>
              </w:tc>
              <w:tc>
                <w:tcPr>
                  <w:tcW w:w="989" w:type="dxa"/>
                  <w:vMerge w:val="continue"/>
                  <w:vAlign w:val="center"/>
                </w:tcPr>
                <w:p>
                  <w:pPr>
                    <w:pStyle w:val="11"/>
                    <w:spacing w:line="240" w:lineRule="auto"/>
                    <w:ind w:firstLine="0" w:firstLineChars="0"/>
                    <w:jc w:val="center"/>
                    <w:rPr>
                      <w:sz w:val="21"/>
                      <w:szCs w:val="21"/>
                    </w:rPr>
                  </w:pPr>
                </w:p>
              </w:tc>
              <w:tc>
                <w:tcPr>
                  <w:tcW w:w="1917" w:type="dxa"/>
                  <w:vAlign w:val="center"/>
                </w:tcPr>
                <w:p>
                  <w:pPr>
                    <w:pStyle w:val="11"/>
                    <w:spacing w:line="240" w:lineRule="auto"/>
                    <w:ind w:firstLine="0" w:firstLineChars="0"/>
                    <w:rPr>
                      <w:rStyle w:val="91"/>
                      <w:rFonts w:ascii="Times New Roman" w:eastAsia="宋体" w:cs="Times New Roman"/>
                      <w:sz w:val="21"/>
                      <w:szCs w:val="21"/>
                    </w:rPr>
                  </w:pPr>
                  <w:r>
                    <w:rPr>
                      <w:rStyle w:val="91"/>
                      <w:rFonts w:ascii="Times New Roman" w:eastAsia="宋体" w:cs="Times New Roman"/>
                      <w:sz w:val="21"/>
                      <w:szCs w:val="21"/>
                    </w:rPr>
                    <w:t>各类固体废弃物能够妥善处置，事故油池容积满足事故排油需要。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9" w:hRule="atLeast"/>
              </w:trPr>
              <w:tc>
                <w:tcPr>
                  <w:tcW w:w="465" w:type="dxa"/>
                  <w:vAlign w:val="center"/>
                </w:tcPr>
                <w:p>
                  <w:pPr>
                    <w:pStyle w:val="11"/>
                    <w:spacing w:line="240" w:lineRule="auto"/>
                    <w:ind w:firstLine="0" w:firstLineChars="0"/>
                    <w:jc w:val="center"/>
                    <w:rPr>
                      <w:sz w:val="21"/>
                      <w:szCs w:val="21"/>
                    </w:rPr>
                  </w:pPr>
                  <w:r>
                    <w:rPr>
                      <w:sz w:val="21"/>
                      <w:szCs w:val="21"/>
                    </w:rPr>
                    <w:t>4</w:t>
                  </w:r>
                </w:p>
              </w:tc>
              <w:tc>
                <w:tcPr>
                  <w:tcW w:w="2753" w:type="dxa"/>
                  <w:vAlign w:val="center"/>
                </w:tcPr>
                <w:p>
                  <w:pPr>
                    <w:pStyle w:val="11"/>
                    <w:spacing w:line="240" w:lineRule="auto"/>
                    <w:ind w:firstLine="0" w:firstLineChars="0"/>
                    <w:rPr>
                      <w:sz w:val="21"/>
                      <w:szCs w:val="21"/>
                    </w:rPr>
                  </w:pPr>
                  <w:r>
                    <w:rPr>
                      <w:rStyle w:val="91"/>
                      <w:rFonts w:ascii="Times New Roman" w:eastAsia="宋体" w:cs="Times New Roman"/>
                      <w:sz w:val="21"/>
                      <w:szCs w:val="21"/>
                    </w:rPr>
                    <w:t>工程投运后自主验收，工程环保竣工验收监测一次，建设单位组织开展定期监测</w:t>
                  </w:r>
                </w:p>
              </w:tc>
              <w:tc>
                <w:tcPr>
                  <w:tcW w:w="711" w:type="dxa"/>
                  <w:vMerge w:val="continue"/>
                  <w:vAlign w:val="center"/>
                </w:tcPr>
                <w:p>
                  <w:pPr>
                    <w:pStyle w:val="11"/>
                    <w:spacing w:line="240" w:lineRule="auto"/>
                    <w:ind w:firstLine="0" w:firstLineChars="0"/>
                    <w:jc w:val="center"/>
                    <w:rPr>
                      <w:sz w:val="21"/>
                      <w:szCs w:val="21"/>
                    </w:rPr>
                  </w:pPr>
                </w:p>
              </w:tc>
              <w:tc>
                <w:tcPr>
                  <w:tcW w:w="706" w:type="dxa"/>
                  <w:vMerge w:val="continue"/>
                  <w:vAlign w:val="center"/>
                </w:tcPr>
                <w:p>
                  <w:pPr>
                    <w:pStyle w:val="11"/>
                    <w:spacing w:line="240" w:lineRule="auto"/>
                    <w:ind w:firstLine="0" w:firstLineChars="0"/>
                    <w:jc w:val="center"/>
                    <w:rPr>
                      <w:sz w:val="21"/>
                      <w:szCs w:val="21"/>
                    </w:rPr>
                  </w:pPr>
                </w:p>
              </w:tc>
              <w:tc>
                <w:tcPr>
                  <w:tcW w:w="706" w:type="dxa"/>
                  <w:vMerge w:val="continue"/>
                  <w:vAlign w:val="center"/>
                </w:tcPr>
                <w:p>
                  <w:pPr>
                    <w:pStyle w:val="11"/>
                    <w:spacing w:line="240" w:lineRule="auto"/>
                    <w:ind w:firstLine="0" w:firstLineChars="0"/>
                    <w:jc w:val="center"/>
                    <w:rPr>
                      <w:sz w:val="21"/>
                      <w:szCs w:val="21"/>
                    </w:rPr>
                  </w:pPr>
                </w:p>
              </w:tc>
              <w:tc>
                <w:tcPr>
                  <w:tcW w:w="989" w:type="dxa"/>
                  <w:vMerge w:val="continue"/>
                  <w:vAlign w:val="center"/>
                </w:tcPr>
                <w:p>
                  <w:pPr>
                    <w:pStyle w:val="11"/>
                    <w:spacing w:line="240" w:lineRule="auto"/>
                    <w:ind w:firstLine="0" w:firstLineChars="0"/>
                    <w:jc w:val="center"/>
                    <w:rPr>
                      <w:sz w:val="21"/>
                      <w:szCs w:val="21"/>
                    </w:rPr>
                  </w:pPr>
                </w:p>
              </w:tc>
              <w:tc>
                <w:tcPr>
                  <w:tcW w:w="1917" w:type="dxa"/>
                  <w:vAlign w:val="center"/>
                </w:tcPr>
                <w:p>
                  <w:pPr>
                    <w:pStyle w:val="11"/>
                    <w:spacing w:line="240" w:lineRule="auto"/>
                    <w:ind w:firstLine="0" w:firstLineChars="0"/>
                    <w:jc w:val="center"/>
                    <w:rPr>
                      <w:sz w:val="21"/>
                      <w:szCs w:val="21"/>
                    </w:rPr>
                  </w:pPr>
                  <w:r>
                    <w:rPr>
                      <w:rStyle w:val="91"/>
                      <w:rFonts w:ascii="Times New Roman" w:eastAsia="宋体" w:cs="Times New Roman"/>
                      <w:sz w:val="21"/>
                      <w:szCs w:val="21"/>
                    </w:rPr>
                    <w:t>监测结果达标</w:t>
                  </w:r>
                </w:p>
              </w:tc>
            </w:tr>
          </w:tbl>
          <w:p>
            <w:pPr>
              <w:pStyle w:val="11"/>
              <w:ind w:firstLineChars="0"/>
              <w:rPr>
                <w:color w:val="FF0000"/>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57" w:type="dxa"/>
            <w:vAlign w:val="center"/>
          </w:tcPr>
          <w:p>
            <w:pPr>
              <w:adjustRightInd w:val="0"/>
              <w:snapToGrid w:val="0"/>
              <w:jc w:val="center"/>
              <w:rPr>
                <w:b/>
                <w:bCs/>
                <w:color w:val="FF0000"/>
                <w:szCs w:val="21"/>
              </w:rPr>
            </w:pPr>
            <w:r>
              <w:rPr>
                <w:b/>
                <w:bCs/>
                <w:sz w:val="24"/>
              </w:rPr>
              <w:t>其他</w:t>
            </w:r>
          </w:p>
        </w:tc>
        <w:tc>
          <w:tcPr>
            <w:tcW w:w="8090" w:type="dxa"/>
          </w:tcPr>
          <w:p>
            <w:pPr>
              <w:numPr>
                <w:ilvl w:val="0"/>
                <w:numId w:val="27"/>
              </w:numPr>
              <w:spacing w:line="360" w:lineRule="auto"/>
              <w:rPr>
                <w:b/>
                <w:kern w:val="0"/>
                <w:sz w:val="24"/>
                <w:szCs w:val="21"/>
              </w:rPr>
            </w:pPr>
            <w:r>
              <w:rPr>
                <w:b/>
                <w:kern w:val="0"/>
                <w:sz w:val="24"/>
                <w:szCs w:val="21"/>
              </w:rPr>
              <w:t>环境管理与监测计划</w:t>
            </w:r>
          </w:p>
          <w:p>
            <w:pPr>
              <w:numPr>
                <w:ilvl w:val="1"/>
                <w:numId w:val="27"/>
              </w:numPr>
              <w:spacing w:line="360" w:lineRule="auto"/>
              <w:rPr>
                <w:b/>
                <w:kern w:val="0"/>
                <w:sz w:val="24"/>
                <w:szCs w:val="21"/>
              </w:rPr>
            </w:pPr>
            <w:r>
              <w:rPr>
                <w:b/>
                <w:kern w:val="0"/>
                <w:sz w:val="24"/>
                <w:szCs w:val="21"/>
              </w:rPr>
              <w:t>环境管理</w:t>
            </w:r>
          </w:p>
          <w:p>
            <w:pPr>
              <w:numPr>
                <w:ilvl w:val="2"/>
                <w:numId w:val="27"/>
              </w:numPr>
              <w:spacing w:line="360" w:lineRule="auto"/>
              <w:rPr>
                <w:b/>
                <w:kern w:val="0"/>
                <w:sz w:val="24"/>
                <w:szCs w:val="21"/>
              </w:rPr>
            </w:pPr>
            <w:r>
              <w:rPr>
                <w:b/>
                <w:kern w:val="0"/>
                <w:sz w:val="24"/>
                <w:szCs w:val="21"/>
              </w:rPr>
              <w:t>环境管理机构</w:t>
            </w:r>
          </w:p>
          <w:p>
            <w:pPr>
              <w:pStyle w:val="11"/>
            </w:pPr>
            <w:r>
              <w:t>输变电工程一般不单独设立环境监测站。建设单位或运行单位在管理机构内配备必要的专职和兼职人员，负责环境保护管理工作。</w:t>
            </w:r>
          </w:p>
          <w:p>
            <w:pPr>
              <w:numPr>
                <w:ilvl w:val="2"/>
                <w:numId w:val="27"/>
              </w:numPr>
              <w:spacing w:line="360" w:lineRule="auto"/>
              <w:rPr>
                <w:b/>
                <w:kern w:val="0"/>
                <w:sz w:val="24"/>
                <w:szCs w:val="21"/>
              </w:rPr>
            </w:pPr>
            <w:r>
              <w:rPr>
                <w:b/>
                <w:kern w:val="0"/>
                <w:sz w:val="24"/>
                <w:szCs w:val="21"/>
              </w:rPr>
              <w:t>施工期环境管理</w:t>
            </w:r>
          </w:p>
          <w:p>
            <w:pPr>
              <w:pStyle w:val="11"/>
            </w:pPr>
            <w:r>
              <w:t>鉴于建设期环境管理工作的重要性，同时根据国家的有关要求，本工程的施工将采取招投标制。施工招标中应对投标单位提出建设期间的环保要求，并应对监理单位提出环境保护人员资质要求。在施工设计文件中详细说明建设期应注意的环保问题，严格要求施工单位按设计文件施工，特别是按环保设计要求施工。环境监理人员对施工中的每一道工序都应严格检查是否满足环保要求，并不定期地对施工点进行抽查形式的监督检查。建设期环境管理的职责和任务如下：</w:t>
            </w:r>
          </w:p>
          <w:p>
            <w:pPr>
              <w:pStyle w:val="11"/>
            </w:pPr>
            <w:r>
              <w:t>（1）贯彻执行国家、地方的各项环境保护方针、政策、法规和各项规章制度。</w:t>
            </w:r>
          </w:p>
          <w:p>
            <w:pPr>
              <w:pStyle w:val="11"/>
            </w:pPr>
            <w:r>
              <w:t>（2）制定本工程施工中的环境保护计划，负责工程施工过程中各项环境保护措施实施的监督和日常管理。</w:t>
            </w:r>
          </w:p>
          <w:p>
            <w:pPr>
              <w:pStyle w:val="11"/>
            </w:pPr>
            <w:r>
              <w:t>（3）收集、整理、推广和实施工程建设中各项环境保护的先进工作经验和技术。</w:t>
            </w:r>
          </w:p>
          <w:p>
            <w:pPr>
              <w:pStyle w:val="11"/>
            </w:pPr>
            <w:r>
              <w:t>（4）组织和开展对施工人员进行施工活动中应遵循的环保法规、知识的培训，提高全体员工文明施工的认识。</w:t>
            </w:r>
          </w:p>
          <w:p>
            <w:pPr>
              <w:pStyle w:val="11"/>
            </w:pPr>
            <w:r>
              <w:t>（5）负责日常施工活动中的环境监理工作，做好工程用地区域的环境特征调查。</w:t>
            </w:r>
          </w:p>
          <w:p>
            <w:pPr>
              <w:pStyle w:val="11"/>
            </w:pPr>
            <w:r>
              <w:t>（6）在施工计划中应适当计划设备运输道路，以避免影响当地居民生活，施工中应考虑保护生态和避免水土流失，合理组织施工，不在站外设置临时施工用地。</w:t>
            </w:r>
          </w:p>
          <w:p>
            <w:pPr>
              <w:pStyle w:val="11"/>
            </w:pPr>
            <w:r>
              <w:t>（7）做好施工中各种环境问题的收集、记录、建档和处理工作。</w:t>
            </w:r>
          </w:p>
          <w:p>
            <w:pPr>
              <w:pStyle w:val="11"/>
            </w:pPr>
            <w:r>
              <w:t>（8）监督施工单位，使设计、施工过程的各项环境保护措施与主体工程同步实施。</w:t>
            </w:r>
          </w:p>
          <w:p>
            <w:pPr>
              <w:numPr>
                <w:ilvl w:val="2"/>
                <w:numId w:val="27"/>
              </w:numPr>
              <w:spacing w:line="360" w:lineRule="auto"/>
              <w:rPr>
                <w:b/>
                <w:kern w:val="0"/>
                <w:sz w:val="24"/>
                <w:szCs w:val="21"/>
              </w:rPr>
            </w:pPr>
            <w:r>
              <w:rPr>
                <w:b/>
                <w:kern w:val="0"/>
                <w:sz w:val="24"/>
                <w:szCs w:val="21"/>
              </w:rPr>
              <w:t>工程竣工环境保护验收</w:t>
            </w:r>
          </w:p>
          <w:p>
            <w:pPr>
              <w:pStyle w:val="11"/>
            </w:pPr>
            <w:r>
              <w:t>根据《建设项目环境保护管理条例》《建设项目竣工环境保护验收暂行办法》和《建设项目竣工环境保护验收技术规范输变电》，本工程的建设应执行污染治理设施与主体工程同时设计、同时施工、同时投产使用的“三同时”制度。建设项目竣工后，建设单位应当按照国务院</w:t>
            </w:r>
            <w:r>
              <w:rPr>
                <w:rFonts w:hint="eastAsia"/>
              </w:rPr>
              <w:t>生态</w:t>
            </w:r>
            <w:r>
              <w:t>环境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w:t>
            </w:r>
          </w:p>
          <w:p>
            <w:pPr>
              <w:numPr>
                <w:ilvl w:val="2"/>
                <w:numId w:val="27"/>
              </w:numPr>
              <w:spacing w:line="360" w:lineRule="auto"/>
              <w:rPr>
                <w:b/>
                <w:kern w:val="0"/>
                <w:sz w:val="24"/>
                <w:szCs w:val="21"/>
              </w:rPr>
            </w:pPr>
            <w:r>
              <w:rPr>
                <w:b/>
                <w:kern w:val="0"/>
                <w:sz w:val="24"/>
                <w:szCs w:val="21"/>
              </w:rPr>
              <w:t>运行期环境管理</w:t>
            </w:r>
          </w:p>
          <w:p>
            <w:pPr>
              <w:pStyle w:val="11"/>
            </w:pPr>
            <w:r>
              <w:t>本工程在运行期宜使用原有环境管理部门。环保管理人员应在各自的岗位责任制中明确所负的环保责任。监督国家法规、条例的贯彻执行情况，制订和贯彻环保管理制度，监控本工程主要污染源，对各部门、操作岗位进行环境保护监督和考核。环境管理的职能为：</w:t>
            </w:r>
          </w:p>
          <w:p>
            <w:pPr>
              <w:pStyle w:val="11"/>
            </w:pPr>
            <w:r>
              <w:t>（1）制订和实施各项环境管理计划。</w:t>
            </w:r>
          </w:p>
          <w:p>
            <w:pPr>
              <w:pStyle w:val="11"/>
            </w:pPr>
            <w:r>
              <w:t>（2）建立工频电场、工频磁场、噪声监测、生态环境现状数据档案。</w:t>
            </w:r>
          </w:p>
          <w:p>
            <w:pPr>
              <w:pStyle w:val="11"/>
            </w:pPr>
            <w:r>
              <w:t>（3）</w:t>
            </w:r>
            <w:r>
              <w:rPr>
                <w:bCs/>
                <w:snapToGrid w:val="0"/>
                <w:szCs w:val="28"/>
              </w:rPr>
              <w:t>掌握项目所在地周围的环境特征和重点环境保护目标情况。建立环境管理和环境监测技术文件，做好记录、建档工作。技术文件包括：污染源的监测记录技术文件；污染控制、环境保护设施的设计和运行管理文件；导致严重环境影响事件的分析报告和监测数据资料等。</w:t>
            </w:r>
          </w:p>
          <w:p>
            <w:pPr>
              <w:pStyle w:val="11"/>
            </w:pPr>
            <w:r>
              <w:t>（4）检查污染防治设施运行情况，及时处理出现的问题，保证治理设施正常运行。</w:t>
            </w:r>
          </w:p>
          <w:p>
            <w:pPr>
              <w:pStyle w:val="11"/>
            </w:pPr>
            <w:r>
              <w:t>（5）协调配合上级环保主管部门所进行的环境调查，生态调查等活动。</w:t>
            </w:r>
          </w:p>
          <w:p>
            <w:pPr>
              <w:numPr>
                <w:ilvl w:val="2"/>
                <w:numId w:val="27"/>
              </w:numPr>
              <w:spacing w:line="360" w:lineRule="auto"/>
              <w:rPr>
                <w:b/>
                <w:kern w:val="0"/>
                <w:sz w:val="24"/>
                <w:szCs w:val="21"/>
              </w:rPr>
            </w:pPr>
            <w:r>
              <w:rPr>
                <w:b/>
                <w:kern w:val="0"/>
                <w:sz w:val="24"/>
                <w:szCs w:val="21"/>
              </w:rPr>
              <w:t>环境保护培训</w:t>
            </w:r>
          </w:p>
          <w:p>
            <w:pPr>
              <w:pStyle w:val="11"/>
              <w:rPr>
                <w:bCs/>
                <w:snapToGrid w:val="0"/>
                <w:szCs w:val="28"/>
              </w:rPr>
            </w:pPr>
            <w:r>
              <w:rPr>
                <w:rFonts w:hint="eastAsia"/>
                <w:bCs/>
                <w:snapToGrid w:val="0"/>
                <w:szCs w:val="28"/>
                <w:lang w:eastAsia="zh-CN"/>
              </w:rPr>
              <w:t>对</w:t>
            </w:r>
            <w:r>
              <w:rPr>
                <w:bCs/>
                <w:snapToGrid w:val="0"/>
                <w:szCs w:val="28"/>
              </w:rPr>
              <w:t>与工程项目有关的主要人员，包括施工单位、运行单位、受影响区域的公众，进行环境保护技术和政策方面的培训与宣传，从而进一步增强施工、运行单位的环保管理的能力，减少施工和运行产生的不利环境影响，并且能够更好地参与和监督本工程的环保管理；提高人们的环保意识，加强公众的环境保护和自我保护意识。具体的环保管理培训计划见</w:t>
            </w:r>
            <w:r>
              <w:rPr>
                <w:bCs/>
                <w:snapToGrid w:val="0"/>
                <w:szCs w:val="28"/>
              </w:rPr>
              <w:fldChar w:fldCharType="begin"/>
            </w:r>
            <w:r>
              <w:rPr>
                <w:bCs/>
                <w:snapToGrid w:val="0"/>
                <w:szCs w:val="28"/>
              </w:rPr>
              <w:instrText xml:space="preserve"> REF _Ref157243725 \h  \* MERGEFORMAT </w:instrText>
            </w:r>
            <w:r>
              <w:rPr>
                <w:bCs/>
                <w:snapToGrid w:val="0"/>
                <w:szCs w:val="28"/>
              </w:rPr>
              <w:fldChar w:fldCharType="separate"/>
            </w:r>
          </w:p>
          <w:p>
            <w:pPr>
              <w:pStyle w:val="11"/>
              <w:rPr>
                <w:rFonts w:hint="eastAsia"/>
                <w:bCs/>
                <w:snapToGrid w:val="0"/>
                <w:szCs w:val="28"/>
              </w:rPr>
            </w:pPr>
            <w:r>
              <w:rPr>
                <w:bCs/>
                <w:snapToGrid w:val="0"/>
                <w:szCs w:val="28"/>
              </w:rPr>
              <w:t xml:space="preserve">表 </w:t>
            </w:r>
            <w:r>
              <w:t>24</w:t>
            </w:r>
            <w:r>
              <w:rPr>
                <w:bCs/>
                <w:snapToGrid w:val="0"/>
                <w:szCs w:val="28"/>
              </w:rPr>
              <w:fldChar w:fldCharType="end"/>
            </w:r>
            <w:r>
              <w:rPr>
                <w:bCs/>
                <w:snapToGrid w:val="0"/>
                <w:szCs w:val="28"/>
              </w:rPr>
              <w:t>。</w:t>
            </w:r>
            <w:bookmarkStart w:id="683" w:name="_Ref157243725"/>
          </w:p>
          <w:p>
            <w:pPr>
              <w:pStyle w:val="18"/>
              <w:ind w:firstLine="420"/>
            </w:pPr>
            <w:r>
              <w:t xml:space="preserve">表 </w:t>
            </w:r>
            <w:r>
              <w:fldChar w:fldCharType="begin"/>
            </w:r>
            <w:r>
              <w:instrText xml:space="preserve"> SEQ 表 \* ARABIC </w:instrText>
            </w:r>
            <w:r>
              <w:fldChar w:fldCharType="separate"/>
            </w:r>
            <w:r>
              <w:t>24</w:t>
            </w:r>
            <w:r>
              <w:fldChar w:fldCharType="end"/>
            </w:r>
            <w:bookmarkEnd w:id="683"/>
            <w:r>
              <w:t xml:space="preserve">                        环保管理培训计划</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2843"/>
              <w:gridCol w:w="3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tblHeader/>
              </w:trPr>
              <w:tc>
                <w:tcPr>
                  <w:tcW w:w="1397" w:type="dxa"/>
                  <w:vAlign w:val="center"/>
                </w:tcPr>
                <w:p>
                  <w:pPr>
                    <w:pStyle w:val="82"/>
                  </w:pPr>
                  <w:r>
                    <w:t>项目</w:t>
                  </w:r>
                </w:p>
              </w:tc>
              <w:tc>
                <w:tcPr>
                  <w:tcW w:w="2843" w:type="dxa"/>
                  <w:vAlign w:val="center"/>
                </w:tcPr>
                <w:p>
                  <w:pPr>
                    <w:pStyle w:val="82"/>
                  </w:pPr>
                  <w:r>
                    <w:t>参加培训或宣传的对象</w:t>
                  </w:r>
                </w:p>
              </w:tc>
              <w:tc>
                <w:tcPr>
                  <w:tcW w:w="3946" w:type="dxa"/>
                  <w:vAlign w:val="center"/>
                </w:tcPr>
                <w:p>
                  <w:pPr>
                    <w:pStyle w:val="82"/>
                  </w:pPr>
                  <w:r>
                    <w:t>培训内容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397" w:type="dxa"/>
                  <w:vAlign w:val="center"/>
                </w:tcPr>
                <w:p>
                  <w:pPr>
                    <w:pStyle w:val="82"/>
                  </w:pPr>
                  <w:r>
                    <w:t>环境保护</w:t>
                  </w:r>
                </w:p>
                <w:p>
                  <w:pPr>
                    <w:pStyle w:val="82"/>
                  </w:pPr>
                  <w:r>
                    <w:t>知识和政策</w:t>
                  </w:r>
                </w:p>
              </w:tc>
              <w:tc>
                <w:tcPr>
                  <w:tcW w:w="2843" w:type="dxa"/>
                  <w:vAlign w:val="center"/>
                </w:tcPr>
                <w:p>
                  <w:pPr>
                    <w:pStyle w:val="82"/>
                  </w:pPr>
                  <w:r>
                    <w:rPr>
                      <w:color w:val="000000"/>
                    </w:rPr>
                    <w:t>变电站周围及</w:t>
                  </w:r>
                  <w:r>
                    <w:t>输电线路沿线的居民</w:t>
                  </w:r>
                </w:p>
              </w:tc>
              <w:tc>
                <w:tcPr>
                  <w:tcW w:w="3946" w:type="dxa"/>
                  <w:vAlign w:val="center"/>
                </w:tcPr>
                <w:p>
                  <w:pPr>
                    <w:pStyle w:val="82"/>
                  </w:pPr>
                  <w:r>
                    <w:t>1.电磁环境影响的有关知识</w:t>
                  </w:r>
                </w:p>
                <w:p>
                  <w:pPr>
                    <w:pStyle w:val="82"/>
                  </w:pPr>
                  <w:r>
                    <w:t>2.声环境质量标准</w:t>
                  </w:r>
                </w:p>
                <w:p>
                  <w:pPr>
                    <w:pStyle w:val="82"/>
                  </w:pPr>
                  <w:r>
                    <w:t>3.《电力设施保护条例》</w:t>
                  </w:r>
                </w:p>
                <w:p>
                  <w:pPr>
                    <w:pStyle w:val="82"/>
                  </w:pPr>
                  <w:r>
                    <w:t>4.其他有关的国家和地方的规定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397" w:type="dxa"/>
                  <w:vAlign w:val="center"/>
                </w:tcPr>
                <w:p>
                  <w:pPr>
                    <w:pStyle w:val="82"/>
                  </w:pPr>
                  <w:r>
                    <w:t>环境保护</w:t>
                  </w:r>
                </w:p>
                <w:p>
                  <w:pPr>
                    <w:pStyle w:val="82"/>
                  </w:pPr>
                  <w:r>
                    <w:t>管理培训</w:t>
                  </w:r>
                </w:p>
              </w:tc>
              <w:tc>
                <w:tcPr>
                  <w:tcW w:w="2843" w:type="dxa"/>
                  <w:vAlign w:val="center"/>
                </w:tcPr>
                <w:p>
                  <w:pPr>
                    <w:pStyle w:val="82"/>
                  </w:pPr>
                  <w:r>
                    <w:t>建设单位或负责运行的单位、施工单位、其他相关人员</w:t>
                  </w:r>
                </w:p>
              </w:tc>
              <w:tc>
                <w:tcPr>
                  <w:tcW w:w="3946" w:type="dxa"/>
                  <w:vAlign w:val="center"/>
                </w:tcPr>
                <w:p>
                  <w:pPr>
                    <w:pStyle w:val="82"/>
                  </w:pPr>
                  <w:r>
                    <w:t>1.《中华人民共和国环境保护法》</w:t>
                  </w:r>
                </w:p>
                <w:p>
                  <w:pPr>
                    <w:pStyle w:val="82"/>
                  </w:pPr>
                  <w:r>
                    <w:t>2.《中华人民共和国草原法》</w:t>
                  </w:r>
                </w:p>
                <w:p>
                  <w:pPr>
                    <w:pStyle w:val="82"/>
                  </w:pPr>
                  <w:r>
                    <w:t>3.《中华人民共和国野生动物保护法》</w:t>
                  </w:r>
                </w:p>
                <w:p>
                  <w:pPr>
                    <w:pStyle w:val="82"/>
                  </w:pPr>
                  <w:r>
                    <w:t>4.《中华人民共和国野</w:t>
                  </w:r>
                  <w:r>
                    <w:rPr>
                      <w:rFonts w:hint="eastAsia"/>
                    </w:rPr>
                    <w:t>生</w:t>
                  </w:r>
                  <w:r>
                    <w:t>植物保护条例》</w:t>
                  </w:r>
                </w:p>
                <w:p>
                  <w:pPr>
                    <w:pStyle w:val="82"/>
                  </w:pPr>
                  <w:r>
                    <w:t>5.《建设项目环境保护管理条例》</w:t>
                  </w:r>
                </w:p>
                <w:p>
                  <w:pPr>
                    <w:pStyle w:val="82"/>
                  </w:pPr>
                  <w:r>
                    <w:t>6.其他有关的管理条例、规定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atLeast"/>
              </w:trPr>
              <w:tc>
                <w:tcPr>
                  <w:tcW w:w="1397" w:type="dxa"/>
                  <w:vAlign w:val="center"/>
                </w:tcPr>
                <w:p>
                  <w:pPr>
                    <w:pStyle w:val="82"/>
                  </w:pPr>
                  <w:r>
                    <w:t>野生动植物保护</w:t>
                  </w:r>
                </w:p>
              </w:tc>
              <w:tc>
                <w:tcPr>
                  <w:tcW w:w="2843" w:type="dxa"/>
                  <w:vAlign w:val="center"/>
                </w:tcPr>
                <w:p>
                  <w:pPr>
                    <w:pStyle w:val="82"/>
                  </w:pPr>
                  <w:r>
                    <w:t>施工及其他相关人员</w:t>
                  </w:r>
                </w:p>
              </w:tc>
              <w:tc>
                <w:tcPr>
                  <w:tcW w:w="3946" w:type="dxa"/>
                  <w:vAlign w:val="center"/>
                </w:tcPr>
                <w:p>
                  <w:pPr>
                    <w:pStyle w:val="82"/>
                  </w:pPr>
                  <w:r>
                    <w:t>1.《中华人民共和国野生动物保护法》</w:t>
                  </w:r>
                </w:p>
                <w:p>
                  <w:pPr>
                    <w:pStyle w:val="82"/>
                  </w:pPr>
                  <w:r>
                    <w:t>2.《中华人民共和国野</w:t>
                  </w:r>
                  <w:r>
                    <w:rPr>
                      <w:rFonts w:hint="eastAsia"/>
                    </w:rPr>
                    <w:t>生</w:t>
                  </w:r>
                  <w:r>
                    <w:t>植物保护条例》</w:t>
                  </w:r>
                </w:p>
                <w:p>
                  <w:pPr>
                    <w:pStyle w:val="82"/>
                  </w:pPr>
                  <w:r>
                    <w:t>3.其他有关的地方管理条例、规定</w:t>
                  </w:r>
                </w:p>
              </w:tc>
            </w:tr>
          </w:tbl>
          <w:p>
            <w:pPr>
              <w:numPr>
                <w:ilvl w:val="2"/>
                <w:numId w:val="27"/>
              </w:numPr>
              <w:spacing w:line="360" w:lineRule="auto"/>
              <w:rPr>
                <w:b/>
                <w:kern w:val="0"/>
                <w:sz w:val="24"/>
                <w:szCs w:val="21"/>
              </w:rPr>
            </w:pPr>
            <w:r>
              <w:rPr>
                <w:b/>
                <w:kern w:val="0"/>
                <w:sz w:val="24"/>
                <w:szCs w:val="21"/>
              </w:rPr>
              <w:t>公众沟通协调应对机制</w:t>
            </w:r>
          </w:p>
          <w:p>
            <w:pPr>
              <w:pStyle w:val="11"/>
            </w:pPr>
            <w:r>
              <w:t>针对输变电工程附近由静电引起的电场刺激等实际影响，建设单位或运行单位应在线路附近设置警示标志，并建立该类影响的应对机制。同时，加强同当地群众的宣传、解释和沟通工作，确有必要时采取接地、屏蔽等措施，消除实际影响。</w:t>
            </w:r>
          </w:p>
          <w:p>
            <w:pPr>
              <w:numPr>
                <w:ilvl w:val="1"/>
                <w:numId w:val="27"/>
              </w:numPr>
              <w:spacing w:line="360" w:lineRule="auto"/>
              <w:rPr>
                <w:b/>
                <w:kern w:val="0"/>
                <w:sz w:val="24"/>
                <w:szCs w:val="21"/>
              </w:rPr>
            </w:pPr>
            <w:r>
              <w:rPr>
                <w:b/>
                <w:kern w:val="0"/>
                <w:sz w:val="24"/>
                <w:szCs w:val="21"/>
              </w:rPr>
              <w:t>环境监测</w:t>
            </w:r>
          </w:p>
          <w:p>
            <w:pPr>
              <w:numPr>
                <w:ilvl w:val="2"/>
                <w:numId w:val="27"/>
              </w:numPr>
              <w:spacing w:line="360" w:lineRule="auto"/>
              <w:rPr>
                <w:b/>
                <w:kern w:val="0"/>
                <w:sz w:val="24"/>
                <w:szCs w:val="21"/>
              </w:rPr>
            </w:pPr>
            <w:r>
              <w:rPr>
                <w:b/>
                <w:kern w:val="0"/>
                <w:sz w:val="24"/>
                <w:szCs w:val="21"/>
              </w:rPr>
              <w:t>环境监测任务</w:t>
            </w:r>
          </w:p>
          <w:p>
            <w:pPr>
              <w:pStyle w:val="11"/>
            </w:pPr>
            <w:r>
              <w:t>（1）制定监测计划，监测工程施工期和运行期环境要素及评价因子的变化。</w:t>
            </w:r>
          </w:p>
          <w:p>
            <w:pPr>
              <w:pStyle w:val="11"/>
              <w:rPr>
                <w:highlight w:val="yellow"/>
              </w:rPr>
            </w:pPr>
            <w:r>
              <w:t>（2）对工程突发的环境事件进行跟踪监测调查。</w:t>
            </w:r>
          </w:p>
          <w:p>
            <w:pPr>
              <w:numPr>
                <w:ilvl w:val="2"/>
                <w:numId w:val="27"/>
              </w:numPr>
              <w:spacing w:line="360" w:lineRule="auto"/>
              <w:rPr>
                <w:b/>
                <w:kern w:val="0"/>
                <w:sz w:val="24"/>
                <w:szCs w:val="21"/>
              </w:rPr>
            </w:pPr>
            <w:r>
              <w:rPr>
                <w:b/>
                <w:kern w:val="0"/>
                <w:sz w:val="24"/>
                <w:szCs w:val="21"/>
              </w:rPr>
              <w:t>监测点位布设</w:t>
            </w:r>
          </w:p>
          <w:p>
            <w:pPr>
              <w:pStyle w:val="11"/>
            </w:pPr>
            <w:r>
              <w:t>监测点位应布置在人类活动相对频繁区域。线路工程监测点可布置在线路附近人为活动较为频繁的区域。具体参照本环评筛选的典型环境</w:t>
            </w:r>
            <w:r>
              <w:rPr>
                <w:rFonts w:hint="eastAsia"/>
              </w:rPr>
              <w:t>现状点</w:t>
            </w:r>
            <w:r>
              <w:t>。</w:t>
            </w:r>
          </w:p>
          <w:p>
            <w:pPr>
              <w:numPr>
                <w:ilvl w:val="2"/>
                <w:numId w:val="27"/>
              </w:numPr>
              <w:spacing w:line="360" w:lineRule="auto"/>
              <w:rPr>
                <w:b/>
                <w:kern w:val="0"/>
                <w:sz w:val="24"/>
                <w:szCs w:val="21"/>
              </w:rPr>
            </w:pPr>
            <w:r>
              <w:rPr>
                <w:b/>
                <w:kern w:val="0"/>
                <w:sz w:val="24"/>
                <w:szCs w:val="21"/>
              </w:rPr>
              <w:t>监测技术要求</w:t>
            </w:r>
          </w:p>
          <w:p>
            <w:pPr>
              <w:pStyle w:val="11"/>
            </w:pPr>
            <w:r>
              <w:t>（1）监测范围应与工程影响区域相符。</w:t>
            </w:r>
          </w:p>
          <w:p>
            <w:pPr>
              <w:pStyle w:val="11"/>
            </w:pPr>
            <w:r>
              <w:t>（2）监测位置与频次应根据环境影响评价、工程竣工环境保护验收的要求确定。</w:t>
            </w:r>
          </w:p>
          <w:p>
            <w:pPr>
              <w:pStyle w:val="11"/>
            </w:pPr>
            <w:r>
              <w:t>（3）监测方法与技术要求应符合国家现行的有关环境监测技术规范和环境监测标准分析方法。</w:t>
            </w:r>
          </w:p>
          <w:p>
            <w:pPr>
              <w:pStyle w:val="11"/>
              <w:ind w:firstLineChars="0"/>
            </w:pPr>
            <w:r>
              <w:t>（4）应对监测提出质量保证要求。</w:t>
            </w:r>
          </w:p>
          <w:p>
            <w:pPr>
              <w:numPr>
                <w:ilvl w:val="2"/>
                <w:numId w:val="27"/>
              </w:numPr>
              <w:spacing w:line="360" w:lineRule="auto"/>
              <w:rPr>
                <w:b/>
                <w:kern w:val="0"/>
                <w:sz w:val="24"/>
                <w:szCs w:val="21"/>
              </w:rPr>
            </w:pPr>
            <w:r>
              <w:rPr>
                <w:rFonts w:hint="eastAsia"/>
                <w:b/>
                <w:kern w:val="0"/>
                <w:sz w:val="24"/>
                <w:szCs w:val="21"/>
              </w:rPr>
              <w:t>环境</w:t>
            </w:r>
            <w:r>
              <w:rPr>
                <w:b/>
                <w:kern w:val="0"/>
                <w:sz w:val="24"/>
                <w:szCs w:val="21"/>
              </w:rPr>
              <w:t>监测</w:t>
            </w:r>
            <w:r>
              <w:rPr>
                <w:rFonts w:hint="eastAsia"/>
                <w:b/>
                <w:kern w:val="0"/>
                <w:sz w:val="24"/>
                <w:szCs w:val="21"/>
              </w:rPr>
              <w:t>计划</w:t>
            </w:r>
          </w:p>
          <w:p>
            <w:pPr>
              <w:pStyle w:val="85"/>
              <w:rPr>
                <w:rStyle w:val="66"/>
                <w:rFonts w:ascii="Times New Roman" w:hAnsi="Times New Roman"/>
                <w:bCs/>
              </w:rPr>
            </w:pPr>
            <w:r>
              <w:rPr>
                <w:rStyle w:val="66"/>
                <w:rFonts w:ascii="Times New Roman" w:hAnsi="Times New Roman"/>
                <w:bCs/>
              </w:rPr>
              <w:t>（1）电磁环境监测</w:t>
            </w:r>
          </w:p>
          <w:p>
            <w:pPr>
              <w:pStyle w:val="85"/>
              <w:rPr>
                <w:rStyle w:val="66"/>
                <w:rFonts w:ascii="Times New Roman" w:hAnsi="Times New Roman"/>
                <w:bCs/>
              </w:rPr>
            </w:pPr>
            <w:r>
              <w:rPr>
                <w:rStyle w:val="66"/>
                <w:rFonts w:ascii="Times New Roman" w:hAnsi="Times New Roman"/>
                <w:bCs/>
              </w:rPr>
              <w:t>1）监测项目：工频电场、工频磁场</w:t>
            </w:r>
          </w:p>
          <w:p>
            <w:pPr>
              <w:pStyle w:val="85"/>
              <w:rPr>
                <w:rStyle w:val="66"/>
                <w:rFonts w:ascii="Times New Roman" w:hAnsi="Times New Roman"/>
                <w:bCs/>
              </w:rPr>
            </w:pPr>
            <w:r>
              <w:rPr>
                <w:rStyle w:val="66"/>
                <w:rFonts w:ascii="Times New Roman" w:hAnsi="Times New Roman"/>
                <w:bCs/>
              </w:rPr>
              <w:t>2）监测方法：按《交流输变电工程电磁环境监测方法（试行）》（HJ681-2013）中的方法进行。</w:t>
            </w:r>
          </w:p>
          <w:p>
            <w:pPr>
              <w:pStyle w:val="85"/>
              <w:rPr>
                <w:rStyle w:val="66"/>
                <w:rFonts w:ascii="Times New Roman" w:hAnsi="Times New Roman"/>
                <w:bCs/>
              </w:rPr>
            </w:pPr>
            <w:r>
              <w:rPr>
                <w:rStyle w:val="66"/>
                <w:rFonts w:ascii="Times New Roman" w:hAnsi="Times New Roman"/>
                <w:bCs/>
              </w:rPr>
              <w:t>3）监测时间：</w:t>
            </w:r>
            <w:r>
              <w:rPr>
                <w:rStyle w:val="66"/>
                <w:rFonts w:hint="eastAsia" w:ascii="Times New Roman" w:hAnsi="Times New Roman"/>
                <w:bCs/>
              </w:rPr>
              <w:t>①</w:t>
            </w:r>
            <w:r>
              <w:rPr>
                <w:rStyle w:val="66"/>
                <w:rFonts w:ascii="Times New Roman" w:hAnsi="Times New Roman"/>
                <w:bCs/>
              </w:rPr>
              <w:t>工程建成正式投产后第一年结合竣工环境保护验收监测一次</w:t>
            </w:r>
            <w:r>
              <w:rPr>
                <w:rStyle w:val="66"/>
                <w:rFonts w:hint="eastAsia" w:ascii="Times New Roman" w:hAnsi="Times New Roman"/>
                <w:bCs/>
              </w:rPr>
              <w:t>；②运行期间确有需要时进行监测；③例行环境监测计划或生态环境主管部门要求时进行监测</w:t>
            </w:r>
            <w:r>
              <w:rPr>
                <w:rStyle w:val="66"/>
                <w:rFonts w:ascii="Times New Roman" w:hAnsi="Times New Roman"/>
                <w:bCs/>
              </w:rPr>
              <w:t>。</w:t>
            </w:r>
            <w:r>
              <w:rPr>
                <w:rStyle w:val="66"/>
                <w:rFonts w:hint="eastAsia" w:ascii="宋体" w:hAnsi="宋体" w:eastAsia="宋体" w:cs="宋体"/>
                <w:bCs/>
              </w:rPr>
              <w:t>④</w:t>
            </w:r>
            <w:r>
              <w:rPr>
                <w:rStyle w:val="66"/>
                <w:rFonts w:ascii="Times New Roman" w:hAnsi="Times New Roman" w:cs="Times New Roman"/>
                <w:bCs/>
              </w:rPr>
              <w:t>主变压器、母线设备等维修后，进行监测</w:t>
            </w:r>
            <w:r>
              <w:rPr>
                <w:rStyle w:val="66"/>
                <w:rFonts w:hint="eastAsia" w:ascii="Times New Roman" w:hAnsi="Times New Roman"/>
                <w:bCs/>
              </w:rPr>
              <w:t>。</w:t>
            </w:r>
          </w:p>
          <w:p>
            <w:pPr>
              <w:pStyle w:val="85"/>
              <w:rPr>
                <w:rStyle w:val="66"/>
                <w:rFonts w:ascii="Times New Roman" w:hAnsi="Times New Roman"/>
                <w:bCs/>
              </w:rPr>
            </w:pPr>
            <w:r>
              <w:rPr>
                <w:rStyle w:val="66"/>
                <w:rFonts w:ascii="Times New Roman" w:hAnsi="Times New Roman"/>
                <w:bCs/>
              </w:rPr>
              <w:t>4）监测频次：各拟定点位监测一次。</w:t>
            </w:r>
          </w:p>
          <w:p>
            <w:pPr>
              <w:pStyle w:val="85"/>
              <w:rPr>
                <w:rStyle w:val="66"/>
                <w:rFonts w:ascii="Times New Roman" w:hAnsi="Times New Roman"/>
                <w:bCs/>
              </w:rPr>
            </w:pPr>
            <w:r>
              <w:rPr>
                <w:rStyle w:val="66"/>
                <w:rFonts w:ascii="Times New Roman" w:hAnsi="Times New Roman"/>
                <w:bCs/>
              </w:rPr>
              <w:t>（2）噪声</w:t>
            </w:r>
            <w:r>
              <w:rPr>
                <w:rStyle w:val="66"/>
                <w:rFonts w:hint="eastAsia" w:ascii="Times New Roman" w:hAnsi="Times New Roman"/>
                <w:bCs/>
              </w:rPr>
              <w:t>监测</w:t>
            </w:r>
          </w:p>
          <w:p>
            <w:pPr>
              <w:pStyle w:val="85"/>
              <w:rPr>
                <w:rStyle w:val="66"/>
                <w:rFonts w:ascii="Times New Roman" w:hAnsi="Times New Roman"/>
                <w:bCs/>
              </w:rPr>
            </w:pPr>
            <w:r>
              <w:rPr>
                <w:rStyle w:val="66"/>
                <w:rFonts w:ascii="Times New Roman" w:hAnsi="Times New Roman"/>
                <w:bCs/>
              </w:rPr>
              <w:t>1）监测项目：等效连续A声级。</w:t>
            </w:r>
          </w:p>
          <w:p>
            <w:pPr>
              <w:pStyle w:val="85"/>
              <w:rPr>
                <w:rStyle w:val="66"/>
                <w:rFonts w:ascii="Times New Roman" w:hAnsi="Times New Roman"/>
                <w:bCs/>
              </w:rPr>
            </w:pPr>
            <w:r>
              <w:rPr>
                <w:rStyle w:val="66"/>
                <w:rFonts w:ascii="Times New Roman" w:hAnsi="Times New Roman"/>
                <w:bCs/>
              </w:rPr>
              <w:t>2）监测方法：</w:t>
            </w:r>
            <w:r>
              <w:rPr>
                <w:rStyle w:val="66"/>
                <w:rFonts w:hint="eastAsia" w:ascii="Times New Roman" w:hAnsi="Times New Roman"/>
                <w:bCs/>
              </w:rPr>
              <w:t>按《工业企业厂界环境噪声排放标准》（GB12348-2008）、《声环境质量标准》（GB3096-2008）中的监测方法进行</w:t>
            </w:r>
            <w:r>
              <w:rPr>
                <w:rStyle w:val="66"/>
                <w:rFonts w:ascii="Times New Roman" w:hAnsi="Times New Roman"/>
                <w:bCs/>
              </w:rPr>
              <w:t>。</w:t>
            </w:r>
          </w:p>
          <w:p>
            <w:pPr>
              <w:pStyle w:val="11"/>
              <w:rPr>
                <w:rStyle w:val="66"/>
                <w:rFonts w:ascii="Times New Roman"/>
                <w:bCs/>
              </w:rPr>
            </w:pPr>
            <w:r>
              <w:rPr>
                <w:rStyle w:val="66"/>
                <w:rFonts w:ascii="Times New Roman"/>
                <w:bCs/>
              </w:rPr>
              <w:t>3）监测时间：</w:t>
            </w:r>
            <w:r>
              <w:rPr>
                <w:rStyle w:val="66"/>
                <w:rFonts w:hint="eastAsia" w:ascii="宋体" w:hAnsi="宋体" w:eastAsia="宋体" w:cs="宋体"/>
                <w:bCs/>
              </w:rPr>
              <w:t>①</w:t>
            </w:r>
            <w:r>
              <w:rPr>
                <w:rStyle w:val="66"/>
                <w:rFonts w:ascii="Times New Roman" w:cs="Times New Roman"/>
                <w:bCs/>
              </w:rPr>
              <w:t>工程建成正式投产后第一年结合竣工环境保护验收监测一次；</w:t>
            </w:r>
            <w:r>
              <w:rPr>
                <w:rStyle w:val="66"/>
                <w:rFonts w:hint="eastAsia" w:ascii="宋体" w:hAnsi="宋体" w:eastAsia="宋体" w:cs="宋体"/>
                <w:bCs/>
              </w:rPr>
              <w:t>②</w:t>
            </w:r>
            <w:r>
              <w:rPr>
                <w:rStyle w:val="66"/>
                <w:rFonts w:ascii="Times New Roman" w:cs="Times New Roman"/>
                <w:bCs/>
              </w:rPr>
              <w:t>运行期间</w:t>
            </w:r>
            <w:r>
              <w:rPr>
                <w:rStyle w:val="66"/>
                <w:rFonts w:hint="eastAsia" w:ascii="宋体" w:hAnsi="宋体" w:eastAsia="宋体" w:cs="Times New Roman"/>
                <w:bCs/>
              </w:rPr>
              <w:t>确有需要</w:t>
            </w:r>
            <w:r>
              <w:rPr>
                <w:rStyle w:val="66"/>
                <w:rFonts w:ascii="Times New Roman" w:cs="Times New Roman"/>
                <w:bCs/>
              </w:rPr>
              <w:t>时进行监测；</w:t>
            </w:r>
            <w:r>
              <w:rPr>
                <w:rStyle w:val="66"/>
                <w:rFonts w:hint="eastAsia" w:ascii="宋体" w:hAnsi="宋体" w:eastAsia="宋体" w:cs="宋体"/>
                <w:bCs/>
              </w:rPr>
              <w:t>③</w:t>
            </w:r>
            <w:r>
              <w:rPr>
                <w:rStyle w:val="66"/>
                <w:rFonts w:ascii="Times New Roman" w:cs="Times New Roman"/>
                <w:bCs/>
              </w:rPr>
              <w:t>例行环境监测计划或生态环境主管部门要求时进行监</w:t>
            </w:r>
            <w:r>
              <w:t>测</w:t>
            </w:r>
            <w:r>
              <w:rPr>
                <w:rFonts w:hint="eastAsia"/>
              </w:rPr>
              <w:t>；</w:t>
            </w:r>
            <w:r>
              <w:rPr>
                <w:rFonts w:hint="eastAsia" w:ascii="宋体" w:hAnsi="宋体" w:cs="宋体"/>
              </w:rPr>
              <w:t>④</w:t>
            </w:r>
            <w:r>
              <w:rPr>
                <w:rFonts w:hint="eastAsia"/>
              </w:rPr>
              <w:t>主要噪声源大修前后进行监测</w:t>
            </w:r>
            <w:r>
              <w:rPr>
                <w:rStyle w:val="66"/>
                <w:rFonts w:hint="eastAsia" w:ascii="Times New Roman"/>
                <w:bCs/>
              </w:rPr>
              <w:t>。</w:t>
            </w:r>
          </w:p>
          <w:p>
            <w:pPr>
              <w:pStyle w:val="85"/>
              <w:rPr>
                <w:rStyle w:val="66"/>
                <w:rFonts w:ascii="Times New Roman" w:hAnsi="Times New Roman"/>
                <w:bCs/>
              </w:rPr>
            </w:pPr>
            <w:r>
              <w:rPr>
                <w:rStyle w:val="66"/>
                <w:rFonts w:ascii="Times New Roman" w:hAnsi="Times New Roman"/>
                <w:bCs/>
              </w:rPr>
              <w:t>4）监测频次：各拟定点位昼夜间各监测一次。</w:t>
            </w:r>
          </w:p>
          <w:p>
            <w:pPr>
              <w:pStyle w:val="17"/>
              <w:spacing w:line="360" w:lineRule="auto"/>
              <w:ind w:firstLine="480"/>
            </w:pPr>
            <w:r>
              <w:rPr>
                <w:rStyle w:val="66"/>
                <w:rFonts w:hint="eastAsia" w:ascii="Times New Roman"/>
                <w:bCs/>
              </w:rPr>
              <w:t>电磁环境、</w:t>
            </w:r>
            <w:r>
              <w:rPr>
                <w:rStyle w:val="66"/>
                <w:rFonts w:ascii="Times New Roman"/>
                <w:bCs/>
              </w:rPr>
              <w:t>声环境监测计划见</w:t>
            </w:r>
            <w:r>
              <w:rPr>
                <w:rStyle w:val="66"/>
                <w:rFonts w:ascii="Times New Roman"/>
                <w:bCs/>
                <w:szCs w:val="24"/>
              </w:rPr>
              <w:fldChar w:fldCharType="begin"/>
            </w:r>
            <w:r>
              <w:rPr>
                <w:rStyle w:val="66"/>
                <w:rFonts w:ascii="Times New Roman"/>
                <w:bCs/>
                <w:szCs w:val="24"/>
              </w:rPr>
              <w:instrText xml:space="preserve"> REF _Ref172485985 \h  \* MERGEFORMAT </w:instrText>
            </w:r>
            <w:r>
              <w:rPr>
                <w:rStyle w:val="66"/>
                <w:rFonts w:ascii="Times New Roman"/>
                <w:bCs/>
                <w:szCs w:val="24"/>
              </w:rPr>
              <w:fldChar w:fldCharType="separate"/>
            </w:r>
            <w:r>
              <w:rPr>
                <w:sz w:val="24"/>
              </w:rPr>
              <w:t>表 25</w:t>
            </w:r>
            <w:r>
              <w:rPr>
                <w:rStyle w:val="66"/>
                <w:rFonts w:ascii="Times New Roman"/>
                <w:bCs/>
                <w:szCs w:val="24"/>
              </w:rPr>
              <w:fldChar w:fldCharType="end"/>
            </w:r>
            <w:r>
              <w:rPr>
                <w:rStyle w:val="66"/>
                <w:rFonts w:hint="eastAsia" w:ascii="Times New Roman"/>
                <w:bCs/>
              </w:rPr>
              <w:t>。</w:t>
            </w:r>
            <w:bookmarkStart w:id="684" w:name="_Ref157243798"/>
          </w:p>
          <w:p>
            <w:pPr>
              <w:pStyle w:val="18"/>
              <w:ind w:firstLine="420"/>
            </w:pPr>
            <w:bookmarkStart w:id="685" w:name="_Ref172485985"/>
            <w:r>
              <w:t xml:space="preserve">表 </w:t>
            </w:r>
            <w:r>
              <w:fldChar w:fldCharType="begin"/>
            </w:r>
            <w:r>
              <w:instrText xml:space="preserve"> SEQ 表 \* ARABIC </w:instrText>
            </w:r>
            <w:r>
              <w:fldChar w:fldCharType="separate"/>
            </w:r>
            <w:r>
              <w:t>25</w:t>
            </w:r>
            <w:r>
              <w:fldChar w:fldCharType="end"/>
            </w:r>
            <w:bookmarkEnd w:id="684"/>
            <w:bookmarkEnd w:id="685"/>
            <w:r>
              <w:t xml:space="preserve">                 电磁环境、声环境监测计划要求一览表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6"/>
              <w:gridCol w:w="809"/>
              <w:gridCol w:w="850"/>
              <w:gridCol w:w="3261"/>
              <w:gridCol w:w="1658"/>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405" w:type="dxa"/>
                  <w:gridSpan w:val="2"/>
                  <w:vAlign w:val="center"/>
                </w:tcPr>
                <w:p>
                  <w:pPr>
                    <w:pStyle w:val="11"/>
                    <w:spacing w:line="240" w:lineRule="auto"/>
                    <w:ind w:firstLine="0" w:firstLineChars="0"/>
                    <w:jc w:val="center"/>
                    <w:rPr>
                      <w:sz w:val="21"/>
                      <w:szCs w:val="21"/>
                    </w:rPr>
                  </w:pPr>
                  <w:r>
                    <w:rPr>
                      <w:sz w:val="21"/>
                      <w:szCs w:val="21"/>
                    </w:rPr>
                    <w:t>监测内容</w:t>
                  </w:r>
                </w:p>
              </w:tc>
              <w:tc>
                <w:tcPr>
                  <w:tcW w:w="4111" w:type="dxa"/>
                  <w:gridSpan w:val="2"/>
                  <w:vAlign w:val="center"/>
                </w:tcPr>
                <w:p>
                  <w:pPr>
                    <w:pStyle w:val="11"/>
                    <w:spacing w:line="240" w:lineRule="auto"/>
                    <w:ind w:firstLine="0" w:firstLineChars="0"/>
                    <w:jc w:val="center"/>
                    <w:rPr>
                      <w:sz w:val="21"/>
                      <w:szCs w:val="21"/>
                    </w:rPr>
                  </w:pPr>
                  <w:r>
                    <w:rPr>
                      <w:sz w:val="21"/>
                      <w:szCs w:val="21"/>
                    </w:rPr>
                    <w:t>监测布点</w:t>
                  </w:r>
                </w:p>
              </w:tc>
              <w:tc>
                <w:tcPr>
                  <w:tcW w:w="1658" w:type="dxa"/>
                  <w:vAlign w:val="center"/>
                </w:tcPr>
                <w:p>
                  <w:pPr>
                    <w:pStyle w:val="11"/>
                    <w:spacing w:line="240" w:lineRule="auto"/>
                    <w:ind w:firstLine="420"/>
                    <w:jc w:val="center"/>
                    <w:rPr>
                      <w:sz w:val="21"/>
                      <w:szCs w:val="21"/>
                    </w:rPr>
                  </w:pPr>
                  <w:r>
                    <w:rPr>
                      <w:sz w:val="21"/>
                      <w:szCs w:val="21"/>
                    </w:rPr>
                    <w:t>监测时间</w:t>
                  </w:r>
                </w:p>
              </w:tc>
              <w:tc>
                <w:tcPr>
                  <w:tcW w:w="1220" w:type="dxa"/>
                  <w:vAlign w:val="center"/>
                </w:tcPr>
                <w:p>
                  <w:pPr>
                    <w:pStyle w:val="11"/>
                    <w:spacing w:line="240" w:lineRule="auto"/>
                    <w:ind w:firstLine="0" w:firstLineChars="0"/>
                    <w:jc w:val="center"/>
                    <w:rPr>
                      <w:sz w:val="21"/>
                      <w:szCs w:val="21"/>
                    </w:rPr>
                  </w:pPr>
                  <w:r>
                    <w:rPr>
                      <w:sz w:val="21"/>
                      <w:szCs w:val="21"/>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6" w:type="dxa"/>
                  <w:vMerge w:val="restart"/>
                  <w:vAlign w:val="center"/>
                </w:tcPr>
                <w:p>
                  <w:pPr>
                    <w:pStyle w:val="11"/>
                    <w:spacing w:line="240" w:lineRule="auto"/>
                    <w:ind w:firstLine="0" w:firstLineChars="0"/>
                    <w:rPr>
                      <w:sz w:val="21"/>
                      <w:szCs w:val="21"/>
                    </w:rPr>
                  </w:pPr>
                  <w:r>
                    <w:rPr>
                      <w:sz w:val="21"/>
                      <w:szCs w:val="21"/>
                    </w:rPr>
                    <w:t>运行期</w:t>
                  </w:r>
                </w:p>
              </w:tc>
              <w:tc>
                <w:tcPr>
                  <w:tcW w:w="809" w:type="dxa"/>
                  <w:vMerge w:val="restart"/>
                  <w:vAlign w:val="center"/>
                </w:tcPr>
                <w:p>
                  <w:pPr>
                    <w:pStyle w:val="11"/>
                    <w:spacing w:line="240" w:lineRule="auto"/>
                    <w:ind w:firstLine="0" w:firstLineChars="0"/>
                    <w:rPr>
                      <w:sz w:val="21"/>
                      <w:szCs w:val="21"/>
                    </w:rPr>
                  </w:pPr>
                  <w:r>
                    <w:rPr>
                      <w:sz w:val="21"/>
                      <w:szCs w:val="21"/>
                    </w:rPr>
                    <w:t>工频电场、工频磁场</w:t>
                  </w:r>
                </w:p>
              </w:tc>
              <w:tc>
                <w:tcPr>
                  <w:tcW w:w="850" w:type="dxa"/>
                  <w:vAlign w:val="center"/>
                </w:tcPr>
                <w:p>
                  <w:pPr>
                    <w:pStyle w:val="11"/>
                    <w:spacing w:line="240" w:lineRule="auto"/>
                    <w:ind w:firstLine="0" w:firstLineChars="0"/>
                    <w:jc w:val="center"/>
                    <w:rPr>
                      <w:sz w:val="21"/>
                      <w:szCs w:val="21"/>
                    </w:rPr>
                  </w:pPr>
                  <w:r>
                    <w:rPr>
                      <w:rFonts w:hint="eastAsia"/>
                      <w:sz w:val="21"/>
                      <w:szCs w:val="21"/>
                    </w:rPr>
                    <w:t>变电站</w:t>
                  </w:r>
                </w:p>
              </w:tc>
              <w:tc>
                <w:tcPr>
                  <w:tcW w:w="3261" w:type="dxa"/>
                  <w:vAlign w:val="center"/>
                </w:tcPr>
                <w:p>
                  <w:pPr>
                    <w:pStyle w:val="11"/>
                    <w:spacing w:line="240" w:lineRule="auto"/>
                    <w:ind w:firstLine="0" w:firstLineChars="0"/>
                    <w:rPr>
                      <w:sz w:val="21"/>
                      <w:szCs w:val="21"/>
                    </w:rPr>
                  </w:pPr>
                  <w:r>
                    <w:rPr>
                      <w:rFonts w:hint="eastAsia"/>
                      <w:sz w:val="21"/>
                      <w:szCs w:val="21"/>
                    </w:rPr>
                    <w:t>变电站厂界</w:t>
                  </w:r>
                  <w:r>
                    <w:rPr>
                      <w:sz w:val="21"/>
                      <w:szCs w:val="21"/>
                    </w:rPr>
                    <w:t>四周各</w:t>
                  </w:r>
                  <w:r>
                    <w:rPr>
                      <w:rFonts w:hint="eastAsia"/>
                      <w:sz w:val="21"/>
                      <w:szCs w:val="21"/>
                    </w:rPr>
                    <w:t>均匀布设至少1个</w:t>
                  </w:r>
                  <w:r>
                    <w:rPr>
                      <w:sz w:val="21"/>
                      <w:szCs w:val="21"/>
                    </w:rPr>
                    <w:t>监测点</w:t>
                  </w:r>
                  <w:r>
                    <w:rPr>
                      <w:rFonts w:hint="eastAsia"/>
                      <w:sz w:val="21"/>
                      <w:szCs w:val="21"/>
                    </w:rPr>
                    <w:t>，</w:t>
                  </w:r>
                  <w:r>
                    <w:rPr>
                      <w:sz w:val="21"/>
                      <w:szCs w:val="21"/>
                    </w:rPr>
                    <w:t>在</w:t>
                  </w:r>
                  <w:r>
                    <w:rPr>
                      <w:rFonts w:hint="eastAsia"/>
                      <w:sz w:val="21"/>
                      <w:szCs w:val="21"/>
                    </w:rPr>
                    <w:t>高压侧</w:t>
                  </w:r>
                  <w:r>
                    <w:rPr>
                      <w:sz w:val="21"/>
                      <w:szCs w:val="21"/>
                    </w:rPr>
                    <w:t>或距</w:t>
                  </w:r>
                  <w:r>
                    <w:rPr>
                      <w:rFonts w:hint="eastAsia"/>
                      <w:sz w:val="21"/>
                      <w:szCs w:val="21"/>
                    </w:rPr>
                    <w:t>带电</w:t>
                  </w:r>
                  <w:r>
                    <w:rPr>
                      <w:sz w:val="21"/>
                      <w:szCs w:val="21"/>
                    </w:rPr>
                    <w:t>构架较近的围墙侧</w:t>
                  </w:r>
                  <w:r>
                    <w:rPr>
                      <w:rFonts w:hint="eastAsia"/>
                      <w:sz w:val="21"/>
                      <w:szCs w:val="21"/>
                    </w:rPr>
                    <w:t>适当</w:t>
                  </w:r>
                  <w:r>
                    <w:rPr>
                      <w:sz w:val="21"/>
                      <w:szCs w:val="21"/>
                    </w:rPr>
                    <w:t>增加监测点位</w:t>
                  </w:r>
                  <w:r>
                    <w:rPr>
                      <w:rFonts w:hint="eastAsia"/>
                      <w:sz w:val="21"/>
                      <w:szCs w:val="21"/>
                    </w:rPr>
                    <w:t>；</w:t>
                  </w:r>
                  <w:r>
                    <w:rPr>
                      <w:sz w:val="21"/>
                      <w:szCs w:val="21"/>
                    </w:rPr>
                    <w:t>垂直</w:t>
                  </w:r>
                  <w:r>
                    <w:rPr>
                      <w:rFonts w:hint="eastAsia"/>
                      <w:sz w:val="21"/>
                      <w:szCs w:val="21"/>
                    </w:rPr>
                    <w:t>进出线围墙</w:t>
                  </w:r>
                  <w:r>
                    <w:rPr>
                      <w:sz w:val="21"/>
                      <w:szCs w:val="21"/>
                    </w:rPr>
                    <w:t>布置监测断面，以5m间隔布置测点，测至50m处。</w:t>
                  </w:r>
                  <w:r>
                    <w:rPr>
                      <w:rFonts w:hint="eastAsia"/>
                      <w:sz w:val="21"/>
                      <w:szCs w:val="21"/>
                    </w:rPr>
                    <w:t>变电站无电磁环境敏感目标。</w:t>
                  </w:r>
                </w:p>
              </w:tc>
              <w:tc>
                <w:tcPr>
                  <w:tcW w:w="1658" w:type="dxa"/>
                  <w:vMerge w:val="restart"/>
                  <w:vAlign w:val="center"/>
                </w:tcPr>
                <w:p>
                  <w:pPr>
                    <w:pStyle w:val="11"/>
                    <w:spacing w:line="240" w:lineRule="auto"/>
                    <w:ind w:firstLine="0" w:firstLineChars="0"/>
                    <w:rPr>
                      <w:sz w:val="21"/>
                    </w:rPr>
                  </w:pPr>
                  <w:r>
                    <w:rPr>
                      <w:rStyle w:val="66"/>
                      <w:rFonts w:hint="eastAsia" w:ascii="宋体" w:hAnsi="宋体" w:eastAsia="宋体" w:cs="宋体"/>
                      <w:sz w:val="21"/>
                      <w:szCs w:val="20"/>
                    </w:rPr>
                    <w:t>①</w:t>
                  </w:r>
                  <w:r>
                    <w:rPr>
                      <w:rStyle w:val="66"/>
                      <w:rFonts w:ascii="Times New Roman" w:eastAsia="宋体" w:cs="Times New Roman"/>
                      <w:sz w:val="21"/>
                      <w:szCs w:val="20"/>
                    </w:rPr>
                    <w:t>工程建成正式投产后第一年结合竣工环境保护验收监测一次；</w:t>
                  </w:r>
                  <w:r>
                    <w:rPr>
                      <w:rStyle w:val="66"/>
                      <w:rFonts w:hint="eastAsia" w:ascii="宋体" w:hAnsi="宋体" w:eastAsia="宋体" w:cs="宋体"/>
                      <w:sz w:val="21"/>
                      <w:szCs w:val="20"/>
                    </w:rPr>
                    <w:t>②</w:t>
                  </w:r>
                  <w:r>
                    <w:rPr>
                      <w:rStyle w:val="66"/>
                      <w:rFonts w:ascii="Times New Roman" w:eastAsia="宋体" w:cs="Times New Roman"/>
                      <w:sz w:val="21"/>
                      <w:szCs w:val="20"/>
                    </w:rPr>
                    <w:t>运行期间</w:t>
                  </w:r>
                  <w:r>
                    <w:rPr>
                      <w:rStyle w:val="66"/>
                      <w:rFonts w:hint="eastAsia" w:ascii="Times New Roman" w:eastAsia="宋体" w:cs="Times New Roman"/>
                      <w:sz w:val="21"/>
                      <w:szCs w:val="20"/>
                    </w:rPr>
                    <w:t>确有需要</w:t>
                  </w:r>
                  <w:r>
                    <w:rPr>
                      <w:rStyle w:val="66"/>
                      <w:rFonts w:ascii="Times New Roman" w:eastAsia="宋体" w:cs="Times New Roman"/>
                      <w:sz w:val="21"/>
                      <w:szCs w:val="20"/>
                    </w:rPr>
                    <w:t>时进行监测；</w:t>
                  </w:r>
                  <w:r>
                    <w:rPr>
                      <w:rStyle w:val="66"/>
                      <w:rFonts w:hint="eastAsia" w:ascii="宋体" w:hAnsi="宋体" w:eastAsia="宋体" w:cs="宋体"/>
                      <w:sz w:val="21"/>
                      <w:szCs w:val="20"/>
                    </w:rPr>
                    <w:t>③</w:t>
                  </w:r>
                  <w:r>
                    <w:rPr>
                      <w:rStyle w:val="66"/>
                      <w:rFonts w:ascii="Times New Roman" w:eastAsia="宋体" w:cs="Times New Roman"/>
                      <w:sz w:val="21"/>
                      <w:szCs w:val="20"/>
                    </w:rPr>
                    <w:t>例行环境监测计划或生态环境主管部门要求时进行监测</w:t>
                  </w:r>
                  <w:r>
                    <w:rPr>
                      <w:rStyle w:val="66"/>
                      <w:rFonts w:hint="eastAsia" w:ascii="Times New Roman" w:eastAsia="宋体" w:cs="Times New Roman"/>
                      <w:sz w:val="21"/>
                      <w:szCs w:val="20"/>
                    </w:rPr>
                    <w:t>；</w:t>
                  </w:r>
                  <w:r>
                    <w:rPr>
                      <w:rFonts w:hint="eastAsia" w:ascii="宋体" w:hAnsi="宋体" w:cs="宋体"/>
                      <w:sz w:val="21"/>
                    </w:rPr>
                    <w:t>④</w:t>
                  </w:r>
                  <w:r>
                    <w:rPr>
                      <w:rStyle w:val="66"/>
                      <w:rFonts w:hint="eastAsia" w:ascii="Times New Roman"/>
                      <w:bCs/>
                      <w:sz w:val="21"/>
                      <w:szCs w:val="21"/>
                    </w:rPr>
                    <w:t>主变压器、母线设备等维修后，进行监测</w:t>
                  </w:r>
                  <w:r>
                    <w:rPr>
                      <w:rFonts w:hint="eastAsia"/>
                      <w:sz w:val="21"/>
                      <w:szCs w:val="21"/>
                    </w:rPr>
                    <w:t>。</w:t>
                  </w:r>
                </w:p>
              </w:tc>
              <w:tc>
                <w:tcPr>
                  <w:tcW w:w="1220" w:type="dxa"/>
                  <w:vMerge w:val="restart"/>
                  <w:vAlign w:val="center"/>
                </w:tcPr>
                <w:p>
                  <w:pPr>
                    <w:pStyle w:val="11"/>
                    <w:spacing w:line="240" w:lineRule="auto"/>
                    <w:ind w:firstLine="0" w:firstLineChars="0"/>
                    <w:rPr>
                      <w:sz w:val="21"/>
                      <w:szCs w:val="21"/>
                    </w:rPr>
                  </w:pPr>
                  <w:r>
                    <w:rPr>
                      <w:rFonts w:hint="eastAsia"/>
                      <w:sz w:val="21"/>
                      <w:szCs w:val="21"/>
                    </w:rPr>
                    <w:t>工频电场强度（kV/m）、工频磁感应强度（µT）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96" w:type="dxa"/>
                  <w:vMerge w:val="continue"/>
                  <w:vAlign w:val="center"/>
                </w:tcPr>
                <w:p>
                  <w:pPr>
                    <w:pStyle w:val="11"/>
                    <w:spacing w:line="240" w:lineRule="auto"/>
                    <w:ind w:firstLine="420"/>
                    <w:rPr>
                      <w:sz w:val="21"/>
                      <w:szCs w:val="21"/>
                    </w:rPr>
                  </w:pPr>
                </w:p>
              </w:tc>
              <w:tc>
                <w:tcPr>
                  <w:tcW w:w="809" w:type="dxa"/>
                  <w:vMerge w:val="continue"/>
                  <w:vAlign w:val="center"/>
                </w:tcPr>
                <w:p>
                  <w:pPr>
                    <w:pStyle w:val="11"/>
                    <w:spacing w:line="240" w:lineRule="auto"/>
                    <w:ind w:firstLine="420"/>
                    <w:rPr>
                      <w:sz w:val="21"/>
                      <w:szCs w:val="21"/>
                    </w:rPr>
                  </w:pPr>
                </w:p>
              </w:tc>
              <w:tc>
                <w:tcPr>
                  <w:tcW w:w="850" w:type="dxa"/>
                  <w:vAlign w:val="center"/>
                </w:tcPr>
                <w:p>
                  <w:pPr>
                    <w:pStyle w:val="11"/>
                    <w:spacing w:line="240" w:lineRule="auto"/>
                    <w:ind w:firstLine="0" w:firstLineChars="0"/>
                    <w:jc w:val="center"/>
                    <w:rPr>
                      <w:sz w:val="21"/>
                      <w:szCs w:val="21"/>
                    </w:rPr>
                  </w:pPr>
                  <w:r>
                    <w:rPr>
                      <w:rFonts w:hint="eastAsia"/>
                      <w:sz w:val="21"/>
                      <w:szCs w:val="21"/>
                    </w:rPr>
                    <w:t>线路</w:t>
                  </w:r>
                </w:p>
              </w:tc>
              <w:tc>
                <w:tcPr>
                  <w:tcW w:w="3261" w:type="dxa"/>
                  <w:vAlign w:val="center"/>
                </w:tcPr>
                <w:p>
                  <w:pPr>
                    <w:pStyle w:val="11"/>
                    <w:spacing w:line="240" w:lineRule="auto"/>
                    <w:ind w:firstLine="0" w:firstLineChars="0"/>
                    <w:rPr>
                      <w:sz w:val="21"/>
                      <w:szCs w:val="21"/>
                    </w:rPr>
                  </w:pPr>
                  <w:r>
                    <w:rPr>
                      <w:rFonts w:hint="eastAsia"/>
                      <w:sz w:val="21"/>
                      <w:szCs w:val="21"/>
                    </w:rPr>
                    <w:t>线路沿线无环境敏感目标，监测布点可参照本工程现状值测点布设</w:t>
                  </w:r>
                  <w:r>
                    <w:rPr>
                      <w:sz w:val="21"/>
                      <w:szCs w:val="21"/>
                    </w:rPr>
                    <w:t>；垂直线路布置监测断面，以5m间隔布置测点，测至50m处。</w:t>
                  </w:r>
                </w:p>
              </w:tc>
              <w:tc>
                <w:tcPr>
                  <w:tcW w:w="1658" w:type="dxa"/>
                  <w:vMerge w:val="continue"/>
                  <w:vAlign w:val="center"/>
                </w:tcPr>
                <w:p>
                  <w:pPr>
                    <w:pStyle w:val="11"/>
                    <w:spacing w:line="240" w:lineRule="auto"/>
                    <w:ind w:firstLine="420"/>
                    <w:rPr>
                      <w:sz w:val="21"/>
                      <w:szCs w:val="21"/>
                    </w:rPr>
                  </w:pPr>
                </w:p>
              </w:tc>
              <w:tc>
                <w:tcPr>
                  <w:tcW w:w="1220" w:type="dxa"/>
                  <w:vMerge w:val="continue"/>
                  <w:vAlign w:val="center"/>
                </w:tcPr>
                <w:p>
                  <w:pPr>
                    <w:pStyle w:val="11"/>
                    <w:spacing w:line="240" w:lineRule="auto"/>
                    <w:ind w:firstLine="42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jc w:val="center"/>
              </w:trPr>
              <w:tc>
                <w:tcPr>
                  <w:tcW w:w="596" w:type="dxa"/>
                  <w:vMerge w:val="continue"/>
                  <w:vAlign w:val="center"/>
                </w:tcPr>
                <w:p>
                  <w:pPr>
                    <w:pStyle w:val="11"/>
                    <w:spacing w:line="240" w:lineRule="auto"/>
                    <w:ind w:firstLine="420"/>
                    <w:rPr>
                      <w:sz w:val="21"/>
                      <w:szCs w:val="21"/>
                    </w:rPr>
                  </w:pPr>
                </w:p>
              </w:tc>
              <w:tc>
                <w:tcPr>
                  <w:tcW w:w="809" w:type="dxa"/>
                  <w:vMerge w:val="restart"/>
                  <w:vAlign w:val="center"/>
                </w:tcPr>
                <w:p>
                  <w:pPr>
                    <w:pStyle w:val="11"/>
                    <w:spacing w:line="240" w:lineRule="auto"/>
                    <w:ind w:firstLine="0" w:firstLineChars="0"/>
                    <w:jc w:val="center"/>
                    <w:rPr>
                      <w:sz w:val="21"/>
                      <w:szCs w:val="21"/>
                    </w:rPr>
                  </w:pPr>
                  <w:r>
                    <w:rPr>
                      <w:sz w:val="21"/>
                      <w:szCs w:val="21"/>
                    </w:rPr>
                    <w:t>噪声</w:t>
                  </w:r>
                </w:p>
              </w:tc>
              <w:tc>
                <w:tcPr>
                  <w:tcW w:w="850" w:type="dxa"/>
                  <w:vAlign w:val="center"/>
                </w:tcPr>
                <w:p>
                  <w:pPr>
                    <w:pStyle w:val="11"/>
                    <w:spacing w:line="240" w:lineRule="auto"/>
                    <w:ind w:firstLine="0" w:firstLineChars="0"/>
                    <w:jc w:val="center"/>
                    <w:rPr>
                      <w:sz w:val="21"/>
                      <w:szCs w:val="21"/>
                    </w:rPr>
                  </w:pPr>
                  <w:r>
                    <w:rPr>
                      <w:rFonts w:hint="eastAsia"/>
                      <w:sz w:val="21"/>
                      <w:szCs w:val="21"/>
                    </w:rPr>
                    <w:t>变电站</w:t>
                  </w:r>
                </w:p>
              </w:tc>
              <w:tc>
                <w:tcPr>
                  <w:tcW w:w="3261" w:type="dxa"/>
                  <w:vAlign w:val="center"/>
                </w:tcPr>
                <w:p>
                  <w:pPr>
                    <w:pStyle w:val="11"/>
                    <w:spacing w:line="240" w:lineRule="auto"/>
                    <w:ind w:firstLine="0" w:firstLineChars="0"/>
                    <w:rPr>
                      <w:sz w:val="21"/>
                      <w:szCs w:val="21"/>
                    </w:rPr>
                  </w:pPr>
                  <w:r>
                    <w:rPr>
                      <w:rFonts w:hint="eastAsia"/>
                      <w:sz w:val="21"/>
                      <w:szCs w:val="21"/>
                    </w:rPr>
                    <w:t>变电站厂界</w:t>
                  </w:r>
                  <w:r>
                    <w:rPr>
                      <w:sz w:val="21"/>
                      <w:szCs w:val="21"/>
                    </w:rPr>
                    <w:t>四周各</w:t>
                  </w:r>
                  <w:r>
                    <w:rPr>
                      <w:rFonts w:hint="eastAsia"/>
                      <w:sz w:val="21"/>
                      <w:szCs w:val="21"/>
                    </w:rPr>
                    <w:t>均匀布设至少1个</w:t>
                  </w:r>
                  <w:r>
                    <w:rPr>
                      <w:sz w:val="21"/>
                      <w:szCs w:val="21"/>
                    </w:rPr>
                    <w:t>监测点位。</w:t>
                  </w:r>
                  <w:r>
                    <w:rPr>
                      <w:rFonts w:hint="eastAsia"/>
                      <w:sz w:val="21"/>
                      <w:szCs w:val="21"/>
                    </w:rPr>
                    <w:t>变电站无声环境敏感目标。</w:t>
                  </w:r>
                </w:p>
              </w:tc>
              <w:tc>
                <w:tcPr>
                  <w:tcW w:w="1658" w:type="dxa"/>
                  <w:vMerge w:val="restart"/>
                  <w:vAlign w:val="center"/>
                </w:tcPr>
                <w:p>
                  <w:pPr>
                    <w:pStyle w:val="11"/>
                    <w:spacing w:line="240" w:lineRule="auto"/>
                    <w:ind w:firstLine="0" w:firstLineChars="0"/>
                    <w:rPr>
                      <w:sz w:val="21"/>
                      <w:szCs w:val="21"/>
                    </w:rPr>
                  </w:pPr>
                  <w:r>
                    <w:rPr>
                      <w:rStyle w:val="66"/>
                      <w:rFonts w:hint="eastAsia" w:ascii="宋体" w:hAnsi="宋体" w:eastAsia="宋体" w:cs="宋体"/>
                      <w:sz w:val="21"/>
                      <w:szCs w:val="20"/>
                    </w:rPr>
                    <w:t>①</w:t>
                  </w:r>
                  <w:r>
                    <w:rPr>
                      <w:rStyle w:val="66"/>
                      <w:rFonts w:ascii="Times New Roman" w:eastAsia="宋体" w:cs="Times New Roman"/>
                      <w:sz w:val="21"/>
                      <w:szCs w:val="20"/>
                    </w:rPr>
                    <w:t>工程建成正式投产后第一年结合竣工环境保护验收监测一次；</w:t>
                  </w:r>
                  <w:r>
                    <w:rPr>
                      <w:rStyle w:val="66"/>
                      <w:rFonts w:hint="eastAsia" w:ascii="宋体" w:hAnsi="宋体" w:eastAsia="宋体" w:cs="宋体"/>
                      <w:sz w:val="21"/>
                      <w:szCs w:val="20"/>
                    </w:rPr>
                    <w:t>②</w:t>
                  </w:r>
                  <w:r>
                    <w:rPr>
                      <w:rStyle w:val="66"/>
                      <w:rFonts w:ascii="Times New Roman" w:eastAsia="宋体" w:cs="Times New Roman"/>
                      <w:sz w:val="21"/>
                      <w:szCs w:val="20"/>
                    </w:rPr>
                    <w:t>运行期间</w:t>
                  </w:r>
                  <w:r>
                    <w:rPr>
                      <w:rStyle w:val="66"/>
                      <w:rFonts w:hint="eastAsia" w:ascii="Times New Roman" w:eastAsia="宋体" w:cs="Times New Roman"/>
                      <w:sz w:val="21"/>
                      <w:szCs w:val="20"/>
                    </w:rPr>
                    <w:t>确有需要</w:t>
                  </w:r>
                  <w:r>
                    <w:rPr>
                      <w:rStyle w:val="66"/>
                      <w:rFonts w:ascii="Times New Roman" w:eastAsia="宋体" w:cs="Times New Roman"/>
                      <w:sz w:val="21"/>
                      <w:szCs w:val="20"/>
                    </w:rPr>
                    <w:t>时进行监测；</w:t>
                  </w:r>
                  <w:r>
                    <w:rPr>
                      <w:rStyle w:val="66"/>
                      <w:rFonts w:hint="eastAsia" w:ascii="宋体" w:hAnsi="宋体" w:eastAsia="宋体" w:cs="宋体"/>
                      <w:sz w:val="21"/>
                      <w:szCs w:val="20"/>
                    </w:rPr>
                    <w:t>③</w:t>
                  </w:r>
                  <w:r>
                    <w:rPr>
                      <w:rStyle w:val="66"/>
                      <w:rFonts w:ascii="Times New Roman" w:eastAsia="宋体" w:cs="Times New Roman"/>
                      <w:sz w:val="21"/>
                      <w:szCs w:val="20"/>
                    </w:rPr>
                    <w:t>例行环境监测计划或生态环境主管部门要求时进行监测</w:t>
                  </w:r>
                  <w:r>
                    <w:rPr>
                      <w:rStyle w:val="66"/>
                      <w:rFonts w:hint="eastAsia" w:ascii="Times New Roman" w:eastAsia="宋体" w:cs="Times New Roman"/>
                      <w:sz w:val="21"/>
                      <w:szCs w:val="20"/>
                    </w:rPr>
                    <w:t>；</w:t>
                  </w:r>
                  <w:r>
                    <w:rPr>
                      <w:rFonts w:hint="eastAsia" w:ascii="宋体" w:hAnsi="宋体" w:cs="宋体"/>
                      <w:sz w:val="21"/>
                    </w:rPr>
                    <w:t>④</w:t>
                  </w:r>
                  <w:r>
                    <w:rPr>
                      <w:rFonts w:hint="eastAsia"/>
                      <w:sz w:val="21"/>
                    </w:rPr>
                    <w:t>主要噪声源大修前后。</w:t>
                  </w:r>
                </w:p>
              </w:tc>
              <w:tc>
                <w:tcPr>
                  <w:tcW w:w="1220" w:type="dxa"/>
                  <w:vMerge w:val="restart"/>
                  <w:vAlign w:val="center"/>
                </w:tcPr>
                <w:p>
                  <w:pPr>
                    <w:pStyle w:val="11"/>
                    <w:spacing w:line="240" w:lineRule="auto"/>
                    <w:ind w:firstLine="0" w:firstLineChars="0"/>
                    <w:rPr>
                      <w:sz w:val="21"/>
                      <w:szCs w:val="21"/>
                    </w:rPr>
                  </w:pPr>
                  <w:r>
                    <w:rPr>
                      <w:rFonts w:hint="eastAsia"/>
                      <w:sz w:val="21"/>
                      <w:szCs w:val="21"/>
                    </w:rPr>
                    <w:t>昼间、夜间等效声级，Leq，dB(A)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96" w:type="dxa"/>
                  <w:vMerge w:val="continue"/>
                  <w:vAlign w:val="center"/>
                </w:tcPr>
                <w:p>
                  <w:pPr>
                    <w:pStyle w:val="11"/>
                    <w:spacing w:line="240" w:lineRule="auto"/>
                    <w:ind w:firstLine="420"/>
                    <w:rPr>
                      <w:sz w:val="21"/>
                      <w:szCs w:val="21"/>
                      <w:u w:val="single"/>
                    </w:rPr>
                  </w:pPr>
                </w:p>
              </w:tc>
              <w:tc>
                <w:tcPr>
                  <w:tcW w:w="809" w:type="dxa"/>
                  <w:vMerge w:val="continue"/>
                  <w:vAlign w:val="center"/>
                </w:tcPr>
                <w:p>
                  <w:pPr>
                    <w:pStyle w:val="11"/>
                    <w:spacing w:line="240" w:lineRule="auto"/>
                    <w:ind w:firstLine="420"/>
                    <w:rPr>
                      <w:sz w:val="21"/>
                      <w:szCs w:val="21"/>
                      <w:u w:val="single"/>
                    </w:rPr>
                  </w:pPr>
                </w:p>
              </w:tc>
              <w:tc>
                <w:tcPr>
                  <w:tcW w:w="850" w:type="dxa"/>
                  <w:vAlign w:val="center"/>
                </w:tcPr>
                <w:p>
                  <w:pPr>
                    <w:pStyle w:val="11"/>
                    <w:spacing w:line="240" w:lineRule="auto"/>
                    <w:ind w:firstLine="0" w:firstLineChars="0"/>
                    <w:jc w:val="center"/>
                    <w:rPr>
                      <w:sz w:val="21"/>
                      <w:szCs w:val="21"/>
                    </w:rPr>
                  </w:pPr>
                  <w:r>
                    <w:rPr>
                      <w:rFonts w:hint="eastAsia"/>
                      <w:sz w:val="21"/>
                      <w:szCs w:val="21"/>
                    </w:rPr>
                    <w:t>线路</w:t>
                  </w:r>
                </w:p>
              </w:tc>
              <w:tc>
                <w:tcPr>
                  <w:tcW w:w="3261" w:type="dxa"/>
                  <w:vAlign w:val="center"/>
                </w:tcPr>
                <w:p>
                  <w:pPr>
                    <w:pStyle w:val="11"/>
                    <w:spacing w:line="240" w:lineRule="auto"/>
                    <w:ind w:firstLine="0" w:firstLineChars="0"/>
                    <w:rPr>
                      <w:sz w:val="21"/>
                      <w:szCs w:val="21"/>
                    </w:rPr>
                  </w:pPr>
                  <w:r>
                    <w:rPr>
                      <w:rFonts w:hint="eastAsia"/>
                      <w:color w:val="000000"/>
                      <w:sz w:val="21"/>
                    </w:rPr>
                    <w:t>线路沿线声环境保护目标各布设监测个点，各监测点位昼间、夜间各监测一次。</w:t>
                  </w:r>
                </w:p>
              </w:tc>
              <w:tc>
                <w:tcPr>
                  <w:tcW w:w="1658" w:type="dxa"/>
                  <w:vMerge w:val="continue"/>
                  <w:vAlign w:val="center"/>
                </w:tcPr>
                <w:p>
                  <w:pPr>
                    <w:pStyle w:val="11"/>
                    <w:spacing w:line="240" w:lineRule="auto"/>
                    <w:ind w:firstLine="420"/>
                    <w:rPr>
                      <w:sz w:val="21"/>
                      <w:szCs w:val="21"/>
                      <w:u w:val="single"/>
                    </w:rPr>
                  </w:pPr>
                </w:p>
              </w:tc>
              <w:tc>
                <w:tcPr>
                  <w:tcW w:w="1220" w:type="dxa"/>
                  <w:vMerge w:val="continue"/>
                  <w:vAlign w:val="center"/>
                </w:tcPr>
                <w:p>
                  <w:pPr>
                    <w:pStyle w:val="11"/>
                    <w:spacing w:line="240" w:lineRule="auto"/>
                    <w:ind w:firstLine="420"/>
                    <w:rPr>
                      <w:sz w:val="21"/>
                      <w:szCs w:val="21"/>
                      <w:u w:val="single"/>
                    </w:rPr>
                  </w:pPr>
                </w:p>
              </w:tc>
            </w:tr>
          </w:tbl>
          <w:p>
            <w:pPr>
              <w:numPr>
                <w:ilvl w:val="1"/>
                <w:numId w:val="27"/>
              </w:numPr>
              <w:spacing w:line="360" w:lineRule="auto"/>
              <w:rPr>
                <w:b/>
                <w:kern w:val="0"/>
                <w:sz w:val="24"/>
                <w:szCs w:val="21"/>
              </w:rPr>
            </w:pPr>
            <w:r>
              <w:rPr>
                <w:b/>
                <w:kern w:val="0"/>
                <w:sz w:val="24"/>
                <w:szCs w:val="21"/>
              </w:rPr>
              <w:t>信息公开</w:t>
            </w:r>
          </w:p>
          <w:p>
            <w:pPr>
              <w:pStyle w:val="11"/>
              <w:spacing w:line="440" w:lineRule="exact"/>
              <w:rPr>
                <w:rStyle w:val="69"/>
                <w:rFonts w:ascii="Times New Roman" w:eastAsia="宋体" w:cs="Times New Roman"/>
                <w:sz w:val="24"/>
              </w:rPr>
            </w:pPr>
            <w:r>
              <w:rPr>
                <w:rStyle w:val="91"/>
                <w:rFonts w:ascii="Times New Roman" w:eastAsia="宋体" w:cs="Times New Roman"/>
                <w:sz w:val="24"/>
              </w:rPr>
              <w:t>信息公开本工程应执行《关于强化建设项目环境影响评价事中事后监督的实施意见》</w:t>
            </w:r>
            <w:r>
              <w:rPr>
                <w:rStyle w:val="91"/>
                <w:rFonts w:hint="eastAsia" w:ascii="Times New Roman" w:eastAsia="宋体" w:cs="Times New Roman"/>
                <w:sz w:val="24"/>
              </w:rPr>
              <w:t>（</w:t>
            </w:r>
            <w:r>
              <w:rPr>
                <w:rStyle w:val="91"/>
                <w:rFonts w:ascii="Times New Roman" w:eastAsia="宋体" w:cs="Times New Roman"/>
                <w:sz w:val="24"/>
              </w:rPr>
              <w:t>环环评</w:t>
            </w:r>
            <w:r>
              <w:rPr>
                <w:rFonts w:hint="eastAsia"/>
                <w:szCs w:val="24"/>
              </w:rPr>
              <w:t>〔</w:t>
            </w:r>
            <w:r>
              <w:t>20</w:t>
            </w:r>
            <w:r>
              <w:rPr>
                <w:rFonts w:hint="eastAsia"/>
              </w:rPr>
              <w:t>18</w:t>
            </w:r>
            <w:r>
              <w:rPr>
                <w:rFonts w:hint="eastAsia"/>
                <w:szCs w:val="24"/>
              </w:rPr>
              <w:t>〕</w:t>
            </w:r>
            <w:r>
              <w:rPr>
                <w:rStyle w:val="69"/>
                <w:rFonts w:ascii="Times New Roman" w:eastAsia="宋体" w:cs="Times New Roman"/>
                <w:sz w:val="24"/>
              </w:rPr>
              <w:t>11</w:t>
            </w:r>
            <w:r>
              <w:rPr>
                <w:rStyle w:val="91"/>
                <w:rFonts w:ascii="Times New Roman" w:eastAsia="宋体" w:cs="Times New Roman"/>
                <w:sz w:val="24"/>
              </w:rPr>
              <w:t>号</w:t>
            </w:r>
            <w:r>
              <w:rPr>
                <w:rStyle w:val="69"/>
                <w:rFonts w:hint="eastAsia" w:ascii="Times New Roman" w:eastAsia="宋体" w:cs="Times New Roman"/>
                <w:sz w:val="24"/>
              </w:rPr>
              <w:t>）</w:t>
            </w:r>
            <w:r>
              <w:rPr>
                <w:rStyle w:val="91"/>
                <w:rFonts w:ascii="Times New Roman" w:eastAsia="宋体" w:cs="Times New Roman"/>
                <w:sz w:val="24"/>
              </w:rPr>
              <w:t>《建设项目环境影响评价信息公开机制方案》</w:t>
            </w:r>
            <w:r>
              <w:rPr>
                <w:rStyle w:val="91"/>
                <w:rFonts w:hint="eastAsia" w:ascii="Times New Roman" w:eastAsia="宋体" w:cs="Times New Roman"/>
                <w:sz w:val="24"/>
              </w:rPr>
              <w:t>（</w:t>
            </w:r>
            <w:r>
              <w:rPr>
                <w:rStyle w:val="91"/>
                <w:rFonts w:ascii="Times New Roman" w:eastAsia="宋体" w:cs="Times New Roman"/>
                <w:sz w:val="24"/>
              </w:rPr>
              <w:t>环发</w:t>
            </w:r>
            <w:r>
              <w:rPr>
                <w:rFonts w:hint="eastAsia"/>
                <w:szCs w:val="24"/>
              </w:rPr>
              <w:t>〔</w:t>
            </w:r>
            <w:r>
              <w:t>20</w:t>
            </w:r>
            <w:r>
              <w:rPr>
                <w:rFonts w:hint="eastAsia"/>
              </w:rPr>
              <w:t>15</w:t>
            </w:r>
            <w:r>
              <w:rPr>
                <w:rFonts w:hint="eastAsia"/>
                <w:szCs w:val="24"/>
              </w:rPr>
              <w:t>〕</w:t>
            </w:r>
            <w:r>
              <w:rPr>
                <w:rStyle w:val="69"/>
                <w:rFonts w:ascii="Times New Roman" w:eastAsia="宋体" w:cs="Times New Roman"/>
                <w:sz w:val="24"/>
              </w:rPr>
              <w:t>162</w:t>
            </w:r>
            <w:r>
              <w:rPr>
                <w:rStyle w:val="91"/>
                <w:rFonts w:ascii="Times New Roman" w:eastAsia="宋体" w:cs="Times New Roman"/>
                <w:sz w:val="24"/>
              </w:rPr>
              <w:t>号</w:t>
            </w:r>
            <w:r>
              <w:rPr>
                <w:rStyle w:val="69"/>
                <w:rFonts w:hint="eastAsia" w:ascii="Times New Roman" w:eastAsia="宋体" w:cs="Times New Roman"/>
                <w:sz w:val="24"/>
              </w:rPr>
              <w:t>）</w:t>
            </w:r>
            <w:r>
              <w:rPr>
                <w:rStyle w:val="91"/>
                <w:rFonts w:ascii="Times New Roman" w:eastAsia="宋体" w:cs="Times New Roman"/>
                <w:sz w:val="24"/>
              </w:rPr>
              <w:t>等法规，应当建立健全本单位环境信息公开制度，指定机构负责本单位环境信息公开日常工作，将本单位环境信息进行全面的公开，包括</w:t>
            </w:r>
            <w:r>
              <w:rPr>
                <w:rStyle w:val="69"/>
                <w:rFonts w:ascii="Times New Roman" w:eastAsia="宋体" w:cs="Times New Roman"/>
                <w:sz w:val="24"/>
              </w:rPr>
              <w:t>:</w:t>
            </w:r>
          </w:p>
          <w:p>
            <w:pPr>
              <w:pStyle w:val="11"/>
              <w:spacing w:line="440" w:lineRule="exact"/>
              <w:rPr>
                <w:rStyle w:val="69"/>
                <w:rFonts w:ascii="Times New Roman" w:eastAsia="宋体" w:cs="Times New Roman"/>
                <w:sz w:val="24"/>
              </w:rPr>
            </w:pPr>
            <w:r>
              <w:rPr>
                <w:rStyle w:val="91"/>
                <w:rFonts w:hint="eastAsia" w:ascii="宋体" w:hAnsi="宋体" w:eastAsia="宋体" w:cs="宋体"/>
                <w:sz w:val="24"/>
              </w:rPr>
              <w:t>①</w:t>
            </w:r>
            <w:r>
              <w:rPr>
                <w:rStyle w:val="91"/>
                <w:rFonts w:ascii="Times New Roman" w:eastAsia="宋体" w:cs="Times New Roman"/>
                <w:sz w:val="24"/>
              </w:rPr>
              <w:t>公开环境影响报告表编制信息</w:t>
            </w:r>
            <w:r>
              <w:rPr>
                <w:rStyle w:val="91"/>
                <w:rFonts w:hint="eastAsia" w:ascii="Times New Roman" w:eastAsia="宋体" w:cs="Times New Roman"/>
                <w:sz w:val="24"/>
              </w:rPr>
              <w:t>；</w:t>
            </w:r>
          </w:p>
          <w:p>
            <w:pPr>
              <w:pStyle w:val="11"/>
              <w:spacing w:line="440" w:lineRule="exact"/>
              <w:rPr>
                <w:rStyle w:val="69"/>
                <w:rFonts w:ascii="Times New Roman" w:eastAsia="宋体" w:cs="Times New Roman"/>
                <w:sz w:val="24"/>
              </w:rPr>
            </w:pPr>
            <w:r>
              <w:rPr>
                <w:rStyle w:val="91"/>
                <w:rFonts w:hint="eastAsia" w:ascii="宋体" w:hAnsi="宋体" w:eastAsia="宋体" w:cs="宋体"/>
                <w:sz w:val="24"/>
              </w:rPr>
              <w:t>②</w:t>
            </w:r>
            <w:r>
              <w:rPr>
                <w:rStyle w:val="91"/>
                <w:rFonts w:ascii="Times New Roman" w:eastAsia="宋体" w:cs="Times New Roman"/>
                <w:sz w:val="24"/>
              </w:rPr>
              <w:t>公开环境影响报告表全本</w:t>
            </w:r>
            <w:r>
              <w:rPr>
                <w:rStyle w:val="91"/>
                <w:rFonts w:hint="eastAsia" w:ascii="Times New Roman" w:eastAsia="宋体" w:cs="Times New Roman"/>
                <w:sz w:val="24"/>
              </w:rPr>
              <w:t>；</w:t>
            </w:r>
          </w:p>
          <w:p>
            <w:pPr>
              <w:pStyle w:val="11"/>
              <w:spacing w:line="440" w:lineRule="exact"/>
              <w:rPr>
                <w:rStyle w:val="69"/>
                <w:rFonts w:ascii="Times New Roman" w:eastAsia="宋体" w:cs="Times New Roman"/>
                <w:sz w:val="24"/>
              </w:rPr>
            </w:pPr>
            <w:r>
              <w:rPr>
                <w:rStyle w:val="91"/>
                <w:rFonts w:hint="eastAsia" w:ascii="宋体" w:hAnsi="宋体" w:eastAsia="宋体" w:cs="宋体"/>
                <w:sz w:val="24"/>
              </w:rPr>
              <w:t>③</w:t>
            </w:r>
            <w:r>
              <w:rPr>
                <w:rStyle w:val="91"/>
                <w:rFonts w:ascii="Times New Roman" w:eastAsia="宋体" w:cs="Times New Roman"/>
                <w:sz w:val="24"/>
              </w:rPr>
              <w:t>公开建设项目开工前的信息</w:t>
            </w:r>
            <w:r>
              <w:rPr>
                <w:rStyle w:val="91"/>
                <w:rFonts w:hint="eastAsia" w:ascii="Times New Roman" w:eastAsia="宋体" w:cs="Times New Roman"/>
                <w:sz w:val="24"/>
              </w:rPr>
              <w:t>；</w:t>
            </w:r>
          </w:p>
          <w:p>
            <w:pPr>
              <w:pStyle w:val="11"/>
              <w:spacing w:line="440" w:lineRule="exact"/>
              <w:rPr>
                <w:rStyle w:val="69"/>
                <w:rFonts w:ascii="Times New Roman" w:eastAsia="宋体" w:cs="Times New Roman"/>
                <w:sz w:val="24"/>
              </w:rPr>
            </w:pPr>
            <w:r>
              <w:rPr>
                <w:rStyle w:val="91"/>
                <w:rFonts w:hint="eastAsia" w:ascii="宋体" w:hAnsi="宋体" w:eastAsia="宋体" w:cs="宋体"/>
                <w:sz w:val="24"/>
              </w:rPr>
              <w:t>④</w:t>
            </w:r>
            <w:r>
              <w:rPr>
                <w:rStyle w:val="91"/>
                <w:rFonts w:ascii="Times New Roman" w:eastAsia="宋体" w:cs="Times New Roman"/>
                <w:sz w:val="24"/>
              </w:rPr>
              <w:t>公开建设项目施工过程中的信息</w:t>
            </w:r>
            <w:r>
              <w:rPr>
                <w:rStyle w:val="91"/>
                <w:rFonts w:hint="eastAsia" w:ascii="Times New Roman" w:eastAsia="宋体" w:cs="Times New Roman"/>
                <w:sz w:val="24"/>
              </w:rPr>
              <w:t>；</w:t>
            </w:r>
          </w:p>
          <w:p>
            <w:pPr>
              <w:pStyle w:val="11"/>
              <w:spacing w:line="440" w:lineRule="exact"/>
              <w:rPr>
                <w:color w:val="FF0000"/>
                <w:highlight w:val="yellow"/>
              </w:rPr>
            </w:pPr>
            <w:r>
              <w:rPr>
                <w:rStyle w:val="91"/>
                <w:rFonts w:hint="eastAsia" w:ascii="宋体" w:hAnsi="宋体" w:eastAsia="宋体" w:cs="宋体"/>
                <w:sz w:val="24"/>
              </w:rPr>
              <w:t>⑤</w:t>
            </w:r>
            <w:r>
              <w:rPr>
                <w:rStyle w:val="91"/>
                <w:rFonts w:ascii="Times New Roman" w:eastAsia="宋体" w:cs="Times New Roman"/>
                <w:sz w:val="24"/>
              </w:rPr>
              <w:t>公开建设项目建成后的信息等。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557" w:type="dxa"/>
            <w:vAlign w:val="center"/>
          </w:tcPr>
          <w:p>
            <w:pPr>
              <w:adjustRightInd w:val="0"/>
              <w:snapToGrid w:val="0"/>
              <w:jc w:val="center"/>
              <w:rPr>
                <w:b/>
                <w:bCs/>
                <w:color w:val="FF0000"/>
                <w:spacing w:val="10"/>
                <w:szCs w:val="21"/>
              </w:rPr>
            </w:pPr>
            <w:r>
              <w:rPr>
                <w:b/>
                <w:bCs/>
                <w:sz w:val="24"/>
              </w:rPr>
              <w:t>环保投资</w:t>
            </w:r>
          </w:p>
        </w:tc>
        <w:tc>
          <w:tcPr>
            <w:tcW w:w="8090" w:type="dxa"/>
          </w:tcPr>
          <w:p>
            <w:pPr>
              <w:pStyle w:val="11"/>
            </w:pPr>
            <w:r>
              <w:t>本工程</w:t>
            </w:r>
            <w:r>
              <w:rPr>
                <w:rFonts w:hint="eastAsia"/>
              </w:rPr>
              <w:t>估算</w:t>
            </w:r>
            <w:r>
              <w:t>动态总投资为</w:t>
            </w:r>
            <w:r>
              <w:rPr>
                <w:rFonts w:hint="eastAsia"/>
                <w:color w:val="000000"/>
              </w:rPr>
              <w:t>8658</w:t>
            </w:r>
            <w:r>
              <w:t>万元，其中环保投资为</w:t>
            </w:r>
            <w:r>
              <w:rPr>
                <w:rFonts w:hint="eastAsia"/>
              </w:rPr>
              <w:t>90.3</w:t>
            </w:r>
            <w:r>
              <w:t>万元，占工程总投资的1.</w:t>
            </w:r>
            <w:r>
              <w:rPr>
                <w:rFonts w:hint="eastAsia"/>
              </w:rPr>
              <w:t>04</w:t>
            </w:r>
            <w:r>
              <w:t>%。工程环保投资具体见</w:t>
            </w:r>
            <w:r>
              <w:fldChar w:fldCharType="begin"/>
            </w:r>
            <w:r>
              <w:instrText xml:space="preserve"> REF _Ref157244030 \h </w:instrText>
            </w:r>
            <w:r>
              <w:fldChar w:fldCharType="separate"/>
            </w:r>
            <w:r>
              <w:t>表 26</w:t>
            </w:r>
            <w:r>
              <w:fldChar w:fldCharType="end"/>
            </w:r>
            <w:r>
              <w:t>。</w:t>
            </w:r>
          </w:p>
          <w:p>
            <w:pPr>
              <w:pStyle w:val="18"/>
              <w:ind w:firstLine="420"/>
            </w:pPr>
            <w:bookmarkStart w:id="686" w:name="_Ref157244030"/>
            <w:r>
              <w:t xml:space="preserve">表 </w:t>
            </w:r>
            <w:r>
              <w:fldChar w:fldCharType="begin"/>
            </w:r>
            <w:r>
              <w:instrText xml:space="preserve"> SEQ 表 \* ARABIC </w:instrText>
            </w:r>
            <w:r>
              <w:fldChar w:fldCharType="separate"/>
            </w:r>
            <w:r>
              <w:t>26</w:t>
            </w:r>
            <w:r>
              <w:fldChar w:fldCharType="end"/>
            </w:r>
            <w:bookmarkEnd w:id="686"/>
            <w:r>
              <w:t xml:space="preserve">                         工程环保投资估算表</w:t>
            </w:r>
          </w:p>
          <w:tbl>
            <w:tblPr>
              <w:tblStyle w:val="43"/>
              <w:tblW w:w="843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28" w:type="dxa"/>
                <w:bottom w:w="0" w:type="dxa"/>
                <w:right w:w="28" w:type="dxa"/>
              </w:tblCellMar>
            </w:tblPr>
            <w:tblGrid>
              <w:gridCol w:w="877"/>
              <w:gridCol w:w="2928"/>
              <w:gridCol w:w="2635"/>
              <w:gridCol w:w="199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10" w:hRule="atLeast"/>
                <w:jc w:val="center"/>
              </w:trPr>
              <w:tc>
                <w:tcPr>
                  <w:tcW w:w="877"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snapToGrid w:val="0"/>
                      <w:kern w:val="0"/>
                      <w:szCs w:val="21"/>
                    </w:rPr>
                    <w:t>序号</w:t>
                  </w:r>
                </w:p>
              </w:tc>
              <w:tc>
                <w:tcPr>
                  <w:tcW w:w="2928"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snapToGrid w:val="0"/>
                      <w:kern w:val="0"/>
                      <w:szCs w:val="21"/>
                    </w:rPr>
                    <w:t>项  目</w:t>
                  </w:r>
                </w:p>
              </w:tc>
              <w:tc>
                <w:tcPr>
                  <w:tcW w:w="2635"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snapToGrid w:val="0"/>
                      <w:kern w:val="0"/>
                      <w:szCs w:val="21"/>
                    </w:rPr>
                    <w:t>投资估算（万元）</w:t>
                  </w:r>
                </w:p>
              </w:tc>
              <w:tc>
                <w:tcPr>
                  <w:tcW w:w="1997" w:type="dxa"/>
                  <w:tcBorders>
                    <w:top w:val="single" w:color="auto" w:sz="4" w:space="0"/>
                    <w:left w:val="single" w:color="auto" w:sz="4" w:space="0"/>
                    <w:bottom w:val="single" w:color="auto" w:sz="4" w:space="0"/>
                    <w:right w:val="single" w:color="auto" w:sz="4" w:space="0"/>
                  </w:tcBorders>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责任主体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91" w:hRule="atLeast"/>
                <w:jc w:val="center"/>
              </w:trPr>
              <w:tc>
                <w:tcPr>
                  <w:tcW w:w="877" w:type="dxa"/>
                  <w:tcBorders>
                    <w:top w:val="single" w:color="auto" w:sz="4" w:space="0"/>
                    <w:left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1</w:t>
                  </w:r>
                </w:p>
              </w:tc>
              <w:tc>
                <w:tcPr>
                  <w:tcW w:w="2928" w:type="dxa"/>
                  <w:tcBorders>
                    <w:top w:val="single" w:color="auto" w:sz="4" w:space="0"/>
                    <w:left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事故油池</w:t>
                  </w:r>
                </w:p>
              </w:tc>
              <w:tc>
                <w:tcPr>
                  <w:tcW w:w="2635" w:type="dxa"/>
                  <w:tcBorders>
                    <w:top w:val="single" w:color="auto" w:sz="4" w:space="0"/>
                    <w:left w:val="single" w:color="auto" w:sz="4" w:space="0"/>
                    <w:right w:val="single" w:color="auto" w:sz="4" w:space="0"/>
                  </w:tcBorders>
                  <w:vAlign w:val="center"/>
                </w:tcPr>
                <w:p>
                  <w:pPr>
                    <w:widowControl/>
                    <w:jc w:val="center"/>
                    <w:rPr>
                      <w:rFonts w:cs="Calibri"/>
                      <w:sz w:val="22"/>
                    </w:rPr>
                  </w:pPr>
                  <w:r>
                    <w:rPr>
                      <w:rFonts w:hint="eastAsia" w:cs="Calibri"/>
                      <w:sz w:val="22"/>
                    </w:rPr>
                    <w:t>6.5</w:t>
                  </w:r>
                </w:p>
              </w:tc>
              <w:tc>
                <w:tcPr>
                  <w:tcW w:w="1997" w:type="dxa"/>
                  <w:vMerge w:val="restart"/>
                  <w:tcBorders>
                    <w:top w:val="single" w:color="auto" w:sz="4" w:space="0"/>
                    <w:left w:val="single" w:color="auto" w:sz="4" w:space="0"/>
                    <w:right w:val="single" w:color="auto" w:sz="4" w:space="0"/>
                  </w:tcBorders>
                  <w:vAlign w:val="center"/>
                </w:tcPr>
                <w:p>
                  <w:pPr>
                    <w:widowControl/>
                    <w:jc w:val="center"/>
                    <w:rPr>
                      <w:rFonts w:cs="Calibri"/>
                      <w:szCs w:val="21"/>
                    </w:rPr>
                  </w:pPr>
                  <w:r>
                    <w:rPr>
                      <w:rFonts w:hint="eastAsia" w:cs="Calibri"/>
                      <w:szCs w:val="21"/>
                    </w:rPr>
                    <w:t>建设单位</w:t>
                  </w:r>
                </w:p>
                <w:p>
                  <w:pPr>
                    <w:jc w:val="center"/>
                    <w:rPr>
                      <w:rFonts w:eastAsia="Wingdings"/>
                      <w:szCs w:val="21"/>
                    </w:rPr>
                  </w:pPr>
                  <w:r>
                    <w:rPr>
                      <w:rFonts w:hint="eastAsia" w:eastAsia="Wingdings"/>
                      <w:szCs w:val="21"/>
                    </w:rPr>
                    <w:t>设计单位</w:t>
                  </w:r>
                </w:p>
                <w:p>
                  <w:pPr>
                    <w:jc w:val="center"/>
                    <w:rPr>
                      <w:rFonts w:cs="Calibri"/>
                      <w:szCs w:val="21"/>
                    </w:rPr>
                  </w:pPr>
                  <w:r>
                    <w:rPr>
                      <w:rFonts w:hint="eastAsia"/>
                      <w:szCs w:val="21"/>
                    </w:rPr>
                    <w:t>施工单位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91" w:hRule="atLeast"/>
                <w:jc w:val="center"/>
              </w:trPr>
              <w:tc>
                <w:tcPr>
                  <w:tcW w:w="877" w:type="dxa"/>
                  <w:tcBorders>
                    <w:top w:val="single" w:color="auto" w:sz="4" w:space="0"/>
                    <w:left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2</w:t>
                  </w:r>
                </w:p>
              </w:tc>
              <w:tc>
                <w:tcPr>
                  <w:tcW w:w="2928" w:type="dxa"/>
                  <w:tcBorders>
                    <w:top w:val="single" w:color="auto" w:sz="4" w:space="0"/>
                    <w:left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主变油坑及卵石</w:t>
                  </w:r>
                </w:p>
              </w:tc>
              <w:tc>
                <w:tcPr>
                  <w:tcW w:w="2635" w:type="dxa"/>
                  <w:tcBorders>
                    <w:top w:val="single" w:color="auto" w:sz="4" w:space="0"/>
                    <w:left w:val="single" w:color="auto" w:sz="4" w:space="0"/>
                    <w:right w:val="single" w:color="auto" w:sz="4" w:space="0"/>
                  </w:tcBorders>
                  <w:vAlign w:val="center"/>
                </w:tcPr>
                <w:p>
                  <w:pPr>
                    <w:widowControl/>
                    <w:jc w:val="center"/>
                    <w:rPr>
                      <w:rFonts w:cs="Calibri"/>
                      <w:sz w:val="22"/>
                    </w:rPr>
                  </w:pPr>
                  <w:r>
                    <w:rPr>
                      <w:rFonts w:hint="eastAsia" w:cs="Calibri"/>
                      <w:sz w:val="22"/>
                    </w:rPr>
                    <w:t>28.0</w:t>
                  </w:r>
                </w:p>
              </w:tc>
              <w:tc>
                <w:tcPr>
                  <w:tcW w:w="1997" w:type="dxa"/>
                  <w:vMerge w:val="continue"/>
                  <w:tcBorders>
                    <w:left w:val="single" w:color="auto" w:sz="4" w:space="0"/>
                    <w:right w:val="single" w:color="auto" w:sz="4" w:space="0"/>
                  </w:tcBorders>
                  <w:vAlign w:val="center"/>
                </w:tcPr>
                <w:p>
                  <w:pPr>
                    <w:jc w:val="center"/>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91" w:hRule="atLeast"/>
                <w:jc w:val="center"/>
              </w:trPr>
              <w:tc>
                <w:tcPr>
                  <w:tcW w:w="877" w:type="dxa"/>
                  <w:tcBorders>
                    <w:top w:val="single" w:color="auto" w:sz="4" w:space="0"/>
                    <w:left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3</w:t>
                  </w:r>
                </w:p>
              </w:tc>
              <w:tc>
                <w:tcPr>
                  <w:tcW w:w="2928" w:type="dxa"/>
                  <w:tcBorders>
                    <w:top w:val="single" w:color="auto" w:sz="4" w:space="0"/>
                    <w:left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占地</w:t>
                  </w:r>
                  <w:r>
                    <w:rPr>
                      <w:snapToGrid w:val="0"/>
                      <w:kern w:val="0"/>
                      <w:szCs w:val="21"/>
                    </w:rPr>
                    <w:t>恢复</w:t>
                  </w:r>
                </w:p>
              </w:tc>
              <w:tc>
                <w:tcPr>
                  <w:tcW w:w="2635" w:type="dxa"/>
                  <w:tcBorders>
                    <w:top w:val="single" w:color="auto" w:sz="4" w:space="0"/>
                    <w:left w:val="single" w:color="auto" w:sz="4" w:space="0"/>
                    <w:right w:val="single" w:color="auto" w:sz="4" w:space="0"/>
                  </w:tcBorders>
                  <w:vAlign w:val="center"/>
                </w:tcPr>
                <w:p>
                  <w:pPr>
                    <w:widowControl/>
                    <w:jc w:val="center"/>
                    <w:rPr>
                      <w:rFonts w:cs="Calibri"/>
                      <w:sz w:val="22"/>
                    </w:rPr>
                  </w:pPr>
                  <w:r>
                    <w:rPr>
                      <w:rFonts w:hint="eastAsia" w:cs="Calibri"/>
                      <w:sz w:val="22"/>
                    </w:rPr>
                    <w:t>1</w:t>
                  </w:r>
                  <w:r>
                    <w:rPr>
                      <w:rFonts w:cs="Calibri"/>
                      <w:sz w:val="22"/>
                    </w:rPr>
                    <w:t>2</w:t>
                  </w:r>
                  <w:r>
                    <w:rPr>
                      <w:rFonts w:hint="eastAsia" w:cs="Calibri"/>
                      <w:sz w:val="22"/>
                    </w:rPr>
                    <w:t>.0</w:t>
                  </w:r>
                </w:p>
              </w:tc>
              <w:tc>
                <w:tcPr>
                  <w:tcW w:w="1997" w:type="dxa"/>
                  <w:vMerge w:val="continue"/>
                  <w:tcBorders>
                    <w:left w:val="single" w:color="auto" w:sz="4" w:space="0"/>
                    <w:right w:val="single" w:color="auto" w:sz="4" w:space="0"/>
                  </w:tcBorders>
                  <w:vAlign w:val="center"/>
                </w:tcPr>
                <w:p>
                  <w:pPr>
                    <w:jc w:val="center"/>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25" w:hRule="atLeast"/>
                <w:jc w:val="center"/>
              </w:trPr>
              <w:tc>
                <w:tcPr>
                  <w:tcW w:w="877"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4</w:t>
                  </w:r>
                </w:p>
              </w:tc>
              <w:tc>
                <w:tcPr>
                  <w:tcW w:w="2928"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线路警示标识、</w:t>
                  </w:r>
                  <w:r>
                    <w:rPr>
                      <w:snapToGrid w:val="0"/>
                      <w:kern w:val="0"/>
                      <w:szCs w:val="21"/>
                    </w:rPr>
                    <w:t>环保教育培训</w:t>
                  </w:r>
                </w:p>
              </w:tc>
              <w:tc>
                <w:tcPr>
                  <w:tcW w:w="2635" w:type="dxa"/>
                  <w:tcBorders>
                    <w:top w:val="single" w:color="auto" w:sz="4" w:space="0"/>
                    <w:left w:val="single" w:color="auto" w:sz="4" w:space="0"/>
                    <w:bottom w:val="single" w:color="auto" w:sz="4" w:space="0"/>
                    <w:right w:val="single" w:color="auto" w:sz="4" w:space="0"/>
                  </w:tcBorders>
                  <w:vAlign w:val="center"/>
                </w:tcPr>
                <w:p>
                  <w:pPr>
                    <w:widowControl/>
                    <w:jc w:val="center"/>
                    <w:rPr>
                      <w:rFonts w:cs="Calibri"/>
                      <w:sz w:val="22"/>
                    </w:rPr>
                  </w:pPr>
                  <w:r>
                    <w:rPr>
                      <w:rFonts w:hint="eastAsia" w:cs="Calibri"/>
                      <w:sz w:val="22"/>
                    </w:rPr>
                    <w:t>4.0</w:t>
                  </w:r>
                </w:p>
              </w:tc>
              <w:tc>
                <w:tcPr>
                  <w:tcW w:w="1997" w:type="dxa"/>
                  <w:vMerge w:val="continue"/>
                  <w:tcBorders>
                    <w:left w:val="single" w:color="auto" w:sz="4" w:space="0"/>
                    <w:right w:val="single" w:color="auto" w:sz="4" w:space="0"/>
                  </w:tcBorders>
                </w:tcPr>
                <w:p>
                  <w:pPr>
                    <w:widowControl/>
                    <w:jc w:val="center"/>
                    <w:rPr>
                      <w:rFonts w:cs="Calibri"/>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1" w:hRule="atLeast"/>
                <w:jc w:val="center"/>
              </w:trPr>
              <w:tc>
                <w:tcPr>
                  <w:tcW w:w="877"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5</w:t>
                  </w:r>
                </w:p>
              </w:tc>
              <w:tc>
                <w:tcPr>
                  <w:tcW w:w="2928"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彩旗围栏限界</w:t>
                  </w:r>
                </w:p>
              </w:tc>
              <w:tc>
                <w:tcPr>
                  <w:tcW w:w="2635"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1.6</w:t>
                  </w:r>
                </w:p>
              </w:tc>
              <w:tc>
                <w:tcPr>
                  <w:tcW w:w="1997" w:type="dxa"/>
                  <w:vMerge w:val="continue"/>
                  <w:tcBorders>
                    <w:left w:val="single" w:color="auto" w:sz="4" w:space="0"/>
                    <w:right w:val="single" w:color="auto" w:sz="4" w:space="0"/>
                  </w:tcBorders>
                </w:tcPr>
                <w:p>
                  <w:pPr>
                    <w:tabs>
                      <w:tab w:val="left" w:pos="3720"/>
                    </w:tabs>
                    <w:topLinePunct/>
                    <w:adjustRightInd w:val="0"/>
                    <w:snapToGrid w:val="0"/>
                    <w:spacing w:before="50" w:after="50"/>
                    <w:jc w:val="center"/>
                    <w:textAlignment w:val="center"/>
                    <w:rPr>
                      <w:snapToGrid w:val="0"/>
                      <w:kern w:val="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1" w:hRule="atLeast"/>
                <w:jc w:val="center"/>
              </w:trPr>
              <w:tc>
                <w:tcPr>
                  <w:tcW w:w="877"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6</w:t>
                  </w:r>
                </w:p>
              </w:tc>
              <w:tc>
                <w:tcPr>
                  <w:tcW w:w="2928"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洒水抑尘</w:t>
                  </w:r>
                </w:p>
              </w:tc>
              <w:tc>
                <w:tcPr>
                  <w:tcW w:w="2635"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snapToGrid w:val="0"/>
                      <w:kern w:val="0"/>
                      <w:szCs w:val="21"/>
                    </w:rPr>
                    <w:t>2</w:t>
                  </w:r>
                  <w:r>
                    <w:rPr>
                      <w:rFonts w:hint="eastAsia"/>
                      <w:snapToGrid w:val="0"/>
                      <w:kern w:val="0"/>
                      <w:szCs w:val="21"/>
                    </w:rPr>
                    <w:t>.2</w:t>
                  </w:r>
                </w:p>
              </w:tc>
              <w:tc>
                <w:tcPr>
                  <w:tcW w:w="1997" w:type="dxa"/>
                  <w:vMerge w:val="continue"/>
                  <w:tcBorders>
                    <w:left w:val="single" w:color="auto" w:sz="4" w:space="0"/>
                    <w:right w:val="single" w:color="auto" w:sz="4" w:space="0"/>
                  </w:tcBorders>
                </w:tcPr>
                <w:p>
                  <w:pPr>
                    <w:tabs>
                      <w:tab w:val="left" w:pos="3720"/>
                    </w:tabs>
                    <w:topLinePunct/>
                    <w:adjustRightInd w:val="0"/>
                    <w:snapToGrid w:val="0"/>
                    <w:spacing w:before="50" w:after="50"/>
                    <w:jc w:val="center"/>
                    <w:textAlignment w:val="center"/>
                    <w:rPr>
                      <w:snapToGrid w:val="0"/>
                      <w:kern w:val="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1" w:hRule="atLeast"/>
                <w:jc w:val="center"/>
              </w:trPr>
              <w:tc>
                <w:tcPr>
                  <w:tcW w:w="877"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7</w:t>
                  </w:r>
                </w:p>
              </w:tc>
              <w:tc>
                <w:tcPr>
                  <w:tcW w:w="2928"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铺垫苫盖</w:t>
                  </w:r>
                </w:p>
              </w:tc>
              <w:tc>
                <w:tcPr>
                  <w:tcW w:w="2635"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3.2</w:t>
                  </w:r>
                </w:p>
              </w:tc>
              <w:tc>
                <w:tcPr>
                  <w:tcW w:w="1997" w:type="dxa"/>
                  <w:vMerge w:val="continue"/>
                  <w:tcBorders>
                    <w:left w:val="single" w:color="auto" w:sz="4" w:space="0"/>
                    <w:right w:val="single" w:color="auto" w:sz="4" w:space="0"/>
                  </w:tcBorders>
                </w:tcPr>
                <w:p>
                  <w:pPr>
                    <w:tabs>
                      <w:tab w:val="left" w:pos="3720"/>
                    </w:tabs>
                    <w:topLinePunct/>
                    <w:adjustRightInd w:val="0"/>
                    <w:snapToGrid w:val="0"/>
                    <w:spacing w:before="50" w:after="50"/>
                    <w:jc w:val="center"/>
                    <w:textAlignment w:val="center"/>
                    <w:rPr>
                      <w:snapToGrid w:val="0"/>
                      <w:kern w:val="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1" w:hRule="atLeast"/>
                <w:jc w:val="center"/>
              </w:trPr>
              <w:tc>
                <w:tcPr>
                  <w:tcW w:w="877"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8</w:t>
                  </w:r>
                </w:p>
              </w:tc>
              <w:tc>
                <w:tcPr>
                  <w:tcW w:w="2928"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snapToGrid w:val="0"/>
                      <w:kern w:val="0"/>
                      <w:szCs w:val="21"/>
                    </w:rPr>
                    <w:t>固体废物</w:t>
                  </w:r>
                  <w:r>
                    <w:rPr>
                      <w:rFonts w:hint="eastAsia"/>
                      <w:snapToGrid w:val="0"/>
                      <w:kern w:val="0"/>
                      <w:szCs w:val="21"/>
                    </w:rPr>
                    <w:t>收集处置</w:t>
                  </w:r>
                </w:p>
              </w:tc>
              <w:tc>
                <w:tcPr>
                  <w:tcW w:w="2635"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snapToGrid w:val="0"/>
                      <w:kern w:val="0"/>
                      <w:szCs w:val="21"/>
                    </w:rPr>
                    <w:t>2</w:t>
                  </w:r>
                  <w:r>
                    <w:rPr>
                      <w:rFonts w:hint="eastAsia"/>
                      <w:snapToGrid w:val="0"/>
                      <w:kern w:val="0"/>
                      <w:szCs w:val="21"/>
                    </w:rPr>
                    <w:t>.0</w:t>
                  </w:r>
                </w:p>
              </w:tc>
              <w:tc>
                <w:tcPr>
                  <w:tcW w:w="1997" w:type="dxa"/>
                  <w:vMerge w:val="continue"/>
                  <w:tcBorders>
                    <w:left w:val="single" w:color="auto" w:sz="4" w:space="0"/>
                    <w:right w:val="single" w:color="auto" w:sz="4" w:space="0"/>
                  </w:tcBorders>
                </w:tcPr>
                <w:p>
                  <w:pPr>
                    <w:tabs>
                      <w:tab w:val="left" w:pos="3720"/>
                    </w:tabs>
                    <w:topLinePunct/>
                    <w:adjustRightInd w:val="0"/>
                    <w:snapToGrid w:val="0"/>
                    <w:spacing w:before="50" w:after="50"/>
                    <w:jc w:val="center"/>
                    <w:textAlignment w:val="center"/>
                    <w:rPr>
                      <w:snapToGrid w:val="0"/>
                      <w:kern w:val="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1" w:hRule="atLeast"/>
                <w:jc w:val="center"/>
              </w:trPr>
              <w:tc>
                <w:tcPr>
                  <w:tcW w:w="877"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9</w:t>
                  </w:r>
                </w:p>
              </w:tc>
              <w:tc>
                <w:tcPr>
                  <w:tcW w:w="2928"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snapToGrid w:val="0"/>
                      <w:kern w:val="0"/>
                      <w:szCs w:val="21"/>
                    </w:rPr>
                    <w:t>废污水</w:t>
                  </w:r>
                  <w:r>
                    <w:rPr>
                      <w:rFonts w:hint="eastAsia"/>
                      <w:snapToGrid w:val="0"/>
                      <w:kern w:val="0"/>
                      <w:szCs w:val="21"/>
                    </w:rPr>
                    <w:t>收集处置</w:t>
                  </w:r>
                </w:p>
              </w:tc>
              <w:tc>
                <w:tcPr>
                  <w:tcW w:w="2635"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snapToGrid w:val="0"/>
                      <w:kern w:val="0"/>
                      <w:szCs w:val="21"/>
                    </w:rPr>
                    <w:t>2</w:t>
                  </w:r>
                  <w:r>
                    <w:rPr>
                      <w:rFonts w:hint="eastAsia"/>
                      <w:snapToGrid w:val="0"/>
                      <w:kern w:val="0"/>
                      <w:szCs w:val="21"/>
                    </w:rPr>
                    <w:t>.0</w:t>
                  </w:r>
                </w:p>
              </w:tc>
              <w:tc>
                <w:tcPr>
                  <w:tcW w:w="1997" w:type="dxa"/>
                  <w:vMerge w:val="continue"/>
                  <w:tcBorders>
                    <w:left w:val="single" w:color="auto" w:sz="4" w:space="0"/>
                    <w:right w:val="single" w:color="auto" w:sz="4" w:space="0"/>
                  </w:tcBorders>
                </w:tcPr>
                <w:p>
                  <w:pPr>
                    <w:tabs>
                      <w:tab w:val="left" w:pos="3720"/>
                    </w:tabs>
                    <w:topLinePunct/>
                    <w:adjustRightInd w:val="0"/>
                    <w:snapToGrid w:val="0"/>
                    <w:spacing w:before="50" w:after="50"/>
                    <w:jc w:val="center"/>
                    <w:textAlignment w:val="center"/>
                    <w:rPr>
                      <w:snapToGrid w:val="0"/>
                      <w:kern w:val="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1" w:hRule="atLeast"/>
                <w:jc w:val="center"/>
              </w:trPr>
              <w:tc>
                <w:tcPr>
                  <w:tcW w:w="877" w:type="dxa"/>
                  <w:tcBorders>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10</w:t>
                  </w:r>
                </w:p>
              </w:tc>
              <w:tc>
                <w:tcPr>
                  <w:tcW w:w="2928"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宣传告示牌</w:t>
                  </w:r>
                </w:p>
              </w:tc>
              <w:tc>
                <w:tcPr>
                  <w:tcW w:w="2635" w:type="dxa"/>
                  <w:tcBorders>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0.6</w:t>
                  </w:r>
                </w:p>
              </w:tc>
              <w:tc>
                <w:tcPr>
                  <w:tcW w:w="1997" w:type="dxa"/>
                  <w:vMerge w:val="continue"/>
                  <w:tcBorders>
                    <w:left w:val="single" w:color="auto" w:sz="4" w:space="0"/>
                    <w:bottom w:val="single" w:color="auto" w:sz="4" w:space="0"/>
                    <w:right w:val="single" w:color="auto" w:sz="4" w:space="0"/>
                  </w:tcBorders>
                </w:tcPr>
                <w:p>
                  <w:pPr>
                    <w:tabs>
                      <w:tab w:val="left" w:pos="3720"/>
                    </w:tabs>
                    <w:topLinePunct/>
                    <w:adjustRightInd w:val="0"/>
                    <w:snapToGrid w:val="0"/>
                    <w:spacing w:before="50" w:after="50"/>
                    <w:jc w:val="center"/>
                    <w:textAlignment w:val="center"/>
                    <w:rPr>
                      <w:snapToGrid w:val="0"/>
                      <w:kern w:val="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10" w:hRule="atLeast"/>
                <w:jc w:val="center"/>
              </w:trPr>
              <w:tc>
                <w:tcPr>
                  <w:tcW w:w="877"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11</w:t>
                  </w:r>
                </w:p>
              </w:tc>
              <w:tc>
                <w:tcPr>
                  <w:tcW w:w="2928"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环评及竣工验收费用（含监测）</w:t>
                  </w:r>
                </w:p>
              </w:tc>
              <w:tc>
                <w:tcPr>
                  <w:tcW w:w="2635"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28.2</w:t>
                  </w:r>
                </w:p>
              </w:tc>
              <w:tc>
                <w:tcPr>
                  <w:tcW w:w="1997"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10" w:hRule="atLeast"/>
                <w:jc w:val="center"/>
              </w:trPr>
              <w:tc>
                <w:tcPr>
                  <w:tcW w:w="877"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12</w:t>
                  </w:r>
                </w:p>
              </w:tc>
              <w:tc>
                <w:tcPr>
                  <w:tcW w:w="2928"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snapToGrid w:val="0"/>
                      <w:kern w:val="0"/>
                      <w:szCs w:val="21"/>
                    </w:rPr>
                    <w:t>环保投资费用合计</w:t>
                  </w:r>
                </w:p>
              </w:tc>
              <w:tc>
                <w:tcPr>
                  <w:tcW w:w="2635"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90.3</w:t>
                  </w:r>
                </w:p>
              </w:tc>
              <w:tc>
                <w:tcPr>
                  <w:tcW w:w="1997" w:type="dxa"/>
                  <w:tcBorders>
                    <w:top w:val="single" w:color="auto" w:sz="4" w:space="0"/>
                    <w:left w:val="single" w:color="auto" w:sz="4" w:space="0"/>
                    <w:bottom w:val="single" w:color="auto" w:sz="4" w:space="0"/>
                    <w:right w:val="single" w:color="auto" w:sz="4" w:space="0"/>
                  </w:tcBorders>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10" w:hRule="atLeast"/>
                <w:jc w:val="center"/>
              </w:trPr>
              <w:tc>
                <w:tcPr>
                  <w:tcW w:w="877"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13</w:t>
                  </w:r>
                </w:p>
              </w:tc>
              <w:tc>
                <w:tcPr>
                  <w:tcW w:w="2928"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snapToGrid w:val="0"/>
                      <w:kern w:val="0"/>
                      <w:szCs w:val="21"/>
                    </w:rPr>
                    <w:t>工程总投资</w:t>
                  </w:r>
                </w:p>
              </w:tc>
              <w:tc>
                <w:tcPr>
                  <w:tcW w:w="2635"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rFonts w:hint="eastAsia"/>
                      <w:color w:val="000000"/>
                      <w:szCs w:val="21"/>
                    </w:rPr>
                    <w:t>8658</w:t>
                  </w:r>
                </w:p>
              </w:tc>
              <w:tc>
                <w:tcPr>
                  <w:tcW w:w="1997" w:type="dxa"/>
                  <w:tcBorders>
                    <w:top w:val="single" w:color="auto" w:sz="4" w:space="0"/>
                    <w:left w:val="single" w:color="auto" w:sz="4" w:space="0"/>
                    <w:bottom w:val="single" w:color="auto" w:sz="4" w:space="0"/>
                    <w:right w:val="single" w:color="auto" w:sz="4" w:space="0"/>
                  </w:tcBorders>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5" w:hRule="atLeast"/>
                <w:jc w:val="center"/>
              </w:trPr>
              <w:tc>
                <w:tcPr>
                  <w:tcW w:w="877"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14</w:t>
                  </w:r>
                </w:p>
              </w:tc>
              <w:tc>
                <w:tcPr>
                  <w:tcW w:w="2928"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snapToGrid w:val="0"/>
                      <w:kern w:val="0"/>
                      <w:szCs w:val="21"/>
                    </w:rPr>
                    <w:t>环保投资占总投资比例</w:t>
                  </w:r>
                </w:p>
              </w:tc>
              <w:tc>
                <w:tcPr>
                  <w:tcW w:w="2635" w:type="dxa"/>
                  <w:tcBorders>
                    <w:top w:val="single" w:color="auto" w:sz="4" w:space="0"/>
                    <w:left w:val="single" w:color="auto" w:sz="4" w:space="0"/>
                    <w:bottom w:val="single" w:color="auto" w:sz="4" w:space="0"/>
                    <w:right w:val="single" w:color="auto" w:sz="4" w:space="0"/>
                  </w:tcBorders>
                  <w:vAlign w:val="center"/>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1.04%</w:t>
                  </w:r>
                </w:p>
              </w:tc>
              <w:tc>
                <w:tcPr>
                  <w:tcW w:w="1997" w:type="dxa"/>
                  <w:tcBorders>
                    <w:top w:val="single" w:color="auto" w:sz="4" w:space="0"/>
                    <w:left w:val="single" w:color="auto" w:sz="4" w:space="0"/>
                    <w:bottom w:val="single" w:color="auto" w:sz="4" w:space="0"/>
                    <w:right w:val="single" w:color="auto" w:sz="4" w:space="0"/>
                  </w:tcBorders>
                </w:tcPr>
                <w:p>
                  <w:pPr>
                    <w:tabs>
                      <w:tab w:val="left" w:pos="3720"/>
                    </w:tabs>
                    <w:topLinePunct/>
                    <w:adjustRightInd w:val="0"/>
                    <w:snapToGrid w:val="0"/>
                    <w:spacing w:before="50" w:after="50"/>
                    <w:jc w:val="center"/>
                    <w:textAlignment w:val="center"/>
                    <w:rPr>
                      <w:snapToGrid w:val="0"/>
                      <w:kern w:val="0"/>
                      <w:szCs w:val="21"/>
                    </w:rPr>
                  </w:pPr>
                  <w:r>
                    <w:rPr>
                      <w:rFonts w:hint="eastAsia"/>
                      <w:snapToGrid w:val="0"/>
                      <w:kern w:val="0"/>
                      <w:szCs w:val="21"/>
                    </w:rPr>
                    <w:t>/</w:t>
                  </w:r>
                </w:p>
              </w:tc>
            </w:tr>
          </w:tbl>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tc>
      </w:tr>
    </w:tbl>
    <w:p>
      <w:pPr>
        <w:rPr>
          <w:color w:val="000000"/>
          <w:highlight w:val="yellow"/>
        </w:rPr>
      </w:pPr>
      <w:r>
        <w:rPr>
          <w:color w:val="000000"/>
        </w:rPr>
        <w:br w:type="page"/>
      </w:r>
    </w:p>
    <w:p>
      <w:pPr>
        <w:pStyle w:val="7"/>
        <w:sectPr>
          <w:pgSz w:w="11906" w:h="16838"/>
          <w:pgMar w:top="1440" w:right="1797" w:bottom="1440" w:left="1797" w:header="851" w:footer="1077" w:gutter="0"/>
          <w:cols w:space="720" w:num="1"/>
          <w:docGrid w:linePitch="312" w:charSpace="0"/>
        </w:sectPr>
      </w:pPr>
    </w:p>
    <w:p>
      <w:pPr>
        <w:pStyle w:val="39"/>
        <w:jc w:val="center"/>
        <w:outlineLvl w:val="0"/>
        <w:rPr>
          <w:rFonts w:ascii="Times New Roman" w:hAnsi="Times New Roman"/>
          <w:b/>
          <w:bCs/>
          <w:snapToGrid w:val="0"/>
          <w:color w:val="000000"/>
          <w:sz w:val="32"/>
          <w:szCs w:val="32"/>
        </w:rPr>
      </w:pPr>
      <w:bookmarkStart w:id="687" w:name="_Toc111564329"/>
      <w:bookmarkStart w:id="688" w:name="_Toc18353"/>
      <w:bookmarkStart w:id="689" w:name="_Toc15720"/>
      <w:r>
        <w:rPr>
          <w:rFonts w:ascii="Times New Roman" w:hAnsi="Times New Roman"/>
          <w:b/>
          <w:bCs/>
          <w:snapToGrid w:val="0"/>
          <w:color w:val="000000"/>
          <w:sz w:val="32"/>
          <w:szCs w:val="32"/>
        </w:rPr>
        <w:t>六、</w:t>
      </w:r>
      <w:bookmarkEnd w:id="687"/>
      <w:bookmarkEnd w:id="688"/>
      <w:bookmarkEnd w:id="689"/>
      <w:r>
        <w:rPr>
          <w:rFonts w:ascii="Times New Roman" w:hAnsi="Times New Roman"/>
          <w:b/>
          <w:bCs/>
          <w:snapToGrid w:val="0"/>
          <w:color w:val="000000"/>
          <w:sz w:val="32"/>
          <w:szCs w:val="32"/>
        </w:rPr>
        <w:t>生态环境保护措施监督检查清单</w:t>
      </w:r>
    </w:p>
    <w:tbl>
      <w:tblPr>
        <w:tblStyle w:val="4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5078"/>
        <w:gridCol w:w="3891"/>
        <w:gridCol w:w="2075"/>
        <w:gridCol w:w="19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428" w:type="pct"/>
            <w:vMerge w:val="restart"/>
            <w:tcBorders>
              <w:tl2br w:val="single" w:color="auto" w:sz="4" w:space="0"/>
            </w:tcBorders>
          </w:tcPr>
          <w:p>
            <w:pPr>
              <w:spacing w:before="240"/>
              <w:jc w:val="right"/>
              <w:rPr>
                <w:b/>
              </w:rPr>
            </w:pPr>
            <w:bookmarkStart w:id="690" w:name="_Toc91532193"/>
            <w:bookmarkStart w:id="691" w:name="_Toc91493286"/>
            <w:bookmarkStart w:id="692" w:name="_Toc88558549"/>
            <w:bookmarkStart w:id="693" w:name="_Toc85037246"/>
            <w:bookmarkStart w:id="694" w:name="_Toc81308173"/>
            <w:bookmarkStart w:id="695" w:name="_Toc96031397"/>
            <w:bookmarkStart w:id="696" w:name="_Toc81415645"/>
            <w:bookmarkStart w:id="697" w:name="_Toc97290604"/>
            <w:bookmarkStart w:id="698" w:name="_Toc85036912"/>
            <w:bookmarkStart w:id="699" w:name="_Toc95464688"/>
            <w:bookmarkStart w:id="700" w:name="_Toc109472639"/>
            <w:bookmarkStart w:id="701" w:name="_Toc96935434"/>
            <w:bookmarkStart w:id="702" w:name="_Toc96031314"/>
            <w:bookmarkStart w:id="703" w:name="_Toc19289"/>
            <w:r>
              <w:rPr>
                <w:b/>
              </w:rPr>
              <w:t>内容</w:t>
            </w:r>
            <w:bookmarkEnd w:id="690"/>
            <w:bookmarkEnd w:id="691"/>
            <w:bookmarkEnd w:id="692"/>
            <w:bookmarkEnd w:id="693"/>
            <w:bookmarkEnd w:id="694"/>
            <w:bookmarkEnd w:id="695"/>
            <w:bookmarkEnd w:id="696"/>
            <w:bookmarkEnd w:id="697"/>
            <w:bookmarkEnd w:id="698"/>
            <w:bookmarkEnd w:id="699"/>
            <w:bookmarkEnd w:id="700"/>
            <w:bookmarkEnd w:id="701"/>
            <w:bookmarkEnd w:id="702"/>
          </w:p>
          <w:p>
            <w:pPr>
              <w:jc w:val="center"/>
              <w:rPr>
                <w:b/>
              </w:rPr>
            </w:pPr>
          </w:p>
          <w:bookmarkEnd w:id="703"/>
          <w:p>
            <w:pPr>
              <w:jc w:val="center"/>
              <w:rPr>
                <w:b/>
              </w:rPr>
            </w:pPr>
            <w:bookmarkStart w:id="704" w:name="_Toc88558550"/>
            <w:bookmarkStart w:id="705" w:name="_Toc81308174"/>
            <w:bookmarkStart w:id="706" w:name="_Toc91493287"/>
            <w:bookmarkStart w:id="707" w:name="_Toc91532194"/>
            <w:bookmarkStart w:id="708" w:name="_Toc96935435"/>
            <w:bookmarkStart w:id="709" w:name="_Toc81415646"/>
            <w:bookmarkStart w:id="710" w:name="_Toc96031315"/>
            <w:bookmarkStart w:id="711" w:name="_Toc85036913"/>
            <w:bookmarkStart w:id="712" w:name="_Toc13946"/>
            <w:bookmarkStart w:id="713" w:name="_Toc85037247"/>
            <w:bookmarkStart w:id="714" w:name="_Toc109472640"/>
            <w:bookmarkStart w:id="715" w:name="_Toc96031398"/>
            <w:bookmarkStart w:id="716" w:name="_Toc95464689"/>
            <w:bookmarkStart w:id="717" w:name="_Toc97290605"/>
            <w:r>
              <w:rPr>
                <w:b/>
              </w:rPr>
              <w:t>要素</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tc>
        <w:tc>
          <w:tcPr>
            <w:tcW w:w="3183" w:type="pct"/>
            <w:gridSpan w:val="2"/>
            <w:vAlign w:val="center"/>
          </w:tcPr>
          <w:p>
            <w:pPr>
              <w:jc w:val="center"/>
              <w:rPr>
                <w:b/>
              </w:rPr>
            </w:pPr>
            <w:bookmarkStart w:id="718" w:name="_Toc96031316"/>
            <w:bookmarkStart w:id="719" w:name="_Toc109472641"/>
            <w:bookmarkStart w:id="720" w:name="_Toc95464690"/>
            <w:bookmarkStart w:id="721" w:name="_Toc81308175"/>
            <w:bookmarkStart w:id="722" w:name="_Toc20829"/>
            <w:bookmarkStart w:id="723" w:name="_Toc96935436"/>
            <w:bookmarkStart w:id="724" w:name="_Toc96031399"/>
            <w:bookmarkStart w:id="725" w:name="_Toc81415647"/>
            <w:bookmarkStart w:id="726" w:name="_Toc85037248"/>
            <w:bookmarkStart w:id="727" w:name="_Toc91532195"/>
            <w:bookmarkStart w:id="728" w:name="_Toc91493288"/>
            <w:bookmarkStart w:id="729" w:name="_Toc97290606"/>
            <w:bookmarkStart w:id="730" w:name="_Toc85036914"/>
            <w:bookmarkStart w:id="731" w:name="_Toc88558551"/>
            <w:r>
              <w:rPr>
                <w:b/>
              </w:rPr>
              <w:t>施工期</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tc>
        <w:tc>
          <w:tcPr>
            <w:tcW w:w="1389" w:type="pct"/>
            <w:gridSpan w:val="2"/>
            <w:vAlign w:val="center"/>
          </w:tcPr>
          <w:p>
            <w:pPr>
              <w:jc w:val="center"/>
              <w:rPr>
                <w:b/>
              </w:rPr>
            </w:pPr>
            <w:bookmarkStart w:id="732" w:name="_Toc6352"/>
            <w:bookmarkStart w:id="733" w:name="_Toc81415648"/>
            <w:bookmarkStart w:id="734" w:name="_Toc85036915"/>
            <w:bookmarkStart w:id="735" w:name="_Toc109472642"/>
            <w:bookmarkStart w:id="736" w:name="_Toc91532196"/>
            <w:bookmarkStart w:id="737" w:name="_Toc97290607"/>
            <w:bookmarkStart w:id="738" w:name="_Toc95464691"/>
            <w:bookmarkStart w:id="739" w:name="_Toc96031400"/>
            <w:bookmarkStart w:id="740" w:name="_Toc88558552"/>
            <w:bookmarkStart w:id="741" w:name="_Toc85037249"/>
            <w:bookmarkStart w:id="742" w:name="_Toc96031317"/>
            <w:bookmarkStart w:id="743" w:name="_Toc91493289"/>
            <w:bookmarkStart w:id="744" w:name="_Toc96935437"/>
            <w:bookmarkStart w:id="745" w:name="_Toc81308176"/>
            <w:r>
              <w:rPr>
                <w:b/>
              </w:rPr>
              <w:t>运行期</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28" w:type="pct"/>
            <w:vMerge w:val="continue"/>
          </w:tcPr>
          <w:p>
            <w:pPr>
              <w:jc w:val="center"/>
              <w:rPr>
                <w:b/>
              </w:rPr>
            </w:pPr>
          </w:p>
        </w:tc>
        <w:tc>
          <w:tcPr>
            <w:tcW w:w="1801" w:type="pct"/>
            <w:vAlign w:val="center"/>
          </w:tcPr>
          <w:p>
            <w:pPr>
              <w:jc w:val="center"/>
              <w:rPr>
                <w:b/>
              </w:rPr>
            </w:pPr>
            <w:bookmarkStart w:id="746" w:name="_Toc81415649"/>
            <w:bookmarkStart w:id="747" w:name="_Toc109472643"/>
            <w:bookmarkStart w:id="748" w:name="_Toc96031401"/>
            <w:bookmarkStart w:id="749" w:name="_Toc96031318"/>
            <w:bookmarkStart w:id="750" w:name="_Toc95464692"/>
            <w:bookmarkStart w:id="751" w:name="_Toc91493290"/>
            <w:bookmarkStart w:id="752" w:name="_Toc85036916"/>
            <w:bookmarkStart w:id="753" w:name="_Toc97290608"/>
            <w:bookmarkStart w:id="754" w:name="_Toc88558553"/>
            <w:bookmarkStart w:id="755" w:name="_Toc81308177"/>
            <w:bookmarkStart w:id="756" w:name="_Toc13139"/>
            <w:bookmarkStart w:id="757" w:name="_Toc85037250"/>
            <w:bookmarkStart w:id="758" w:name="_Toc91532197"/>
            <w:bookmarkStart w:id="759" w:name="_Toc96935438"/>
            <w:r>
              <w:rPr>
                <w:b/>
              </w:rPr>
              <w:t>环境保护措施</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tc>
        <w:tc>
          <w:tcPr>
            <w:tcW w:w="1381" w:type="pct"/>
            <w:vAlign w:val="center"/>
          </w:tcPr>
          <w:p>
            <w:pPr>
              <w:jc w:val="center"/>
              <w:rPr>
                <w:b/>
              </w:rPr>
            </w:pPr>
            <w:bookmarkStart w:id="760" w:name="_Toc96935439"/>
            <w:bookmarkStart w:id="761" w:name="_Toc97290609"/>
            <w:bookmarkStart w:id="762" w:name="_Toc95464693"/>
            <w:bookmarkStart w:id="763" w:name="_Toc81308178"/>
            <w:bookmarkStart w:id="764" w:name="_Toc85037251"/>
            <w:bookmarkStart w:id="765" w:name="_Toc85036917"/>
            <w:bookmarkStart w:id="766" w:name="_Toc109472644"/>
            <w:bookmarkStart w:id="767" w:name="_Toc96031319"/>
            <w:bookmarkStart w:id="768" w:name="_Toc88558554"/>
            <w:bookmarkStart w:id="769" w:name="_Toc91532198"/>
            <w:bookmarkStart w:id="770" w:name="_Toc9642"/>
            <w:bookmarkStart w:id="771" w:name="_Toc81415650"/>
            <w:bookmarkStart w:id="772" w:name="_Toc91493291"/>
            <w:bookmarkStart w:id="773" w:name="_Toc96031402"/>
            <w:r>
              <w:rPr>
                <w:b/>
              </w:rPr>
              <w:t>验收要求</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tc>
        <w:tc>
          <w:tcPr>
            <w:tcW w:w="741" w:type="pct"/>
            <w:vAlign w:val="center"/>
          </w:tcPr>
          <w:p>
            <w:pPr>
              <w:jc w:val="center"/>
              <w:rPr>
                <w:b/>
              </w:rPr>
            </w:pPr>
            <w:bookmarkStart w:id="774" w:name="_Toc96031403"/>
            <w:bookmarkStart w:id="775" w:name="_Toc109472645"/>
            <w:bookmarkStart w:id="776" w:name="_Toc97290610"/>
            <w:bookmarkStart w:id="777" w:name="_Toc95464694"/>
            <w:bookmarkStart w:id="778" w:name="_Toc81415651"/>
            <w:bookmarkStart w:id="779" w:name="_Toc2994"/>
            <w:bookmarkStart w:id="780" w:name="_Toc96935440"/>
            <w:bookmarkStart w:id="781" w:name="_Toc91493292"/>
            <w:bookmarkStart w:id="782" w:name="_Toc96031320"/>
            <w:bookmarkStart w:id="783" w:name="_Toc85037252"/>
            <w:bookmarkStart w:id="784" w:name="_Toc88558555"/>
            <w:bookmarkStart w:id="785" w:name="_Toc85036918"/>
            <w:bookmarkStart w:id="786" w:name="_Toc91532199"/>
            <w:bookmarkStart w:id="787" w:name="_Toc81308179"/>
            <w:r>
              <w:rPr>
                <w:b/>
              </w:rPr>
              <w:t>环境保护措施</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tc>
        <w:tc>
          <w:tcPr>
            <w:tcW w:w="648" w:type="pct"/>
            <w:vAlign w:val="center"/>
          </w:tcPr>
          <w:p>
            <w:pPr>
              <w:jc w:val="center"/>
              <w:rPr>
                <w:b/>
              </w:rPr>
            </w:pPr>
            <w:bookmarkStart w:id="788" w:name="_Toc81308180"/>
            <w:bookmarkStart w:id="789" w:name="_Toc23138"/>
            <w:bookmarkStart w:id="790" w:name="_Toc96031321"/>
            <w:bookmarkStart w:id="791" w:name="_Toc85036919"/>
            <w:bookmarkStart w:id="792" w:name="_Toc95464695"/>
            <w:bookmarkStart w:id="793" w:name="_Toc81415652"/>
            <w:bookmarkStart w:id="794" w:name="_Toc96031404"/>
            <w:bookmarkStart w:id="795" w:name="_Toc91532200"/>
            <w:bookmarkStart w:id="796" w:name="_Toc109472646"/>
            <w:bookmarkStart w:id="797" w:name="_Toc96935441"/>
            <w:bookmarkStart w:id="798" w:name="_Toc88558556"/>
            <w:bookmarkStart w:id="799" w:name="_Toc97290611"/>
            <w:bookmarkStart w:id="800" w:name="_Toc85037253"/>
            <w:bookmarkStart w:id="801" w:name="_Toc91493293"/>
            <w:r>
              <w:rPr>
                <w:b/>
              </w:rPr>
              <w:t>验收要求</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428" w:type="pct"/>
            <w:vAlign w:val="center"/>
          </w:tcPr>
          <w:p>
            <w:pPr>
              <w:jc w:val="center"/>
              <w:rPr>
                <w:b/>
                <w:color w:val="FF0000"/>
              </w:rPr>
            </w:pPr>
            <w:r>
              <w:rPr>
                <w:b/>
              </w:rPr>
              <w:t>陆生生态</w:t>
            </w:r>
          </w:p>
        </w:tc>
        <w:tc>
          <w:tcPr>
            <w:tcW w:w="1801" w:type="pct"/>
            <w:vAlign w:val="center"/>
          </w:tcPr>
          <w:p>
            <w:r>
              <w:t>（1）土地占用保护</w:t>
            </w:r>
            <w:r>
              <w:rPr>
                <w:rFonts w:hint="eastAsia"/>
              </w:rPr>
              <w:t>措施</w:t>
            </w:r>
          </w:p>
          <w:p>
            <w:pPr>
              <w:rPr>
                <w:szCs w:val="21"/>
              </w:rPr>
            </w:pPr>
            <w:r>
              <w:rPr>
                <w:rFonts w:hint="eastAsia" w:ascii="宋体" w:hAnsi="宋体" w:cs="宋体"/>
                <w:szCs w:val="21"/>
              </w:rPr>
              <w:t>①</w:t>
            </w:r>
            <w:r>
              <w:rPr>
                <w:rFonts w:hint="eastAsia"/>
                <w:szCs w:val="21"/>
              </w:rPr>
              <w:t>建议业主以合同形式要求施工单位在施工过程中必须按照设计要求</w:t>
            </w:r>
            <w:r>
              <w:rPr>
                <w:rFonts w:hint="eastAsia"/>
                <w:szCs w:val="21"/>
                <w:lang w:eastAsia="zh-CN"/>
              </w:rPr>
              <w:t>，将</w:t>
            </w:r>
            <w:r>
              <w:rPr>
                <w:rFonts w:hint="eastAsia"/>
                <w:szCs w:val="21"/>
              </w:rPr>
              <w:t>施工活动限制在规定范围内。</w:t>
            </w:r>
          </w:p>
          <w:p>
            <w:pPr>
              <w:rPr>
                <w:szCs w:val="21"/>
              </w:rPr>
            </w:pPr>
            <w:r>
              <w:rPr>
                <w:rFonts w:hint="eastAsia" w:ascii="宋体" w:hAnsi="宋体" w:cs="宋体"/>
                <w:szCs w:val="21"/>
              </w:rPr>
              <w:t>②</w:t>
            </w:r>
            <w:r>
              <w:rPr>
                <w:rFonts w:hint="eastAsia"/>
                <w:szCs w:val="21"/>
              </w:rPr>
              <w:t>施工时开挖多余的土石方不允许随意倾倒，应采取塔基范围内回填或异地回填等方式妥善处置。</w:t>
            </w:r>
          </w:p>
          <w:p>
            <w:pPr>
              <w:rPr>
                <w:szCs w:val="21"/>
              </w:rPr>
            </w:pPr>
            <w:r>
              <w:rPr>
                <w:rFonts w:hint="eastAsia" w:ascii="宋体" w:hAnsi="宋体" w:cs="宋体"/>
                <w:szCs w:val="21"/>
              </w:rPr>
              <w:t>③</w:t>
            </w:r>
            <w:r>
              <w:rPr>
                <w:rFonts w:hint="eastAsia"/>
                <w:szCs w:val="21"/>
              </w:rPr>
              <w:t>施工过程中对临时堆土采取彩条布铺垫、密目网苫盖、编织袋拦挡、彩条旗围护等措施。</w:t>
            </w:r>
          </w:p>
          <w:p>
            <w:pPr>
              <w:rPr>
                <w:szCs w:val="21"/>
                <w:u w:val="single"/>
              </w:rPr>
            </w:pPr>
            <w:r>
              <w:rPr>
                <w:rFonts w:hint="eastAsia" w:ascii="宋体" w:hAnsi="宋体" w:cs="宋体"/>
                <w:szCs w:val="21"/>
              </w:rPr>
              <w:t>④</w:t>
            </w:r>
            <w:r>
              <w:rPr>
                <w:rFonts w:hint="eastAsia"/>
                <w:szCs w:val="21"/>
              </w:rPr>
              <w:t>施工完成后立即清理施工迹地，做到“工完料尽场地清”。施工结束后，对临时占地进行地表清理和土地整治，表面形成“人工结皮”恢复原有土地功能。</w:t>
            </w:r>
          </w:p>
          <w:p>
            <w:pPr>
              <w:pStyle w:val="11"/>
              <w:spacing w:line="240" w:lineRule="auto"/>
              <w:ind w:firstLine="0" w:firstLineChars="0"/>
              <w:rPr>
                <w:sz w:val="21"/>
                <w:szCs w:val="21"/>
              </w:rPr>
            </w:pPr>
            <w:r>
              <w:rPr>
                <w:rFonts w:hint="eastAsia" w:ascii="宋体" w:hAnsi="宋体" w:cs="宋体"/>
                <w:sz w:val="21"/>
                <w:szCs w:val="21"/>
              </w:rPr>
              <w:t>⑤</w:t>
            </w:r>
            <w:r>
              <w:rPr>
                <w:rFonts w:hint="eastAsia"/>
                <w:sz w:val="21"/>
                <w:szCs w:val="21"/>
              </w:rPr>
              <w:t>塔基施工期优化塔位选址，避免占用植被覆盖度高的区域，施工前划定施工范围</w:t>
            </w:r>
            <w:r>
              <w:rPr>
                <w:rFonts w:hint="eastAsia"/>
                <w:sz w:val="21"/>
                <w:szCs w:val="21"/>
                <w:lang w:eastAsia="zh-CN"/>
              </w:rPr>
              <w:t>，在</w:t>
            </w:r>
            <w:r>
              <w:rPr>
                <w:rFonts w:hint="eastAsia"/>
                <w:sz w:val="21"/>
                <w:szCs w:val="21"/>
              </w:rPr>
              <w:t>施工边界设置围栏、彩条旗等措施，严格限制施工活。</w:t>
            </w:r>
          </w:p>
          <w:p>
            <w:pPr>
              <w:pStyle w:val="11"/>
              <w:spacing w:line="240" w:lineRule="auto"/>
              <w:ind w:firstLine="0" w:firstLineChars="0"/>
              <w:rPr>
                <w:sz w:val="21"/>
                <w:szCs w:val="21"/>
              </w:rPr>
            </w:pPr>
            <w:r>
              <w:rPr>
                <w:rFonts w:hint="eastAsia" w:ascii="宋体" w:hAnsi="宋体" w:cs="宋体"/>
                <w:sz w:val="21"/>
                <w:szCs w:val="21"/>
              </w:rPr>
              <w:t>⑥</w:t>
            </w:r>
            <w:r>
              <w:rPr>
                <w:rFonts w:hint="eastAsia"/>
                <w:sz w:val="21"/>
                <w:szCs w:val="21"/>
              </w:rPr>
              <w:t>施工前对材料堆场、堆土场等非开挖扰动的临时占用林草地区域采取彩条布铺垫保护，减少对地表植被的压占影响。</w:t>
            </w:r>
          </w:p>
          <w:p>
            <w:pPr>
              <w:pStyle w:val="11"/>
              <w:spacing w:line="240" w:lineRule="auto"/>
              <w:ind w:firstLine="0" w:firstLineChars="0"/>
              <w:rPr>
                <w:sz w:val="21"/>
                <w:szCs w:val="21"/>
              </w:rPr>
            </w:pPr>
            <w:r>
              <w:rPr>
                <w:rFonts w:hint="eastAsia" w:ascii="宋体" w:hAnsi="宋体" w:cs="宋体"/>
                <w:sz w:val="21"/>
                <w:szCs w:val="21"/>
              </w:rPr>
              <w:t>⑦</w:t>
            </w:r>
            <w:r>
              <w:rPr>
                <w:rFonts w:hint="eastAsia"/>
                <w:sz w:val="21"/>
                <w:szCs w:val="21"/>
              </w:rPr>
              <w:t>应选择地势较高、平坦、排水良好的地方作为表土堆存点，尽量远离干沟，防止表土被雨水冲刷进入水体造成水土流失和水污染。同时，要考虑堆存点与施工区域的距离，便于施工结束后表土的回覆利用，减少运输成本和对周边环境的二次扰动在表土堆存点周围设置围挡，如采用编织袋土埂，高度一般不低于1.5米，防止表土被风吹散或被雨水冲刷流失。同时，在堆存点顶部及坡面覆盖防尘网或草帘等，既能防止扬尘，又能起到一定的保水作用，减少表土水分蒸发。</w:t>
            </w:r>
          </w:p>
          <w:p>
            <w:pPr>
              <w:rPr>
                <w:szCs w:val="21"/>
              </w:rPr>
            </w:pPr>
            <w:r>
              <w:rPr>
                <w:rFonts w:hint="eastAsia" w:ascii="宋体" w:hAnsi="宋体" w:cs="宋体"/>
                <w:szCs w:val="21"/>
              </w:rPr>
              <w:t>⑧</w:t>
            </w:r>
            <w:r>
              <w:rPr>
                <w:rFonts w:hint="eastAsia"/>
                <w:szCs w:val="21"/>
              </w:rPr>
              <w:t>施工结束后及时将基础余土在塔基区征地范围内平整压实，临时占地需及时清理施工迹地，对开挖扰动的临时占用林草地区域进行洒水、土地整治和植被恢复措施，植被恢复应选择当地本土物种，建设单位和施工单位应做好占用林草地补偿工作和植被恢复工作。</w:t>
            </w:r>
          </w:p>
          <w:p>
            <w:r>
              <w:t>（2）</w:t>
            </w:r>
            <w:r>
              <w:rPr>
                <w:rFonts w:hint="eastAsia"/>
              </w:rPr>
              <w:t>植物</w:t>
            </w:r>
            <w:r>
              <w:t>保护</w:t>
            </w:r>
            <w:r>
              <w:rPr>
                <w:rFonts w:hint="eastAsia"/>
              </w:rPr>
              <w:t>措施</w:t>
            </w:r>
          </w:p>
          <w:p>
            <w:pPr>
              <w:pStyle w:val="11"/>
              <w:spacing w:line="240" w:lineRule="auto"/>
              <w:ind w:firstLine="0" w:firstLineChars="0"/>
              <w:rPr>
                <w:sz w:val="21"/>
                <w:szCs w:val="21"/>
              </w:rPr>
            </w:pPr>
            <w:r>
              <w:rPr>
                <w:rFonts w:hint="eastAsia" w:ascii="宋体" w:hAnsi="宋体" w:cs="宋体"/>
                <w:sz w:val="21"/>
                <w:szCs w:val="21"/>
              </w:rPr>
              <w:t>①</w:t>
            </w:r>
            <w:r>
              <w:rPr>
                <w:rFonts w:hint="eastAsia"/>
                <w:sz w:val="21"/>
                <w:szCs w:val="21"/>
              </w:rPr>
              <w:t>合理规划、设计施工便道及场地，机械施工便道宽度不得大于3.5m，并要求各种机械和车辆固定行车路线，不能随意下道行驶或另开辟便道，禁止对施工区以外地区进行碾压和破坏，以保证周围地表和植被不受破坏。</w:t>
            </w:r>
          </w:p>
          <w:p>
            <w:pPr>
              <w:pStyle w:val="11"/>
              <w:spacing w:line="240" w:lineRule="auto"/>
              <w:ind w:firstLine="0" w:firstLineChars="0"/>
              <w:rPr>
                <w:sz w:val="21"/>
                <w:szCs w:val="21"/>
              </w:rPr>
            </w:pPr>
            <w:r>
              <w:rPr>
                <w:rFonts w:hint="eastAsia" w:ascii="宋体" w:hAnsi="宋体" w:cs="宋体"/>
                <w:sz w:val="21"/>
                <w:szCs w:val="21"/>
              </w:rPr>
              <w:t>②</w:t>
            </w:r>
            <w:r>
              <w:rPr>
                <w:rFonts w:hint="eastAsia"/>
                <w:sz w:val="21"/>
                <w:szCs w:val="21"/>
              </w:rPr>
              <w:t>材料运输过程中对施工道路进行合理的选择，施工运输道路一般为单行道，尽量避免过多扰动原地貌，避免在植被完好的地段进行道路修筑工作。对运至塔位的塔材，选择合适的位置进行堆放，减少场地的占用。</w:t>
            </w:r>
          </w:p>
          <w:p>
            <w:pPr>
              <w:pStyle w:val="11"/>
              <w:spacing w:line="240" w:lineRule="auto"/>
              <w:ind w:firstLine="0" w:firstLineChars="0"/>
              <w:rPr>
                <w:sz w:val="21"/>
                <w:szCs w:val="21"/>
              </w:rPr>
            </w:pPr>
            <w:r>
              <w:rPr>
                <w:rFonts w:hint="eastAsia" w:ascii="宋体" w:hAnsi="宋体" w:cs="宋体"/>
                <w:sz w:val="21"/>
                <w:szCs w:val="21"/>
              </w:rPr>
              <w:t>③</w:t>
            </w:r>
            <w:r>
              <w:rPr>
                <w:rFonts w:hint="eastAsia"/>
                <w:sz w:val="21"/>
                <w:szCs w:val="21"/>
              </w:rPr>
              <w:t>施工时应在工期安排上合理有序，先设置围栏措施，后进行工程建设尽量减少对地表和植被的破坏，除施工必须不得不铲除或碾压植被外，不允许以其它任何理由铲除植被，以减少对生态环境的破坏。</w:t>
            </w:r>
          </w:p>
          <w:p>
            <w:pPr>
              <w:pStyle w:val="11"/>
              <w:spacing w:line="240" w:lineRule="auto"/>
              <w:ind w:firstLine="0" w:firstLineChars="0"/>
              <w:rPr>
                <w:sz w:val="21"/>
                <w:szCs w:val="21"/>
              </w:rPr>
            </w:pPr>
            <w:r>
              <w:rPr>
                <w:rFonts w:hint="eastAsia" w:ascii="宋体" w:hAnsi="宋体" w:cs="宋体"/>
                <w:sz w:val="21"/>
                <w:szCs w:val="21"/>
              </w:rPr>
              <w:t>④</w:t>
            </w:r>
            <w:r>
              <w:rPr>
                <w:rFonts w:hint="eastAsia"/>
                <w:sz w:val="21"/>
                <w:szCs w:val="21"/>
              </w:rPr>
              <w:t>基坑开挖尽量保持坑壁成型完好，并做好临时堆土的挡护及苫盖，基础坑开挖好后应尽快浇筑混凝土。</w:t>
            </w:r>
          </w:p>
          <w:p>
            <w:pPr>
              <w:pStyle w:val="11"/>
              <w:spacing w:line="240" w:lineRule="auto"/>
              <w:ind w:firstLine="0" w:firstLineChars="0"/>
              <w:rPr>
                <w:sz w:val="21"/>
                <w:szCs w:val="21"/>
              </w:rPr>
            </w:pPr>
            <w:r>
              <w:rPr>
                <w:rFonts w:hint="eastAsia" w:ascii="宋体" w:hAnsi="宋体" w:cs="宋体"/>
                <w:sz w:val="21"/>
                <w:szCs w:val="21"/>
              </w:rPr>
              <w:t>⑤</w:t>
            </w:r>
            <w:r>
              <w:rPr>
                <w:rFonts w:hint="eastAsia"/>
                <w:sz w:val="21"/>
                <w:szCs w:val="21"/>
              </w:rPr>
              <w:t>严格控制施工范围，应尽量控制作业面，施工后期对各类施工临时占地予以土地整治。</w:t>
            </w:r>
          </w:p>
          <w:p>
            <w:pPr>
              <w:rPr>
                <w:color w:val="FF0000"/>
              </w:rPr>
            </w:pPr>
            <w:r>
              <w:rPr>
                <w:rFonts w:hint="eastAsia" w:ascii="宋体" w:hAnsi="宋体" w:cs="宋体"/>
                <w:szCs w:val="21"/>
              </w:rPr>
              <w:t>⑥</w:t>
            </w:r>
            <w:r>
              <w:rPr>
                <w:rFonts w:hint="eastAsia"/>
                <w:szCs w:val="21"/>
              </w:rPr>
              <w:t>在塔基基础及杆塔等施工完毕后，应按设计要求立即对塔基基础周边开挖部分进行覆土，并进行平整夯实，以减少水土流失；对作业区、牵张场等施工扰动区地表进行平整。</w:t>
            </w:r>
          </w:p>
          <w:p>
            <w:r>
              <w:rPr>
                <w:rFonts w:hint="eastAsia"/>
              </w:rPr>
              <w:t>（</w:t>
            </w:r>
            <w:r>
              <w:t>3</w:t>
            </w:r>
            <w:r>
              <w:rPr>
                <w:rFonts w:hint="eastAsia"/>
              </w:rPr>
              <w:t>）动物保护措施</w:t>
            </w:r>
          </w:p>
          <w:p>
            <w:r>
              <w:rPr>
                <w:rFonts w:hint="eastAsia"/>
              </w:rPr>
              <w:t>①施工前对施工人员进行宣传和教育，严禁发生捕捉伤害野生动物的行为，提高保护野生动物的意识；发现有野生动物繁殖地时，应尽量避开，不得随意干扰和破坏野生动物的栖息、活动场所。</w:t>
            </w:r>
          </w:p>
          <w:p>
            <w:r>
              <w:rPr>
                <w:rFonts w:hint="eastAsia"/>
              </w:rPr>
              <w:t>②选用低噪声的施工设备及工艺，施工活动主要集中在白天进行，夜间不施工。在施工过程中若发现野生动物的活动地，应进行避让和保护，以防影响野生动物的栖息，同时要杜绝施工人员捕杀野生动物。</w:t>
            </w:r>
          </w:p>
          <w:p>
            <w:r>
              <w:rPr>
                <w:rFonts w:hint="eastAsia"/>
              </w:rPr>
              <w:t>③施工期如发现保护动物应采取妥善措施进行保护，不得杀害和损伤保护动物。对受伤的动物应及时联系野生动物保护部门，及时救治。</w:t>
            </w:r>
          </w:p>
          <w:p>
            <w:r>
              <w:t>（4）</w:t>
            </w:r>
            <w:r>
              <w:rPr>
                <w:rFonts w:hint="eastAsia"/>
              </w:rPr>
              <w:t>拆除工程环境保护措施</w:t>
            </w:r>
          </w:p>
          <w:p>
            <w:r>
              <w:rPr>
                <w:rFonts w:hint="eastAsia"/>
              </w:rPr>
              <w:t>①原有塔基拆除后，地下基础保留，在塔基基础周围进行土地平整。</w:t>
            </w:r>
          </w:p>
          <w:p>
            <w:r>
              <w:rPr>
                <w:rFonts w:hint="eastAsia"/>
              </w:rPr>
              <w:t>②对不可避免而造成的局部植被破坏区域采用适宜当地生长植被进行植被恢复，恢复原有土地利用功能。</w:t>
            </w:r>
          </w:p>
          <w:p>
            <w:r>
              <w:rPr>
                <w:rFonts w:hint="eastAsia"/>
              </w:rPr>
              <w:t>③施工结束后及时做好建筑垃圾清运、场地清理和迹地恢复。</w:t>
            </w:r>
          </w:p>
        </w:tc>
        <w:tc>
          <w:tcPr>
            <w:tcW w:w="1381" w:type="pct"/>
            <w:vAlign w:val="center"/>
          </w:tcPr>
          <w:p>
            <w:r>
              <w:t>（1）土地占用</w:t>
            </w:r>
            <w:r>
              <w:rPr>
                <w:rFonts w:hint="eastAsia"/>
              </w:rPr>
              <w:t>保护</w:t>
            </w:r>
          </w:p>
          <w:p>
            <w:r>
              <w:rPr>
                <w:rFonts w:hint="eastAsia"/>
              </w:rPr>
              <w:t>塔基施工区临时堆土未见随意堆放，施工结束后未见临时堆土，施工结束后临时占地原有土地功能未见严重破坏。施工期落实临时拦挡苫盖措施，施工结束后临时场地基本平整恢复。</w:t>
            </w:r>
          </w:p>
          <w:p>
            <w:r>
              <w:t>（2）</w:t>
            </w:r>
            <w:r>
              <w:rPr>
                <w:rFonts w:hint="eastAsia"/>
              </w:rPr>
              <w:t>植物</w:t>
            </w:r>
            <w:r>
              <w:t>保护</w:t>
            </w:r>
          </w:p>
          <w:p>
            <w:r>
              <w:rPr>
                <w:rFonts w:hint="eastAsia"/>
              </w:rPr>
              <w:t>施工过程中，施工便道和施工场地未随意开辟，工程施工区以外区域地表及植被未见破坏，施工过程中未见随意铲除植被、破坏生态环境现象。施工过程中未发生水土流失。施工期未发生明显的铲挖、碾压植被等破坏行为，施工结束后扰动区域结合原始地表基本恢复植被状态，与周围环境基本协调。</w:t>
            </w:r>
          </w:p>
          <w:p>
            <w:r>
              <w:rPr>
                <w:rFonts w:hint="eastAsia"/>
              </w:rPr>
              <w:t>（3）动物保护</w:t>
            </w:r>
          </w:p>
          <w:p>
            <w:r>
              <w:rPr>
                <w:rFonts w:hint="eastAsia"/>
              </w:rPr>
              <w:t>施工过程中未出现捕捉野生动物行为，未出现随意干扰和破坏野生动物栖息、活动的行为，夜间未施工</w:t>
            </w:r>
          </w:p>
          <w:p>
            <w:r>
              <w:rPr>
                <w:rFonts w:hint="eastAsia"/>
              </w:rPr>
              <w:t>（4）拆除工程环境保护措施</w:t>
            </w:r>
          </w:p>
          <w:p>
            <w:r>
              <w:rPr>
                <w:rFonts w:hint="eastAsia"/>
              </w:rPr>
              <w:t>施工结束后塔基基础保留，临时场地基本平整恢复。</w:t>
            </w:r>
          </w:p>
        </w:tc>
        <w:tc>
          <w:tcPr>
            <w:tcW w:w="741" w:type="pct"/>
            <w:vAlign w:val="center"/>
          </w:tcPr>
          <w:p>
            <w:pPr>
              <w:adjustRightInd w:val="0"/>
              <w:snapToGrid w:val="0"/>
              <w:spacing w:line="276" w:lineRule="auto"/>
              <w:rPr>
                <w:color w:val="000000"/>
                <w:szCs w:val="21"/>
              </w:rPr>
            </w:pPr>
            <w:r>
              <w:rPr>
                <w:szCs w:val="21"/>
              </w:rPr>
              <w:t>加强对运行维护人员的环境保护教育，提高环保意识，运行维护人员不得随意</w:t>
            </w:r>
            <w:r>
              <w:rPr>
                <w:rFonts w:hint="eastAsia"/>
                <w:szCs w:val="21"/>
              </w:rPr>
              <w:t>破坏工程</w:t>
            </w:r>
            <w:r>
              <w:rPr>
                <w:szCs w:val="21"/>
              </w:rPr>
              <w:t>沿线</w:t>
            </w:r>
            <w:r>
              <w:rPr>
                <w:rFonts w:hint="eastAsia"/>
                <w:szCs w:val="21"/>
              </w:rPr>
              <w:t>植被</w:t>
            </w:r>
            <w:r>
              <w:rPr>
                <w:szCs w:val="21"/>
              </w:rPr>
              <w:t>，破坏原有生态环境。</w:t>
            </w:r>
          </w:p>
        </w:tc>
        <w:tc>
          <w:tcPr>
            <w:tcW w:w="648" w:type="pct"/>
            <w:vAlign w:val="center"/>
          </w:tcPr>
          <w:p>
            <w:pPr>
              <w:adjustRightInd w:val="0"/>
              <w:snapToGrid w:val="0"/>
              <w:spacing w:line="276" w:lineRule="auto"/>
              <w:rPr>
                <w:color w:val="000000"/>
                <w:szCs w:val="21"/>
              </w:rPr>
            </w:pPr>
            <w:r>
              <w:rPr>
                <w:szCs w:val="21"/>
              </w:rPr>
              <w:t>禁止运行维护人员随意</w:t>
            </w:r>
            <w:r>
              <w:rPr>
                <w:rFonts w:hint="eastAsia"/>
                <w:szCs w:val="21"/>
              </w:rPr>
              <w:t>破坏工程</w:t>
            </w:r>
            <w:r>
              <w:rPr>
                <w:szCs w:val="21"/>
              </w:rPr>
              <w:t>沿线</w:t>
            </w:r>
            <w:r>
              <w:rPr>
                <w:rFonts w:hint="eastAsia"/>
                <w:szCs w:val="21"/>
              </w:rPr>
              <w:t>植被</w:t>
            </w:r>
            <w:r>
              <w:rPr>
                <w:szCs w:val="21"/>
              </w:rPr>
              <w:t>，破坏原有生态环境。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428" w:type="pct"/>
            <w:vAlign w:val="center"/>
          </w:tcPr>
          <w:p>
            <w:pPr>
              <w:jc w:val="center"/>
              <w:rPr>
                <w:b/>
              </w:rPr>
            </w:pPr>
            <w:r>
              <w:rPr>
                <w:b/>
              </w:rPr>
              <w:t>水生生态</w:t>
            </w:r>
          </w:p>
        </w:tc>
        <w:tc>
          <w:tcPr>
            <w:tcW w:w="1801" w:type="pct"/>
            <w:vAlign w:val="center"/>
          </w:tcPr>
          <w:p>
            <w:pPr>
              <w:jc w:val="center"/>
            </w:pPr>
            <w:r>
              <w:t>/</w:t>
            </w:r>
          </w:p>
        </w:tc>
        <w:tc>
          <w:tcPr>
            <w:tcW w:w="1381" w:type="pct"/>
            <w:vAlign w:val="center"/>
          </w:tcPr>
          <w:p>
            <w:pPr>
              <w:jc w:val="center"/>
            </w:pPr>
            <w:r>
              <w:t>/</w:t>
            </w:r>
          </w:p>
        </w:tc>
        <w:tc>
          <w:tcPr>
            <w:tcW w:w="741" w:type="pct"/>
            <w:vAlign w:val="center"/>
          </w:tcPr>
          <w:p>
            <w:pPr>
              <w:jc w:val="center"/>
            </w:pPr>
            <w:r>
              <w:t>/</w:t>
            </w:r>
          </w:p>
        </w:tc>
        <w:tc>
          <w:tcPr>
            <w:tcW w:w="648" w:type="pct"/>
            <w:vAlign w:val="center"/>
          </w:tcPr>
          <w:p>
            <w:pPr>
              <w:jc w:val="center"/>
            </w:pPr>
            <w: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28" w:type="pct"/>
            <w:vAlign w:val="center"/>
          </w:tcPr>
          <w:p>
            <w:pPr>
              <w:jc w:val="center"/>
              <w:rPr>
                <w:b/>
                <w:color w:val="FF0000"/>
                <w:szCs w:val="21"/>
              </w:rPr>
            </w:pPr>
            <w:r>
              <w:rPr>
                <w:b/>
                <w:szCs w:val="21"/>
              </w:rPr>
              <w:t>地表水环境</w:t>
            </w:r>
          </w:p>
        </w:tc>
        <w:tc>
          <w:tcPr>
            <w:tcW w:w="1801" w:type="pct"/>
            <w:vAlign w:val="center"/>
          </w:tcPr>
          <w:p>
            <w:pPr>
              <w:pStyle w:val="11"/>
              <w:spacing w:line="240" w:lineRule="auto"/>
              <w:ind w:firstLine="0" w:firstLineChars="0"/>
              <w:rPr>
                <w:sz w:val="21"/>
                <w:szCs w:val="21"/>
              </w:rPr>
            </w:pPr>
            <w:r>
              <w:rPr>
                <w:rFonts w:hint="eastAsia" w:ascii="宋体" w:hAnsi="宋体" w:cs="宋体"/>
                <w:color w:val="000000"/>
                <w:sz w:val="21"/>
                <w:szCs w:val="21"/>
              </w:rPr>
              <w:t>①</w:t>
            </w:r>
            <w:r>
              <w:rPr>
                <w:rFonts w:hint="eastAsia"/>
                <w:color w:val="000000"/>
                <w:sz w:val="21"/>
                <w:szCs w:val="21"/>
              </w:rPr>
              <w:t>变电站新建工程应先修建化粪池，施工期施工人员生活废水依托变电站化粪池和施工生产生活区设置的临时厕所收集处理，定期清掏不外排。</w:t>
            </w:r>
          </w:p>
          <w:p>
            <w:pPr>
              <w:pStyle w:val="11"/>
              <w:spacing w:line="240" w:lineRule="auto"/>
              <w:ind w:firstLine="0" w:firstLineChars="0"/>
              <w:rPr>
                <w:sz w:val="21"/>
                <w:szCs w:val="21"/>
              </w:rPr>
            </w:pPr>
            <w:r>
              <w:rPr>
                <w:rFonts w:hint="eastAsia" w:ascii="宋体" w:hAnsi="宋体" w:cs="宋体"/>
                <w:sz w:val="21"/>
                <w:szCs w:val="21"/>
              </w:rPr>
              <w:t>②</w:t>
            </w:r>
            <w:r>
              <w:rPr>
                <w:rFonts w:hint="eastAsia"/>
                <w:sz w:val="21"/>
                <w:szCs w:val="21"/>
              </w:rPr>
              <w:t>线路工程施工人员生活污水可经施工生产生活区设置的临时厕所和沿线设置的移动环保厕所收集处理，临时厕所和移动环保厕所需做好防渗处理，收集处理的污水定期清掏，不得随意排放。</w:t>
            </w:r>
          </w:p>
          <w:p>
            <w:pPr>
              <w:pStyle w:val="11"/>
              <w:spacing w:line="240" w:lineRule="auto"/>
              <w:ind w:firstLine="0" w:firstLineChars="0"/>
              <w:rPr>
                <w:sz w:val="21"/>
                <w:szCs w:val="21"/>
              </w:rPr>
            </w:pPr>
            <w:r>
              <w:rPr>
                <w:rFonts w:hint="eastAsia" w:ascii="宋体" w:hAnsi="宋体" w:cs="宋体"/>
                <w:sz w:val="21"/>
                <w:szCs w:val="21"/>
              </w:rPr>
              <w:t>③</w:t>
            </w:r>
            <w:r>
              <w:rPr>
                <w:rFonts w:hint="eastAsia"/>
                <w:sz w:val="21"/>
                <w:szCs w:val="21"/>
              </w:rPr>
              <w:t>输电线路施工时，现场施工废水产生量较少，主要由基础养护冲洗和少量车辆冲洗产生，施工单位现场可设置简易沉砂池，采用掏挖方式并用防水布衬垫防渗，施工废水经收集沉淀后可用于场地洒水降尘或自然蒸发。</w:t>
            </w:r>
          </w:p>
          <w:p>
            <w:pPr>
              <w:pStyle w:val="11"/>
              <w:spacing w:line="240" w:lineRule="auto"/>
              <w:ind w:firstLine="0" w:firstLineChars="0"/>
              <w:rPr>
                <w:color w:val="000000" w:themeColor="text1"/>
                <w:sz w:val="21"/>
                <w:szCs w:val="21"/>
                <w:shd w:val="clear" w:color="auto" w:fill="FFFFFF"/>
                <w14:textFill>
                  <w14:solidFill>
                    <w14:schemeClr w14:val="tx1"/>
                  </w14:solidFill>
                </w14:textFill>
              </w:rPr>
            </w:pPr>
            <w:r>
              <w:rPr>
                <w:rFonts w:hint="eastAsia" w:ascii="宋体" w:hAnsi="宋体" w:cs="宋体"/>
                <w:kern w:val="0"/>
                <w:sz w:val="21"/>
                <w:szCs w:val="21"/>
              </w:rPr>
              <w:t>④</w:t>
            </w:r>
            <w:r>
              <w:rPr>
                <w:rFonts w:hint="eastAsia"/>
                <w:kern w:val="0"/>
                <w:sz w:val="21"/>
                <w:szCs w:val="21"/>
              </w:rPr>
              <w:t>对线路运行维护人员进行水环境相关知识的培训，提高他们的环境保护意识，将工程运行维护过程中产生的生活垃圾等废物妥善处置，及时消除由此带来的环境影响</w:t>
            </w:r>
            <w:r>
              <w:rPr>
                <w:rFonts w:hint="eastAsia"/>
                <w:snapToGrid w:val="0"/>
                <w:kern w:val="0"/>
                <w:sz w:val="21"/>
                <w:szCs w:val="21"/>
              </w:rPr>
              <w:t>。</w:t>
            </w:r>
          </w:p>
        </w:tc>
        <w:tc>
          <w:tcPr>
            <w:tcW w:w="1381" w:type="pct"/>
            <w:vAlign w:val="center"/>
          </w:tcPr>
          <w:p>
            <w:pPr>
              <w:rPr>
                <w:color w:val="FF0000"/>
              </w:rPr>
            </w:pPr>
            <w:r>
              <w:rPr>
                <w:rFonts w:hint="eastAsia"/>
              </w:rPr>
              <w:t>输电线路施工过程中未见施工废水、生活污水随意漫排，生活垃圾等未见随意丢弃。</w:t>
            </w:r>
          </w:p>
        </w:tc>
        <w:tc>
          <w:tcPr>
            <w:tcW w:w="741" w:type="pct"/>
            <w:vAlign w:val="center"/>
          </w:tcPr>
          <w:p>
            <w:pPr>
              <w:jc w:val="center"/>
            </w:pPr>
            <w:r>
              <w:rPr>
                <w:rFonts w:hint="eastAsia"/>
              </w:rPr>
              <w:t>/</w:t>
            </w:r>
          </w:p>
        </w:tc>
        <w:tc>
          <w:tcPr>
            <w:tcW w:w="648" w:type="pct"/>
            <w:vAlign w:val="center"/>
          </w:tcPr>
          <w:p>
            <w:pPr>
              <w:jc w:val="center"/>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428" w:type="pct"/>
            <w:vAlign w:val="center"/>
          </w:tcPr>
          <w:p>
            <w:pPr>
              <w:jc w:val="center"/>
              <w:rPr>
                <w:b/>
              </w:rPr>
            </w:pPr>
            <w:r>
              <w:rPr>
                <w:b/>
              </w:rPr>
              <w:t>地下水及土壤环境</w:t>
            </w:r>
          </w:p>
        </w:tc>
        <w:tc>
          <w:tcPr>
            <w:tcW w:w="1801" w:type="pct"/>
            <w:vAlign w:val="center"/>
          </w:tcPr>
          <w:p>
            <w:pPr>
              <w:jc w:val="center"/>
            </w:pPr>
            <w:r>
              <w:rPr>
                <w:rFonts w:hint="eastAsia"/>
              </w:rPr>
              <w:t>/</w:t>
            </w:r>
          </w:p>
        </w:tc>
        <w:tc>
          <w:tcPr>
            <w:tcW w:w="1381" w:type="pct"/>
            <w:vAlign w:val="center"/>
          </w:tcPr>
          <w:p>
            <w:pPr>
              <w:jc w:val="center"/>
            </w:pPr>
            <w:r>
              <w:rPr>
                <w:rFonts w:hint="eastAsia"/>
              </w:rPr>
              <w:t>/</w:t>
            </w:r>
          </w:p>
        </w:tc>
        <w:tc>
          <w:tcPr>
            <w:tcW w:w="741" w:type="pct"/>
            <w:vAlign w:val="center"/>
          </w:tcPr>
          <w:p>
            <w:pPr>
              <w:jc w:val="center"/>
            </w:pPr>
            <w:r>
              <w:t>/</w:t>
            </w:r>
          </w:p>
        </w:tc>
        <w:tc>
          <w:tcPr>
            <w:tcW w:w="648" w:type="pct"/>
            <w:vAlign w:val="center"/>
          </w:tcPr>
          <w:p>
            <w:pPr>
              <w:jc w:val="center"/>
            </w:pPr>
            <w: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28" w:type="pct"/>
            <w:vAlign w:val="center"/>
          </w:tcPr>
          <w:p>
            <w:pPr>
              <w:jc w:val="center"/>
              <w:rPr>
                <w:b/>
                <w:color w:val="FF0000"/>
              </w:rPr>
            </w:pPr>
            <w:r>
              <w:rPr>
                <w:b/>
              </w:rPr>
              <w:t>声环境</w:t>
            </w:r>
          </w:p>
        </w:tc>
        <w:tc>
          <w:tcPr>
            <w:tcW w:w="1801" w:type="pct"/>
            <w:vAlign w:val="center"/>
          </w:tcPr>
          <w:p>
            <w:r>
              <w:rPr>
                <w:rFonts w:hint="eastAsia"/>
              </w:rPr>
              <w:t>①要求施工单位文明施工，加强施工期的环境管理和环境监控工作，并接受生态环境主管部门的监督管理。</w:t>
            </w:r>
          </w:p>
          <w:p>
            <w:pPr>
              <w:rPr>
                <w:szCs w:val="21"/>
              </w:rPr>
            </w:pPr>
            <w:r>
              <w:rPr>
                <w:rFonts w:hint="eastAsia"/>
              </w:rPr>
              <w:t>②</w:t>
            </w:r>
            <w:r>
              <w:rPr>
                <w:rFonts w:hint="eastAsia"/>
                <w:szCs w:val="21"/>
              </w:rPr>
              <w:t>依法限制施工期噪声源强，应当优先使用低噪声施工工艺和设备。本环评要求施工作业应按《低噪声施工设备指导名录（2024年版）》（工业和信息化部、生态环境部、住房和城乡建设部、市场监管总局 四部门公告2024年 第40号），优先选用低噪声施工设备进行施工。</w:t>
            </w:r>
          </w:p>
          <w:p>
            <w:r>
              <w:rPr>
                <w:rFonts w:hint="eastAsia"/>
              </w:rPr>
              <w:t>③优化施工方案，合理安排工期，依法限制夜间施工。按《中华人民共和国噪声污染防治法》的规定，在噪声敏感建筑物集中区域，禁止夜间进行产生噪声的建筑施工作业，但抢修、抢险施工作业，因生产工艺要求或者其他特殊需要必须连续施工作业的除外。因特殊需要必须连续施工作业的，应当取得地方人民政府住房和城乡建设、生态环境主管部门或者地方人民政府指定的部门的证明，并在施工现场显著位置公示或者以其他方式公告附近居民。</w:t>
            </w:r>
          </w:p>
          <w:p>
            <w:r>
              <w:rPr>
                <w:rFonts w:hint="eastAsia"/>
              </w:rPr>
              <w:t>④变电站新建工程施工时，应先修建围墙，利用围墙的隔声作用，减缓施工噪声对周围环境的影响</w:t>
            </w:r>
            <w:r>
              <w:t>。</w:t>
            </w:r>
          </w:p>
          <w:p>
            <w:pPr>
              <w:rPr>
                <w:color w:val="FF0000"/>
              </w:rPr>
            </w:pPr>
            <w:r>
              <w:rPr>
                <w:rFonts w:hint="eastAsia" w:ascii="宋体" w:hAnsi="宋体" w:cs="宋体"/>
              </w:rPr>
              <w:t>⑤</w:t>
            </w:r>
            <w:r>
              <w:rPr>
                <w:rFonts w:hint="eastAsia"/>
              </w:rPr>
              <w:t>加强施工车辆在施工区附近的交通管理，当车辆途经附近居民点时，限速行驶、不高音鸣笛，以减少施工车辆行驶对沿途居民点的噪声影响。</w:t>
            </w:r>
          </w:p>
        </w:tc>
        <w:tc>
          <w:tcPr>
            <w:tcW w:w="1381" w:type="pct"/>
            <w:vAlign w:val="center"/>
          </w:tcPr>
          <w:p>
            <w:r>
              <w:rPr>
                <w:rFonts w:hint="eastAsia"/>
              </w:rPr>
              <w:t>（1）施工单位文明施工，加强施工期的环境管理和环境监控工作，并主动接受生态环境主管部门的监督管理。</w:t>
            </w:r>
          </w:p>
          <w:p>
            <w:r>
              <w:rPr>
                <w:rFonts w:hint="eastAsia"/>
              </w:rPr>
              <w:t>（2）施工单位采用噪声水平满足国家相应标准的施工机械设备，并在施工场周围设置围挡设施，施工场界噪声满足《建筑施工噪声排放标准》（GB12523-2025）要求。</w:t>
            </w:r>
          </w:p>
          <w:p>
            <w:r>
              <w:rPr>
                <w:rFonts w:hint="eastAsia"/>
              </w:rPr>
              <w:t>（3）施工过程中，避免夜间施工，若确需夜间施工，应禁止高噪声施工作业。</w:t>
            </w:r>
          </w:p>
          <w:p>
            <w:pPr>
              <w:rPr>
                <w:color w:val="FF0000"/>
              </w:rPr>
            </w:pPr>
            <w:r>
              <w:rPr>
                <w:rFonts w:hint="eastAsia"/>
              </w:rPr>
              <w:t>（4）加强施工噪声管理工作，避免施工扰民。</w:t>
            </w:r>
          </w:p>
        </w:tc>
        <w:tc>
          <w:tcPr>
            <w:tcW w:w="741" w:type="pct"/>
            <w:vAlign w:val="center"/>
          </w:tcPr>
          <w:p>
            <w:pPr>
              <w:rPr>
                <w:color w:val="FF0000"/>
              </w:rPr>
            </w:pPr>
            <w:r>
              <w:rPr>
                <w:rFonts w:hint="eastAsia"/>
              </w:rPr>
              <w:t>运行期需要做好设施的维护和运行管理，定期开展环境监测，变电站运行期间厂界噪声均满足《工业企业厂界环境噪声排放标准》（GB12348-2008）2类排放标准限值要求，输电线路沿线声环境满足《声环境质量标准》（GB3096-2008）相应声功能区标准限值要求</w:t>
            </w:r>
          </w:p>
        </w:tc>
        <w:tc>
          <w:tcPr>
            <w:tcW w:w="648" w:type="pct"/>
            <w:vAlign w:val="center"/>
          </w:tcPr>
          <w:p>
            <w:pPr>
              <w:rPr>
                <w:color w:val="FF0000"/>
              </w:rPr>
            </w:pPr>
            <w:r>
              <w:rPr>
                <w:rFonts w:hint="eastAsia"/>
              </w:rPr>
              <w:t>变电站运行期间厂界噪声均满足《工业企业厂界环境噪声排放标准》（GB12348-2008）2类标准限值要求，输电线路沿线的声环境敏感目标处的声环境均满足《声环境质量标准》（GB3096-2008）相应功能区标准限值要求。发现超标问题及时处理，确保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428" w:type="pct"/>
            <w:vAlign w:val="center"/>
          </w:tcPr>
          <w:p>
            <w:pPr>
              <w:jc w:val="center"/>
              <w:rPr>
                <w:b/>
              </w:rPr>
            </w:pPr>
            <w:r>
              <w:rPr>
                <w:b/>
              </w:rPr>
              <w:t>振动</w:t>
            </w:r>
          </w:p>
        </w:tc>
        <w:tc>
          <w:tcPr>
            <w:tcW w:w="1801" w:type="pct"/>
            <w:vAlign w:val="center"/>
          </w:tcPr>
          <w:p>
            <w:pPr>
              <w:jc w:val="center"/>
            </w:pPr>
            <w:r>
              <w:t>/</w:t>
            </w:r>
          </w:p>
        </w:tc>
        <w:tc>
          <w:tcPr>
            <w:tcW w:w="1381" w:type="pct"/>
            <w:vAlign w:val="center"/>
          </w:tcPr>
          <w:p>
            <w:pPr>
              <w:jc w:val="center"/>
            </w:pPr>
            <w:r>
              <w:t>/</w:t>
            </w:r>
          </w:p>
        </w:tc>
        <w:tc>
          <w:tcPr>
            <w:tcW w:w="741" w:type="pct"/>
            <w:vAlign w:val="center"/>
          </w:tcPr>
          <w:p>
            <w:pPr>
              <w:jc w:val="center"/>
            </w:pPr>
            <w:r>
              <w:t>/</w:t>
            </w:r>
          </w:p>
        </w:tc>
        <w:tc>
          <w:tcPr>
            <w:tcW w:w="648" w:type="pct"/>
            <w:vAlign w:val="center"/>
          </w:tcPr>
          <w:p>
            <w:pPr>
              <w:jc w:val="center"/>
            </w:pPr>
            <w: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428" w:type="pct"/>
            <w:vAlign w:val="center"/>
          </w:tcPr>
          <w:p>
            <w:pPr>
              <w:jc w:val="center"/>
              <w:rPr>
                <w:b/>
                <w:color w:val="FF0000"/>
              </w:rPr>
            </w:pPr>
            <w:r>
              <w:rPr>
                <w:b/>
              </w:rPr>
              <w:t>大气环境</w:t>
            </w:r>
          </w:p>
        </w:tc>
        <w:tc>
          <w:tcPr>
            <w:tcW w:w="1801" w:type="pct"/>
            <w:vAlign w:val="center"/>
          </w:tcPr>
          <w:p>
            <w:pPr>
              <w:adjustRightInd w:val="0"/>
              <w:snapToGrid w:val="0"/>
            </w:pPr>
            <w:r>
              <w:rPr>
                <w:rFonts w:hint="eastAsia" w:ascii="宋体" w:hAnsi="宋体" w:cs="宋体"/>
              </w:rPr>
              <w:t>①</w:t>
            </w:r>
            <w:r>
              <w:t>施工单位应文明施工，加强施工期的环境管理和环境监控工作。</w:t>
            </w:r>
            <w:r>
              <w:rPr>
                <w:rFonts w:hint="eastAsia"/>
              </w:rPr>
              <w:t>加强施工期现场和车辆运输扬尘污染防治，对临时堆土和细颗粒建筑材料采取苫盖遮挡措施，土石方和建筑垃圾应采取防尘布苫盖等密闭运输方式，加强施工区域裸露地表苫盖，干燥或易起尘天气下有条件的应尽量采取洒水降尘措施。</w:t>
            </w:r>
          </w:p>
          <w:p>
            <w:pPr>
              <w:adjustRightInd w:val="0"/>
              <w:snapToGrid w:val="0"/>
            </w:pPr>
            <w:r>
              <w:rPr>
                <w:rFonts w:hint="eastAsia" w:ascii="宋体" w:hAnsi="宋体" w:cs="宋体"/>
              </w:rPr>
              <w:t>②</w:t>
            </w:r>
            <w:r>
              <w:t>施工产生的建筑垃圾等要合理堆放，应定期清运。</w:t>
            </w:r>
          </w:p>
          <w:p>
            <w:pPr>
              <w:adjustRightInd w:val="0"/>
              <w:snapToGrid w:val="0"/>
            </w:pPr>
            <w:r>
              <w:rPr>
                <w:rFonts w:hint="eastAsia" w:ascii="宋体" w:hAnsi="宋体" w:cs="宋体"/>
              </w:rPr>
              <w:t>③</w:t>
            </w:r>
            <w:r>
              <w:t>车辆运输土方</w:t>
            </w:r>
            <w:r>
              <w:rPr>
                <w:rFonts w:hint="eastAsia"/>
              </w:rPr>
              <w:t>或散体材料</w:t>
            </w:r>
            <w:r>
              <w:t>时，必须密闭、包扎、覆盖，避免沿途漏撒，并且在规定的时间内按指定路段行驶，控制扬尘污染。</w:t>
            </w:r>
          </w:p>
          <w:p>
            <w:pPr>
              <w:adjustRightInd w:val="0"/>
              <w:snapToGrid w:val="0"/>
            </w:pPr>
            <w:r>
              <w:rPr>
                <w:rFonts w:hint="eastAsia" w:ascii="宋体" w:hAnsi="宋体" w:cs="宋体"/>
              </w:rPr>
              <w:t>④</w:t>
            </w:r>
            <w:r>
              <w:t>加强材料转运与使用的管理，合理装卸，规范操作。</w:t>
            </w:r>
          </w:p>
          <w:p>
            <w:pPr>
              <w:adjustRightInd w:val="0"/>
              <w:snapToGrid w:val="0"/>
            </w:pPr>
            <w:r>
              <w:rPr>
                <w:rFonts w:hint="eastAsia" w:ascii="宋体" w:hAnsi="宋体" w:cs="宋体"/>
                <w:color w:val="000000"/>
              </w:rPr>
              <w:t>⑤</w:t>
            </w:r>
            <w:r>
              <w:rPr>
                <w:color w:val="000000"/>
              </w:rPr>
              <w:t>变电站及</w:t>
            </w:r>
            <w:r>
              <w:t>输电线路附近的道路在车辆进出时洒水，保持湿润，减少或避免产生扬尘。</w:t>
            </w:r>
          </w:p>
          <w:p>
            <w:pPr>
              <w:adjustRightInd w:val="0"/>
              <w:snapToGrid w:val="0"/>
            </w:pPr>
            <w:r>
              <w:rPr>
                <w:rFonts w:hint="eastAsia" w:ascii="宋体" w:hAnsi="宋体" w:cs="宋体"/>
              </w:rPr>
              <w:t>⑥</w:t>
            </w:r>
            <w:r>
              <w:t>临时堆土应及时苫盖</w:t>
            </w:r>
            <w:r>
              <w:rPr>
                <w:rFonts w:hint="eastAsia"/>
              </w:rPr>
              <w:t>，</w:t>
            </w:r>
            <w:r>
              <w:t>干燥天气下易起尘的裸露土地及时洒水抑尘。</w:t>
            </w:r>
          </w:p>
          <w:p>
            <w:pPr>
              <w:rPr>
                <w:color w:val="FF0000"/>
              </w:rPr>
            </w:pPr>
            <w:r>
              <w:rPr>
                <w:rFonts w:hint="eastAsia" w:ascii="宋体" w:hAnsi="宋体" w:cs="宋体"/>
                <w:color w:val="000000"/>
              </w:rPr>
              <w:t>⑦</w:t>
            </w:r>
            <w:r>
              <w:rPr>
                <w:rFonts w:hint="eastAsia"/>
                <w:color w:val="000000"/>
              </w:rPr>
              <w:t>施工期间，加强施工场地抑尘和降尘措施，施工物料集中堆放并采取苫盖措施，变电站施工期间严格落实“施工工地周边100%围挡、物料堆放100%覆盖、出入车辆100%冲洗、施工现场地面100%硬化、拆迁工地100%湿法作业、渣土车辆100%密闭运输”的6个100%控尘要求</w:t>
            </w:r>
            <w:r>
              <w:rPr>
                <w:rFonts w:hint="eastAsia"/>
              </w:rPr>
              <w:t>。</w:t>
            </w:r>
          </w:p>
        </w:tc>
        <w:tc>
          <w:tcPr>
            <w:tcW w:w="1381" w:type="pct"/>
            <w:vAlign w:val="center"/>
          </w:tcPr>
          <w:p>
            <w:pPr>
              <w:rPr>
                <w:color w:val="FF0000"/>
              </w:rPr>
            </w:pPr>
            <w:r>
              <w:rPr>
                <w:rFonts w:hint="eastAsia"/>
              </w:rPr>
              <w:t>施工产生的建筑垃圾未见随意堆放，未出现长时间未清理现象，运输土方或散体材料车辆未在运输过程中沿途漏撒，运输车辆未出现大面积扬尘。</w:t>
            </w:r>
          </w:p>
        </w:tc>
        <w:tc>
          <w:tcPr>
            <w:tcW w:w="741" w:type="pct"/>
            <w:vAlign w:val="center"/>
          </w:tcPr>
          <w:p>
            <w:pPr>
              <w:jc w:val="center"/>
            </w:pPr>
            <w:r>
              <w:t>/</w:t>
            </w:r>
          </w:p>
        </w:tc>
        <w:tc>
          <w:tcPr>
            <w:tcW w:w="648" w:type="pct"/>
            <w:vAlign w:val="center"/>
          </w:tcPr>
          <w:p>
            <w:pPr>
              <w:jc w:val="center"/>
            </w:pPr>
            <w: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2" w:hRule="atLeast"/>
          <w:jc w:val="center"/>
        </w:trPr>
        <w:tc>
          <w:tcPr>
            <w:tcW w:w="428" w:type="pct"/>
            <w:vAlign w:val="center"/>
          </w:tcPr>
          <w:p>
            <w:pPr>
              <w:jc w:val="center"/>
              <w:rPr>
                <w:b/>
                <w:color w:val="FF0000"/>
              </w:rPr>
            </w:pPr>
            <w:r>
              <w:rPr>
                <w:b/>
              </w:rPr>
              <w:t>固体废物</w:t>
            </w:r>
          </w:p>
        </w:tc>
        <w:tc>
          <w:tcPr>
            <w:tcW w:w="1801" w:type="pct"/>
            <w:vAlign w:val="center"/>
          </w:tcPr>
          <w:p>
            <w:pPr>
              <w:adjustRightInd w:val="0"/>
              <w:snapToGrid w:val="0"/>
              <w:rPr>
                <w:szCs w:val="21"/>
              </w:rPr>
            </w:pPr>
            <w:r>
              <w:rPr>
                <w:rFonts w:hint="eastAsia" w:ascii="宋体" w:hAnsi="宋体" w:cs="宋体"/>
                <w:color w:val="000000"/>
                <w:szCs w:val="21"/>
              </w:rPr>
              <w:t>①</w:t>
            </w:r>
            <w:r>
              <w:rPr>
                <w:color w:val="000000"/>
                <w:szCs w:val="21"/>
              </w:rPr>
              <w:t>明确要求施工过程中的建筑垃圾及生活垃圾应分别收集存放，及时清运</w:t>
            </w:r>
            <w:r>
              <w:rPr>
                <w:rFonts w:hint="eastAsia"/>
                <w:color w:val="000000"/>
                <w:szCs w:val="21"/>
              </w:rPr>
              <w:t>，严禁随意丢弃</w:t>
            </w:r>
            <w:r>
              <w:rPr>
                <w:color w:val="000000"/>
                <w:szCs w:val="21"/>
              </w:rPr>
              <w:t>。</w:t>
            </w:r>
            <w:r>
              <w:rPr>
                <w:rFonts w:hint="eastAsia"/>
                <w:color w:val="000000"/>
                <w:szCs w:val="21"/>
              </w:rPr>
              <w:t>施工现场及施工生产生活区的</w:t>
            </w:r>
            <w:r>
              <w:rPr>
                <w:color w:val="000000"/>
                <w:szCs w:val="21"/>
              </w:rPr>
              <w:t>生活垃圾实行袋装化，封闭贮存</w:t>
            </w:r>
            <w:r>
              <w:rPr>
                <w:rFonts w:hint="eastAsia"/>
                <w:color w:val="000000"/>
                <w:szCs w:val="21"/>
              </w:rPr>
              <w:t>及时清运</w:t>
            </w:r>
            <w:r>
              <w:rPr>
                <w:color w:val="000000"/>
                <w:szCs w:val="21"/>
              </w:rPr>
              <w:t>；建筑垃圾分类堆存，并采取必要的防护措施（防雨、防扬尘等）。</w:t>
            </w:r>
          </w:p>
          <w:p>
            <w:pPr>
              <w:adjustRightInd w:val="0"/>
              <w:snapToGrid w:val="0"/>
              <w:rPr>
                <w:color w:val="000000"/>
                <w:szCs w:val="21"/>
              </w:rPr>
            </w:pPr>
            <w:r>
              <w:rPr>
                <w:rFonts w:hint="eastAsia" w:ascii="宋体" w:hAnsi="宋体" w:cs="宋体"/>
                <w:color w:val="000000"/>
                <w:szCs w:val="21"/>
              </w:rPr>
              <w:t>②</w:t>
            </w:r>
            <w:r>
              <w:rPr>
                <w:color w:val="000000"/>
                <w:szCs w:val="21"/>
              </w:rPr>
              <w:t>本工程变电站</w:t>
            </w:r>
            <w:r>
              <w:rPr>
                <w:rFonts w:hint="eastAsia"/>
                <w:color w:val="000000"/>
                <w:szCs w:val="21"/>
              </w:rPr>
              <w:t>三</w:t>
            </w:r>
            <w:r>
              <w:rPr>
                <w:color w:val="000000"/>
                <w:szCs w:val="21"/>
              </w:rPr>
              <w:t>通一平工作产生的表土应集中收集堆放，结合附近区域的绿化工程或土地改造工程综合利用</w:t>
            </w:r>
            <w:r>
              <w:rPr>
                <w:rFonts w:hint="eastAsia"/>
                <w:color w:val="000000"/>
                <w:szCs w:val="21"/>
              </w:rPr>
              <w:t>，</w:t>
            </w:r>
            <w:r>
              <w:rPr>
                <w:color w:val="000000"/>
                <w:szCs w:val="21"/>
              </w:rPr>
              <w:t>严禁边挖边弃。</w:t>
            </w:r>
          </w:p>
          <w:p>
            <w:pPr>
              <w:tabs>
                <w:tab w:val="left" w:pos="720"/>
              </w:tabs>
              <w:adjustRightInd w:val="0"/>
              <w:snapToGrid w:val="0"/>
              <w:rPr>
                <w:color w:val="000000"/>
                <w:szCs w:val="21"/>
              </w:rPr>
            </w:pPr>
            <w:r>
              <w:rPr>
                <w:rFonts w:hint="eastAsia" w:ascii="宋体" w:hAnsi="宋体" w:cs="宋体"/>
                <w:color w:val="000000"/>
                <w:szCs w:val="21"/>
              </w:rPr>
              <w:t>③</w:t>
            </w:r>
            <w:r>
              <w:rPr>
                <w:color w:val="000000"/>
                <w:szCs w:val="21"/>
              </w:rPr>
              <w:t>新建输电线路塔基开挖多余土方应在塔基征地范围内进行平整</w:t>
            </w:r>
            <w:r>
              <w:rPr>
                <w:rFonts w:hint="eastAsia"/>
                <w:color w:val="000000"/>
                <w:szCs w:val="21"/>
              </w:rPr>
              <w:t>压实</w:t>
            </w:r>
            <w:r>
              <w:rPr>
                <w:color w:val="000000"/>
                <w:szCs w:val="21"/>
              </w:rPr>
              <w:t>。</w:t>
            </w:r>
          </w:p>
          <w:p>
            <w:pPr>
              <w:tabs>
                <w:tab w:val="left" w:pos="720"/>
              </w:tabs>
              <w:adjustRightInd w:val="0"/>
              <w:snapToGrid w:val="0"/>
              <w:rPr>
                <w:szCs w:val="21"/>
              </w:rPr>
            </w:pPr>
            <w:r>
              <w:rPr>
                <w:rFonts w:hint="eastAsia" w:ascii="宋体" w:hAnsi="宋体" w:cs="宋体"/>
                <w:color w:val="000000"/>
                <w:szCs w:val="21"/>
              </w:rPr>
              <w:t>④</w:t>
            </w:r>
            <w:r>
              <w:rPr>
                <w:rFonts w:hint="eastAsia"/>
                <w:color w:val="000000"/>
                <w:szCs w:val="21"/>
              </w:rPr>
              <w:t>施工结束后对施工区域再次进行清理，做到“工完、料尽、场地清”</w:t>
            </w:r>
            <w:r>
              <w:rPr>
                <w:rFonts w:hint="eastAsia"/>
                <w:szCs w:val="21"/>
              </w:rPr>
              <w:t>。</w:t>
            </w:r>
          </w:p>
          <w:p>
            <w:pPr>
              <w:pStyle w:val="11"/>
              <w:spacing w:line="240" w:lineRule="auto"/>
              <w:ind w:firstLine="0" w:firstLineChars="0"/>
              <w:rPr>
                <w:sz w:val="21"/>
              </w:rPr>
            </w:pPr>
            <w:r>
              <w:rPr>
                <w:rFonts w:hint="eastAsia" w:ascii="宋体" w:hAnsi="宋体" w:cs="宋体"/>
                <w:sz w:val="21"/>
                <w:szCs w:val="24"/>
              </w:rPr>
              <w:t>⑤</w:t>
            </w:r>
            <w:r>
              <w:rPr>
                <w:sz w:val="21"/>
                <w:szCs w:val="24"/>
              </w:rPr>
              <w:t>拆除线路产生的塔材、导线、金具等物料统一集中处置，根据拆除杆塔的数量和尺寸，合理规划堆放区域的大小和形状，确保堆放整齐、稳定。为防止雨水、风沙等恶劣天气对杆塔造成损害，应采用苫布进行覆盖</w:t>
            </w:r>
            <w:r>
              <w:rPr>
                <w:rFonts w:hint="eastAsia"/>
                <w:sz w:val="21"/>
              </w:rPr>
              <w:t>。</w:t>
            </w:r>
          </w:p>
          <w:p>
            <w:pPr>
              <w:pStyle w:val="11"/>
              <w:spacing w:line="240" w:lineRule="auto"/>
              <w:ind w:firstLine="0" w:firstLineChars="0"/>
            </w:pPr>
            <w:r>
              <w:rPr>
                <w:rFonts w:hint="eastAsia" w:ascii="宋体" w:hAnsi="宋体" w:cs="宋体"/>
                <w:sz w:val="21"/>
              </w:rPr>
              <w:t>⑥</w:t>
            </w:r>
            <w:r>
              <w:rPr>
                <w:rFonts w:hint="eastAsia"/>
                <w:sz w:val="21"/>
              </w:rPr>
              <w:t>拆除施工需遵循“减量化、资源化、无害化”原则，可再利用的塔材、导线和金具等材料应及时交由吐鲁番供电公司物资部回收利用。无法利用的塔材、导线和金具等材料应作为建筑垃圾及时清运。</w:t>
            </w:r>
          </w:p>
        </w:tc>
        <w:tc>
          <w:tcPr>
            <w:tcW w:w="1381" w:type="pct"/>
            <w:vAlign w:val="center"/>
          </w:tcPr>
          <w:p>
            <w:pPr>
              <w:rPr>
                <w:color w:val="FF0000"/>
              </w:rPr>
            </w:pPr>
            <w:r>
              <w:rPr>
                <w:rFonts w:hint="eastAsia"/>
              </w:rPr>
              <w:t>建筑垃圾和生活垃圾未见堆放一起，施工结束后未见遗留施工物料、堆土、垃圾等。</w:t>
            </w:r>
          </w:p>
        </w:tc>
        <w:tc>
          <w:tcPr>
            <w:tcW w:w="741" w:type="pct"/>
            <w:vAlign w:val="center"/>
          </w:tcPr>
          <w:p>
            <w:r>
              <w:rPr>
                <w:rFonts w:hint="eastAsia"/>
              </w:rPr>
              <w:t>定期巡线过程中产生的废弃绝缘子、生活垃圾等废物不得随意丢弃，线路运行维护人员应将生活垃圾带至垃圾集中收集点妥善处置，废弃绝缘子等废物回收处理。</w:t>
            </w:r>
          </w:p>
        </w:tc>
        <w:tc>
          <w:tcPr>
            <w:tcW w:w="648" w:type="pct"/>
            <w:vAlign w:val="center"/>
          </w:tcPr>
          <w:p>
            <w:r>
              <w:rPr>
                <w:rFonts w:hint="eastAsia"/>
              </w:rPr>
              <w:t>定期巡线过程中产生的废弃绝缘子、生活垃圾等废物收集后带至垃圾集中收集点进行了妥善处置</w:t>
            </w:r>
            <w:r>
              <w:rPr>
                <w:rFonts w:hint="eastAsia"/>
                <w:lang w:eastAsia="zh-CN"/>
              </w:rPr>
              <w:t>，对</w:t>
            </w:r>
            <w:r>
              <w:rPr>
                <w:rFonts w:hint="eastAsia"/>
              </w:rPr>
              <w:t>废弃绝缘子等废物进行了回收处理。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428" w:type="pct"/>
            <w:vAlign w:val="center"/>
          </w:tcPr>
          <w:p>
            <w:pPr>
              <w:jc w:val="center"/>
              <w:rPr>
                <w:b/>
              </w:rPr>
            </w:pPr>
            <w:r>
              <w:rPr>
                <w:b/>
              </w:rPr>
              <w:t>电磁环境</w:t>
            </w:r>
          </w:p>
        </w:tc>
        <w:tc>
          <w:tcPr>
            <w:tcW w:w="1801" w:type="pct"/>
            <w:vAlign w:val="center"/>
          </w:tcPr>
          <w:p>
            <w:r>
              <w:rPr>
                <w:rFonts w:hint="eastAsia"/>
              </w:rPr>
              <w:t>①</w:t>
            </w:r>
            <w:r>
              <w:t>严格按照《110</w:t>
            </w:r>
            <w:r>
              <w:rPr>
                <w:rFonts w:hint="eastAsia"/>
              </w:rPr>
              <w:t>~</w:t>
            </w:r>
            <w:r>
              <w:t>750kV架空输电线路设计技术规范》（GB50545-2010）选择</w:t>
            </w:r>
            <w:r>
              <w:rPr>
                <w:rFonts w:hint="eastAsia"/>
              </w:rPr>
              <w:t>相</w:t>
            </w:r>
            <w:r>
              <w:t>导线排列形式，导线、金具及绝缘子等电气设备、设施，提高加工工艺，防止尖端放电和起电晕；此外，输电线路经过不同地区时亦严格按照上述规定设计导线对地距离、交叉跨越距离。</w:t>
            </w:r>
          </w:p>
          <w:p>
            <w:r>
              <w:rPr>
                <w:rFonts w:hint="eastAsia"/>
              </w:rPr>
              <w:t>②</w:t>
            </w:r>
            <w:r>
              <w:t>本工程拟建</w:t>
            </w:r>
            <w:r>
              <w:rPr>
                <w:rFonts w:hint="eastAsia"/>
              </w:rPr>
              <w:t>110kV架空输电</w:t>
            </w:r>
            <w:r>
              <w:t>线路</w:t>
            </w:r>
            <w:r>
              <w:rPr>
                <w:rFonts w:hint="eastAsia"/>
              </w:rPr>
              <w:t>导线经过非居民区最小对地高度不低于6m，经过居民区最小对地高度不低于7m。</w:t>
            </w:r>
          </w:p>
        </w:tc>
        <w:tc>
          <w:tcPr>
            <w:tcW w:w="1381" w:type="pct"/>
            <w:vAlign w:val="center"/>
          </w:tcPr>
          <w:p>
            <w:pPr>
              <w:rPr>
                <w:color w:val="FF0000"/>
              </w:rPr>
            </w:pPr>
            <w:r>
              <w:rPr>
                <w:rFonts w:hint="eastAsia"/>
              </w:rPr>
              <w:t>本工程输电线路经过非居民区和居民区，电磁环境均达标，未出现超标情况。</w:t>
            </w:r>
          </w:p>
        </w:tc>
        <w:tc>
          <w:tcPr>
            <w:tcW w:w="741" w:type="pct"/>
            <w:vAlign w:val="center"/>
          </w:tcPr>
          <w:p>
            <w:pPr>
              <w:pStyle w:val="11"/>
              <w:spacing w:line="240" w:lineRule="auto"/>
              <w:ind w:firstLine="0" w:firstLineChars="0"/>
              <w:rPr>
                <w:sz w:val="21"/>
                <w:szCs w:val="21"/>
              </w:rPr>
            </w:pPr>
            <w:r>
              <w:rPr>
                <w:rFonts w:hint="eastAsia"/>
                <w:sz w:val="21"/>
                <w:szCs w:val="21"/>
              </w:rPr>
              <w:t>（1）</w:t>
            </w:r>
            <w:r>
              <w:rPr>
                <w:sz w:val="21"/>
                <w:szCs w:val="21"/>
              </w:rPr>
              <w:t>严格落实导线对地最低设计高度</w:t>
            </w:r>
            <w:r>
              <w:rPr>
                <w:rFonts w:hint="eastAsia"/>
                <w:sz w:val="21"/>
                <w:szCs w:val="21"/>
              </w:rPr>
              <w:t>，</w:t>
            </w:r>
            <w:r>
              <w:rPr>
                <w:sz w:val="21"/>
                <w:szCs w:val="21"/>
              </w:rPr>
              <w:t>降低电磁环境的影响</w:t>
            </w:r>
            <w:r>
              <w:rPr>
                <w:rFonts w:hint="eastAsia"/>
                <w:sz w:val="21"/>
                <w:szCs w:val="21"/>
              </w:rPr>
              <w:t>。</w:t>
            </w:r>
          </w:p>
          <w:p>
            <w:pPr>
              <w:pStyle w:val="11"/>
              <w:spacing w:line="240" w:lineRule="auto"/>
              <w:ind w:firstLine="0" w:firstLineChars="0"/>
              <w:rPr>
                <w:sz w:val="21"/>
                <w:szCs w:val="21"/>
              </w:rPr>
            </w:pPr>
            <w:r>
              <w:rPr>
                <w:rFonts w:hint="eastAsia"/>
                <w:sz w:val="21"/>
                <w:szCs w:val="21"/>
              </w:rPr>
              <w:t>（2）杆塔悬挂警示警告标志，加强员工安全教育，加强电磁环境科普知识的宣贯。</w:t>
            </w:r>
          </w:p>
          <w:p>
            <w:pPr>
              <w:pStyle w:val="11"/>
              <w:spacing w:line="240" w:lineRule="auto"/>
              <w:ind w:firstLine="0" w:firstLineChars="0"/>
              <w:rPr>
                <w:sz w:val="21"/>
                <w:szCs w:val="21"/>
              </w:rPr>
            </w:pPr>
            <w:r>
              <w:rPr>
                <w:rFonts w:hint="eastAsia"/>
                <w:sz w:val="21"/>
                <w:szCs w:val="21"/>
              </w:rPr>
              <w:t>（3）</w:t>
            </w:r>
            <w:r>
              <w:rPr>
                <w:sz w:val="21"/>
                <w:szCs w:val="21"/>
              </w:rPr>
              <w:t>运行期</w:t>
            </w:r>
            <w:r>
              <w:rPr>
                <w:rFonts w:hint="eastAsia"/>
                <w:sz w:val="21"/>
                <w:szCs w:val="21"/>
              </w:rPr>
              <w:t>需要</w:t>
            </w:r>
            <w:r>
              <w:rPr>
                <w:sz w:val="21"/>
                <w:szCs w:val="21"/>
              </w:rPr>
              <w:t>做好设施的维护和运行管理，定期开展环境监测，确保电磁环境满足《电磁环境控制限值》（GB8702-2014）相关要求。</w:t>
            </w:r>
          </w:p>
          <w:p>
            <w:r>
              <w:rPr>
                <w:rFonts w:hint="eastAsia"/>
                <w:szCs w:val="21"/>
              </w:rPr>
              <w:t>（4）</w:t>
            </w:r>
            <w:r>
              <w:rPr>
                <w:rFonts w:hint="eastAsia" w:ascii="宋体" w:hAnsi="宋体" w:cs="宋体"/>
                <w:color w:val="000000" w:themeColor="text1"/>
                <w:szCs w:val="21"/>
                <w14:textFill>
                  <w14:solidFill>
                    <w14:schemeClr w14:val="tx1"/>
                  </w14:solidFill>
                </w14:textFill>
              </w:rPr>
              <w:t>在项目运行期，要求变电站运行维护人员对变电站进行定期巡查及维护，保障变电站的正常运行，防止由于变电站运行故障产生额外电磁环境影响的情况发生。</w:t>
            </w:r>
          </w:p>
        </w:tc>
        <w:tc>
          <w:tcPr>
            <w:tcW w:w="648" w:type="pct"/>
            <w:vAlign w:val="center"/>
          </w:tcPr>
          <w:p>
            <w:r>
              <w:rPr>
                <w:rFonts w:hint="eastAsia"/>
              </w:rPr>
              <w:t>变电站周边电磁环境达标；输电线路经过居民区和非居民区，电磁环境均达标，未出现超标情况。发现超标问题及时处理，确保达标。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428" w:type="pct"/>
            <w:vAlign w:val="center"/>
          </w:tcPr>
          <w:p>
            <w:pPr>
              <w:jc w:val="center"/>
              <w:rPr>
                <w:b/>
              </w:rPr>
            </w:pPr>
            <w:r>
              <w:rPr>
                <w:b/>
              </w:rPr>
              <w:t>环境风险</w:t>
            </w:r>
          </w:p>
        </w:tc>
        <w:tc>
          <w:tcPr>
            <w:tcW w:w="1801" w:type="pct"/>
            <w:vAlign w:val="center"/>
          </w:tcPr>
          <w:p>
            <w:r>
              <w:rPr>
                <w:rFonts w:hint="eastAsia"/>
                <w:color w:val="000000"/>
              </w:rPr>
              <w:t>东环110kV变电站本期新建1座有效容积约为30m³的</w:t>
            </w:r>
            <w:r>
              <w:rPr>
                <w:color w:val="000000"/>
              </w:rPr>
              <w:t>事故油池</w:t>
            </w:r>
            <w:r>
              <w:rPr>
                <w:rFonts w:hint="eastAsia"/>
                <w:color w:val="000000"/>
              </w:rPr>
              <w:t>，</w:t>
            </w:r>
            <w:r>
              <w:rPr>
                <w:color w:val="000000"/>
              </w:rPr>
              <w:t>有效容积能够满足最大一台主变压器100%油量容纳的容积要求。事故油池和贮油坑采取防渗措施</w:t>
            </w:r>
            <w:r>
              <w:rPr>
                <w:rFonts w:hint="eastAsia"/>
                <w:color w:val="000000"/>
              </w:rPr>
              <w:t>，</w:t>
            </w:r>
            <w:r>
              <w:rPr>
                <w:color w:val="000000"/>
              </w:rPr>
              <w:t>防渗效果满足</w:t>
            </w:r>
            <w:r>
              <w:rPr>
                <w:rFonts w:hint="eastAsia"/>
                <w:color w:val="000000"/>
              </w:rPr>
              <w:t>《危险废物贮存污染控制标准》（GB18597-2023）</w:t>
            </w:r>
            <w:r>
              <w:rPr>
                <w:color w:val="000000"/>
              </w:rPr>
              <w:t>的相关要求</w:t>
            </w:r>
            <w:r>
              <w:rPr>
                <w:rFonts w:hint="eastAsia"/>
                <w:color w:val="000000"/>
              </w:rPr>
              <w:t>。</w:t>
            </w:r>
          </w:p>
        </w:tc>
        <w:tc>
          <w:tcPr>
            <w:tcW w:w="1381" w:type="pct"/>
            <w:vAlign w:val="center"/>
          </w:tcPr>
          <w:p>
            <w:r>
              <w:rPr>
                <w:rFonts w:hint="eastAsia"/>
                <w:color w:val="000000"/>
              </w:rPr>
              <w:t>东环110kV变电站本期新建1座有效容积约为30m³的</w:t>
            </w:r>
            <w:r>
              <w:rPr>
                <w:color w:val="000000"/>
              </w:rPr>
              <w:t>事故油池</w:t>
            </w:r>
            <w:r>
              <w:rPr>
                <w:rFonts w:hint="eastAsia"/>
                <w:color w:val="000000"/>
              </w:rPr>
              <w:t>，</w:t>
            </w:r>
            <w:r>
              <w:rPr>
                <w:color w:val="000000"/>
              </w:rPr>
              <w:t>有效容积能够满足最大一台主变压器100%油量容纳的容积要求。事故油池和贮油坑采取防渗措施</w:t>
            </w:r>
            <w:r>
              <w:rPr>
                <w:rFonts w:hint="eastAsia"/>
                <w:color w:val="000000"/>
              </w:rPr>
              <w:t>，</w:t>
            </w:r>
            <w:r>
              <w:rPr>
                <w:color w:val="000000"/>
              </w:rPr>
              <w:t>防渗效果满足</w:t>
            </w:r>
            <w:r>
              <w:rPr>
                <w:rFonts w:hint="eastAsia"/>
                <w:color w:val="000000"/>
              </w:rPr>
              <w:t>《危险废物贮存污染控制标准》（GB18597-2023）</w:t>
            </w:r>
            <w:r>
              <w:rPr>
                <w:color w:val="000000"/>
              </w:rPr>
              <w:t>的相关要求</w:t>
            </w:r>
            <w:r>
              <w:rPr>
                <w:rFonts w:hint="eastAsia"/>
                <w:color w:val="000000"/>
              </w:rPr>
              <w:t>。</w:t>
            </w:r>
          </w:p>
        </w:tc>
        <w:tc>
          <w:tcPr>
            <w:tcW w:w="741" w:type="pct"/>
            <w:vAlign w:val="center"/>
          </w:tcPr>
          <w:p>
            <w:pPr>
              <w:pStyle w:val="11"/>
              <w:spacing w:line="240" w:lineRule="auto"/>
              <w:ind w:firstLine="0" w:firstLineChars="0"/>
              <w:rPr>
                <w:color w:val="000000"/>
              </w:rPr>
            </w:pPr>
            <w:r>
              <w:rPr>
                <w:color w:val="000000"/>
                <w:sz w:val="21"/>
                <w:szCs w:val="21"/>
              </w:rPr>
              <w:t>加强对事故油池及其排导系统的巡查和维护，做好运行期间的管理工作；对于产生的事故油及含油废水不得随意处置，必须由具有危险废物处理资格的机构妥善处理</w:t>
            </w:r>
            <w:r>
              <w:rPr>
                <w:rFonts w:hint="eastAsia"/>
                <w:sz w:val="21"/>
                <w:szCs w:val="21"/>
              </w:rPr>
              <w:t>。</w:t>
            </w:r>
            <w:r>
              <w:rPr>
                <w:rFonts w:hint="eastAsia"/>
                <w:color w:val="000000"/>
                <w:sz w:val="21"/>
                <w:szCs w:val="21"/>
              </w:rPr>
              <w:t>检修状态下产生的</w:t>
            </w:r>
            <w:r>
              <w:rPr>
                <w:sz w:val="21"/>
                <w:szCs w:val="21"/>
              </w:rPr>
              <w:t>废矿物油、废油桶、废含油抹布及劳保用品等废弃物</w:t>
            </w:r>
            <w:r>
              <w:rPr>
                <w:rFonts w:hint="eastAsia"/>
                <w:color w:val="000000"/>
                <w:sz w:val="21"/>
                <w:szCs w:val="21"/>
              </w:rPr>
              <w:t>及时交由有资质的单位进行处置。</w:t>
            </w:r>
          </w:p>
        </w:tc>
        <w:tc>
          <w:tcPr>
            <w:tcW w:w="648" w:type="pct"/>
            <w:vAlign w:val="center"/>
          </w:tcPr>
          <w:p>
            <w:pPr>
              <w:rPr>
                <w:color w:val="000000"/>
              </w:rPr>
            </w:pPr>
            <w:r>
              <w:rPr>
                <w:color w:val="000000"/>
              </w:rPr>
              <w:t>定期巡查和维护。对于产生的事故油及含油废水</w:t>
            </w:r>
            <w:r>
              <w:rPr>
                <w:rFonts w:hint="eastAsia"/>
                <w:color w:val="000000"/>
              </w:rPr>
              <w:t>及检修产生的废矿物油、废机油桶等含油废物</w:t>
            </w:r>
            <w:r>
              <w:rPr>
                <w:color w:val="000000"/>
              </w:rPr>
              <w:t>不得随意处置，必须由具有危险废物处理资格的机构妥善处理。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28" w:type="pct"/>
            <w:vAlign w:val="center"/>
          </w:tcPr>
          <w:p>
            <w:pPr>
              <w:jc w:val="center"/>
              <w:rPr>
                <w:b/>
              </w:rPr>
            </w:pPr>
            <w:r>
              <w:rPr>
                <w:b/>
              </w:rPr>
              <w:t>环境监测</w:t>
            </w:r>
          </w:p>
        </w:tc>
        <w:tc>
          <w:tcPr>
            <w:tcW w:w="1801" w:type="pct"/>
            <w:vAlign w:val="center"/>
          </w:tcPr>
          <w:p>
            <w:r>
              <w:t>制定监测计划，监测工程施工期环境要素及评价因子的变化。</w:t>
            </w:r>
          </w:p>
        </w:tc>
        <w:tc>
          <w:tcPr>
            <w:tcW w:w="1381" w:type="pct"/>
            <w:vAlign w:val="center"/>
          </w:tcPr>
          <w:p>
            <w:pPr>
              <w:rPr>
                <w:color w:val="FF0000"/>
              </w:rPr>
            </w:pPr>
            <w:r>
              <w:t>监测结果满足相应的法律法规要求。</w:t>
            </w:r>
          </w:p>
        </w:tc>
        <w:tc>
          <w:tcPr>
            <w:tcW w:w="741" w:type="pct"/>
            <w:vAlign w:val="center"/>
          </w:tcPr>
          <w:p>
            <w:r>
              <w:rPr>
                <w:rFonts w:hint="eastAsia"/>
              </w:rPr>
              <w:t>①调试运行结合竣工环境保护验收监测一次。②运行期间确有需要时进行监测。③例行环境监测计划或生态环境主管部门要求时进行监测。</w:t>
            </w:r>
            <w:r>
              <w:rPr>
                <w:rFonts w:hint="eastAsia" w:ascii="宋体" w:hAnsi="宋体" w:cs="宋体"/>
              </w:rPr>
              <w:t>④</w:t>
            </w:r>
            <w:r>
              <w:rPr>
                <w:rStyle w:val="66"/>
                <w:rFonts w:hint="eastAsia" w:ascii="Times New Roman"/>
                <w:bCs/>
                <w:sz w:val="21"/>
                <w:szCs w:val="21"/>
              </w:rPr>
              <w:t>主变压器、母线设备等维修后，进行监测</w:t>
            </w:r>
            <w:r>
              <w:rPr>
                <w:rFonts w:hint="eastAsia"/>
                <w:szCs w:val="21"/>
              </w:rPr>
              <w:t>。</w:t>
            </w:r>
          </w:p>
        </w:tc>
        <w:tc>
          <w:tcPr>
            <w:tcW w:w="648" w:type="pct"/>
            <w:vAlign w:val="center"/>
          </w:tcPr>
          <w:p>
            <w:r>
              <w:rPr>
                <w:rFonts w:hint="eastAsia"/>
              </w:rPr>
              <w:t>按</w:t>
            </w:r>
            <w:r>
              <w:t>环境监测计划开展环境监测</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5" w:hRule="atLeast"/>
          <w:jc w:val="center"/>
        </w:trPr>
        <w:tc>
          <w:tcPr>
            <w:tcW w:w="428" w:type="pct"/>
            <w:vAlign w:val="center"/>
          </w:tcPr>
          <w:p>
            <w:pPr>
              <w:jc w:val="center"/>
              <w:rPr>
                <w:b/>
              </w:rPr>
            </w:pPr>
            <w:r>
              <w:rPr>
                <w:b/>
              </w:rPr>
              <w:t>其他</w:t>
            </w:r>
          </w:p>
        </w:tc>
        <w:tc>
          <w:tcPr>
            <w:tcW w:w="1801" w:type="pct"/>
            <w:vAlign w:val="center"/>
          </w:tcPr>
          <w:p>
            <w:pPr>
              <w:jc w:val="center"/>
            </w:pPr>
            <w:r>
              <w:t>/</w:t>
            </w:r>
          </w:p>
        </w:tc>
        <w:tc>
          <w:tcPr>
            <w:tcW w:w="1381" w:type="pct"/>
            <w:vAlign w:val="center"/>
          </w:tcPr>
          <w:p>
            <w:pPr>
              <w:jc w:val="center"/>
            </w:pPr>
            <w:r>
              <w:t>/</w:t>
            </w:r>
          </w:p>
        </w:tc>
        <w:tc>
          <w:tcPr>
            <w:tcW w:w="741" w:type="pct"/>
            <w:vAlign w:val="center"/>
          </w:tcPr>
          <w:p>
            <w:pPr>
              <w:jc w:val="center"/>
            </w:pPr>
            <w:r>
              <w:t>/</w:t>
            </w:r>
          </w:p>
        </w:tc>
        <w:tc>
          <w:tcPr>
            <w:tcW w:w="648" w:type="pct"/>
            <w:vAlign w:val="center"/>
          </w:tcPr>
          <w:p>
            <w:pPr>
              <w:jc w:val="center"/>
            </w:pPr>
            <w:r>
              <w:t>/</w:t>
            </w:r>
          </w:p>
        </w:tc>
      </w:tr>
    </w:tbl>
    <w:p>
      <w:pPr>
        <w:pStyle w:val="39"/>
        <w:spacing w:before="0" w:beforeAutospacing="0" w:line="14" w:lineRule="auto"/>
        <w:jc w:val="both"/>
        <w:outlineLvl w:val="0"/>
        <w:rPr>
          <w:rFonts w:ascii="Times New Roman" w:hAnsi="Times New Roman"/>
          <w:snapToGrid w:val="0"/>
          <w:color w:val="000000"/>
          <w:sz w:val="30"/>
          <w:szCs w:val="30"/>
          <w:highlight w:val="yellow"/>
        </w:rPr>
        <w:sectPr>
          <w:pgSz w:w="16838" w:h="11906" w:orient="landscape"/>
          <w:pgMar w:top="1797" w:right="1440" w:bottom="1797" w:left="1440" w:header="851" w:footer="1077" w:gutter="0"/>
          <w:cols w:space="720" w:num="1"/>
          <w:docGrid w:linePitch="312" w:charSpace="0"/>
        </w:sectPr>
      </w:pPr>
    </w:p>
    <w:p>
      <w:pPr>
        <w:pStyle w:val="39"/>
        <w:spacing w:before="192" w:beforeLines="80" w:beforeAutospacing="0"/>
        <w:jc w:val="center"/>
        <w:outlineLvl w:val="0"/>
        <w:rPr>
          <w:rFonts w:ascii="Times New Roman" w:hAnsi="Times New Roman"/>
          <w:b/>
          <w:bCs/>
          <w:snapToGrid w:val="0"/>
          <w:color w:val="000000"/>
          <w:sz w:val="32"/>
          <w:szCs w:val="32"/>
        </w:rPr>
      </w:pPr>
      <w:bookmarkStart w:id="802" w:name="_Toc111564330"/>
      <w:bookmarkStart w:id="803" w:name="_Toc51"/>
      <w:bookmarkStart w:id="804" w:name="_Toc5277"/>
      <w:r>
        <w:rPr>
          <w:rFonts w:ascii="Times New Roman" w:hAnsi="Times New Roman"/>
          <w:b/>
          <w:bCs/>
          <w:snapToGrid w:val="0"/>
          <w:color w:val="000000"/>
          <w:sz w:val="32"/>
          <w:szCs w:val="32"/>
        </w:rPr>
        <w:t>七、结论</w:t>
      </w:r>
      <w:bookmarkEnd w:id="802"/>
      <w:bookmarkEnd w:id="803"/>
      <w:bookmarkEnd w:id="804"/>
    </w:p>
    <w:tbl>
      <w:tblPr>
        <w:tblStyle w:val="43"/>
        <w:tblW w:w="889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3031" w:hRule="atLeast"/>
          <w:jc w:val="center"/>
        </w:trPr>
        <w:tc>
          <w:tcPr>
            <w:tcW w:w="8897" w:type="dxa"/>
          </w:tcPr>
          <w:p>
            <w:pPr>
              <w:pStyle w:val="11"/>
              <w:spacing w:before="120" w:beforeLines="50"/>
              <w:rPr>
                <w:color w:val="000000"/>
              </w:rPr>
            </w:pPr>
            <w:r>
              <w:rPr>
                <w:rFonts w:hint="eastAsia"/>
                <w:color w:val="000000"/>
              </w:rPr>
              <w:t>吐鲁番东环110千伏输变电工程</w:t>
            </w:r>
            <w:r>
              <w:rPr>
                <w:color w:val="000000"/>
              </w:rPr>
              <w:t>的建设符合当地生态环境规划。在设计、施工和运行阶段均采取了一系列的环境保护措施，在严格执行本环境影响报告表中规定的各项污染防治措施和生态保护措施后，从环境保护的角度而言，本工程是可行的。</w:t>
            </w:r>
          </w:p>
          <w:p>
            <w:pPr>
              <w:pStyle w:val="11"/>
              <w:spacing w:before="120" w:beforeLines="50"/>
              <w:rPr>
                <w:color w:val="000000"/>
              </w:rPr>
            </w:pPr>
          </w:p>
          <w:p>
            <w:pPr>
              <w:pStyle w:val="11"/>
              <w:spacing w:before="120" w:beforeLines="50"/>
              <w:rPr>
                <w:color w:val="000000"/>
              </w:rPr>
            </w:pPr>
          </w:p>
        </w:tc>
      </w:tr>
    </w:tbl>
    <w:p>
      <w:pPr>
        <w:rPr>
          <w:color w:val="000000"/>
        </w:rPr>
        <w:sectPr>
          <w:pgSz w:w="11906" w:h="16838"/>
          <w:pgMar w:top="1440" w:right="1797" w:bottom="1440" w:left="1797" w:header="851" w:footer="992" w:gutter="0"/>
          <w:cols w:space="720" w:num="1"/>
          <w:docGrid w:linePitch="312" w:charSpace="0"/>
        </w:sectPr>
      </w:pPr>
    </w:p>
    <w:p>
      <w:pPr>
        <w:rPr>
          <w:b/>
          <w:bCs/>
          <w:color w:val="000000"/>
          <w:sz w:val="28"/>
          <w:szCs w:val="28"/>
          <w:highlight w:val="yellow"/>
        </w:rPr>
      </w:pPr>
    </w:p>
    <w:p>
      <w:pPr>
        <w:adjustRightInd w:val="0"/>
        <w:snapToGrid w:val="0"/>
        <w:jc w:val="center"/>
        <w:rPr>
          <w:color w:val="000000"/>
          <w:sz w:val="24"/>
          <w:szCs w:val="21"/>
          <w:highlight w:val="yellow"/>
        </w:rPr>
      </w:pPr>
    </w:p>
    <w:p>
      <w:pPr>
        <w:adjustRightInd w:val="0"/>
        <w:snapToGrid w:val="0"/>
        <w:jc w:val="center"/>
        <w:rPr>
          <w:color w:val="000000"/>
          <w:sz w:val="24"/>
          <w:szCs w:val="21"/>
          <w:highlight w:val="yellow"/>
        </w:rPr>
      </w:pPr>
    </w:p>
    <w:p>
      <w:pPr>
        <w:adjustRightInd w:val="0"/>
        <w:snapToGrid w:val="0"/>
        <w:jc w:val="center"/>
        <w:rPr>
          <w:color w:val="000000"/>
          <w:sz w:val="24"/>
          <w:szCs w:val="21"/>
          <w:highlight w:val="yellow"/>
        </w:rPr>
      </w:pPr>
    </w:p>
    <w:p>
      <w:pPr>
        <w:jc w:val="center"/>
        <w:rPr>
          <w:rFonts w:eastAsia="楷体"/>
          <w:b/>
          <w:bCs/>
          <w:color w:val="000000"/>
          <w:sz w:val="52"/>
          <w:szCs w:val="22"/>
        </w:rPr>
      </w:pPr>
      <w:r>
        <w:rPr>
          <w:rFonts w:hint="eastAsia" w:eastAsia="楷体"/>
          <w:b/>
          <w:bCs/>
          <w:color w:val="000000"/>
          <w:sz w:val="52"/>
          <w:szCs w:val="22"/>
        </w:rPr>
        <w:t>吐鲁番东环110千伏输变电工程环境影响报告表</w:t>
      </w:r>
    </w:p>
    <w:p>
      <w:pPr>
        <w:adjustRightInd w:val="0"/>
        <w:snapToGrid w:val="0"/>
        <w:jc w:val="center"/>
        <w:rPr>
          <w:color w:val="000000"/>
          <w:sz w:val="24"/>
          <w:szCs w:val="21"/>
        </w:rPr>
      </w:pPr>
    </w:p>
    <w:p>
      <w:pPr>
        <w:adjustRightInd w:val="0"/>
        <w:snapToGrid w:val="0"/>
        <w:jc w:val="center"/>
        <w:outlineLvl w:val="0"/>
        <w:rPr>
          <w:rFonts w:eastAsia="仿宋_GB2312"/>
          <w:b/>
          <w:color w:val="000000"/>
          <w:sz w:val="72"/>
          <w:szCs w:val="22"/>
        </w:rPr>
      </w:pPr>
      <w:bookmarkStart w:id="805" w:name="_Toc29332"/>
      <w:bookmarkStart w:id="806" w:name="_Toc18750"/>
      <w:r>
        <w:rPr>
          <w:rFonts w:hint="eastAsia" w:eastAsia="仿宋_GB2312"/>
          <w:b/>
          <w:color w:val="000000"/>
          <w:sz w:val="72"/>
          <w:szCs w:val="22"/>
        </w:rPr>
        <w:t>电磁环境影响专题评价</w:t>
      </w:r>
      <w:bookmarkEnd w:id="805"/>
      <w:bookmarkEnd w:id="806"/>
    </w:p>
    <w:p>
      <w:pPr>
        <w:adjustRightInd w:val="0"/>
        <w:snapToGrid w:val="0"/>
        <w:jc w:val="center"/>
        <w:rPr>
          <w:color w:val="000000"/>
          <w:sz w:val="24"/>
          <w:szCs w:val="21"/>
        </w:rPr>
      </w:pPr>
    </w:p>
    <w:p>
      <w:pPr>
        <w:adjustRightInd w:val="0"/>
        <w:snapToGrid w:val="0"/>
        <w:jc w:val="center"/>
        <w:rPr>
          <w:color w:val="000000"/>
          <w:sz w:val="24"/>
          <w:szCs w:val="21"/>
        </w:rPr>
      </w:pPr>
    </w:p>
    <w:p>
      <w:pPr>
        <w:adjustRightInd w:val="0"/>
        <w:snapToGrid w:val="0"/>
        <w:jc w:val="center"/>
        <w:rPr>
          <w:color w:val="000000"/>
          <w:sz w:val="24"/>
          <w:szCs w:val="21"/>
        </w:rPr>
      </w:pPr>
    </w:p>
    <w:p>
      <w:pPr>
        <w:adjustRightInd w:val="0"/>
        <w:snapToGrid w:val="0"/>
        <w:jc w:val="center"/>
        <w:rPr>
          <w:color w:val="000000"/>
          <w:sz w:val="24"/>
          <w:szCs w:val="21"/>
        </w:rPr>
      </w:pPr>
    </w:p>
    <w:p>
      <w:pPr>
        <w:adjustRightInd w:val="0"/>
        <w:snapToGrid w:val="0"/>
        <w:jc w:val="center"/>
        <w:rPr>
          <w:color w:val="000000"/>
          <w:sz w:val="24"/>
          <w:szCs w:val="21"/>
        </w:rPr>
      </w:pPr>
    </w:p>
    <w:p>
      <w:pPr>
        <w:adjustRightInd w:val="0"/>
        <w:snapToGrid w:val="0"/>
        <w:jc w:val="center"/>
        <w:rPr>
          <w:color w:val="000000"/>
          <w:sz w:val="24"/>
          <w:szCs w:val="21"/>
        </w:rPr>
      </w:pPr>
    </w:p>
    <w:p>
      <w:pPr>
        <w:adjustRightInd w:val="0"/>
        <w:snapToGrid w:val="0"/>
        <w:jc w:val="center"/>
        <w:rPr>
          <w:color w:val="000000"/>
          <w:sz w:val="24"/>
          <w:szCs w:val="21"/>
        </w:rPr>
      </w:pPr>
    </w:p>
    <w:p>
      <w:pPr>
        <w:adjustRightInd w:val="0"/>
        <w:snapToGrid w:val="0"/>
        <w:jc w:val="center"/>
        <w:rPr>
          <w:color w:val="000000"/>
          <w:sz w:val="24"/>
          <w:szCs w:val="21"/>
        </w:rPr>
      </w:pPr>
    </w:p>
    <w:p>
      <w:pPr>
        <w:adjustRightInd w:val="0"/>
        <w:snapToGrid w:val="0"/>
        <w:jc w:val="center"/>
        <w:rPr>
          <w:color w:val="000000"/>
          <w:sz w:val="24"/>
          <w:szCs w:val="21"/>
        </w:rPr>
      </w:pPr>
    </w:p>
    <w:p>
      <w:pPr>
        <w:adjustRightInd w:val="0"/>
        <w:snapToGrid w:val="0"/>
        <w:jc w:val="center"/>
        <w:rPr>
          <w:color w:val="000000"/>
          <w:sz w:val="24"/>
          <w:szCs w:val="21"/>
        </w:rPr>
      </w:pPr>
    </w:p>
    <w:p>
      <w:pPr>
        <w:adjustRightInd w:val="0"/>
        <w:snapToGrid w:val="0"/>
        <w:jc w:val="center"/>
        <w:rPr>
          <w:color w:val="000000"/>
          <w:sz w:val="24"/>
          <w:szCs w:val="21"/>
        </w:rPr>
      </w:pPr>
    </w:p>
    <w:p>
      <w:pPr>
        <w:adjustRightInd w:val="0"/>
        <w:snapToGrid w:val="0"/>
        <w:jc w:val="center"/>
        <w:rPr>
          <w:color w:val="000000"/>
          <w:sz w:val="24"/>
          <w:szCs w:val="21"/>
        </w:rPr>
      </w:pPr>
    </w:p>
    <w:p>
      <w:pPr>
        <w:adjustRightInd w:val="0"/>
        <w:snapToGrid w:val="0"/>
        <w:jc w:val="center"/>
        <w:rPr>
          <w:color w:val="000000"/>
          <w:sz w:val="24"/>
          <w:szCs w:val="21"/>
        </w:rPr>
      </w:pPr>
    </w:p>
    <w:p>
      <w:pPr>
        <w:adjustRightInd w:val="0"/>
        <w:snapToGrid w:val="0"/>
        <w:jc w:val="center"/>
        <w:rPr>
          <w:color w:val="000000"/>
          <w:sz w:val="24"/>
          <w:szCs w:val="21"/>
        </w:rPr>
      </w:pPr>
    </w:p>
    <w:p>
      <w:pPr>
        <w:adjustRightInd w:val="0"/>
        <w:snapToGrid w:val="0"/>
        <w:jc w:val="center"/>
        <w:rPr>
          <w:color w:val="000000"/>
          <w:sz w:val="24"/>
          <w:szCs w:val="21"/>
        </w:rPr>
      </w:pPr>
    </w:p>
    <w:p>
      <w:pPr>
        <w:adjustRightInd w:val="0"/>
        <w:snapToGrid w:val="0"/>
        <w:jc w:val="center"/>
        <w:rPr>
          <w:color w:val="000000"/>
          <w:sz w:val="24"/>
          <w:szCs w:val="21"/>
        </w:rPr>
      </w:pPr>
    </w:p>
    <w:p>
      <w:pPr>
        <w:adjustRightInd w:val="0"/>
        <w:snapToGrid w:val="0"/>
        <w:jc w:val="center"/>
        <w:rPr>
          <w:color w:val="000000"/>
          <w:sz w:val="24"/>
          <w:szCs w:val="21"/>
        </w:rPr>
      </w:pPr>
    </w:p>
    <w:p>
      <w:pPr>
        <w:adjustRightInd w:val="0"/>
        <w:snapToGrid w:val="0"/>
        <w:jc w:val="center"/>
        <w:rPr>
          <w:color w:val="000000"/>
          <w:sz w:val="24"/>
          <w:szCs w:val="21"/>
        </w:rPr>
      </w:pPr>
    </w:p>
    <w:p>
      <w:pPr>
        <w:adjustRightInd w:val="0"/>
        <w:snapToGrid w:val="0"/>
        <w:jc w:val="center"/>
        <w:rPr>
          <w:color w:val="000000"/>
          <w:sz w:val="24"/>
          <w:szCs w:val="21"/>
        </w:rPr>
      </w:pPr>
    </w:p>
    <w:p>
      <w:pPr>
        <w:adjustRightInd w:val="0"/>
        <w:snapToGrid w:val="0"/>
        <w:jc w:val="center"/>
        <w:rPr>
          <w:color w:val="000000"/>
          <w:sz w:val="24"/>
          <w:szCs w:val="21"/>
        </w:rPr>
      </w:pPr>
    </w:p>
    <w:p>
      <w:pPr>
        <w:adjustRightInd w:val="0"/>
        <w:snapToGrid w:val="0"/>
        <w:jc w:val="center"/>
        <w:rPr>
          <w:color w:val="000000"/>
          <w:sz w:val="24"/>
          <w:szCs w:val="21"/>
        </w:rPr>
      </w:pPr>
    </w:p>
    <w:p>
      <w:pPr>
        <w:adjustRightInd w:val="0"/>
        <w:snapToGrid w:val="0"/>
        <w:jc w:val="center"/>
        <w:rPr>
          <w:color w:val="000000"/>
          <w:sz w:val="24"/>
          <w:szCs w:val="21"/>
        </w:rPr>
      </w:pPr>
    </w:p>
    <w:p>
      <w:pPr>
        <w:adjustRightInd w:val="0"/>
        <w:snapToGrid w:val="0"/>
        <w:jc w:val="center"/>
        <w:rPr>
          <w:color w:val="000000"/>
          <w:sz w:val="24"/>
          <w:szCs w:val="21"/>
        </w:rPr>
      </w:pPr>
    </w:p>
    <w:p>
      <w:pPr>
        <w:adjustRightInd w:val="0"/>
        <w:snapToGrid w:val="0"/>
        <w:jc w:val="center"/>
        <w:rPr>
          <w:color w:val="000000"/>
          <w:sz w:val="24"/>
          <w:szCs w:val="21"/>
        </w:rPr>
      </w:pPr>
    </w:p>
    <w:p>
      <w:pPr>
        <w:adjustRightInd w:val="0"/>
        <w:snapToGrid w:val="0"/>
        <w:jc w:val="center"/>
        <w:rPr>
          <w:color w:val="000000"/>
          <w:sz w:val="24"/>
          <w:szCs w:val="21"/>
        </w:rPr>
      </w:pPr>
    </w:p>
    <w:p>
      <w:pPr>
        <w:adjustRightInd w:val="0"/>
        <w:snapToGrid w:val="0"/>
        <w:jc w:val="center"/>
        <w:rPr>
          <w:color w:val="000000"/>
          <w:sz w:val="24"/>
          <w:szCs w:val="21"/>
        </w:rPr>
      </w:pPr>
    </w:p>
    <w:p>
      <w:pPr>
        <w:jc w:val="center"/>
        <w:rPr>
          <w:rFonts w:eastAsia="仿宋_GB2312"/>
          <w:color w:val="000000"/>
          <w:sz w:val="32"/>
          <w:szCs w:val="22"/>
        </w:rPr>
      </w:pPr>
      <w:r>
        <w:rPr>
          <w:rFonts w:hint="eastAsia" w:eastAsia="仿宋_GB2312"/>
          <w:color w:val="000000"/>
          <w:sz w:val="32"/>
          <w:szCs w:val="22"/>
        </w:rPr>
        <w:t>编制单位：中国电力工程顾问集团中南电力设计院有限公司</w:t>
      </w:r>
    </w:p>
    <w:p>
      <w:pPr>
        <w:jc w:val="center"/>
        <w:rPr>
          <w:rFonts w:eastAsia="仿宋_GB2312"/>
          <w:color w:val="000000"/>
          <w:sz w:val="32"/>
          <w:szCs w:val="22"/>
        </w:rPr>
      </w:pPr>
      <w:r>
        <w:rPr>
          <w:rFonts w:hint="eastAsia" w:eastAsia="仿宋_GB2312"/>
          <w:color w:val="000000"/>
          <w:sz w:val="32"/>
          <w:szCs w:val="22"/>
        </w:rPr>
        <w:t>编制日期：二〇二五年十二月</w:t>
      </w:r>
    </w:p>
    <w:p>
      <w:pPr>
        <w:jc w:val="center"/>
        <w:rPr>
          <w:rFonts w:eastAsia="仿宋_GB2312"/>
          <w:color w:val="000000"/>
          <w:sz w:val="32"/>
          <w:szCs w:val="22"/>
          <w:highlight w:val="yellow"/>
        </w:rPr>
      </w:pPr>
    </w:p>
    <w:p>
      <w:pPr>
        <w:rPr>
          <w:color w:val="000000"/>
          <w:highlight w:val="yellow"/>
        </w:rPr>
        <w:sectPr>
          <w:headerReference r:id="rId9" w:type="first"/>
          <w:footerReference r:id="rId12" w:type="first"/>
          <w:headerReference r:id="rId7" w:type="default"/>
          <w:footerReference r:id="rId10" w:type="default"/>
          <w:headerReference r:id="rId8" w:type="even"/>
          <w:footerReference r:id="rId11" w:type="even"/>
          <w:pgSz w:w="11906" w:h="16838"/>
          <w:pgMar w:top="1440" w:right="1247" w:bottom="1440" w:left="1247" w:header="851" w:footer="992" w:gutter="0"/>
          <w:pgNumType w:start="1"/>
          <w:cols w:space="720" w:num="1"/>
          <w:docGrid w:type="lines" w:linePitch="312" w:charSpace="0"/>
        </w:sectPr>
      </w:pPr>
    </w:p>
    <w:p>
      <w:pPr>
        <w:tabs>
          <w:tab w:val="left" w:pos="560"/>
          <w:tab w:val="right" w:leader="dot" w:pos="9402"/>
        </w:tabs>
        <w:spacing w:line="360" w:lineRule="auto"/>
        <w:ind w:firstLine="480"/>
        <w:jc w:val="left"/>
        <w:rPr>
          <w:rFonts w:eastAsia="黑体"/>
          <w:b/>
          <w:bCs/>
          <w:caps/>
          <w:color w:val="000000"/>
          <w:szCs w:val="20"/>
          <w:highlight w:val="yellow"/>
        </w:rPr>
      </w:pPr>
    </w:p>
    <w:p>
      <w:pPr>
        <w:numPr>
          <w:ilvl w:val="0"/>
          <w:numId w:val="28"/>
        </w:numPr>
        <w:topLinePunct/>
        <w:spacing w:line="360" w:lineRule="auto"/>
        <w:outlineLvl w:val="0"/>
        <w:rPr>
          <w:rFonts w:cs="ˎ̥"/>
          <w:b/>
          <w:bCs/>
          <w:color w:val="000000"/>
          <w:kern w:val="44"/>
          <w:sz w:val="30"/>
          <w:szCs w:val="44"/>
        </w:rPr>
      </w:pPr>
      <w:bookmarkStart w:id="807" w:name="_Toc25323"/>
      <w:r>
        <w:rPr>
          <w:rFonts w:hint="eastAsia" w:cs="ˎ̥"/>
          <w:b/>
          <w:bCs/>
          <w:color w:val="000000"/>
          <w:kern w:val="44"/>
          <w:sz w:val="30"/>
          <w:szCs w:val="44"/>
        </w:rPr>
        <w:t>总则</w:t>
      </w:r>
      <w:bookmarkEnd w:id="807"/>
    </w:p>
    <w:p>
      <w:pPr>
        <w:keepNext/>
        <w:keepLines/>
        <w:numPr>
          <w:ilvl w:val="1"/>
          <w:numId w:val="28"/>
        </w:numPr>
        <w:adjustRightInd w:val="0"/>
        <w:spacing w:line="360" w:lineRule="auto"/>
        <w:outlineLvl w:val="1"/>
        <w:rPr>
          <w:b/>
          <w:bCs/>
          <w:color w:val="000000"/>
          <w:sz w:val="28"/>
          <w:szCs w:val="32"/>
        </w:rPr>
      </w:pPr>
      <w:bookmarkStart w:id="808" w:name="_Toc10717"/>
      <w:bookmarkStart w:id="809" w:name="_Toc24647685"/>
      <w:r>
        <w:rPr>
          <w:rFonts w:hint="eastAsia"/>
          <w:b/>
          <w:bCs/>
          <w:color w:val="000000"/>
          <w:sz w:val="28"/>
          <w:szCs w:val="32"/>
        </w:rPr>
        <w:t>工程概况</w:t>
      </w:r>
      <w:bookmarkEnd w:id="808"/>
    </w:p>
    <w:p>
      <w:pPr>
        <w:spacing w:line="360" w:lineRule="auto"/>
        <w:ind w:firstLine="480" w:firstLineChars="200"/>
        <w:rPr>
          <w:color w:val="000000"/>
          <w:sz w:val="24"/>
        </w:rPr>
      </w:pPr>
      <w:r>
        <w:rPr>
          <w:rFonts w:hint="eastAsia"/>
          <w:color w:val="000000"/>
          <w:sz w:val="24"/>
        </w:rPr>
        <w:t>本工程项目组成包括：</w:t>
      </w:r>
    </w:p>
    <w:p>
      <w:pPr>
        <w:spacing w:line="360" w:lineRule="auto"/>
        <w:ind w:firstLine="480" w:firstLineChars="200"/>
        <w:rPr>
          <w:color w:val="000000"/>
          <w:sz w:val="24"/>
        </w:rPr>
      </w:pPr>
      <w:r>
        <w:rPr>
          <w:rFonts w:hint="eastAsia"/>
          <w:color w:val="000000"/>
          <w:sz w:val="24"/>
        </w:rPr>
        <w:t>（1）东环110千伏变电站新建工程：新建一座110kV户外变电站，本期新建主变2×50MVA，110kV出线2回（1回至交河220kV变电站，1回至番南220kV变电站），每台主变10kV侧配置2×5Mvar电容器。</w:t>
      </w:r>
    </w:p>
    <w:p>
      <w:pPr>
        <w:spacing w:line="360" w:lineRule="auto"/>
        <w:ind w:firstLine="480" w:firstLineChars="200"/>
        <w:rPr>
          <w:color w:val="000000"/>
          <w:sz w:val="24"/>
        </w:rPr>
      </w:pPr>
      <w:r>
        <w:rPr>
          <w:rFonts w:hint="eastAsia"/>
          <w:color w:val="000000"/>
          <w:sz w:val="24"/>
        </w:rPr>
        <w:t>（2）番南变110千伏保护新增工程：本工程拟利用番南220kV变电站站内2个已建的110kV备用间隔，站内仅涉及增加相应的线路保护装置。</w:t>
      </w:r>
    </w:p>
    <w:p>
      <w:pPr>
        <w:spacing w:line="360" w:lineRule="auto"/>
        <w:ind w:firstLine="480" w:firstLineChars="200"/>
        <w:rPr>
          <w:color w:val="000000"/>
          <w:sz w:val="24"/>
        </w:rPr>
      </w:pPr>
      <w:r>
        <w:rPr>
          <w:rFonts w:hint="eastAsia"/>
          <w:color w:val="000000"/>
          <w:sz w:val="24"/>
        </w:rPr>
        <w:t>（3）七泉湖变、交河变110千伏保护改造工程：本期七泉湖变、交河变分别更换1套光纤电流差动保护装置，七泉湖变侧保护装置应与沙河子变配合使用，交河变侧保护装置应与东环变配合使用。</w:t>
      </w:r>
    </w:p>
    <w:p>
      <w:pPr>
        <w:spacing w:line="360" w:lineRule="auto"/>
        <w:ind w:firstLine="480" w:firstLineChars="200"/>
        <w:rPr>
          <w:color w:val="000000"/>
          <w:sz w:val="24"/>
        </w:rPr>
      </w:pPr>
      <w:r>
        <w:rPr>
          <w:rFonts w:hint="eastAsia"/>
          <w:color w:val="000000"/>
          <w:sz w:val="24"/>
        </w:rPr>
        <w:t>（4）七泉湖~红旗π入番南变110千伏线路工程：新建七旗I线π入番南变110kV架空线路，新建线路路径全长约2×7.8km，除在番南220kV变电站出线端采用同塔双回架设外，其余线路均采用单回路架设。另拆除110kV七旗Ⅰ线135#杆塔。</w:t>
      </w:r>
    </w:p>
    <w:p>
      <w:pPr>
        <w:spacing w:line="360" w:lineRule="auto"/>
        <w:ind w:firstLine="480" w:firstLineChars="200"/>
        <w:rPr>
          <w:color w:val="000000"/>
          <w:sz w:val="24"/>
        </w:rPr>
      </w:pPr>
      <w:r>
        <w:rPr>
          <w:rFonts w:hint="eastAsia"/>
          <w:color w:val="000000"/>
          <w:sz w:val="24"/>
        </w:rPr>
        <w:t>（5）七泉湖~番南改接入沙河子变110千伏线路工程：新建七泉湖~番南(七泉湖变侧)改接入沙河子变110kV架空线路，路径全长约1km，单回路架设。另拆除110kV七旗Ⅰ线75#杆塔、110kV交沙Ⅱ线67#杆塔，拆除导线0.225km。</w:t>
      </w:r>
    </w:p>
    <w:p>
      <w:pPr>
        <w:spacing w:line="360" w:lineRule="auto"/>
        <w:ind w:firstLine="480" w:firstLineChars="200"/>
        <w:rPr>
          <w:color w:val="000000"/>
          <w:sz w:val="24"/>
        </w:rPr>
      </w:pPr>
      <w:r>
        <w:rPr>
          <w:rFonts w:hint="eastAsia"/>
          <w:color w:val="000000"/>
          <w:sz w:val="24"/>
        </w:rPr>
        <w:t>（6）七泉湖~番南改接入交河变110千伏线路工程：新建七泉湖~番南(番南变侧)改接入交河变110kV架空线路，路径全长约1km，单回路架设。另拆除110kV七旗Ⅰ线76#杆塔、110kV交沙Ⅱ线66#杆塔，拆除导线0.225km。</w:t>
      </w:r>
    </w:p>
    <w:p>
      <w:pPr>
        <w:spacing w:line="360" w:lineRule="auto"/>
        <w:ind w:firstLine="480" w:firstLineChars="200"/>
        <w:rPr>
          <w:color w:val="000000"/>
          <w:sz w:val="24"/>
        </w:rPr>
      </w:pPr>
      <w:r>
        <w:rPr>
          <w:rFonts w:hint="eastAsia"/>
          <w:color w:val="000000"/>
          <w:sz w:val="24"/>
        </w:rPr>
        <w:t>（7）交河~番南π入东环变110千伏线路工程：新建交河~番南π入东环变110kV架空线路，新建线路路径全长约2×4.8km，除在东环110kV变电站出线端采用同塔双回架设（本期单边挂线），其余线路均采用单回路架设。另拆除110kV七旗Ⅰ线89#、90#、91#杆塔，拆除导线1.11km。</w:t>
      </w:r>
    </w:p>
    <w:p>
      <w:pPr>
        <w:spacing w:line="360" w:lineRule="auto"/>
        <w:ind w:firstLine="480" w:firstLineChars="200"/>
        <w:rPr>
          <w:sz w:val="24"/>
          <w:szCs w:val="20"/>
        </w:rPr>
      </w:pPr>
      <w:r>
        <w:rPr>
          <w:rFonts w:hint="eastAsia"/>
          <w:color w:val="000000"/>
          <w:sz w:val="24"/>
        </w:rPr>
        <w:t>“番南变110千伏保护新增工程”“七泉湖变、交河变110千伏保护改造工程”不新增站内间隔和电气设备，不新增含油设备和主变等主要声源设备，无土建施工，对站外电磁环境、声环境和生态环境基本不造成增量影响，本《报告表》仅做简要分析。本《报告表》重点关注和评价“东环110千伏变电站新建工程”“七泉湖~红旗π入番南变110千伏线路工程”“七泉湖~番南改接入沙河子变110千伏线路工程”“七泉湖~番南改接入交河变110千伏线路工程”“交河~番南π入东环变110千伏线路工程”。</w:t>
      </w:r>
    </w:p>
    <w:p>
      <w:pPr>
        <w:keepNext/>
        <w:keepLines/>
        <w:numPr>
          <w:ilvl w:val="1"/>
          <w:numId w:val="28"/>
        </w:numPr>
        <w:adjustRightInd w:val="0"/>
        <w:spacing w:line="360" w:lineRule="auto"/>
        <w:outlineLvl w:val="1"/>
        <w:rPr>
          <w:b/>
          <w:bCs/>
          <w:color w:val="000000"/>
          <w:sz w:val="28"/>
          <w:szCs w:val="32"/>
        </w:rPr>
      </w:pPr>
      <w:bookmarkStart w:id="810" w:name="_Toc10516"/>
      <w:r>
        <w:rPr>
          <w:rFonts w:hint="eastAsia"/>
          <w:b/>
          <w:bCs/>
          <w:color w:val="000000"/>
          <w:sz w:val="28"/>
          <w:szCs w:val="32"/>
        </w:rPr>
        <w:t>评价因子</w:t>
      </w:r>
      <w:bookmarkEnd w:id="809"/>
      <w:bookmarkEnd w:id="810"/>
    </w:p>
    <w:p>
      <w:pPr>
        <w:spacing w:line="360" w:lineRule="auto"/>
        <w:ind w:firstLine="480" w:firstLineChars="200"/>
        <w:rPr>
          <w:color w:val="000000"/>
          <w:sz w:val="24"/>
          <w:szCs w:val="20"/>
        </w:rPr>
      </w:pPr>
      <w:r>
        <w:rPr>
          <w:rFonts w:hint="eastAsia"/>
          <w:color w:val="000000"/>
          <w:sz w:val="24"/>
          <w:szCs w:val="20"/>
        </w:rPr>
        <w:t>根据《环境影响评价技术导则</w:t>
      </w:r>
      <w:r>
        <w:rPr>
          <w:color w:val="000000"/>
          <w:sz w:val="24"/>
          <w:szCs w:val="20"/>
        </w:rPr>
        <w:t xml:space="preserve">  </w:t>
      </w:r>
      <w:r>
        <w:rPr>
          <w:rFonts w:hint="eastAsia"/>
          <w:color w:val="000000"/>
          <w:sz w:val="24"/>
          <w:szCs w:val="20"/>
        </w:rPr>
        <w:t>输变电》（</w:t>
      </w:r>
      <w:r>
        <w:rPr>
          <w:color w:val="000000"/>
          <w:sz w:val="24"/>
          <w:szCs w:val="20"/>
        </w:rPr>
        <w:t>HJ24-2020</w:t>
      </w:r>
      <w:r>
        <w:rPr>
          <w:rFonts w:hint="eastAsia"/>
          <w:color w:val="000000"/>
          <w:sz w:val="24"/>
          <w:szCs w:val="20"/>
        </w:rPr>
        <w:t>），电磁环境影响评价因子为工频电场、工频磁场。</w:t>
      </w:r>
    </w:p>
    <w:p>
      <w:pPr>
        <w:keepNext/>
        <w:keepLines/>
        <w:numPr>
          <w:ilvl w:val="1"/>
          <w:numId w:val="28"/>
        </w:numPr>
        <w:adjustRightInd w:val="0"/>
        <w:spacing w:line="360" w:lineRule="auto"/>
        <w:outlineLvl w:val="1"/>
        <w:rPr>
          <w:b/>
          <w:bCs/>
          <w:color w:val="000000"/>
          <w:sz w:val="28"/>
          <w:szCs w:val="32"/>
        </w:rPr>
      </w:pPr>
      <w:bookmarkStart w:id="811" w:name="_Toc7032"/>
      <w:bookmarkStart w:id="812" w:name="_Toc24647686"/>
      <w:bookmarkStart w:id="813" w:name="_Toc413055175"/>
      <w:r>
        <w:rPr>
          <w:rFonts w:hint="eastAsia"/>
          <w:b/>
          <w:bCs/>
          <w:color w:val="000000"/>
          <w:sz w:val="28"/>
          <w:szCs w:val="32"/>
        </w:rPr>
        <w:t>评价等级</w:t>
      </w:r>
      <w:bookmarkEnd w:id="811"/>
      <w:bookmarkEnd w:id="812"/>
      <w:bookmarkEnd w:id="813"/>
    </w:p>
    <w:p>
      <w:pPr>
        <w:spacing w:line="360" w:lineRule="auto"/>
        <w:ind w:firstLine="480" w:firstLineChars="200"/>
        <w:rPr>
          <w:color w:val="000000"/>
          <w:sz w:val="24"/>
          <w:szCs w:val="20"/>
        </w:rPr>
      </w:pPr>
      <w:r>
        <w:rPr>
          <w:rFonts w:hint="eastAsia"/>
          <w:color w:val="000000"/>
          <w:sz w:val="24"/>
          <w:szCs w:val="20"/>
        </w:rPr>
        <w:t>根据《环境影响评价技术导则</w:t>
      </w:r>
      <w:r>
        <w:rPr>
          <w:color w:val="000000"/>
          <w:sz w:val="24"/>
          <w:szCs w:val="20"/>
        </w:rPr>
        <w:t xml:space="preserve">  </w:t>
      </w:r>
      <w:r>
        <w:rPr>
          <w:rFonts w:hint="eastAsia"/>
          <w:color w:val="000000"/>
          <w:sz w:val="24"/>
          <w:szCs w:val="20"/>
        </w:rPr>
        <w:t>输变电》（</w:t>
      </w:r>
      <w:r>
        <w:rPr>
          <w:color w:val="000000"/>
          <w:sz w:val="24"/>
          <w:szCs w:val="20"/>
        </w:rPr>
        <w:t>HJ24-2020</w:t>
      </w:r>
      <w:r>
        <w:rPr>
          <w:rFonts w:hint="eastAsia"/>
          <w:color w:val="000000"/>
          <w:sz w:val="24"/>
          <w:szCs w:val="20"/>
        </w:rPr>
        <w:t>）确定本工程的电磁环境影响评价工作等级：</w:t>
      </w:r>
    </w:p>
    <w:p>
      <w:pPr>
        <w:tabs>
          <w:tab w:val="left" w:pos="461"/>
        </w:tabs>
        <w:spacing w:line="360" w:lineRule="auto"/>
        <w:ind w:firstLine="480" w:firstLineChars="200"/>
        <w:rPr>
          <w:color w:val="000000"/>
          <w:sz w:val="24"/>
          <w:szCs w:val="20"/>
        </w:rPr>
      </w:pPr>
      <w:r>
        <w:rPr>
          <w:rFonts w:hint="eastAsia"/>
          <w:color w:val="000000"/>
          <w:sz w:val="24"/>
          <w:szCs w:val="20"/>
        </w:rPr>
        <w:t>变电站：东环110kV变电站为户外变电站，电磁环境影响评价工作等级为二级。</w:t>
      </w:r>
    </w:p>
    <w:p>
      <w:pPr>
        <w:spacing w:line="360" w:lineRule="auto"/>
        <w:ind w:firstLine="480" w:firstLineChars="200"/>
        <w:rPr>
          <w:color w:val="000000"/>
          <w:sz w:val="24"/>
          <w:szCs w:val="20"/>
        </w:rPr>
      </w:pPr>
      <w:r>
        <w:rPr>
          <w:rFonts w:hint="eastAsia"/>
          <w:color w:val="000000"/>
          <w:sz w:val="24"/>
          <w:szCs w:val="20"/>
        </w:rPr>
        <w:t>输电线路：架空线路边导线地面投影外两侧各10</w:t>
      </w:r>
      <w:r>
        <w:rPr>
          <w:color w:val="000000"/>
          <w:sz w:val="24"/>
          <w:szCs w:val="20"/>
        </w:rPr>
        <w:t>m</w:t>
      </w:r>
      <w:r>
        <w:rPr>
          <w:rFonts w:hint="eastAsia"/>
          <w:color w:val="000000"/>
          <w:sz w:val="24"/>
          <w:szCs w:val="20"/>
        </w:rPr>
        <w:t>范围内有电磁环境敏感目标，架空线路电磁环境影响评价工作等级确定为二级。</w:t>
      </w:r>
    </w:p>
    <w:p>
      <w:pPr>
        <w:spacing w:line="360" w:lineRule="auto"/>
        <w:ind w:firstLine="480" w:firstLineChars="200"/>
        <w:rPr>
          <w:color w:val="000000"/>
          <w:sz w:val="24"/>
          <w:szCs w:val="20"/>
        </w:rPr>
      </w:pPr>
      <w:r>
        <w:rPr>
          <w:rFonts w:hint="eastAsia"/>
          <w:color w:val="000000"/>
          <w:sz w:val="24"/>
          <w:szCs w:val="20"/>
        </w:rPr>
        <w:t>因此本工程电磁环境影响评价工作等级确定为二级。</w:t>
      </w:r>
    </w:p>
    <w:p>
      <w:pPr>
        <w:keepNext/>
        <w:keepLines/>
        <w:numPr>
          <w:ilvl w:val="1"/>
          <w:numId w:val="28"/>
        </w:numPr>
        <w:adjustRightInd w:val="0"/>
        <w:spacing w:line="360" w:lineRule="auto"/>
        <w:outlineLvl w:val="1"/>
        <w:rPr>
          <w:b/>
          <w:bCs/>
          <w:color w:val="000000"/>
          <w:sz w:val="28"/>
          <w:szCs w:val="32"/>
        </w:rPr>
      </w:pPr>
      <w:bookmarkStart w:id="814" w:name="_Toc24647687"/>
      <w:bookmarkStart w:id="815" w:name="_Toc28580"/>
      <w:r>
        <w:rPr>
          <w:rFonts w:hint="eastAsia"/>
          <w:b/>
          <w:bCs/>
          <w:color w:val="000000"/>
          <w:sz w:val="28"/>
          <w:szCs w:val="32"/>
        </w:rPr>
        <w:t>评价范围</w:t>
      </w:r>
      <w:bookmarkEnd w:id="814"/>
      <w:bookmarkEnd w:id="815"/>
    </w:p>
    <w:p>
      <w:pPr>
        <w:spacing w:line="360" w:lineRule="auto"/>
        <w:ind w:firstLine="480" w:firstLineChars="200"/>
        <w:rPr>
          <w:color w:val="000000"/>
          <w:sz w:val="24"/>
          <w:szCs w:val="20"/>
        </w:rPr>
      </w:pPr>
      <w:r>
        <w:rPr>
          <w:rFonts w:hint="eastAsia"/>
          <w:color w:val="000000"/>
          <w:sz w:val="24"/>
          <w:szCs w:val="20"/>
        </w:rPr>
        <w:t>根据《环境影响评价技术导则</w:t>
      </w:r>
      <w:r>
        <w:rPr>
          <w:color w:val="000000"/>
          <w:sz w:val="24"/>
          <w:szCs w:val="20"/>
        </w:rPr>
        <w:t xml:space="preserve"> </w:t>
      </w:r>
      <w:r>
        <w:rPr>
          <w:rFonts w:hint="eastAsia"/>
          <w:color w:val="000000"/>
          <w:sz w:val="24"/>
          <w:szCs w:val="20"/>
        </w:rPr>
        <w:t>输变电》（</w:t>
      </w:r>
      <w:r>
        <w:rPr>
          <w:color w:val="000000"/>
          <w:sz w:val="24"/>
          <w:szCs w:val="20"/>
        </w:rPr>
        <w:t>HJ24-2020</w:t>
      </w:r>
      <w:r>
        <w:rPr>
          <w:rFonts w:hint="eastAsia"/>
          <w:color w:val="000000"/>
          <w:sz w:val="24"/>
          <w:szCs w:val="20"/>
        </w:rPr>
        <w:t>），本工程电磁环境影响评价范围如下：</w:t>
      </w:r>
    </w:p>
    <w:p>
      <w:pPr>
        <w:spacing w:line="360" w:lineRule="auto"/>
        <w:ind w:firstLine="480" w:firstLineChars="200"/>
        <w:rPr>
          <w:color w:val="000000"/>
          <w:sz w:val="24"/>
          <w:szCs w:val="20"/>
        </w:rPr>
      </w:pPr>
      <w:r>
        <w:rPr>
          <w:rFonts w:hint="eastAsia"/>
          <w:color w:val="000000"/>
          <w:sz w:val="24"/>
          <w:szCs w:val="20"/>
        </w:rPr>
        <w:t>（</w:t>
      </w:r>
      <w:r>
        <w:rPr>
          <w:color w:val="000000"/>
          <w:sz w:val="24"/>
          <w:szCs w:val="20"/>
        </w:rPr>
        <w:t>1</w:t>
      </w:r>
      <w:r>
        <w:rPr>
          <w:rFonts w:hint="eastAsia"/>
          <w:color w:val="000000"/>
          <w:sz w:val="24"/>
          <w:szCs w:val="20"/>
        </w:rPr>
        <w:t>）变电站：东环110kV变电站厂界外3</w:t>
      </w:r>
      <w:r>
        <w:rPr>
          <w:color w:val="000000"/>
          <w:sz w:val="24"/>
          <w:szCs w:val="20"/>
        </w:rPr>
        <w:t>0m</w:t>
      </w:r>
      <w:r>
        <w:rPr>
          <w:rFonts w:hint="eastAsia"/>
          <w:color w:val="000000"/>
          <w:sz w:val="24"/>
          <w:szCs w:val="20"/>
        </w:rPr>
        <w:t>范围内。</w:t>
      </w:r>
    </w:p>
    <w:p>
      <w:pPr>
        <w:spacing w:line="360" w:lineRule="auto"/>
        <w:ind w:firstLine="480" w:firstLineChars="200"/>
        <w:rPr>
          <w:color w:val="000000"/>
          <w:sz w:val="24"/>
          <w:szCs w:val="20"/>
        </w:rPr>
      </w:pPr>
      <w:r>
        <w:rPr>
          <w:rFonts w:hint="eastAsia"/>
          <w:color w:val="000000"/>
          <w:sz w:val="24"/>
          <w:szCs w:val="20"/>
        </w:rPr>
        <w:t>（</w:t>
      </w:r>
      <w:r>
        <w:rPr>
          <w:color w:val="000000"/>
          <w:sz w:val="24"/>
          <w:szCs w:val="20"/>
        </w:rPr>
        <w:t>2</w:t>
      </w:r>
      <w:r>
        <w:rPr>
          <w:rFonts w:hint="eastAsia"/>
          <w:color w:val="000000"/>
          <w:sz w:val="24"/>
          <w:szCs w:val="20"/>
        </w:rPr>
        <w:t>）输电线路：110</w:t>
      </w:r>
      <w:r>
        <w:rPr>
          <w:color w:val="000000"/>
          <w:sz w:val="24"/>
          <w:szCs w:val="20"/>
        </w:rPr>
        <w:t>kV</w:t>
      </w:r>
      <w:r>
        <w:rPr>
          <w:rFonts w:hint="eastAsia"/>
          <w:color w:val="000000"/>
          <w:sz w:val="24"/>
          <w:szCs w:val="20"/>
        </w:rPr>
        <w:t>架空线路边导线地面投影外两侧30</w:t>
      </w:r>
      <w:r>
        <w:rPr>
          <w:color w:val="000000"/>
          <w:sz w:val="24"/>
          <w:szCs w:val="20"/>
        </w:rPr>
        <w:t>m</w:t>
      </w:r>
      <w:r>
        <w:rPr>
          <w:rFonts w:hint="eastAsia"/>
          <w:color w:val="000000"/>
          <w:sz w:val="24"/>
          <w:szCs w:val="20"/>
        </w:rPr>
        <w:t>范围内。</w:t>
      </w:r>
    </w:p>
    <w:p>
      <w:pPr>
        <w:keepNext/>
        <w:keepLines/>
        <w:numPr>
          <w:ilvl w:val="1"/>
          <w:numId w:val="28"/>
        </w:numPr>
        <w:adjustRightInd w:val="0"/>
        <w:spacing w:line="360" w:lineRule="auto"/>
        <w:outlineLvl w:val="1"/>
        <w:rPr>
          <w:b/>
          <w:bCs/>
          <w:color w:val="000000"/>
          <w:sz w:val="28"/>
          <w:szCs w:val="32"/>
        </w:rPr>
      </w:pPr>
      <w:bookmarkStart w:id="816" w:name="_Toc413055177"/>
      <w:bookmarkStart w:id="817" w:name="_Toc24647688"/>
      <w:bookmarkStart w:id="818" w:name="_Toc16072"/>
      <w:r>
        <w:rPr>
          <w:rFonts w:hint="eastAsia"/>
          <w:b/>
          <w:bCs/>
          <w:color w:val="000000"/>
          <w:sz w:val="28"/>
          <w:szCs w:val="32"/>
        </w:rPr>
        <w:t>评价标准</w:t>
      </w:r>
      <w:bookmarkEnd w:id="816"/>
      <w:bookmarkEnd w:id="817"/>
      <w:bookmarkEnd w:id="818"/>
    </w:p>
    <w:p>
      <w:pPr>
        <w:spacing w:line="360" w:lineRule="auto"/>
        <w:ind w:firstLine="480" w:firstLineChars="200"/>
        <w:rPr>
          <w:color w:val="000000"/>
          <w:sz w:val="24"/>
          <w:szCs w:val="20"/>
        </w:rPr>
      </w:pPr>
      <w:r>
        <w:rPr>
          <w:rFonts w:hint="eastAsia"/>
          <w:color w:val="000000"/>
          <w:sz w:val="24"/>
          <w:szCs w:val="20"/>
        </w:rPr>
        <w:t>电磁环境影响评价标准依据《电磁环境控制限值》（</w:t>
      </w:r>
      <w:r>
        <w:rPr>
          <w:color w:val="000000"/>
          <w:sz w:val="24"/>
          <w:szCs w:val="20"/>
        </w:rPr>
        <w:t>GB 8702-2014</w:t>
      </w:r>
      <w:r>
        <w:rPr>
          <w:rFonts w:hint="eastAsia"/>
          <w:color w:val="000000"/>
          <w:sz w:val="24"/>
          <w:szCs w:val="20"/>
        </w:rPr>
        <w:t>）中控制限值：即频率</w:t>
      </w:r>
      <w:r>
        <w:rPr>
          <w:color w:val="000000"/>
          <w:sz w:val="24"/>
          <w:szCs w:val="20"/>
        </w:rPr>
        <w:t>50Hz</w:t>
      </w:r>
      <w:r>
        <w:rPr>
          <w:rFonts w:hint="eastAsia"/>
          <w:color w:val="000000"/>
          <w:sz w:val="24"/>
          <w:szCs w:val="20"/>
        </w:rPr>
        <w:t>的电场强度公众曝露控制限值为</w:t>
      </w:r>
      <w:r>
        <w:rPr>
          <w:color w:val="000000"/>
          <w:sz w:val="24"/>
          <w:szCs w:val="20"/>
        </w:rPr>
        <w:t>4000V/m</w:t>
      </w:r>
      <w:r>
        <w:rPr>
          <w:rFonts w:hint="eastAsia"/>
          <w:color w:val="000000"/>
          <w:sz w:val="24"/>
          <w:szCs w:val="20"/>
        </w:rPr>
        <w:t>、磁感应强度为</w:t>
      </w:r>
      <w:r>
        <w:rPr>
          <w:color w:val="000000"/>
          <w:sz w:val="24"/>
          <w:szCs w:val="20"/>
        </w:rPr>
        <w:t>100μT</w:t>
      </w:r>
      <w:r>
        <w:rPr>
          <w:rFonts w:hint="eastAsia"/>
          <w:color w:val="000000"/>
          <w:sz w:val="24"/>
          <w:szCs w:val="20"/>
        </w:rPr>
        <w:t>；架空线路线下耕地、园地、畜禽饲养地、养殖水面、道路等场所，其电场强度控制限值为</w:t>
      </w:r>
      <w:r>
        <w:rPr>
          <w:color w:val="000000"/>
          <w:sz w:val="24"/>
          <w:szCs w:val="20"/>
        </w:rPr>
        <w:t>10kV/m</w:t>
      </w:r>
      <w:r>
        <w:rPr>
          <w:rFonts w:hint="eastAsia"/>
          <w:color w:val="000000"/>
          <w:sz w:val="24"/>
          <w:szCs w:val="20"/>
        </w:rPr>
        <w:t>，且应给出警示和防护指示标志。</w:t>
      </w:r>
    </w:p>
    <w:p>
      <w:pPr>
        <w:keepNext/>
        <w:keepLines/>
        <w:numPr>
          <w:ilvl w:val="1"/>
          <w:numId w:val="28"/>
        </w:numPr>
        <w:adjustRightInd w:val="0"/>
        <w:spacing w:line="360" w:lineRule="auto"/>
        <w:outlineLvl w:val="1"/>
        <w:rPr>
          <w:b/>
          <w:bCs/>
          <w:color w:val="000000"/>
          <w:sz w:val="28"/>
          <w:szCs w:val="32"/>
        </w:rPr>
      </w:pPr>
      <w:bookmarkStart w:id="819" w:name="_Toc17746"/>
      <w:r>
        <w:rPr>
          <w:rFonts w:hint="eastAsia"/>
          <w:b/>
          <w:bCs/>
          <w:color w:val="000000"/>
          <w:sz w:val="28"/>
          <w:szCs w:val="32"/>
        </w:rPr>
        <w:t>电磁环境敏感目标</w:t>
      </w:r>
      <w:bookmarkEnd w:id="819"/>
    </w:p>
    <w:p>
      <w:pPr>
        <w:spacing w:line="360" w:lineRule="auto"/>
        <w:ind w:firstLine="480" w:firstLineChars="200"/>
        <w:rPr>
          <w:color w:val="000000"/>
          <w:sz w:val="24"/>
          <w:szCs w:val="20"/>
        </w:rPr>
      </w:pPr>
      <w:r>
        <w:rPr>
          <w:rFonts w:hint="eastAsia"/>
          <w:color w:val="000000"/>
          <w:sz w:val="24"/>
          <w:szCs w:val="20"/>
        </w:rPr>
        <w:t>按照《环境影响评价技术导则</w:t>
      </w:r>
      <w:r>
        <w:rPr>
          <w:color w:val="000000"/>
          <w:sz w:val="24"/>
          <w:szCs w:val="20"/>
        </w:rPr>
        <w:t xml:space="preserve"> </w:t>
      </w:r>
      <w:r>
        <w:rPr>
          <w:rFonts w:hint="eastAsia"/>
          <w:color w:val="000000"/>
          <w:sz w:val="24"/>
          <w:szCs w:val="20"/>
        </w:rPr>
        <w:t>输变电》（</w:t>
      </w:r>
      <w:r>
        <w:rPr>
          <w:color w:val="000000"/>
          <w:sz w:val="24"/>
          <w:szCs w:val="20"/>
        </w:rPr>
        <w:t>HJ24-2020</w:t>
      </w:r>
      <w:r>
        <w:rPr>
          <w:rFonts w:hint="eastAsia"/>
          <w:color w:val="000000"/>
          <w:sz w:val="24"/>
          <w:szCs w:val="20"/>
        </w:rPr>
        <w:t>），电磁环境敏感目标是指电磁环境影响评价与监测需重点关注的对象。包括住宅、学校、医院、办公楼、工厂等有公众居住、工作和学习的建筑物。本工程电磁环境敏感目标概况详见</w:t>
      </w:r>
      <w:r>
        <w:rPr>
          <w:rFonts w:hint="eastAsia"/>
          <w:color w:val="000000"/>
          <w:sz w:val="24"/>
          <w:szCs w:val="20"/>
        </w:rPr>
        <w:fldChar w:fldCharType="begin"/>
      </w:r>
      <w:r>
        <w:rPr>
          <w:rFonts w:hint="eastAsia"/>
          <w:color w:val="000000"/>
          <w:sz w:val="24"/>
          <w:szCs w:val="20"/>
        </w:rPr>
        <w:instrText xml:space="preserve"> REF _Ref10405 \h </w:instrText>
      </w:r>
      <w:r>
        <w:rPr>
          <w:color w:val="000000"/>
          <w:sz w:val="24"/>
          <w:szCs w:val="20"/>
        </w:rPr>
        <w:instrText xml:space="preserve"> \* MERGEFORMAT </w:instrText>
      </w:r>
      <w:r>
        <w:rPr>
          <w:rFonts w:hint="eastAsia"/>
          <w:color w:val="000000"/>
          <w:sz w:val="24"/>
          <w:szCs w:val="20"/>
        </w:rPr>
        <w:fldChar w:fldCharType="separate"/>
      </w:r>
      <w:r>
        <w:rPr>
          <w:color w:val="000000"/>
          <w:sz w:val="24"/>
          <w:szCs w:val="20"/>
        </w:rPr>
        <w:t>表 27</w:t>
      </w:r>
      <w:r>
        <w:rPr>
          <w:rFonts w:hint="eastAsia"/>
          <w:color w:val="000000"/>
          <w:sz w:val="24"/>
          <w:szCs w:val="20"/>
        </w:rPr>
        <w:fldChar w:fldCharType="end"/>
      </w:r>
      <w:r>
        <w:rPr>
          <w:rFonts w:hint="eastAsia"/>
          <w:color w:val="000000"/>
          <w:sz w:val="24"/>
          <w:szCs w:val="20"/>
        </w:rPr>
        <w:t>。</w:t>
      </w:r>
    </w:p>
    <w:p>
      <w:pPr>
        <w:pStyle w:val="18"/>
        <w:keepNext/>
        <w:rPr>
          <w:rFonts w:ascii="Times New Roman" w:hAnsi="Times New Roman"/>
          <w:bCs/>
        </w:rPr>
      </w:pPr>
      <w:bookmarkStart w:id="820" w:name="_Ref10405"/>
      <w:r>
        <w:rPr>
          <w:rFonts w:ascii="Times New Roman" w:hAnsi="Times New Roman"/>
          <w:bCs/>
        </w:rPr>
        <w:t xml:space="preserve">表 </w:t>
      </w:r>
      <w:r>
        <w:rPr>
          <w:rFonts w:ascii="Times New Roman" w:hAnsi="Times New Roman"/>
          <w:bCs/>
        </w:rPr>
        <w:fldChar w:fldCharType="begin"/>
      </w:r>
      <w:r>
        <w:rPr>
          <w:rFonts w:ascii="Times New Roman" w:hAnsi="Times New Roman"/>
          <w:bCs/>
        </w:rPr>
        <w:instrText xml:space="preserve"> SEQ 表 \* ARABIC </w:instrText>
      </w:r>
      <w:r>
        <w:rPr>
          <w:rFonts w:ascii="Times New Roman" w:hAnsi="Times New Roman"/>
          <w:bCs/>
        </w:rPr>
        <w:fldChar w:fldCharType="separate"/>
      </w:r>
      <w:r>
        <w:rPr>
          <w:rFonts w:ascii="Times New Roman" w:hAnsi="Times New Roman"/>
          <w:bCs/>
        </w:rPr>
        <w:t>27</w:t>
      </w:r>
      <w:r>
        <w:rPr>
          <w:rFonts w:ascii="Times New Roman" w:hAnsi="Times New Roman"/>
          <w:bCs/>
        </w:rPr>
        <w:fldChar w:fldCharType="end"/>
      </w:r>
      <w:bookmarkEnd w:id="820"/>
      <w:r>
        <w:rPr>
          <w:rFonts w:ascii="Times New Roman" w:hAnsi="Times New Roman"/>
          <w:bCs/>
        </w:rPr>
        <w:t xml:space="preserve">                    </w:t>
      </w:r>
      <w:r>
        <w:rPr>
          <w:rFonts w:hint="eastAsia" w:ascii="Times New Roman" w:hAnsi="Times New Roman"/>
          <w:bCs/>
        </w:rPr>
        <w:t xml:space="preserve">   </w:t>
      </w:r>
      <w:r>
        <w:rPr>
          <w:rFonts w:ascii="Times New Roman" w:hAnsi="Times New Roman"/>
          <w:bCs/>
        </w:rPr>
        <w:t xml:space="preserve"> 本工程电磁环境敏感目标一览表</w:t>
      </w:r>
    </w:p>
    <w:tbl>
      <w:tblPr>
        <w:tblStyle w:val="43"/>
        <w:tblW w:w="51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1300"/>
        <w:gridCol w:w="1018"/>
        <w:gridCol w:w="1403"/>
        <w:gridCol w:w="1109"/>
        <w:gridCol w:w="1411"/>
        <w:gridCol w:w="899"/>
        <w:gridCol w:w="1084"/>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blHeader/>
          <w:jc w:val="center"/>
        </w:trPr>
        <w:tc>
          <w:tcPr>
            <w:tcW w:w="229" w:type="pct"/>
            <w:vAlign w:val="center"/>
          </w:tcPr>
          <w:p>
            <w:pPr>
              <w:pStyle w:val="82"/>
              <w:spacing w:line="0" w:lineRule="atLeast"/>
              <w:rPr>
                <w:b/>
                <w:szCs w:val="21"/>
              </w:rPr>
            </w:pPr>
            <w:r>
              <w:rPr>
                <w:b/>
                <w:szCs w:val="21"/>
              </w:rPr>
              <w:t>序号</w:t>
            </w:r>
          </w:p>
        </w:tc>
        <w:tc>
          <w:tcPr>
            <w:tcW w:w="681" w:type="pct"/>
            <w:vAlign w:val="center"/>
          </w:tcPr>
          <w:p>
            <w:pPr>
              <w:pStyle w:val="82"/>
              <w:spacing w:line="0" w:lineRule="atLeast"/>
              <w:rPr>
                <w:b/>
                <w:szCs w:val="21"/>
              </w:rPr>
            </w:pPr>
            <w:r>
              <w:rPr>
                <w:b/>
                <w:szCs w:val="21"/>
              </w:rPr>
              <w:t>行政区</w:t>
            </w:r>
          </w:p>
        </w:tc>
        <w:tc>
          <w:tcPr>
            <w:tcW w:w="533" w:type="pct"/>
            <w:vAlign w:val="center"/>
          </w:tcPr>
          <w:p>
            <w:pPr>
              <w:pStyle w:val="82"/>
              <w:spacing w:line="0" w:lineRule="atLeast"/>
              <w:rPr>
                <w:b/>
                <w:szCs w:val="21"/>
              </w:rPr>
            </w:pPr>
            <w:r>
              <w:rPr>
                <w:b/>
                <w:szCs w:val="21"/>
              </w:rPr>
              <w:t>环境敏感目标名称</w:t>
            </w:r>
          </w:p>
        </w:tc>
        <w:tc>
          <w:tcPr>
            <w:tcW w:w="735" w:type="pct"/>
            <w:vAlign w:val="center"/>
          </w:tcPr>
          <w:p>
            <w:pPr>
              <w:pStyle w:val="82"/>
              <w:spacing w:line="0" w:lineRule="atLeast"/>
              <w:rPr>
                <w:b/>
                <w:szCs w:val="21"/>
              </w:rPr>
            </w:pPr>
            <w:r>
              <w:rPr>
                <w:b/>
                <w:szCs w:val="21"/>
              </w:rPr>
              <w:t>环境敏感目标概况</w:t>
            </w:r>
          </w:p>
        </w:tc>
        <w:tc>
          <w:tcPr>
            <w:tcW w:w="581" w:type="pct"/>
            <w:vAlign w:val="center"/>
          </w:tcPr>
          <w:p>
            <w:pPr>
              <w:pStyle w:val="82"/>
              <w:spacing w:line="0" w:lineRule="atLeast"/>
              <w:rPr>
                <w:b/>
                <w:szCs w:val="21"/>
              </w:rPr>
            </w:pPr>
            <w:r>
              <w:rPr>
                <w:b/>
                <w:szCs w:val="21"/>
              </w:rPr>
              <w:t>建筑结构</w:t>
            </w:r>
          </w:p>
        </w:tc>
        <w:tc>
          <w:tcPr>
            <w:tcW w:w="739" w:type="pct"/>
            <w:vAlign w:val="center"/>
          </w:tcPr>
          <w:p>
            <w:pPr>
              <w:pStyle w:val="82"/>
              <w:spacing w:line="0" w:lineRule="atLeast"/>
              <w:rPr>
                <w:b/>
                <w:szCs w:val="21"/>
              </w:rPr>
            </w:pPr>
            <w:r>
              <w:rPr>
                <w:rFonts w:hint="eastAsia"/>
                <w:b/>
                <w:szCs w:val="21"/>
              </w:rPr>
              <w:t>方位及</w:t>
            </w:r>
            <w:r>
              <w:rPr>
                <w:b/>
                <w:szCs w:val="21"/>
              </w:rPr>
              <w:t>距</w:t>
            </w:r>
            <w:r>
              <w:rPr>
                <w:rFonts w:hint="eastAsia" w:eastAsiaTheme="minorEastAsia"/>
                <w:b/>
                <w:szCs w:val="21"/>
              </w:rPr>
              <w:t>变电站围墙/</w:t>
            </w:r>
            <w:r>
              <w:rPr>
                <w:rFonts w:hint="eastAsia"/>
                <w:b/>
                <w:szCs w:val="21"/>
              </w:rPr>
              <w:t>边导线</w:t>
            </w:r>
            <w:r>
              <w:rPr>
                <w:b/>
                <w:szCs w:val="21"/>
              </w:rPr>
              <w:t>地面投影最近</w:t>
            </w:r>
            <w:r>
              <w:rPr>
                <w:rFonts w:hint="eastAsia"/>
                <w:b/>
                <w:szCs w:val="21"/>
              </w:rPr>
              <w:t>水平</w:t>
            </w:r>
            <w:r>
              <w:rPr>
                <w:b/>
                <w:szCs w:val="21"/>
              </w:rPr>
              <w:t>距离</w:t>
            </w:r>
          </w:p>
        </w:tc>
        <w:tc>
          <w:tcPr>
            <w:tcW w:w="471" w:type="pct"/>
            <w:vAlign w:val="center"/>
          </w:tcPr>
          <w:p>
            <w:pPr>
              <w:pStyle w:val="82"/>
              <w:spacing w:line="0" w:lineRule="atLeast"/>
              <w:rPr>
                <w:b/>
                <w:szCs w:val="21"/>
              </w:rPr>
            </w:pPr>
            <w:r>
              <w:rPr>
                <w:b/>
                <w:szCs w:val="21"/>
              </w:rPr>
              <w:t>最近房屋高度（m）</w:t>
            </w:r>
          </w:p>
        </w:tc>
        <w:tc>
          <w:tcPr>
            <w:tcW w:w="568" w:type="pct"/>
            <w:vAlign w:val="center"/>
          </w:tcPr>
          <w:p>
            <w:pPr>
              <w:pStyle w:val="82"/>
              <w:spacing w:line="0" w:lineRule="atLeast"/>
              <w:rPr>
                <w:b/>
                <w:szCs w:val="21"/>
              </w:rPr>
            </w:pPr>
            <w:r>
              <w:rPr>
                <w:b/>
                <w:szCs w:val="21"/>
              </w:rPr>
              <w:t>环境影响因子</w:t>
            </w:r>
          </w:p>
        </w:tc>
        <w:tc>
          <w:tcPr>
            <w:tcW w:w="463" w:type="pct"/>
            <w:vAlign w:val="center"/>
          </w:tcPr>
          <w:p>
            <w:pPr>
              <w:pStyle w:val="82"/>
              <w:spacing w:line="0" w:lineRule="atLeast"/>
              <w:rPr>
                <w:b/>
                <w:szCs w:val="21"/>
              </w:rPr>
            </w:pPr>
            <w:r>
              <w:rPr>
                <w:rFonts w:hint="eastAsia"/>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5000" w:type="pct"/>
            <w:gridSpan w:val="9"/>
            <w:vAlign w:val="center"/>
          </w:tcPr>
          <w:p>
            <w:pPr>
              <w:pStyle w:val="82"/>
              <w:spacing w:line="0" w:lineRule="atLeast"/>
              <w:rPr>
                <w:b/>
                <w:color w:val="FF0000"/>
                <w:szCs w:val="21"/>
              </w:rPr>
            </w:pPr>
            <w:r>
              <w:rPr>
                <w:rFonts w:hint="eastAsia"/>
                <w:b/>
                <w:color w:val="000000"/>
              </w:rPr>
              <w:t>（一）东环110千伏变电站新建工程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5000" w:type="pct"/>
            <w:gridSpan w:val="9"/>
            <w:vAlign w:val="center"/>
          </w:tcPr>
          <w:p>
            <w:pPr>
              <w:pStyle w:val="82"/>
              <w:spacing w:line="0" w:lineRule="atLeast"/>
              <w:rPr>
                <w:szCs w:val="21"/>
              </w:rPr>
            </w:pPr>
            <w:r>
              <w:rPr>
                <w:szCs w:val="21"/>
              </w:rPr>
              <w:t>本工程评价范围内无电磁和声环境敏感目标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000" w:type="pct"/>
            <w:gridSpan w:val="9"/>
            <w:vAlign w:val="center"/>
          </w:tcPr>
          <w:p>
            <w:pPr>
              <w:pStyle w:val="82"/>
              <w:spacing w:line="0" w:lineRule="atLeast"/>
              <w:rPr>
                <w:szCs w:val="21"/>
              </w:rPr>
            </w:pPr>
            <w:r>
              <w:rPr>
                <w:rFonts w:hint="eastAsia"/>
                <w:b/>
                <w:szCs w:val="21"/>
              </w:rPr>
              <w:t>（二）七泉湖~红旗π入番南变110千伏线路工程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29" w:type="pct"/>
            <w:vAlign w:val="center"/>
          </w:tcPr>
          <w:p>
            <w:pPr>
              <w:pStyle w:val="82"/>
              <w:topLinePunct w:val="0"/>
              <w:autoSpaceDE w:val="0"/>
              <w:autoSpaceDN w:val="0"/>
              <w:snapToGrid/>
              <w:spacing w:line="0" w:lineRule="atLeast"/>
              <w:textAlignment w:val="bottom"/>
            </w:pPr>
            <w:r>
              <w:rPr>
                <w:rFonts w:hint="eastAsia"/>
              </w:rPr>
              <w:t>1</w:t>
            </w:r>
          </w:p>
        </w:tc>
        <w:tc>
          <w:tcPr>
            <w:tcW w:w="681" w:type="pct"/>
            <w:vAlign w:val="center"/>
          </w:tcPr>
          <w:p>
            <w:pPr>
              <w:pStyle w:val="82"/>
              <w:spacing w:line="0" w:lineRule="atLeast"/>
            </w:pPr>
            <w:r>
              <w:rPr>
                <w:rFonts w:hint="eastAsia"/>
              </w:rPr>
              <w:t>新疆维吾尔自治区吐鲁番市高昌区恰特喀勒乡新光村二组</w:t>
            </w:r>
            <w:r>
              <w:t xml:space="preserve"> </w:t>
            </w:r>
          </w:p>
        </w:tc>
        <w:tc>
          <w:tcPr>
            <w:tcW w:w="533" w:type="pct"/>
            <w:vAlign w:val="center"/>
          </w:tcPr>
          <w:p>
            <w:pPr>
              <w:pStyle w:val="82"/>
              <w:spacing w:line="0" w:lineRule="atLeast"/>
            </w:pPr>
            <w:r>
              <w:rPr>
                <w:rFonts w:hint="eastAsia"/>
              </w:rPr>
              <w:t>406#房</w:t>
            </w:r>
          </w:p>
        </w:tc>
        <w:tc>
          <w:tcPr>
            <w:tcW w:w="735" w:type="pct"/>
            <w:vAlign w:val="center"/>
          </w:tcPr>
          <w:p>
            <w:pPr>
              <w:pStyle w:val="82"/>
              <w:spacing w:line="0" w:lineRule="atLeast"/>
            </w:pPr>
            <w:r>
              <w:rPr>
                <w:rFonts w:hint="eastAsia"/>
              </w:rPr>
              <w:t>住宅</w:t>
            </w:r>
            <w:r>
              <w:rPr>
                <w:rFonts w:hint="eastAsia"/>
                <w:szCs w:val="21"/>
              </w:rPr>
              <w:t>，</w:t>
            </w:r>
            <w:r>
              <w:rPr>
                <w:szCs w:val="21"/>
              </w:rPr>
              <w:t>评价范围内</w:t>
            </w:r>
            <w:r>
              <w:rPr>
                <w:rFonts w:hint="eastAsia"/>
                <w:szCs w:val="21"/>
              </w:rPr>
              <w:t>1户，</w:t>
            </w:r>
            <w:r>
              <w:rPr>
                <w:szCs w:val="21"/>
              </w:rPr>
              <w:t>为</w:t>
            </w:r>
            <w:r>
              <w:rPr>
                <w:rFonts w:hint="eastAsia"/>
              </w:rPr>
              <w:t>406#房</w:t>
            </w:r>
          </w:p>
        </w:tc>
        <w:tc>
          <w:tcPr>
            <w:tcW w:w="581" w:type="pct"/>
            <w:vAlign w:val="center"/>
          </w:tcPr>
          <w:p>
            <w:pPr>
              <w:pStyle w:val="82"/>
              <w:spacing w:line="0" w:lineRule="atLeast"/>
              <w:rPr>
                <w:szCs w:val="21"/>
              </w:rPr>
            </w:pPr>
            <w:r>
              <w:rPr>
                <w:rFonts w:hint="eastAsia"/>
                <w:szCs w:val="21"/>
              </w:rPr>
              <w:t>1层平顶</w:t>
            </w:r>
          </w:p>
        </w:tc>
        <w:tc>
          <w:tcPr>
            <w:tcW w:w="739" w:type="pct"/>
            <w:vAlign w:val="center"/>
          </w:tcPr>
          <w:p>
            <w:pPr>
              <w:pStyle w:val="82"/>
              <w:spacing w:line="0" w:lineRule="atLeast"/>
              <w:rPr>
                <w:szCs w:val="21"/>
              </w:rPr>
            </w:pPr>
            <w:r>
              <w:rPr>
                <w:rFonts w:hint="eastAsia"/>
                <w:szCs w:val="21"/>
              </w:rPr>
              <w:t>拟建线路西侧</w:t>
            </w:r>
            <w:r>
              <w:rPr>
                <w:szCs w:val="21"/>
              </w:rPr>
              <w:t>10</w:t>
            </w:r>
            <w:r>
              <w:rPr>
                <w:rFonts w:hint="eastAsia"/>
                <w:szCs w:val="21"/>
              </w:rPr>
              <w:t>m</w:t>
            </w:r>
          </w:p>
        </w:tc>
        <w:tc>
          <w:tcPr>
            <w:tcW w:w="471" w:type="pct"/>
            <w:vAlign w:val="center"/>
          </w:tcPr>
          <w:p>
            <w:pPr>
              <w:pStyle w:val="82"/>
              <w:spacing w:line="0" w:lineRule="atLeast"/>
              <w:rPr>
                <w:szCs w:val="21"/>
              </w:rPr>
            </w:pPr>
            <w:r>
              <w:rPr>
                <w:rFonts w:hint="eastAsia"/>
                <w:szCs w:val="21"/>
              </w:rPr>
              <w:t>3</w:t>
            </w:r>
          </w:p>
        </w:tc>
        <w:tc>
          <w:tcPr>
            <w:tcW w:w="568" w:type="pct"/>
            <w:vAlign w:val="center"/>
          </w:tcPr>
          <w:p>
            <w:pPr>
              <w:pStyle w:val="82"/>
              <w:spacing w:line="0" w:lineRule="atLeast"/>
              <w:rPr>
                <w:szCs w:val="21"/>
              </w:rPr>
            </w:pPr>
            <w:r>
              <w:rPr>
                <w:szCs w:val="21"/>
              </w:rPr>
              <w:t>工频电场</w:t>
            </w:r>
          </w:p>
          <w:p>
            <w:pPr>
              <w:pStyle w:val="82"/>
              <w:spacing w:line="0" w:lineRule="atLeast"/>
              <w:rPr>
                <w:szCs w:val="21"/>
              </w:rPr>
            </w:pPr>
            <w:r>
              <w:rPr>
                <w:szCs w:val="21"/>
              </w:rPr>
              <w:t>工频磁场</w:t>
            </w:r>
          </w:p>
        </w:tc>
        <w:tc>
          <w:tcPr>
            <w:tcW w:w="463" w:type="pct"/>
            <w:vAlign w:val="center"/>
          </w:tcPr>
          <w:p>
            <w:pPr>
              <w:pStyle w:val="82"/>
              <w:spacing w:line="0" w:lineRule="atLeast"/>
              <w:rPr>
                <w:szCs w:val="21"/>
              </w:rPr>
            </w:pPr>
            <w:r>
              <w:rPr>
                <w:rFonts w:hint="eastAsia"/>
                <w:szCs w:val="21"/>
              </w:rPr>
              <w:t>单回架空线路段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000" w:type="pct"/>
            <w:gridSpan w:val="9"/>
            <w:vAlign w:val="center"/>
          </w:tcPr>
          <w:p>
            <w:pPr>
              <w:pStyle w:val="82"/>
              <w:spacing w:line="0" w:lineRule="atLeast"/>
              <w:rPr>
                <w:b/>
                <w:szCs w:val="21"/>
              </w:rPr>
            </w:pPr>
            <w:r>
              <w:rPr>
                <w:rFonts w:hint="eastAsia"/>
                <w:b/>
                <w:color w:val="000000"/>
              </w:rPr>
              <w:t>（三）七泉湖~番南改接入沙河子变110千伏线路工程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000" w:type="pct"/>
            <w:gridSpan w:val="9"/>
            <w:vAlign w:val="center"/>
          </w:tcPr>
          <w:p>
            <w:pPr>
              <w:pStyle w:val="82"/>
              <w:spacing w:line="0" w:lineRule="atLeast"/>
              <w:rPr>
                <w:szCs w:val="21"/>
              </w:rPr>
            </w:pPr>
            <w:r>
              <w:rPr>
                <w:szCs w:val="21"/>
              </w:rPr>
              <w:t>本工程评价范围内无电磁和声环境敏感目标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000" w:type="pct"/>
            <w:gridSpan w:val="9"/>
            <w:vAlign w:val="center"/>
          </w:tcPr>
          <w:p>
            <w:pPr>
              <w:pStyle w:val="82"/>
              <w:spacing w:line="0" w:lineRule="atLeast"/>
              <w:rPr>
                <w:szCs w:val="21"/>
              </w:rPr>
            </w:pPr>
            <w:r>
              <w:rPr>
                <w:rFonts w:hint="eastAsia"/>
                <w:b/>
                <w:color w:val="000000"/>
              </w:rPr>
              <w:t>（四）七泉湖~番南改接入交河变110千伏线路工程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000" w:type="pct"/>
            <w:gridSpan w:val="9"/>
            <w:vAlign w:val="center"/>
          </w:tcPr>
          <w:p>
            <w:pPr>
              <w:pStyle w:val="82"/>
              <w:spacing w:line="0" w:lineRule="atLeast"/>
              <w:rPr>
                <w:szCs w:val="21"/>
              </w:rPr>
            </w:pPr>
            <w:r>
              <w:rPr>
                <w:szCs w:val="21"/>
              </w:rPr>
              <w:t>本工程评价范围内无电磁和声环境敏感目标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000" w:type="pct"/>
            <w:gridSpan w:val="9"/>
            <w:vAlign w:val="center"/>
          </w:tcPr>
          <w:p>
            <w:pPr>
              <w:pStyle w:val="82"/>
              <w:spacing w:line="0" w:lineRule="atLeast"/>
              <w:rPr>
                <w:szCs w:val="21"/>
              </w:rPr>
            </w:pPr>
            <w:r>
              <w:rPr>
                <w:rFonts w:hint="eastAsia"/>
                <w:b/>
                <w:color w:val="000000"/>
              </w:rPr>
              <w:t>（五）交河~番南π入东环变110千伏线路工程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000" w:type="pct"/>
            <w:gridSpan w:val="9"/>
            <w:vAlign w:val="center"/>
          </w:tcPr>
          <w:p>
            <w:pPr>
              <w:pStyle w:val="82"/>
              <w:spacing w:line="0" w:lineRule="atLeast"/>
              <w:rPr>
                <w:szCs w:val="21"/>
              </w:rPr>
            </w:pPr>
            <w:r>
              <w:rPr>
                <w:szCs w:val="21"/>
              </w:rPr>
              <w:t>本工程评价范围内无电磁和声环境敏感目标</w:t>
            </w:r>
          </w:p>
        </w:tc>
      </w:tr>
    </w:tbl>
    <w:p>
      <w:pPr>
        <w:pStyle w:val="2"/>
        <w:ind w:left="0" w:leftChars="0" w:firstLine="0"/>
        <w:rPr>
          <w:sz w:val="21"/>
          <w:szCs w:val="21"/>
        </w:rPr>
      </w:pPr>
      <w:r>
        <w:rPr>
          <w:rFonts w:hint="eastAsia"/>
          <w:sz w:val="21"/>
          <w:szCs w:val="21"/>
        </w:rPr>
        <w:t>注：表中所列环境敏感目标为根据当前设计阶段路径资料调查所得，表中所描述位置距离为当前设计路径边导线垂直投影与环境敏感目标的最近水平距离。随工程设计不断深化，环评调查的环境敏感目标及其相对位置关系可能与建成后实际调查情况略有变化。</w:t>
      </w:r>
    </w:p>
    <w:p>
      <w:pPr>
        <w:numPr>
          <w:ilvl w:val="0"/>
          <w:numId w:val="28"/>
        </w:numPr>
        <w:topLinePunct/>
        <w:spacing w:line="360" w:lineRule="auto"/>
        <w:outlineLvl w:val="0"/>
        <w:rPr>
          <w:rFonts w:cs="ˎ̥"/>
          <w:b/>
          <w:bCs/>
          <w:color w:val="000000"/>
          <w:kern w:val="44"/>
          <w:sz w:val="30"/>
          <w:szCs w:val="44"/>
        </w:rPr>
      </w:pPr>
      <w:bookmarkStart w:id="821" w:name="_Toc4356"/>
      <w:bookmarkStart w:id="822" w:name="_Toc24647690"/>
      <w:bookmarkStart w:id="823" w:name="_Toc413055179"/>
      <w:r>
        <w:rPr>
          <w:rFonts w:hint="eastAsia" w:cs="ˎ̥"/>
          <w:b/>
          <w:bCs/>
          <w:color w:val="000000"/>
          <w:kern w:val="44"/>
          <w:sz w:val="30"/>
          <w:szCs w:val="44"/>
        </w:rPr>
        <w:t>电磁环境质量现状监测与评价</w:t>
      </w:r>
      <w:bookmarkEnd w:id="821"/>
      <w:bookmarkEnd w:id="822"/>
      <w:bookmarkEnd w:id="823"/>
    </w:p>
    <w:p>
      <w:pPr>
        <w:keepNext/>
        <w:keepLines/>
        <w:numPr>
          <w:ilvl w:val="1"/>
          <w:numId w:val="28"/>
        </w:numPr>
        <w:adjustRightInd w:val="0"/>
        <w:spacing w:line="360" w:lineRule="auto"/>
        <w:outlineLvl w:val="1"/>
        <w:rPr>
          <w:b/>
          <w:bCs/>
          <w:color w:val="000000"/>
          <w:sz w:val="28"/>
          <w:szCs w:val="32"/>
        </w:rPr>
      </w:pPr>
      <w:bookmarkStart w:id="824" w:name="_Toc7789"/>
      <w:r>
        <w:rPr>
          <w:rFonts w:hint="eastAsia"/>
          <w:b/>
          <w:bCs/>
          <w:color w:val="000000"/>
          <w:sz w:val="28"/>
          <w:szCs w:val="32"/>
        </w:rPr>
        <w:t>监测布点原则</w:t>
      </w:r>
      <w:bookmarkEnd w:id="824"/>
    </w:p>
    <w:p>
      <w:pPr>
        <w:spacing w:line="360" w:lineRule="auto"/>
        <w:ind w:firstLine="480" w:firstLineChars="200"/>
        <w:rPr>
          <w:color w:val="000000"/>
          <w:sz w:val="24"/>
          <w:szCs w:val="20"/>
        </w:rPr>
      </w:pPr>
      <w:r>
        <w:rPr>
          <w:rFonts w:hint="eastAsia"/>
          <w:color w:val="000000"/>
          <w:sz w:val="24"/>
          <w:szCs w:val="20"/>
        </w:rPr>
        <w:t>根据《环境影响评价技术导则 输变电》（HJ24-2020）及《交流输变电工程电磁环境监测方法（试行）》（HJ 681-2013）的要求并结合本工程实际情况，电磁环境敏感目标的布点方法以定点监测为主。</w:t>
      </w:r>
    </w:p>
    <w:p>
      <w:pPr>
        <w:spacing w:line="360" w:lineRule="auto"/>
        <w:ind w:firstLine="480" w:firstLineChars="200"/>
        <w:rPr>
          <w:color w:val="000000"/>
          <w:sz w:val="24"/>
          <w:szCs w:val="20"/>
        </w:rPr>
      </w:pPr>
      <w:r>
        <w:rPr>
          <w:rFonts w:hint="eastAsia"/>
          <w:color w:val="000000"/>
          <w:sz w:val="24"/>
          <w:szCs w:val="20"/>
        </w:rPr>
        <w:t>（1）变电站工程：对拟建变电站厂界四侧及评价范围内电磁环境敏感目标处进行布点监测。</w:t>
      </w:r>
    </w:p>
    <w:p>
      <w:pPr>
        <w:spacing w:line="360" w:lineRule="auto"/>
        <w:ind w:firstLine="480" w:firstLineChars="200"/>
        <w:rPr>
          <w:color w:val="000000"/>
          <w:sz w:val="24"/>
          <w:szCs w:val="20"/>
        </w:rPr>
      </w:pPr>
      <w:r>
        <w:rPr>
          <w:rFonts w:hint="eastAsia"/>
          <w:color w:val="000000"/>
          <w:sz w:val="24"/>
          <w:szCs w:val="20"/>
        </w:rPr>
        <w:t>（2）线路工程：在本工程输电线路评价范围内选取有代表性的敏感点和位置布设监测点位进行电磁环境现状监测。若线路沿线电磁环境影响评价范围内无电磁环境敏感目标，在线路路径处设置现状监测点位</w:t>
      </w:r>
      <w:r>
        <w:rPr>
          <w:rFonts w:hint="eastAsia"/>
          <w:sz w:val="24"/>
          <w:szCs w:val="20"/>
        </w:rPr>
        <w:t>。</w:t>
      </w:r>
    </w:p>
    <w:p>
      <w:pPr>
        <w:keepNext/>
        <w:keepLines/>
        <w:numPr>
          <w:ilvl w:val="1"/>
          <w:numId w:val="28"/>
        </w:numPr>
        <w:adjustRightInd w:val="0"/>
        <w:spacing w:line="360" w:lineRule="auto"/>
        <w:outlineLvl w:val="1"/>
        <w:rPr>
          <w:b/>
          <w:bCs/>
          <w:color w:val="000000"/>
          <w:sz w:val="28"/>
          <w:szCs w:val="32"/>
        </w:rPr>
      </w:pPr>
      <w:bookmarkStart w:id="825" w:name="_Toc14696"/>
      <w:r>
        <w:rPr>
          <w:rFonts w:hint="eastAsia"/>
          <w:b/>
          <w:bCs/>
          <w:color w:val="000000"/>
          <w:sz w:val="28"/>
          <w:szCs w:val="32"/>
        </w:rPr>
        <w:t>监测布点</w:t>
      </w:r>
      <w:bookmarkEnd w:id="825"/>
    </w:p>
    <w:p>
      <w:pPr>
        <w:spacing w:line="360" w:lineRule="auto"/>
        <w:ind w:firstLine="480" w:firstLineChars="200"/>
        <w:rPr>
          <w:color w:val="000000"/>
          <w:sz w:val="24"/>
          <w:szCs w:val="20"/>
        </w:rPr>
      </w:pPr>
      <w:r>
        <w:rPr>
          <w:rFonts w:hint="eastAsia"/>
          <w:color w:val="000000"/>
          <w:sz w:val="24"/>
          <w:szCs w:val="20"/>
        </w:rPr>
        <w:t>（1）东环110kV变电站新建工程：变电站拟建站址四周及中心共布设5个测点，测点距离地面高度1.5m。变电站电磁环境影响评价范围内无电磁环境敏感目标。</w:t>
      </w:r>
    </w:p>
    <w:p>
      <w:pPr>
        <w:spacing w:line="360" w:lineRule="auto"/>
        <w:ind w:firstLine="480" w:firstLineChars="200"/>
        <w:rPr>
          <w:sz w:val="24"/>
          <w:szCs w:val="20"/>
        </w:rPr>
      </w:pPr>
      <w:r>
        <w:rPr>
          <w:rFonts w:hint="eastAsia"/>
          <w:color w:val="000000"/>
          <w:sz w:val="24"/>
          <w:szCs w:val="20"/>
        </w:rPr>
        <w:t>（2）110kV线路新建工程：新建线路评价范围内有1处电磁环境保护目标，布设1个测点；同时对线路线下进行了现状监测，布设9个测点。线路工程共布设10个测点</w:t>
      </w:r>
      <w:r>
        <w:rPr>
          <w:rFonts w:hint="eastAsia"/>
          <w:sz w:val="24"/>
          <w:szCs w:val="20"/>
        </w:rPr>
        <w:t>。</w:t>
      </w:r>
    </w:p>
    <w:p>
      <w:pPr>
        <w:keepNext/>
        <w:keepLines/>
        <w:numPr>
          <w:ilvl w:val="1"/>
          <w:numId w:val="28"/>
        </w:numPr>
        <w:adjustRightInd w:val="0"/>
        <w:spacing w:line="360" w:lineRule="auto"/>
        <w:outlineLvl w:val="1"/>
        <w:rPr>
          <w:b/>
          <w:bCs/>
          <w:color w:val="000000"/>
          <w:sz w:val="28"/>
          <w:szCs w:val="32"/>
        </w:rPr>
      </w:pPr>
      <w:bookmarkStart w:id="826" w:name="_Toc8384"/>
      <w:r>
        <w:rPr>
          <w:rFonts w:hint="eastAsia"/>
          <w:b/>
          <w:bCs/>
          <w:color w:val="000000"/>
          <w:sz w:val="28"/>
          <w:szCs w:val="32"/>
        </w:rPr>
        <w:t>监测点位</w:t>
      </w:r>
      <w:bookmarkEnd w:id="826"/>
    </w:p>
    <w:p>
      <w:pPr>
        <w:spacing w:line="360" w:lineRule="auto"/>
        <w:ind w:firstLine="480" w:firstLineChars="200"/>
        <w:rPr>
          <w:color w:val="000000"/>
          <w:sz w:val="24"/>
          <w:szCs w:val="20"/>
        </w:rPr>
      </w:pPr>
      <w:r>
        <w:rPr>
          <w:rFonts w:hint="eastAsia"/>
          <w:color w:val="000000"/>
          <w:sz w:val="24"/>
          <w:szCs w:val="20"/>
        </w:rPr>
        <w:t>（2）新建110kV线路工程：七泉湖~红旗π入番南变110千伏线路工程新建输电线路评价范围内有1处电磁环境保护目标，测点位于电磁敏感建筑物外，距墙壁1m，距地面高度1.</w:t>
      </w:r>
      <w:r>
        <w:rPr>
          <w:color w:val="000000"/>
          <w:sz w:val="24"/>
          <w:szCs w:val="20"/>
        </w:rPr>
        <w:t>5</w:t>
      </w:r>
      <w:r>
        <w:rPr>
          <w:rFonts w:hint="eastAsia"/>
          <w:color w:val="000000"/>
          <w:sz w:val="24"/>
          <w:szCs w:val="20"/>
        </w:rPr>
        <w:t>m。同时在新建线路下方设置3个现状监测点位，距离地面1.</w:t>
      </w:r>
      <w:r>
        <w:rPr>
          <w:color w:val="000000"/>
          <w:sz w:val="24"/>
          <w:szCs w:val="20"/>
        </w:rPr>
        <w:t>5</w:t>
      </w:r>
      <w:r>
        <w:rPr>
          <w:rFonts w:hint="eastAsia"/>
          <w:color w:val="000000"/>
          <w:sz w:val="24"/>
          <w:szCs w:val="20"/>
        </w:rPr>
        <w:t>m高度处；在七泉湖~番南改接入沙河子变110千伏线路工程新建线路下方设置1个现状监测点位，距离地面1.</w:t>
      </w:r>
      <w:r>
        <w:rPr>
          <w:color w:val="000000"/>
          <w:sz w:val="24"/>
          <w:szCs w:val="20"/>
        </w:rPr>
        <w:t>5</w:t>
      </w:r>
      <w:r>
        <w:rPr>
          <w:rFonts w:hint="eastAsia"/>
          <w:color w:val="000000"/>
          <w:sz w:val="24"/>
          <w:szCs w:val="20"/>
        </w:rPr>
        <w:t>m高度处；在七泉湖~番南改接入交河变110千伏线路工程新建线路下方设置1个现状监测点位，距离地面1.</w:t>
      </w:r>
      <w:r>
        <w:rPr>
          <w:color w:val="000000"/>
          <w:sz w:val="24"/>
          <w:szCs w:val="20"/>
        </w:rPr>
        <w:t>5</w:t>
      </w:r>
      <w:r>
        <w:rPr>
          <w:rFonts w:hint="eastAsia"/>
          <w:color w:val="000000"/>
          <w:sz w:val="24"/>
          <w:szCs w:val="20"/>
        </w:rPr>
        <w:t>m高度处；在交河~番南π入东环变110千伏线路工程新建线路下方设置4个现状监测点位，距离地面1.</w:t>
      </w:r>
      <w:r>
        <w:rPr>
          <w:color w:val="000000"/>
          <w:sz w:val="24"/>
          <w:szCs w:val="20"/>
        </w:rPr>
        <w:t>5</w:t>
      </w:r>
      <w:r>
        <w:rPr>
          <w:rFonts w:hint="eastAsia"/>
          <w:color w:val="000000"/>
          <w:sz w:val="24"/>
          <w:szCs w:val="20"/>
        </w:rPr>
        <w:t>m高度处。线路工程共布设10个测点。</w:t>
      </w:r>
    </w:p>
    <w:p>
      <w:pPr>
        <w:spacing w:line="360" w:lineRule="auto"/>
        <w:ind w:firstLine="480" w:firstLineChars="200"/>
        <w:rPr>
          <w:bCs/>
        </w:rPr>
      </w:pPr>
      <w:r>
        <w:rPr>
          <w:rFonts w:hint="eastAsia"/>
          <w:color w:val="000000"/>
          <w:sz w:val="24"/>
          <w:szCs w:val="20"/>
        </w:rPr>
        <w:t>本工程电磁环境监测布点具体见</w:t>
      </w:r>
      <w:r>
        <w:rPr>
          <w:rFonts w:hint="eastAsia"/>
          <w:color w:val="000000"/>
          <w:sz w:val="24"/>
          <w:szCs w:val="20"/>
        </w:rPr>
        <w:fldChar w:fldCharType="begin"/>
      </w:r>
      <w:r>
        <w:rPr>
          <w:rFonts w:hint="eastAsia"/>
          <w:color w:val="000000"/>
          <w:sz w:val="24"/>
          <w:szCs w:val="20"/>
        </w:rPr>
        <w:instrText xml:space="preserve"> REF _Ref10731 \h  \* MERGEFORMAT </w:instrText>
      </w:r>
      <w:r>
        <w:rPr>
          <w:rFonts w:hint="eastAsia"/>
          <w:color w:val="000000"/>
          <w:sz w:val="24"/>
          <w:szCs w:val="20"/>
        </w:rPr>
        <w:fldChar w:fldCharType="separate"/>
      </w:r>
      <w:r>
        <w:rPr>
          <w:rFonts w:hint="eastAsia"/>
          <w:color w:val="000000"/>
          <w:sz w:val="24"/>
          <w:szCs w:val="20"/>
        </w:rPr>
        <w:t>监测点位示意图见附图5。</w:t>
      </w:r>
    </w:p>
    <w:p>
      <w:pPr>
        <w:spacing w:line="360" w:lineRule="auto"/>
        <w:ind w:firstLine="420" w:firstLineChars="200"/>
        <w:rPr>
          <w:color w:val="000000"/>
          <w:sz w:val="24"/>
          <w:szCs w:val="20"/>
        </w:rPr>
      </w:pPr>
      <w:r>
        <w:rPr>
          <w:bCs/>
        </w:rPr>
        <w:t>表 28</w:t>
      </w:r>
      <w:r>
        <w:rPr>
          <w:rFonts w:hint="eastAsia"/>
          <w:color w:val="000000"/>
          <w:sz w:val="24"/>
          <w:szCs w:val="20"/>
        </w:rPr>
        <w:fldChar w:fldCharType="end"/>
      </w:r>
      <w:r>
        <w:rPr>
          <w:rFonts w:hint="eastAsia"/>
          <w:color w:val="000000"/>
          <w:sz w:val="24"/>
          <w:szCs w:val="20"/>
        </w:rPr>
        <w:t>。</w:t>
      </w:r>
      <w:bookmarkStart w:id="827" w:name="_Ref10731"/>
      <w:r>
        <w:rPr>
          <w:rFonts w:hint="eastAsia"/>
          <w:color w:val="000000"/>
          <w:sz w:val="24"/>
          <w:szCs w:val="20"/>
        </w:rPr>
        <w:t>监测点位示意图见附图5。</w:t>
      </w:r>
    </w:p>
    <w:p>
      <w:pPr>
        <w:rPr>
          <w:rFonts w:hint="eastAsia" w:ascii="黑体" w:hAnsi="黑体" w:eastAsia="黑体"/>
          <w:bCs/>
          <w:color w:val="000000"/>
          <w:szCs w:val="21"/>
        </w:rPr>
      </w:pPr>
      <w:r>
        <w:rPr>
          <w:bCs/>
        </w:rPr>
        <w:t xml:space="preserve">表 </w:t>
      </w:r>
      <w:r>
        <w:rPr>
          <w:bCs/>
        </w:rPr>
        <w:fldChar w:fldCharType="begin"/>
      </w:r>
      <w:r>
        <w:rPr>
          <w:bCs/>
        </w:rPr>
        <w:instrText xml:space="preserve"> SEQ 表 \* ARABIC </w:instrText>
      </w:r>
      <w:r>
        <w:rPr>
          <w:bCs/>
        </w:rPr>
        <w:fldChar w:fldCharType="separate"/>
      </w:r>
      <w:r>
        <w:rPr>
          <w:bCs/>
        </w:rPr>
        <w:t>28</w:t>
      </w:r>
      <w:r>
        <w:rPr>
          <w:bCs/>
        </w:rPr>
        <w:fldChar w:fldCharType="end"/>
      </w:r>
      <w:bookmarkEnd w:id="827"/>
      <w:r>
        <w:rPr>
          <w:bCs/>
        </w:rPr>
        <w:t xml:space="preserve"> </w:t>
      </w:r>
      <w:r>
        <w:rPr>
          <w:rFonts w:ascii="黑体" w:hAnsi="黑体" w:eastAsia="黑体"/>
          <w:bCs/>
          <w:color w:val="000000"/>
          <w:szCs w:val="21"/>
        </w:rPr>
        <w:t xml:space="preserve">         </w:t>
      </w:r>
      <w:r>
        <w:rPr>
          <w:rFonts w:hint="eastAsia" w:ascii="黑体" w:hAnsi="黑体" w:eastAsia="黑体"/>
          <w:bCs/>
          <w:color w:val="000000"/>
          <w:szCs w:val="21"/>
        </w:rPr>
        <w:t xml:space="preserve">       </w:t>
      </w:r>
      <w:r>
        <w:rPr>
          <w:rFonts w:ascii="黑体" w:hAnsi="黑体" w:eastAsia="黑体"/>
          <w:bCs/>
          <w:color w:val="000000"/>
          <w:szCs w:val="21"/>
        </w:rPr>
        <w:t xml:space="preserve">      电磁环境质量现状监测</w:t>
      </w:r>
      <w:r>
        <w:rPr>
          <w:rFonts w:hint="eastAsia" w:ascii="黑体" w:hAnsi="黑体" w:eastAsia="黑体"/>
          <w:bCs/>
          <w:color w:val="000000"/>
          <w:szCs w:val="21"/>
        </w:rPr>
        <w:t>布点</w:t>
      </w:r>
      <w:r>
        <w:rPr>
          <w:rFonts w:ascii="黑体" w:hAnsi="黑体" w:eastAsia="黑体"/>
          <w:bCs/>
          <w:color w:val="000000"/>
          <w:szCs w:val="21"/>
        </w:rPr>
        <w:t>一览表</w:t>
      </w:r>
    </w:p>
    <w:tbl>
      <w:tblPr>
        <w:tblStyle w:val="43"/>
        <w:tblW w:w="30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2010"/>
        <w:gridCol w:w="173"/>
        <w:gridCol w:w="2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28" w:type="pct"/>
            <w:vMerge w:val="restart"/>
            <w:vAlign w:val="center"/>
          </w:tcPr>
          <w:p>
            <w:pPr>
              <w:widowControl/>
              <w:jc w:val="center"/>
              <w:rPr>
                <w:b/>
                <w:bCs/>
                <w:color w:val="000000"/>
                <w:kern w:val="0"/>
                <w:szCs w:val="21"/>
              </w:rPr>
            </w:pPr>
            <w:r>
              <w:rPr>
                <w:b/>
                <w:bCs/>
                <w:color w:val="000000"/>
                <w:kern w:val="0"/>
                <w:szCs w:val="21"/>
              </w:rPr>
              <w:t>序号</w:t>
            </w:r>
          </w:p>
        </w:tc>
        <w:tc>
          <w:tcPr>
            <w:tcW w:w="4371" w:type="pct"/>
            <w:gridSpan w:val="3"/>
            <w:vMerge w:val="restart"/>
            <w:vAlign w:val="center"/>
          </w:tcPr>
          <w:p>
            <w:pPr>
              <w:widowControl/>
              <w:jc w:val="center"/>
              <w:rPr>
                <w:b/>
                <w:bCs/>
                <w:color w:val="000000"/>
                <w:kern w:val="0"/>
                <w:szCs w:val="21"/>
              </w:rPr>
            </w:pPr>
            <w:r>
              <w:rPr>
                <w:b/>
                <w:bCs/>
                <w:color w:val="000000"/>
                <w:kern w:val="0"/>
                <w:szCs w:val="21"/>
              </w:rPr>
              <w:t>监测对象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28" w:type="pct"/>
            <w:vMerge w:val="continue"/>
            <w:vAlign w:val="center"/>
          </w:tcPr>
          <w:p>
            <w:pPr>
              <w:widowControl/>
              <w:jc w:val="center"/>
              <w:rPr>
                <w:b/>
                <w:bCs/>
                <w:color w:val="000000"/>
                <w:kern w:val="0"/>
                <w:szCs w:val="21"/>
              </w:rPr>
            </w:pPr>
          </w:p>
        </w:tc>
        <w:tc>
          <w:tcPr>
            <w:tcW w:w="4371" w:type="pct"/>
            <w:gridSpan w:val="3"/>
            <w:vMerge w:val="continue"/>
            <w:vAlign w:val="center"/>
          </w:tcPr>
          <w:p>
            <w:pPr>
              <w:widowControl/>
              <w:jc w:val="center"/>
              <w:rPr>
                <w:b/>
                <w:bCs/>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8" w:type="pct"/>
            <w:vAlign w:val="center"/>
          </w:tcPr>
          <w:p>
            <w:pPr>
              <w:pStyle w:val="114"/>
              <w:widowControl/>
              <w:numPr>
                <w:ilvl w:val="0"/>
                <w:numId w:val="29"/>
              </w:numPr>
              <w:ind w:firstLineChars="0"/>
              <w:jc w:val="center"/>
            </w:pPr>
          </w:p>
        </w:tc>
        <w:tc>
          <w:tcPr>
            <w:tcW w:w="1957" w:type="pct"/>
            <w:gridSpan w:val="2"/>
            <w:vMerge w:val="restart"/>
            <w:vAlign w:val="center"/>
          </w:tcPr>
          <w:p>
            <w:pPr>
              <w:widowControl/>
              <w:jc w:val="center"/>
              <w:rPr>
                <w:color w:val="000000"/>
                <w:szCs w:val="21"/>
              </w:rPr>
            </w:pPr>
            <w:r>
              <w:rPr>
                <w:rFonts w:hint="eastAsia"/>
                <w:color w:val="000000"/>
                <w:kern w:val="0"/>
                <w:szCs w:val="21"/>
              </w:rPr>
              <w:t>东环110kV变电站</w:t>
            </w:r>
          </w:p>
        </w:tc>
        <w:tc>
          <w:tcPr>
            <w:tcW w:w="2413" w:type="pct"/>
            <w:vAlign w:val="center"/>
          </w:tcPr>
          <w:p>
            <w:pPr>
              <w:widowControl/>
              <w:jc w:val="center"/>
              <w:textAlignment w:val="center"/>
              <w:rPr>
                <w:rFonts w:hint="eastAsia" w:ascii="宋体" w:hAnsi="宋体"/>
                <w:color w:val="000000"/>
                <w:szCs w:val="21"/>
              </w:rPr>
            </w:pPr>
            <w:r>
              <w:rPr>
                <w:rFonts w:hint="eastAsia" w:ascii="宋体" w:hAnsi="宋体"/>
                <w:color w:val="000000"/>
                <w:szCs w:val="21"/>
              </w:rPr>
              <w:t>拟建站址北侧</w:t>
            </w:r>
            <w:r>
              <w:rPr>
                <w:rFonts w:hint="eastAsia" w:eastAsiaTheme="minorEastAsia"/>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8" w:type="pct"/>
            <w:vAlign w:val="center"/>
          </w:tcPr>
          <w:p>
            <w:pPr>
              <w:pStyle w:val="114"/>
              <w:widowControl/>
              <w:numPr>
                <w:ilvl w:val="0"/>
                <w:numId w:val="29"/>
              </w:numPr>
              <w:ind w:firstLineChars="0"/>
              <w:jc w:val="center"/>
            </w:pPr>
          </w:p>
        </w:tc>
        <w:tc>
          <w:tcPr>
            <w:tcW w:w="1957" w:type="pct"/>
            <w:gridSpan w:val="2"/>
            <w:vMerge w:val="continue"/>
            <w:vAlign w:val="center"/>
          </w:tcPr>
          <w:p>
            <w:pPr>
              <w:widowControl/>
              <w:jc w:val="center"/>
              <w:rPr>
                <w:color w:val="000000"/>
                <w:szCs w:val="21"/>
              </w:rPr>
            </w:pPr>
          </w:p>
        </w:tc>
        <w:tc>
          <w:tcPr>
            <w:tcW w:w="2413" w:type="pct"/>
            <w:vAlign w:val="center"/>
          </w:tcPr>
          <w:p>
            <w:pPr>
              <w:widowControl/>
              <w:jc w:val="center"/>
              <w:textAlignment w:val="center"/>
              <w:rPr>
                <w:rFonts w:hint="eastAsia" w:ascii="宋体" w:hAnsi="宋体"/>
                <w:color w:val="000000"/>
                <w:szCs w:val="21"/>
              </w:rPr>
            </w:pPr>
            <w:r>
              <w:rPr>
                <w:rFonts w:hint="eastAsia" w:ascii="宋体" w:hAnsi="宋体"/>
                <w:color w:val="000000"/>
                <w:szCs w:val="21"/>
              </w:rPr>
              <w:t>拟建站址东侧</w:t>
            </w:r>
            <w:r>
              <w:rPr>
                <w:rFonts w:hint="eastAsia" w:eastAsiaTheme="minorEastAsia"/>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8" w:type="pct"/>
            <w:vAlign w:val="center"/>
          </w:tcPr>
          <w:p>
            <w:pPr>
              <w:pStyle w:val="114"/>
              <w:widowControl/>
              <w:numPr>
                <w:ilvl w:val="0"/>
                <w:numId w:val="29"/>
              </w:numPr>
              <w:ind w:firstLineChars="0"/>
              <w:jc w:val="center"/>
            </w:pPr>
          </w:p>
        </w:tc>
        <w:tc>
          <w:tcPr>
            <w:tcW w:w="1957" w:type="pct"/>
            <w:gridSpan w:val="2"/>
            <w:vMerge w:val="continue"/>
            <w:vAlign w:val="center"/>
          </w:tcPr>
          <w:p>
            <w:pPr>
              <w:widowControl/>
              <w:jc w:val="center"/>
              <w:rPr>
                <w:color w:val="000000"/>
                <w:szCs w:val="21"/>
              </w:rPr>
            </w:pPr>
          </w:p>
        </w:tc>
        <w:tc>
          <w:tcPr>
            <w:tcW w:w="2413" w:type="pct"/>
            <w:vAlign w:val="center"/>
          </w:tcPr>
          <w:p>
            <w:pPr>
              <w:widowControl/>
              <w:jc w:val="center"/>
              <w:textAlignment w:val="center"/>
              <w:rPr>
                <w:rFonts w:hint="eastAsia" w:ascii="宋体" w:hAnsi="宋体"/>
                <w:color w:val="000000"/>
                <w:szCs w:val="21"/>
              </w:rPr>
            </w:pPr>
            <w:r>
              <w:rPr>
                <w:rFonts w:hint="eastAsia" w:ascii="宋体" w:hAnsi="宋体"/>
                <w:color w:val="000000"/>
                <w:szCs w:val="21"/>
              </w:rPr>
              <w:t>拟建站址南侧</w:t>
            </w:r>
            <w:r>
              <w:rPr>
                <w:rFonts w:hint="eastAsia" w:eastAsiaTheme="minorEastAsia"/>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8" w:type="pct"/>
            <w:vAlign w:val="center"/>
          </w:tcPr>
          <w:p>
            <w:pPr>
              <w:pStyle w:val="114"/>
              <w:widowControl/>
              <w:numPr>
                <w:ilvl w:val="0"/>
                <w:numId w:val="29"/>
              </w:numPr>
              <w:ind w:firstLineChars="0"/>
              <w:jc w:val="center"/>
            </w:pPr>
          </w:p>
        </w:tc>
        <w:tc>
          <w:tcPr>
            <w:tcW w:w="1957" w:type="pct"/>
            <w:gridSpan w:val="2"/>
            <w:vMerge w:val="continue"/>
            <w:vAlign w:val="center"/>
          </w:tcPr>
          <w:p>
            <w:pPr>
              <w:widowControl/>
              <w:jc w:val="center"/>
              <w:rPr>
                <w:color w:val="000000"/>
                <w:szCs w:val="21"/>
              </w:rPr>
            </w:pPr>
          </w:p>
        </w:tc>
        <w:tc>
          <w:tcPr>
            <w:tcW w:w="2413" w:type="pct"/>
            <w:vAlign w:val="center"/>
          </w:tcPr>
          <w:p>
            <w:pPr>
              <w:widowControl/>
              <w:jc w:val="center"/>
              <w:textAlignment w:val="center"/>
              <w:rPr>
                <w:rFonts w:hint="eastAsia" w:ascii="宋体" w:hAnsi="宋体"/>
                <w:color w:val="000000"/>
                <w:szCs w:val="21"/>
              </w:rPr>
            </w:pPr>
            <w:r>
              <w:rPr>
                <w:rFonts w:hint="eastAsia" w:ascii="宋体" w:hAnsi="宋体"/>
                <w:color w:val="000000"/>
                <w:szCs w:val="21"/>
              </w:rPr>
              <w:t>拟建站址西侧</w:t>
            </w:r>
            <w:r>
              <w:rPr>
                <w:rFonts w:hint="eastAsia" w:eastAsiaTheme="minorEastAsia"/>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8" w:type="pct"/>
            <w:vAlign w:val="center"/>
          </w:tcPr>
          <w:p>
            <w:pPr>
              <w:pStyle w:val="114"/>
              <w:widowControl/>
              <w:numPr>
                <w:ilvl w:val="0"/>
                <w:numId w:val="29"/>
              </w:numPr>
              <w:ind w:firstLineChars="0"/>
              <w:jc w:val="center"/>
            </w:pPr>
          </w:p>
        </w:tc>
        <w:tc>
          <w:tcPr>
            <w:tcW w:w="1957" w:type="pct"/>
            <w:gridSpan w:val="2"/>
            <w:vMerge w:val="continue"/>
            <w:vAlign w:val="center"/>
          </w:tcPr>
          <w:p>
            <w:pPr>
              <w:widowControl/>
              <w:jc w:val="center"/>
              <w:rPr>
                <w:color w:val="000000"/>
                <w:szCs w:val="21"/>
              </w:rPr>
            </w:pPr>
          </w:p>
        </w:tc>
        <w:tc>
          <w:tcPr>
            <w:tcW w:w="2413" w:type="pct"/>
            <w:vAlign w:val="center"/>
          </w:tcPr>
          <w:p>
            <w:pPr>
              <w:widowControl/>
              <w:jc w:val="center"/>
              <w:textAlignment w:val="center"/>
              <w:rPr>
                <w:rFonts w:hint="eastAsia" w:ascii="宋体" w:hAnsi="宋体"/>
                <w:color w:val="000000"/>
                <w:szCs w:val="21"/>
              </w:rPr>
            </w:pPr>
            <w:r>
              <w:rPr>
                <w:rFonts w:hint="eastAsia" w:ascii="宋体" w:hAnsi="宋体"/>
                <w:color w:val="000000"/>
                <w:szCs w:val="21"/>
              </w:rPr>
              <w:t>拟建站址中心</w:t>
            </w:r>
            <w:r>
              <w:rPr>
                <w:rFonts w:hint="eastAsia"/>
                <w:color w:val="00000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8" w:type="pct"/>
            <w:vAlign w:val="center"/>
          </w:tcPr>
          <w:p>
            <w:pPr>
              <w:pStyle w:val="114"/>
              <w:widowControl/>
              <w:numPr>
                <w:ilvl w:val="0"/>
                <w:numId w:val="30"/>
              </w:numPr>
              <w:ind w:firstLineChars="0"/>
              <w:jc w:val="center"/>
            </w:pPr>
          </w:p>
        </w:tc>
        <w:tc>
          <w:tcPr>
            <w:tcW w:w="4371" w:type="pct"/>
            <w:gridSpan w:val="3"/>
            <w:vAlign w:val="center"/>
          </w:tcPr>
          <w:p>
            <w:pPr>
              <w:widowControl/>
              <w:jc w:val="center"/>
              <w:rPr>
                <w:color w:val="000000"/>
                <w:szCs w:val="21"/>
              </w:rPr>
            </w:pPr>
            <w:r>
              <w:rPr>
                <w:rFonts w:hint="eastAsia"/>
                <w:color w:val="000000"/>
                <w:szCs w:val="21"/>
              </w:rPr>
              <w:t>吐鲁番市高昌区恰特喀勒乡新光村二组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8" w:type="pct"/>
            <w:vAlign w:val="center"/>
          </w:tcPr>
          <w:p>
            <w:pPr>
              <w:pStyle w:val="114"/>
              <w:widowControl/>
              <w:numPr>
                <w:ilvl w:val="0"/>
                <w:numId w:val="30"/>
              </w:numPr>
              <w:ind w:firstLineChars="0"/>
              <w:jc w:val="center"/>
            </w:pPr>
          </w:p>
        </w:tc>
        <w:tc>
          <w:tcPr>
            <w:tcW w:w="1802" w:type="pct"/>
            <w:vMerge w:val="restart"/>
            <w:vAlign w:val="center"/>
          </w:tcPr>
          <w:p>
            <w:pPr>
              <w:jc w:val="center"/>
              <w:rPr>
                <w:color w:val="000000"/>
                <w:szCs w:val="21"/>
              </w:rPr>
            </w:pPr>
            <w:r>
              <w:rPr>
                <w:rFonts w:hint="eastAsia"/>
                <w:color w:val="000000"/>
                <w:szCs w:val="21"/>
              </w:rPr>
              <w:t>吐鲁番市高昌区</w:t>
            </w:r>
          </w:p>
        </w:tc>
        <w:tc>
          <w:tcPr>
            <w:tcW w:w="2569" w:type="pct"/>
            <w:gridSpan w:val="2"/>
            <w:vAlign w:val="center"/>
          </w:tcPr>
          <w:p>
            <w:pPr>
              <w:widowControl/>
              <w:jc w:val="center"/>
              <w:rPr>
                <w:color w:val="000000"/>
                <w:szCs w:val="21"/>
              </w:rPr>
            </w:pPr>
            <w:r>
              <w:rPr>
                <w:rFonts w:hint="eastAsia"/>
                <w:color w:val="000000"/>
                <w:szCs w:val="21"/>
              </w:rPr>
              <w:t>现状值测点</w:t>
            </w:r>
            <w:r>
              <w:rPr>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8" w:type="pct"/>
            <w:vAlign w:val="center"/>
          </w:tcPr>
          <w:p>
            <w:pPr>
              <w:pStyle w:val="114"/>
              <w:widowControl/>
              <w:numPr>
                <w:ilvl w:val="0"/>
                <w:numId w:val="30"/>
              </w:numPr>
              <w:ind w:firstLineChars="0"/>
              <w:jc w:val="center"/>
            </w:pPr>
          </w:p>
        </w:tc>
        <w:tc>
          <w:tcPr>
            <w:tcW w:w="1802" w:type="pct"/>
            <w:vMerge w:val="continue"/>
            <w:vAlign w:val="center"/>
          </w:tcPr>
          <w:p>
            <w:pPr>
              <w:widowControl/>
              <w:jc w:val="center"/>
              <w:rPr>
                <w:color w:val="000000"/>
                <w:sz w:val="22"/>
              </w:rPr>
            </w:pPr>
          </w:p>
        </w:tc>
        <w:tc>
          <w:tcPr>
            <w:tcW w:w="2569" w:type="pct"/>
            <w:gridSpan w:val="2"/>
            <w:vAlign w:val="center"/>
          </w:tcPr>
          <w:p>
            <w:pPr>
              <w:widowControl/>
              <w:jc w:val="center"/>
              <w:rPr>
                <w:color w:val="000000"/>
              </w:rPr>
            </w:pPr>
            <w:r>
              <w:rPr>
                <w:rFonts w:hint="eastAsia"/>
                <w:color w:val="000000"/>
              </w:rPr>
              <w:t>现状值测点</w:t>
            </w:r>
            <w:r>
              <w:rPr>
                <w:color w:val="00000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8" w:type="pct"/>
            <w:vAlign w:val="center"/>
          </w:tcPr>
          <w:p>
            <w:pPr>
              <w:pStyle w:val="114"/>
              <w:widowControl/>
              <w:numPr>
                <w:ilvl w:val="0"/>
                <w:numId w:val="30"/>
              </w:numPr>
              <w:ind w:firstLineChars="0"/>
              <w:jc w:val="center"/>
            </w:pPr>
          </w:p>
        </w:tc>
        <w:tc>
          <w:tcPr>
            <w:tcW w:w="1802" w:type="pct"/>
            <w:vMerge w:val="continue"/>
            <w:vAlign w:val="center"/>
          </w:tcPr>
          <w:p>
            <w:pPr>
              <w:widowControl/>
              <w:jc w:val="center"/>
              <w:rPr>
                <w:color w:val="000000"/>
                <w:sz w:val="22"/>
              </w:rPr>
            </w:pPr>
          </w:p>
        </w:tc>
        <w:tc>
          <w:tcPr>
            <w:tcW w:w="2569" w:type="pct"/>
            <w:gridSpan w:val="2"/>
            <w:vAlign w:val="center"/>
          </w:tcPr>
          <w:p>
            <w:pPr>
              <w:widowControl/>
              <w:jc w:val="center"/>
              <w:rPr>
                <w:color w:val="000000"/>
              </w:rPr>
            </w:pPr>
            <w:r>
              <w:rPr>
                <w:rFonts w:hint="eastAsia"/>
                <w:color w:val="000000"/>
              </w:rPr>
              <w:t>现状值测点</w:t>
            </w:r>
            <w:r>
              <w:rPr>
                <w:color w:val="00000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8" w:type="pct"/>
            <w:vAlign w:val="center"/>
          </w:tcPr>
          <w:p>
            <w:pPr>
              <w:pStyle w:val="114"/>
              <w:widowControl/>
              <w:numPr>
                <w:ilvl w:val="0"/>
                <w:numId w:val="30"/>
              </w:numPr>
              <w:ind w:firstLineChars="0"/>
              <w:jc w:val="center"/>
            </w:pPr>
          </w:p>
        </w:tc>
        <w:tc>
          <w:tcPr>
            <w:tcW w:w="1802" w:type="pct"/>
            <w:vAlign w:val="center"/>
          </w:tcPr>
          <w:p>
            <w:pPr>
              <w:widowControl/>
              <w:jc w:val="center"/>
              <w:rPr>
                <w:color w:val="000000"/>
                <w:sz w:val="22"/>
              </w:rPr>
            </w:pPr>
            <w:r>
              <w:rPr>
                <w:rFonts w:hint="eastAsia"/>
                <w:color w:val="000000"/>
                <w:szCs w:val="21"/>
              </w:rPr>
              <w:t>吐鲁番市高昌区</w:t>
            </w:r>
          </w:p>
        </w:tc>
        <w:tc>
          <w:tcPr>
            <w:tcW w:w="2569" w:type="pct"/>
            <w:gridSpan w:val="2"/>
            <w:vAlign w:val="center"/>
          </w:tcPr>
          <w:p>
            <w:pPr>
              <w:widowControl/>
              <w:jc w:val="center"/>
              <w:rPr>
                <w:color w:val="000000"/>
              </w:rPr>
            </w:pPr>
            <w:r>
              <w:rPr>
                <w:rFonts w:hint="eastAsia"/>
                <w:color w:val="000000"/>
                <w:szCs w:val="21"/>
              </w:rPr>
              <w:t>现状值测点</w:t>
            </w:r>
            <w:r>
              <w:rPr>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8" w:type="pct"/>
            <w:vAlign w:val="center"/>
          </w:tcPr>
          <w:p>
            <w:pPr>
              <w:pStyle w:val="114"/>
              <w:widowControl/>
              <w:numPr>
                <w:ilvl w:val="0"/>
                <w:numId w:val="30"/>
              </w:numPr>
              <w:ind w:firstLineChars="0"/>
              <w:jc w:val="center"/>
            </w:pPr>
          </w:p>
        </w:tc>
        <w:tc>
          <w:tcPr>
            <w:tcW w:w="1802" w:type="pct"/>
            <w:vAlign w:val="center"/>
          </w:tcPr>
          <w:p>
            <w:pPr>
              <w:widowControl/>
              <w:jc w:val="center"/>
              <w:rPr>
                <w:color w:val="000000"/>
                <w:szCs w:val="21"/>
              </w:rPr>
            </w:pPr>
            <w:r>
              <w:rPr>
                <w:rFonts w:hint="eastAsia"/>
                <w:color w:val="000000"/>
                <w:szCs w:val="21"/>
              </w:rPr>
              <w:t>吐鲁番市高昌区</w:t>
            </w:r>
          </w:p>
        </w:tc>
        <w:tc>
          <w:tcPr>
            <w:tcW w:w="2569" w:type="pct"/>
            <w:gridSpan w:val="2"/>
            <w:vAlign w:val="center"/>
          </w:tcPr>
          <w:p>
            <w:pPr>
              <w:widowControl/>
              <w:jc w:val="center"/>
              <w:rPr>
                <w:color w:val="000000"/>
              </w:rPr>
            </w:pPr>
            <w:r>
              <w:rPr>
                <w:rFonts w:hint="eastAsia"/>
                <w:color w:val="000000"/>
                <w:szCs w:val="21"/>
              </w:rPr>
              <w:t>现状值测点</w:t>
            </w: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8" w:type="pct"/>
            <w:vAlign w:val="center"/>
          </w:tcPr>
          <w:p>
            <w:pPr>
              <w:pStyle w:val="114"/>
              <w:widowControl/>
              <w:numPr>
                <w:ilvl w:val="0"/>
                <w:numId w:val="30"/>
              </w:numPr>
              <w:ind w:firstLineChars="0"/>
              <w:jc w:val="center"/>
            </w:pPr>
          </w:p>
        </w:tc>
        <w:tc>
          <w:tcPr>
            <w:tcW w:w="1802" w:type="pct"/>
            <w:vMerge w:val="restart"/>
            <w:vAlign w:val="center"/>
          </w:tcPr>
          <w:p>
            <w:pPr>
              <w:widowControl/>
              <w:jc w:val="center"/>
              <w:rPr>
                <w:color w:val="000000"/>
                <w:szCs w:val="21"/>
              </w:rPr>
            </w:pPr>
            <w:r>
              <w:rPr>
                <w:rFonts w:hint="eastAsia"/>
                <w:color w:val="000000"/>
                <w:szCs w:val="21"/>
              </w:rPr>
              <w:t>吐鲁番市高昌区</w:t>
            </w:r>
          </w:p>
        </w:tc>
        <w:tc>
          <w:tcPr>
            <w:tcW w:w="2569" w:type="pct"/>
            <w:gridSpan w:val="2"/>
            <w:vAlign w:val="center"/>
          </w:tcPr>
          <w:p>
            <w:pPr>
              <w:widowControl/>
              <w:jc w:val="center"/>
              <w:rPr>
                <w:color w:val="000000"/>
              </w:rPr>
            </w:pPr>
            <w:r>
              <w:rPr>
                <w:rFonts w:hint="eastAsia"/>
                <w:color w:val="000000"/>
                <w:szCs w:val="21"/>
              </w:rPr>
              <w:t>现状值测点</w:t>
            </w:r>
            <w:r>
              <w:rPr>
                <w:color w:val="00000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8" w:type="pct"/>
            <w:vAlign w:val="center"/>
          </w:tcPr>
          <w:p>
            <w:pPr>
              <w:pStyle w:val="114"/>
              <w:widowControl/>
              <w:numPr>
                <w:ilvl w:val="0"/>
                <w:numId w:val="30"/>
              </w:numPr>
              <w:ind w:firstLineChars="0"/>
              <w:jc w:val="center"/>
            </w:pPr>
          </w:p>
        </w:tc>
        <w:tc>
          <w:tcPr>
            <w:tcW w:w="1802" w:type="pct"/>
            <w:vMerge w:val="continue"/>
            <w:vAlign w:val="center"/>
          </w:tcPr>
          <w:p>
            <w:pPr>
              <w:widowControl/>
              <w:jc w:val="center"/>
              <w:rPr>
                <w:color w:val="000000"/>
                <w:szCs w:val="21"/>
              </w:rPr>
            </w:pPr>
          </w:p>
        </w:tc>
        <w:tc>
          <w:tcPr>
            <w:tcW w:w="2569" w:type="pct"/>
            <w:gridSpan w:val="2"/>
            <w:vAlign w:val="center"/>
          </w:tcPr>
          <w:p>
            <w:pPr>
              <w:widowControl/>
              <w:jc w:val="center"/>
              <w:rPr>
                <w:color w:val="000000"/>
              </w:rPr>
            </w:pPr>
            <w:r>
              <w:rPr>
                <w:rFonts w:hint="eastAsia"/>
                <w:color w:val="000000"/>
              </w:rPr>
              <w:t>现状值测点</w:t>
            </w:r>
            <w:r>
              <w:rPr>
                <w:color w:val="000000"/>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8" w:type="pct"/>
            <w:vAlign w:val="center"/>
          </w:tcPr>
          <w:p>
            <w:pPr>
              <w:pStyle w:val="114"/>
              <w:widowControl/>
              <w:numPr>
                <w:ilvl w:val="0"/>
                <w:numId w:val="30"/>
              </w:numPr>
              <w:ind w:firstLineChars="0"/>
              <w:jc w:val="center"/>
            </w:pPr>
          </w:p>
        </w:tc>
        <w:tc>
          <w:tcPr>
            <w:tcW w:w="1802" w:type="pct"/>
            <w:vMerge w:val="continue"/>
            <w:vAlign w:val="center"/>
          </w:tcPr>
          <w:p>
            <w:pPr>
              <w:widowControl/>
              <w:jc w:val="center"/>
              <w:rPr>
                <w:color w:val="000000"/>
                <w:szCs w:val="21"/>
              </w:rPr>
            </w:pPr>
          </w:p>
        </w:tc>
        <w:tc>
          <w:tcPr>
            <w:tcW w:w="2569" w:type="pct"/>
            <w:gridSpan w:val="2"/>
            <w:vAlign w:val="center"/>
          </w:tcPr>
          <w:p>
            <w:pPr>
              <w:widowControl/>
              <w:jc w:val="center"/>
              <w:rPr>
                <w:color w:val="000000"/>
              </w:rPr>
            </w:pPr>
            <w:r>
              <w:rPr>
                <w:rFonts w:hint="eastAsia"/>
                <w:color w:val="000000"/>
              </w:rPr>
              <w:t>现状值测点</w:t>
            </w:r>
            <w:r>
              <w:rPr>
                <w:color w:val="00000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8" w:type="pct"/>
            <w:vAlign w:val="center"/>
          </w:tcPr>
          <w:p>
            <w:pPr>
              <w:pStyle w:val="114"/>
              <w:widowControl/>
              <w:numPr>
                <w:ilvl w:val="0"/>
                <w:numId w:val="30"/>
              </w:numPr>
              <w:ind w:firstLineChars="0"/>
              <w:jc w:val="center"/>
            </w:pPr>
          </w:p>
        </w:tc>
        <w:tc>
          <w:tcPr>
            <w:tcW w:w="1802" w:type="pct"/>
            <w:vMerge w:val="continue"/>
            <w:vAlign w:val="center"/>
          </w:tcPr>
          <w:p>
            <w:pPr>
              <w:widowControl/>
              <w:jc w:val="center"/>
              <w:rPr>
                <w:color w:val="000000"/>
                <w:szCs w:val="21"/>
              </w:rPr>
            </w:pPr>
          </w:p>
        </w:tc>
        <w:tc>
          <w:tcPr>
            <w:tcW w:w="2569" w:type="pct"/>
            <w:gridSpan w:val="2"/>
            <w:vAlign w:val="center"/>
          </w:tcPr>
          <w:p>
            <w:pPr>
              <w:widowControl/>
              <w:jc w:val="center"/>
              <w:rPr>
                <w:color w:val="000000"/>
              </w:rPr>
            </w:pPr>
            <w:r>
              <w:rPr>
                <w:rFonts w:hint="eastAsia"/>
                <w:color w:val="000000"/>
                <w:szCs w:val="21"/>
              </w:rPr>
              <w:t>现状值测点</w:t>
            </w:r>
            <w:r>
              <w:rPr>
                <w:color w:val="000000"/>
                <w:szCs w:val="21"/>
              </w:rPr>
              <w:t>9#</w:t>
            </w:r>
          </w:p>
        </w:tc>
      </w:tr>
    </w:tbl>
    <w:p>
      <w:pPr>
        <w:keepNext/>
        <w:keepLines/>
        <w:numPr>
          <w:ilvl w:val="1"/>
          <w:numId w:val="28"/>
        </w:numPr>
        <w:adjustRightInd w:val="0"/>
        <w:spacing w:line="360" w:lineRule="auto"/>
        <w:outlineLvl w:val="1"/>
        <w:rPr>
          <w:b/>
          <w:bCs/>
          <w:color w:val="000000"/>
          <w:sz w:val="28"/>
          <w:szCs w:val="32"/>
        </w:rPr>
      </w:pPr>
      <w:bookmarkStart w:id="828" w:name="_Toc31758"/>
      <w:r>
        <w:rPr>
          <w:rFonts w:hint="eastAsia"/>
          <w:b/>
          <w:bCs/>
          <w:color w:val="000000"/>
          <w:sz w:val="28"/>
          <w:szCs w:val="32"/>
        </w:rPr>
        <w:t>监测项目</w:t>
      </w:r>
      <w:bookmarkEnd w:id="828"/>
    </w:p>
    <w:p>
      <w:pPr>
        <w:spacing w:line="360" w:lineRule="auto"/>
        <w:ind w:firstLine="480" w:firstLineChars="200"/>
        <w:rPr>
          <w:color w:val="000000"/>
          <w:sz w:val="24"/>
          <w:szCs w:val="20"/>
        </w:rPr>
      </w:pPr>
      <w:r>
        <w:rPr>
          <w:rFonts w:hint="eastAsia"/>
          <w:color w:val="000000"/>
          <w:sz w:val="24"/>
          <w:szCs w:val="20"/>
        </w:rPr>
        <w:t>工频电场、工频磁场。</w:t>
      </w:r>
    </w:p>
    <w:p>
      <w:pPr>
        <w:keepNext/>
        <w:keepLines/>
        <w:numPr>
          <w:ilvl w:val="1"/>
          <w:numId w:val="28"/>
        </w:numPr>
        <w:adjustRightInd w:val="0"/>
        <w:spacing w:line="360" w:lineRule="auto"/>
        <w:outlineLvl w:val="1"/>
        <w:rPr>
          <w:b/>
          <w:bCs/>
          <w:color w:val="000000"/>
          <w:sz w:val="28"/>
          <w:szCs w:val="32"/>
        </w:rPr>
      </w:pPr>
      <w:bookmarkStart w:id="829" w:name="_Toc18322"/>
      <w:r>
        <w:rPr>
          <w:rFonts w:hint="eastAsia"/>
          <w:b/>
          <w:bCs/>
          <w:color w:val="000000"/>
          <w:sz w:val="28"/>
          <w:szCs w:val="32"/>
        </w:rPr>
        <w:t>监测时间、监测频次、监测单位</w:t>
      </w:r>
      <w:bookmarkEnd w:id="829"/>
    </w:p>
    <w:p>
      <w:pPr>
        <w:spacing w:line="360" w:lineRule="auto"/>
        <w:ind w:firstLine="480" w:firstLineChars="200"/>
        <w:rPr>
          <w:color w:val="000000"/>
          <w:sz w:val="24"/>
        </w:rPr>
      </w:pPr>
      <w:r>
        <w:rPr>
          <w:color w:val="000000"/>
          <w:sz w:val="24"/>
        </w:rPr>
        <w:t>监测时间：202</w:t>
      </w:r>
      <w:r>
        <w:rPr>
          <w:rFonts w:hint="eastAsia"/>
          <w:color w:val="000000"/>
          <w:sz w:val="24"/>
        </w:rPr>
        <w:t>5</w:t>
      </w:r>
      <w:r>
        <w:rPr>
          <w:color w:val="000000"/>
          <w:sz w:val="24"/>
        </w:rPr>
        <w:t>年10月</w:t>
      </w:r>
      <w:r>
        <w:rPr>
          <w:rFonts w:hint="eastAsia"/>
          <w:color w:val="000000"/>
          <w:sz w:val="24"/>
        </w:rPr>
        <w:t>1</w:t>
      </w:r>
      <w:r>
        <w:rPr>
          <w:color w:val="000000"/>
          <w:sz w:val="24"/>
        </w:rPr>
        <w:t>9日；</w:t>
      </w:r>
    </w:p>
    <w:p>
      <w:pPr>
        <w:spacing w:line="360" w:lineRule="auto"/>
        <w:ind w:firstLine="480" w:firstLineChars="200"/>
        <w:rPr>
          <w:color w:val="000000"/>
          <w:sz w:val="24"/>
          <w:szCs w:val="20"/>
        </w:rPr>
      </w:pPr>
      <w:r>
        <w:rPr>
          <w:rFonts w:hint="eastAsia"/>
          <w:color w:val="000000"/>
          <w:sz w:val="24"/>
          <w:szCs w:val="20"/>
        </w:rPr>
        <w:t>监测频次：昼间监测一次；</w:t>
      </w:r>
    </w:p>
    <w:p>
      <w:pPr>
        <w:spacing w:line="360" w:lineRule="auto"/>
        <w:ind w:firstLine="480" w:firstLineChars="200"/>
        <w:rPr>
          <w:color w:val="000000"/>
          <w:sz w:val="24"/>
          <w:szCs w:val="20"/>
        </w:rPr>
      </w:pPr>
      <w:r>
        <w:rPr>
          <w:rFonts w:hint="eastAsia"/>
          <w:color w:val="000000"/>
          <w:sz w:val="24"/>
          <w:szCs w:val="20"/>
        </w:rPr>
        <w:t>监测单位：武汉中电工程检测有限公司。</w:t>
      </w:r>
    </w:p>
    <w:p>
      <w:pPr>
        <w:keepNext/>
        <w:keepLines/>
        <w:numPr>
          <w:ilvl w:val="1"/>
          <w:numId w:val="28"/>
        </w:numPr>
        <w:adjustRightInd w:val="0"/>
        <w:spacing w:line="360" w:lineRule="auto"/>
        <w:outlineLvl w:val="1"/>
        <w:rPr>
          <w:b/>
          <w:bCs/>
          <w:color w:val="000000"/>
          <w:sz w:val="28"/>
          <w:szCs w:val="32"/>
        </w:rPr>
      </w:pPr>
      <w:bookmarkStart w:id="830" w:name="_Toc22633"/>
      <w:r>
        <w:rPr>
          <w:rFonts w:hint="eastAsia"/>
          <w:b/>
          <w:bCs/>
          <w:color w:val="000000"/>
          <w:sz w:val="28"/>
          <w:szCs w:val="32"/>
        </w:rPr>
        <w:t>监测环境</w:t>
      </w:r>
      <w:bookmarkEnd w:id="830"/>
    </w:p>
    <w:p>
      <w:pPr>
        <w:spacing w:line="360" w:lineRule="auto"/>
        <w:ind w:firstLine="480" w:firstLineChars="200"/>
        <w:rPr>
          <w:color w:val="000000"/>
          <w:sz w:val="24"/>
          <w:szCs w:val="20"/>
        </w:rPr>
      </w:pPr>
      <w:r>
        <w:rPr>
          <w:rFonts w:hint="eastAsia"/>
          <w:color w:val="000000"/>
          <w:sz w:val="24"/>
          <w:szCs w:val="20"/>
        </w:rPr>
        <w:t>监测时环境条</w:t>
      </w:r>
      <w:r>
        <w:rPr>
          <w:rFonts w:hint="eastAsia"/>
          <w:color w:val="000000"/>
          <w:sz w:val="24"/>
        </w:rPr>
        <w:t>件见</w:t>
      </w:r>
      <w:r>
        <w:rPr>
          <w:rFonts w:hint="eastAsia"/>
          <w:color w:val="000000"/>
          <w:sz w:val="24"/>
          <w:szCs w:val="20"/>
        </w:rPr>
        <w:fldChar w:fldCharType="begin"/>
      </w:r>
      <w:r>
        <w:rPr>
          <w:rFonts w:hint="eastAsia"/>
          <w:color w:val="000000"/>
          <w:sz w:val="24"/>
          <w:szCs w:val="20"/>
        </w:rPr>
        <w:instrText xml:space="preserve"> REF _Ref11228 \h </w:instrText>
      </w:r>
      <w:r>
        <w:rPr>
          <w:color w:val="000000"/>
          <w:sz w:val="24"/>
          <w:szCs w:val="20"/>
        </w:rPr>
        <w:instrText xml:space="preserve"> \* MERGEFORMAT </w:instrText>
      </w:r>
      <w:r>
        <w:rPr>
          <w:rFonts w:hint="eastAsia"/>
          <w:color w:val="000000"/>
          <w:sz w:val="24"/>
          <w:szCs w:val="20"/>
        </w:rPr>
        <w:fldChar w:fldCharType="separate"/>
      </w:r>
      <w:r>
        <w:rPr>
          <w:rFonts w:hint="eastAsia"/>
          <w:color w:val="000000"/>
          <w:sz w:val="24"/>
          <w:szCs w:val="20"/>
        </w:rPr>
        <w:t xml:space="preserve">表 </w:t>
      </w:r>
      <w:r>
        <w:rPr>
          <w:color w:val="000000"/>
          <w:sz w:val="24"/>
          <w:szCs w:val="20"/>
        </w:rPr>
        <w:t>29</w:t>
      </w:r>
      <w:r>
        <w:rPr>
          <w:rFonts w:hint="eastAsia"/>
          <w:color w:val="000000"/>
          <w:sz w:val="24"/>
          <w:szCs w:val="20"/>
        </w:rPr>
        <w:fldChar w:fldCharType="end"/>
      </w:r>
      <w:r>
        <w:rPr>
          <w:rFonts w:hint="eastAsia"/>
          <w:color w:val="000000"/>
          <w:sz w:val="24"/>
          <w:szCs w:val="20"/>
        </w:rPr>
        <w:t>。</w:t>
      </w:r>
    </w:p>
    <w:p>
      <w:pPr>
        <w:rPr>
          <w:rFonts w:hint="eastAsia" w:ascii="黑体" w:hAnsi="黑体" w:eastAsia="黑体" w:cs="黑体"/>
          <w:bCs/>
        </w:rPr>
      </w:pPr>
      <w:bookmarkStart w:id="831" w:name="_Ref11228"/>
      <w:r>
        <w:rPr>
          <w:rFonts w:hint="eastAsia" w:ascii="黑体" w:hAnsi="黑体" w:eastAsia="黑体" w:cs="黑体"/>
          <w:bCs/>
        </w:rPr>
        <w:t xml:space="preserve">表 </w:t>
      </w:r>
      <w:r>
        <w:rPr>
          <w:rFonts w:hint="eastAsia" w:ascii="黑体" w:hAnsi="黑体" w:eastAsia="黑体" w:cs="黑体"/>
          <w:bCs/>
        </w:rPr>
        <w:fldChar w:fldCharType="begin"/>
      </w:r>
      <w:r>
        <w:rPr>
          <w:rFonts w:hint="eastAsia" w:ascii="黑体" w:hAnsi="黑体" w:eastAsia="黑体" w:cs="黑体"/>
          <w:bCs/>
        </w:rPr>
        <w:instrText xml:space="preserve"> SEQ 表 \* ARABIC </w:instrText>
      </w:r>
      <w:r>
        <w:rPr>
          <w:rFonts w:hint="eastAsia" w:ascii="黑体" w:hAnsi="黑体" w:eastAsia="黑体" w:cs="黑体"/>
          <w:bCs/>
        </w:rPr>
        <w:fldChar w:fldCharType="separate"/>
      </w:r>
      <w:r>
        <w:rPr>
          <w:rFonts w:ascii="黑体" w:hAnsi="黑体" w:eastAsia="黑体" w:cs="黑体"/>
          <w:bCs/>
        </w:rPr>
        <w:t>29</w:t>
      </w:r>
      <w:r>
        <w:rPr>
          <w:rFonts w:hint="eastAsia" w:ascii="黑体" w:hAnsi="黑体" w:eastAsia="黑体" w:cs="黑体"/>
          <w:bCs/>
        </w:rPr>
        <w:fldChar w:fldCharType="end"/>
      </w:r>
      <w:bookmarkEnd w:id="831"/>
      <w:r>
        <w:rPr>
          <w:rFonts w:hint="eastAsia" w:ascii="黑体" w:hAnsi="黑体" w:eastAsia="黑体" w:cs="黑体"/>
          <w:bCs/>
        </w:rPr>
        <w:t xml:space="preserve">                      电磁环境监测时环境条件一览表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2647"/>
        <w:gridCol w:w="1464"/>
        <w:gridCol w:w="654"/>
        <w:gridCol w:w="815"/>
        <w:gridCol w:w="650"/>
        <w:gridCol w:w="650"/>
        <w:gridCol w:w="581"/>
        <w:gridCol w:w="716"/>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 w:type="pct"/>
            <w:vMerge w:val="restart"/>
            <w:vAlign w:val="center"/>
          </w:tcPr>
          <w:p>
            <w:pPr>
              <w:widowControl/>
              <w:jc w:val="center"/>
              <w:rPr>
                <w:b/>
                <w:kern w:val="0"/>
                <w:szCs w:val="21"/>
              </w:rPr>
            </w:pPr>
            <w:r>
              <w:rPr>
                <w:b/>
                <w:kern w:val="0"/>
                <w:szCs w:val="21"/>
              </w:rPr>
              <w:t>序号</w:t>
            </w:r>
          </w:p>
        </w:tc>
        <w:tc>
          <w:tcPr>
            <w:tcW w:w="1425" w:type="pct"/>
            <w:vMerge w:val="restart"/>
            <w:vAlign w:val="center"/>
          </w:tcPr>
          <w:p>
            <w:pPr>
              <w:widowControl/>
              <w:jc w:val="center"/>
              <w:rPr>
                <w:b/>
                <w:bCs/>
                <w:kern w:val="0"/>
                <w:szCs w:val="21"/>
              </w:rPr>
            </w:pPr>
            <w:r>
              <w:rPr>
                <w:b/>
                <w:bCs/>
                <w:kern w:val="0"/>
                <w:szCs w:val="21"/>
              </w:rPr>
              <w:t>检测点位</w:t>
            </w:r>
          </w:p>
        </w:tc>
        <w:tc>
          <w:tcPr>
            <w:tcW w:w="788" w:type="pct"/>
            <w:vMerge w:val="restart"/>
            <w:vAlign w:val="center"/>
          </w:tcPr>
          <w:p>
            <w:pPr>
              <w:widowControl/>
              <w:jc w:val="center"/>
              <w:rPr>
                <w:b/>
                <w:bCs/>
                <w:kern w:val="0"/>
                <w:szCs w:val="21"/>
              </w:rPr>
            </w:pPr>
            <w:r>
              <w:rPr>
                <w:b/>
                <w:kern w:val="0"/>
                <w:szCs w:val="21"/>
              </w:rPr>
              <w:t>检测时间</w:t>
            </w:r>
          </w:p>
        </w:tc>
        <w:tc>
          <w:tcPr>
            <w:tcW w:w="352" w:type="pct"/>
            <w:vMerge w:val="restart"/>
            <w:vAlign w:val="center"/>
          </w:tcPr>
          <w:p>
            <w:pPr>
              <w:jc w:val="center"/>
              <w:rPr>
                <w:b/>
                <w:bCs/>
                <w:kern w:val="0"/>
                <w:szCs w:val="21"/>
              </w:rPr>
            </w:pPr>
            <w:r>
              <w:rPr>
                <w:b/>
                <w:bCs/>
                <w:kern w:val="0"/>
                <w:szCs w:val="21"/>
              </w:rPr>
              <w:t>天气</w:t>
            </w:r>
          </w:p>
        </w:tc>
        <w:tc>
          <w:tcPr>
            <w:tcW w:w="2202" w:type="pct"/>
            <w:gridSpan w:val="6"/>
            <w:vAlign w:val="center"/>
          </w:tcPr>
          <w:p>
            <w:pPr>
              <w:widowControl/>
              <w:jc w:val="center"/>
              <w:rPr>
                <w:b/>
                <w:bCs/>
                <w:kern w:val="0"/>
                <w:szCs w:val="21"/>
              </w:rPr>
            </w:pPr>
            <w:r>
              <w:rPr>
                <w:b/>
                <w:bCs/>
                <w:kern w:val="0"/>
                <w:szCs w:val="21"/>
              </w:rPr>
              <w:t>气象参数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 w:type="pct"/>
            <w:vMerge w:val="continue"/>
            <w:vAlign w:val="center"/>
          </w:tcPr>
          <w:p>
            <w:pPr>
              <w:widowControl/>
              <w:jc w:val="center"/>
              <w:rPr>
                <w:b/>
                <w:kern w:val="0"/>
                <w:szCs w:val="21"/>
              </w:rPr>
            </w:pPr>
          </w:p>
        </w:tc>
        <w:tc>
          <w:tcPr>
            <w:tcW w:w="1425" w:type="pct"/>
            <w:vMerge w:val="continue"/>
            <w:vAlign w:val="center"/>
          </w:tcPr>
          <w:p>
            <w:pPr>
              <w:widowControl/>
              <w:jc w:val="center"/>
              <w:rPr>
                <w:b/>
                <w:bCs/>
                <w:kern w:val="0"/>
                <w:szCs w:val="21"/>
              </w:rPr>
            </w:pPr>
          </w:p>
        </w:tc>
        <w:tc>
          <w:tcPr>
            <w:tcW w:w="788" w:type="pct"/>
            <w:vMerge w:val="continue"/>
            <w:vAlign w:val="center"/>
          </w:tcPr>
          <w:p>
            <w:pPr>
              <w:widowControl/>
              <w:jc w:val="center"/>
              <w:rPr>
                <w:b/>
                <w:kern w:val="0"/>
                <w:szCs w:val="21"/>
              </w:rPr>
            </w:pPr>
          </w:p>
        </w:tc>
        <w:tc>
          <w:tcPr>
            <w:tcW w:w="352" w:type="pct"/>
            <w:vMerge w:val="continue"/>
            <w:vAlign w:val="center"/>
          </w:tcPr>
          <w:p>
            <w:pPr>
              <w:widowControl/>
              <w:jc w:val="center"/>
              <w:rPr>
                <w:b/>
                <w:bCs/>
                <w:kern w:val="0"/>
                <w:szCs w:val="21"/>
              </w:rPr>
            </w:pPr>
          </w:p>
        </w:tc>
        <w:tc>
          <w:tcPr>
            <w:tcW w:w="439" w:type="pct"/>
            <w:vMerge w:val="restart"/>
            <w:vAlign w:val="center"/>
          </w:tcPr>
          <w:p>
            <w:pPr>
              <w:jc w:val="center"/>
              <w:rPr>
                <w:b/>
                <w:bCs/>
                <w:kern w:val="0"/>
                <w:szCs w:val="21"/>
              </w:rPr>
            </w:pPr>
            <w:r>
              <w:rPr>
                <w:b/>
                <w:bCs/>
                <w:kern w:val="0"/>
                <w:szCs w:val="21"/>
              </w:rPr>
              <w:t>湿度</w:t>
            </w:r>
            <w:r>
              <w:rPr>
                <w:b/>
                <w:bCs/>
                <w:spacing w:val="-20"/>
                <w:kern w:val="0"/>
                <w:szCs w:val="21"/>
              </w:rPr>
              <w:t>（RH%）</w:t>
            </w:r>
          </w:p>
        </w:tc>
        <w:tc>
          <w:tcPr>
            <w:tcW w:w="700" w:type="pct"/>
            <w:gridSpan w:val="2"/>
            <w:tcBorders>
              <w:right w:val="single" w:color="auto" w:sz="2" w:space="0"/>
            </w:tcBorders>
            <w:vAlign w:val="center"/>
          </w:tcPr>
          <w:p>
            <w:pPr>
              <w:widowControl/>
              <w:jc w:val="center"/>
              <w:rPr>
                <w:b/>
                <w:bCs/>
                <w:kern w:val="0"/>
                <w:szCs w:val="21"/>
              </w:rPr>
            </w:pPr>
            <w:r>
              <w:rPr>
                <w:b/>
                <w:bCs/>
                <w:kern w:val="0"/>
                <w:szCs w:val="21"/>
              </w:rPr>
              <w:t>温度（℃）</w:t>
            </w:r>
          </w:p>
        </w:tc>
        <w:tc>
          <w:tcPr>
            <w:tcW w:w="313" w:type="pct"/>
            <w:vMerge w:val="restart"/>
            <w:tcBorders>
              <w:left w:val="single" w:color="auto" w:sz="2" w:space="0"/>
            </w:tcBorders>
            <w:vAlign w:val="center"/>
          </w:tcPr>
          <w:p>
            <w:pPr>
              <w:widowControl/>
              <w:jc w:val="center"/>
              <w:rPr>
                <w:b/>
                <w:bCs/>
                <w:kern w:val="0"/>
                <w:szCs w:val="21"/>
              </w:rPr>
            </w:pPr>
            <w:r>
              <w:rPr>
                <w:b/>
                <w:bCs/>
                <w:kern w:val="0"/>
                <w:szCs w:val="21"/>
              </w:rPr>
              <w:t>风向</w:t>
            </w:r>
          </w:p>
        </w:tc>
        <w:tc>
          <w:tcPr>
            <w:tcW w:w="751" w:type="pct"/>
            <w:gridSpan w:val="2"/>
            <w:tcBorders>
              <w:left w:val="single" w:color="auto" w:sz="2" w:space="0"/>
            </w:tcBorders>
            <w:vAlign w:val="center"/>
          </w:tcPr>
          <w:p>
            <w:pPr>
              <w:widowControl/>
              <w:jc w:val="center"/>
              <w:rPr>
                <w:b/>
                <w:bCs/>
                <w:kern w:val="0"/>
                <w:szCs w:val="21"/>
              </w:rPr>
            </w:pPr>
            <w:r>
              <w:rPr>
                <w:b/>
                <w:bCs/>
                <w:kern w:val="0"/>
                <w:szCs w:val="21"/>
              </w:rPr>
              <w:t>风速（</w:t>
            </w:r>
            <w:r>
              <w:rPr>
                <w:b/>
                <w:szCs w:val="21"/>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 w:type="pct"/>
            <w:vMerge w:val="continue"/>
            <w:vAlign w:val="center"/>
          </w:tcPr>
          <w:p>
            <w:pPr>
              <w:widowControl/>
              <w:jc w:val="center"/>
              <w:rPr>
                <w:b/>
                <w:kern w:val="0"/>
                <w:szCs w:val="21"/>
              </w:rPr>
            </w:pPr>
          </w:p>
        </w:tc>
        <w:tc>
          <w:tcPr>
            <w:tcW w:w="1425" w:type="pct"/>
            <w:vMerge w:val="continue"/>
            <w:vAlign w:val="center"/>
          </w:tcPr>
          <w:p>
            <w:pPr>
              <w:widowControl/>
              <w:jc w:val="center"/>
              <w:rPr>
                <w:b/>
                <w:bCs/>
                <w:kern w:val="0"/>
                <w:szCs w:val="21"/>
              </w:rPr>
            </w:pPr>
          </w:p>
        </w:tc>
        <w:tc>
          <w:tcPr>
            <w:tcW w:w="788" w:type="pct"/>
            <w:vMerge w:val="continue"/>
            <w:vAlign w:val="center"/>
          </w:tcPr>
          <w:p>
            <w:pPr>
              <w:widowControl/>
              <w:jc w:val="center"/>
              <w:rPr>
                <w:b/>
                <w:kern w:val="0"/>
                <w:szCs w:val="21"/>
              </w:rPr>
            </w:pPr>
          </w:p>
        </w:tc>
        <w:tc>
          <w:tcPr>
            <w:tcW w:w="352" w:type="pct"/>
            <w:vMerge w:val="continue"/>
            <w:vAlign w:val="center"/>
          </w:tcPr>
          <w:p>
            <w:pPr>
              <w:widowControl/>
              <w:jc w:val="center"/>
              <w:rPr>
                <w:b/>
                <w:bCs/>
                <w:kern w:val="0"/>
                <w:szCs w:val="21"/>
              </w:rPr>
            </w:pPr>
          </w:p>
        </w:tc>
        <w:tc>
          <w:tcPr>
            <w:tcW w:w="439" w:type="pct"/>
            <w:vMerge w:val="continue"/>
            <w:vAlign w:val="center"/>
          </w:tcPr>
          <w:p>
            <w:pPr>
              <w:widowControl/>
              <w:jc w:val="center"/>
              <w:rPr>
                <w:b/>
                <w:bCs/>
                <w:kern w:val="0"/>
                <w:szCs w:val="21"/>
              </w:rPr>
            </w:pPr>
          </w:p>
        </w:tc>
        <w:tc>
          <w:tcPr>
            <w:tcW w:w="350" w:type="pct"/>
            <w:tcBorders>
              <w:right w:val="single" w:color="auto" w:sz="2" w:space="0"/>
            </w:tcBorders>
            <w:vAlign w:val="center"/>
          </w:tcPr>
          <w:p>
            <w:pPr>
              <w:widowControl/>
              <w:jc w:val="center"/>
              <w:rPr>
                <w:b/>
                <w:bCs/>
                <w:kern w:val="0"/>
                <w:szCs w:val="21"/>
              </w:rPr>
            </w:pPr>
            <w:r>
              <w:rPr>
                <w:b/>
                <w:bCs/>
                <w:kern w:val="0"/>
                <w:szCs w:val="21"/>
              </w:rPr>
              <w:t>昼间</w:t>
            </w:r>
          </w:p>
        </w:tc>
        <w:tc>
          <w:tcPr>
            <w:tcW w:w="350" w:type="pct"/>
            <w:tcBorders>
              <w:right w:val="single" w:color="auto" w:sz="2" w:space="0"/>
            </w:tcBorders>
            <w:vAlign w:val="center"/>
          </w:tcPr>
          <w:p>
            <w:pPr>
              <w:widowControl/>
              <w:jc w:val="center"/>
              <w:rPr>
                <w:b/>
                <w:bCs/>
                <w:kern w:val="0"/>
                <w:szCs w:val="21"/>
              </w:rPr>
            </w:pPr>
            <w:r>
              <w:rPr>
                <w:b/>
                <w:bCs/>
                <w:kern w:val="0"/>
                <w:szCs w:val="21"/>
              </w:rPr>
              <w:t>夜间</w:t>
            </w:r>
          </w:p>
        </w:tc>
        <w:tc>
          <w:tcPr>
            <w:tcW w:w="313" w:type="pct"/>
            <w:vMerge w:val="continue"/>
            <w:tcBorders>
              <w:left w:val="single" w:color="auto" w:sz="2" w:space="0"/>
            </w:tcBorders>
            <w:vAlign w:val="center"/>
          </w:tcPr>
          <w:p>
            <w:pPr>
              <w:widowControl/>
              <w:jc w:val="center"/>
              <w:rPr>
                <w:b/>
                <w:bCs/>
                <w:kern w:val="0"/>
                <w:szCs w:val="21"/>
              </w:rPr>
            </w:pPr>
          </w:p>
        </w:tc>
        <w:tc>
          <w:tcPr>
            <w:tcW w:w="386" w:type="pct"/>
            <w:tcBorders>
              <w:left w:val="single" w:color="auto" w:sz="2" w:space="0"/>
            </w:tcBorders>
            <w:vAlign w:val="center"/>
          </w:tcPr>
          <w:p>
            <w:pPr>
              <w:widowControl/>
              <w:jc w:val="center"/>
              <w:rPr>
                <w:b/>
                <w:bCs/>
                <w:kern w:val="0"/>
                <w:szCs w:val="21"/>
              </w:rPr>
            </w:pPr>
            <w:r>
              <w:rPr>
                <w:b/>
                <w:bCs/>
                <w:kern w:val="0"/>
                <w:szCs w:val="21"/>
              </w:rPr>
              <w:t>昼间</w:t>
            </w:r>
          </w:p>
        </w:tc>
        <w:tc>
          <w:tcPr>
            <w:tcW w:w="365" w:type="pct"/>
            <w:tcBorders>
              <w:left w:val="single" w:color="auto" w:sz="2" w:space="0"/>
            </w:tcBorders>
            <w:vAlign w:val="center"/>
          </w:tcPr>
          <w:p>
            <w:pPr>
              <w:widowControl/>
              <w:jc w:val="center"/>
              <w:rPr>
                <w:b/>
                <w:bCs/>
                <w:kern w:val="0"/>
                <w:szCs w:val="21"/>
              </w:rPr>
            </w:pPr>
            <w:r>
              <w:rPr>
                <w:b/>
                <w:bCs/>
                <w:kern w:val="0"/>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0"/>
            <w:vAlign w:val="center"/>
          </w:tcPr>
          <w:p>
            <w:pPr>
              <w:widowControl/>
              <w:jc w:val="center"/>
              <w:rPr>
                <w:kern w:val="0"/>
                <w:szCs w:val="21"/>
              </w:rPr>
            </w:pPr>
            <w:r>
              <w:rPr>
                <w:b/>
                <w:kern w:val="0"/>
                <w:szCs w:val="21"/>
              </w:rPr>
              <w:t>（一）东环110千伏变电站新建工程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232" w:type="pct"/>
            <w:vAlign w:val="center"/>
          </w:tcPr>
          <w:p>
            <w:pPr>
              <w:pStyle w:val="114"/>
              <w:widowControl/>
              <w:numPr>
                <w:ilvl w:val="0"/>
                <w:numId w:val="31"/>
              </w:numPr>
              <w:ind w:left="0" w:firstLine="0" w:firstLineChars="0"/>
              <w:jc w:val="center"/>
              <w:rPr>
                <w:kern w:val="0"/>
                <w:szCs w:val="21"/>
              </w:rPr>
            </w:pPr>
          </w:p>
        </w:tc>
        <w:tc>
          <w:tcPr>
            <w:tcW w:w="1425" w:type="pct"/>
            <w:vAlign w:val="center"/>
          </w:tcPr>
          <w:p>
            <w:pPr>
              <w:widowControl/>
              <w:jc w:val="center"/>
              <w:rPr>
                <w:kern w:val="0"/>
                <w:szCs w:val="21"/>
              </w:rPr>
            </w:pPr>
            <w:r>
              <w:rPr>
                <w:kern w:val="0"/>
                <w:szCs w:val="21"/>
              </w:rPr>
              <w:t>东环110kV变电站站址东北侧1#</w:t>
            </w:r>
          </w:p>
        </w:tc>
        <w:tc>
          <w:tcPr>
            <w:tcW w:w="788" w:type="pct"/>
            <w:vAlign w:val="center"/>
          </w:tcPr>
          <w:p>
            <w:pPr>
              <w:widowControl/>
              <w:jc w:val="center"/>
              <w:rPr>
                <w:kern w:val="0"/>
                <w:szCs w:val="21"/>
              </w:rPr>
            </w:pPr>
            <w:r>
              <w:rPr>
                <w:kern w:val="0"/>
                <w:szCs w:val="21"/>
              </w:rPr>
              <w:t>2025.10.19</w:t>
            </w:r>
          </w:p>
        </w:tc>
        <w:tc>
          <w:tcPr>
            <w:tcW w:w="352" w:type="pct"/>
            <w:vAlign w:val="center"/>
          </w:tcPr>
          <w:p>
            <w:pPr>
              <w:widowControl/>
              <w:jc w:val="center"/>
              <w:rPr>
                <w:kern w:val="0"/>
                <w:szCs w:val="21"/>
              </w:rPr>
            </w:pPr>
            <w:r>
              <w:rPr>
                <w:kern w:val="0"/>
                <w:szCs w:val="21"/>
              </w:rPr>
              <w:t>晴</w:t>
            </w:r>
          </w:p>
        </w:tc>
        <w:tc>
          <w:tcPr>
            <w:tcW w:w="439" w:type="pct"/>
            <w:vAlign w:val="center"/>
          </w:tcPr>
          <w:p>
            <w:pPr>
              <w:widowControl/>
              <w:jc w:val="center"/>
              <w:rPr>
                <w:kern w:val="0"/>
                <w:szCs w:val="21"/>
              </w:rPr>
            </w:pPr>
            <w:r>
              <w:rPr>
                <w:kern w:val="0"/>
                <w:szCs w:val="21"/>
              </w:rPr>
              <w:t>15.4</w:t>
            </w:r>
          </w:p>
        </w:tc>
        <w:tc>
          <w:tcPr>
            <w:tcW w:w="350" w:type="pct"/>
            <w:tcBorders>
              <w:right w:val="single" w:color="auto" w:sz="2" w:space="0"/>
            </w:tcBorders>
            <w:vAlign w:val="center"/>
          </w:tcPr>
          <w:p>
            <w:pPr>
              <w:widowControl/>
              <w:jc w:val="center"/>
              <w:rPr>
                <w:kern w:val="0"/>
                <w:szCs w:val="21"/>
              </w:rPr>
            </w:pPr>
            <w:r>
              <w:rPr>
                <w:kern w:val="0"/>
                <w:szCs w:val="21"/>
              </w:rPr>
              <w:t>22.9</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13" w:type="pct"/>
            <w:tcBorders>
              <w:left w:val="single" w:color="auto" w:sz="2" w:space="0"/>
            </w:tcBorders>
            <w:vAlign w:val="center"/>
          </w:tcPr>
          <w:p>
            <w:pPr>
              <w:widowControl/>
              <w:jc w:val="center"/>
              <w:rPr>
                <w:kern w:val="0"/>
                <w:szCs w:val="21"/>
              </w:rPr>
            </w:pPr>
            <w:r>
              <w:rPr>
                <w:kern w:val="0"/>
                <w:szCs w:val="21"/>
              </w:rPr>
              <w:t>北</w:t>
            </w:r>
          </w:p>
        </w:tc>
        <w:tc>
          <w:tcPr>
            <w:tcW w:w="386" w:type="pct"/>
            <w:tcBorders>
              <w:left w:val="single" w:color="auto" w:sz="2" w:space="0"/>
            </w:tcBorders>
            <w:vAlign w:val="center"/>
          </w:tcPr>
          <w:p>
            <w:pPr>
              <w:widowControl/>
              <w:jc w:val="center"/>
              <w:rPr>
                <w:kern w:val="0"/>
                <w:szCs w:val="21"/>
              </w:rPr>
            </w:pPr>
            <w:r>
              <w:rPr>
                <w:kern w:val="0"/>
                <w:szCs w:val="21"/>
              </w:rPr>
              <w:t>0.5</w:t>
            </w:r>
          </w:p>
        </w:tc>
        <w:tc>
          <w:tcPr>
            <w:tcW w:w="365" w:type="pct"/>
            <w:tcBorders>
              <w:left w:val="single" w:color="auto" w:sz="2" w:space="0"/>
            </w:tcBorders>
            <w:vAlign w:val="center"/>
          </w:tcPr>
          <w:p>
            <w:pPr>
              <w:widowControl/>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32" w:type="pct"/>
            <w:vAlign w:val="center"/>
          </w:tcPr>
          <w:p>
            <w:pPr>
              <w:pStyle w:val="114"/>
              <w:widowControl/>
              <w:numPr>
                <w:ilvl w:val="0"/>
                <w:numId w:val="31"/>
              </w:numPr>
              <w:ind w:left="0" w:firstLine="0" w:firstLineChars="0"/>
              <w:jc w:val="center"/>
              <w:rPr>
                <w:kern w:val="0"/>
                <w:szCs w:val="21"/>
              </w:rPr>
            </w:pPr>
          </w:p>
        </w:tc>
        <w:tc>
          <w:tcPr>
            <w:tcW w:w="1425" w:type="pct"/>
            <w:vAlign w:val="center"/>
          </w:tcPr>
          <w:p>
            <w:pPr>
              <w:widowControl/>
              <w:jc w:val="center"/>
              <w:rPr>
                <w:kern w:val="0"/>
                <w:szCs w:val="21"/>
              </w:rPr>
            </w:pPr>
            <w:r>
              <w:rPr>
                <w:kern w:val="0"/>
                <w:szCs w:val="21"/>
              </w:rPr>
              <w:t>东环110kV变电站站址东南侧2#</w:t>
            </w:r>
          </w:p>
        </w:tc>
        <w:tc>
          <w:tcPr>
            <w:tcW w:w="788" w:type="pct"/>
            <w:vAlign w:val="center"/>
          </w:tcPr>
          <w:p>
            <w:pPr>
              <w:widowControl/>
              <w:jc w:val="center"/>
              <w:rPr>
                <w:kern w:val="0"/>
                <w:szCs w:val="21"/>
              </w:rPr>
            </w:pPr>
            <w:r>
              <w:rPr>
                <w:kern w:val="0"/>
                <w:szCs w:val="21"/>
              </w:rPr>
              <w:t>2025.10.19</w:t>
            </w:r>
          </w:p>
        </w:tc>
        <w:tc>
          <w:tcPr>
            <w:tcW w:w="352" w:type="pct"/>
            <w:vAlign w:val="center"/>
          </w:tcPr>
          <w:p>
            <w:pPr>
              <w:widowControl/>
              <w:jc w:val="center"/>
              <w:rPr>
                <w:kern w:val="0"/>
                <w:szCs w:val="21"/>
              </w:rPr>
            </w:pPr>
            <w:r>
              <w:rPr>
                <w:kern w:val="0"/>
                <w:szCs w:val="21"/>
              </w:rPr>
              <w:t>晴</w:t>
            </w:r>
          </w:p>
        </w:tc>
        <w:tc>
          <w:tcPr>
            <w:tcW w:w="439" w:type="pct"/>
            <w:vAlign w:val="center"/>
          </w:tcPr>
          <w:p>
            <w:pPr>
              <w:widowControl/>
              <w:jc w:val="center"/>
              <w:rPr>
                <w:kern w:val="0"/>
                <w:szCs w:val="21"/>
              </w:rPr>
            </w:pPr>
            <w:r>
              <w:rPr>
                <w:kern w:val="0"/>
                <w:szCs w:val="21"/>
              </w:rPr>
              <w:t>15.3</w:t>
            </w:r>
          </w:p>
        </w:tc>
        <w:tc>
          <w:tcPr>
            <w:tcW w:w="350" w:type="pct"/>
            <w:tcBorders>
              <w:right w:val="single" w:color="auto" w:sz="2" w:space="0"/>
            </w:tcBorders>
            <w:vAlign w:val="center"/>
          </w:tcPr>
          <w:p>
            <w:pPr>
              <w:widowControl/>
              <w:jc w:val="center"/>
              <w:rPr>
                <w:kern w:val="0"/>
                <w:szCs w:val="21"/>
              </w:rPr>
            </w:pPr>
            <w:r>
              <w:rPr>
                <w:kern w:val="0"/>
                <w:szCs w:val="21"/>
              </w:rPr>
              <w:t>22.9</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13" w:type="pct"/>
            <w:tcBorders>
              <w:left w:val="single" w:color="auto" w:sz="2" w:space="0"/>
            </w:tcBorders>
            <w:vAlign w:val="center"/>
          </w:tcPr>
          <w:p>
            <w:pPr>
              <w:widowControl/>
              <w:jc w:val="center"/>
              <w:rPr>
                <w:kern w:val="0"/>
                <w:szCs w:val="21"/>
              </w:rPr>
            </w:pPr>
            <w:r>
              <w:rPr>
                <w:kern w:val="0"/>
                <w:szCs w:val="21"/>
              </w:rPr>
              <w:t>北</w:t>
            </w:r>
          </w:p>
        </w:tc>
        <w:tc>
          <w:tcPr>
            <w:tcW w:w="386" w:type="pct"/>
            <w:tcBorders>
              <w:left w:val="single" w:color="auto" w:sz="2" w:space="0"/>
            </w:tcBorders>
            <w:vAlign w:val="center"/>
          </w:tcPr>
          <w:p>
            <w:pPr>
              <w:widowControl/>
              <w:jc w:val="center"/>
              <w:rPr>
                <w:kern w:val="0"/>
                <w:szCs w:val="21"/>
              </w:rPr>
            </w:pPr>
            <w:r>
              <w:rPr>
                <w:kern w:val="0"/>
                <w:szCs w:val="21"/>
              </w:rPr>
              <w:t>0.6</w:t>
            </w:r>
          </w:p>
        </w:tc>
        <w:tc>
          <w:tcPr>
            <w:tcW w:w="365" w:type="pct"/>
            <w:tcBorders>
              <w:left w:val="single" w:color="auto" w:sz="2" w:space="0"/>
            </w:tcBorders>
            <w:vAlign w:val="center"/>
          </w:tcPr>
          <w:p>
            <w:pPr>
              <w:widowControl/>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32" w:type="pct"/>
            <w:vAlign w:val="center"/>
          </w:tcPr>
          <w:p>
            <w:pPr>
              <w:pStyle w:val="114"/>
              <w:widowControl/>
              <w:numPr>
                <w:ilvl w:val="0"/>
                <w:numId w:val="31"/>
              </w:numPr>
              <w:ind w:left="0" w:firstLine="0" w:firstLineChars="0"/>
              <w:jc w:val="center"/>
              <w:rPr>
                <w:kern w:val="0"/>
                <w:szCs w:val="21"/>
              </w:rPr>
            </w:pPr>
          </w:p>
        </w:tc>
        <w:tc>
          <w:tcPr>
            <w:tcW w:w="1425" w:type="pct"/>
            <w:vAlign w:val="center"/>
          </w:tcPr>
          <w:p>
            <w:pPr>
              <w:widowControl/>
              <w:jc w:val="center"/>
              <w:rPr>
                <w:kern w:val="0"/>
                <w:szCs w:val="21"/>
              </w:rPr>
            </w:pPr>
            <w:r>
              <w:rPr>
                <w:kern w:val="0"/>
                <w:szCs w:val="21"/>
              </w:rPr>
              <w:t>东环110kV变电站站址西南侧3#</w:t>
            </w:r>
          </w:p>
        </w:tc>
        <w:tc>
          <w:tcPr>
            <w:tcW w:w="788" w:type="pct"/>
            <w:vAlign w:val="center"/>
          </w:tcPr>
          <w:p>
            <w:pPr>
              <w:widowControl/>
              <w:jc w:val="center"/>
              <w:rPr>
                <w:kern w:val="0"/>
                <w:szCs w:val="21"/>
              </w:rPr>
            </w:pPr>
            <w:r>
              <w:rPr>
                <w:kern w:val="0"/>
                <w:szCs w:val="21"/>
              </w:rPr>
              <w:t>2025.10.19</w:t>
            </w:r>
          </w:p>
        </w:tc>
        <w:tc>
          <w:tcPr>
            <w:tcW w:w="352" w:type="pct"/>
            <w:vAlign w:val="center"/>
          </w:tcPr>
          <w:p>
            <w:pPr>
              <w:widowControl/>
              <w:jc w:val="center"/>
              <w:rPr>
                <w:kern w:val="0"/>
                <w:szCs w:val="21"/>
              </w:rPr>
            </w:pPr>
            <w:r>
              <w:rPr>
                <w:kern w:val="0"/>
                <w:szCs w:val="21"/>
              </w:rPr>
              <w:t>晴</w:t>
            </w:r>
          </w:p>
        </w:tc>
        <w:tc>
          <w:tcPr>
            <w:tcW w:w="439" w:type="pct"/>
            <w:vAlign w:val="center"/>
          </w:tcPr>
          <w:p>
            <w:pPr>
              <w:widowControl/>
              <w:jc w:val="center"/>
              <w:rPr>
                <w:kern w:val="0"/>
                <w:szCs w:val="21"/>
              </w:rPr>
            </w:pPr>
            <w:r>
              <w:rPr>
                <w:kern w:val="0"/>
                <w:szCs w:val="21"/>
              </w:rPr>
              <w:t>15.4</w:t>
            </w:r>
          </w:p>
        </w:tc>
        <w:tc>
          <w:tcPr>
            <w:tcW w:w="350" w:type="pct"/>
            <w:tcBorders>
              <w:right w:val="single" w:color="auto" w:sz="2" w:space="0"/>
            </w:tcBorders>
            <w:vAlign w:val="center"/>
          </w:tcPr>
          <w:p>
            <w:pPr>
              <w:widowControl/>
              <w:jc w:val="center"/>
              <w:rPr>
                <w:kern w:val="0"/>
                <w:szCs w:val="21"/>
              </w:rPr>
            </w:pPr>
            <w:r>
              <w:rPr>
                <w:kern w:val="0"/>
                <w:szCs w:val="21"/>
              </w:rPr>
              <w:t>22.8</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13" w:type="pct"/>
            <w:tcBorders>
              <w:left w:val="single" w:color="auto" w:sz="2" w:space="0"/>
            </w:tcBorders>
            <w:vAlign w:val="center"/>
          </w:tcPr>
          <w:p>
            <w:pPr>
              <w:widowControl/>
              <w:jc w:val="center"/>
              <w:rPr>
                <w:kern w:val="0"/>
                <w:szCs w:val="21"/>
              </w:rPr>
            </w:pPr>
            <w:r>
              <w:rPr>
                <w:kern w:val="0"/>
                <w:szCs w:val="21"/>
              </w:rPr>
              <w:t>北</w:t>
            </w:r>
          </w:p>
        </w:tc>
        <w:tc>
          <w:tcPr>
            <w:tcW w:w="386" w:type="pct"/>
            <w:tcBorders>
              <w:left w:val="single" w:color="auto" w:sz="2" w:space="0"/>
            </w:tcBorders>
            <w:vAlign w:val="center"/>
          </w:tcPr>
          <w:p>
            <w:pPr>
              <w:widowControl/>
              <w:jc w:val="center"/>
              <w:rPr>
                <w:kern w:val="0"/>
                <w:szCs w:val="21"/>
              </w:rPr>
            </w:pPr>
            <w:r>
              <w:rPr>
                <w:kern w:val="0"/>
                <w:szCs w:val="21"/>
              </w:rPr>
              <w:t>0.7</w:t>
            </w:r>
          </w:p>
        </w:tc>
        <w:tc>
          <w:tcPr>
            <w:tcW w:w="365" w:type="pct"/>
            <w:tcBorders>
              <w:left w:val="single" w:color="auto" w:sz="2" w:space="0"/>
            </w:tcBorders>
            <w:vAlign w:val="center"/>
          </w:tcPr>
          <w:p>
            <w:pPr>
              <w:widowControl/>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32" w:type="pct"/>
            <w:vAlign w:val="center"/>
          </w:tcPr>
          <w:p>
            <w:pPr>
              <w:pStyle w:val="114"/>
              <w:widowControl/>
              <w:numPr>
                <w:ilvl w:val="0"/>
                <w:numId w:val="31"/>
              </w:numPr>
              <w:ind w:left="0" w:firstLine="0" w:firstLineChars="0"/>
              <w:jc w:val="center"/>
              <w:rPr>
                <w:kern w:val="0"/>
                <w:szCs w:val="21"/>
              </w:rPr>
            </w:pPr>
          </w:p>
        </w:tc>
        <w:tc>
          <w:tcPr>
            <w:tcW w:w="1425" w:type="pct"/>
            <w:vAlign w:val="center"/>
          </w:tcPr>
          <w:p>
            <w:pPr>
              <w:widowControl/>
              <w:jc w:val="center"/>
              <w:rPr>
                <w:kern w:val="0"/>
                <w:szCs w:val="21"/>
              </w:rPr>
            </w:pPr>
            <w:r>
              <w:rPr>
                <w:kern w:val="0"/>
                <w:szCs w:val="21"/>
              </w:rPr>
              <w:t>东环110kV变电站站址西北侧4#</w:t>
            </w:r>
          </w:p>
        </w:tc>
        <w:tc>
          <w:tcPr>
            <w:tcW w:w="788" w:type="pct"/>
            <w:vAlign w:val="center"/>
          </w:tcPr>
          <w:p>
            <w:pPr>
              <w:widowControl/>
              <w:jc w:val="center"/>
              <w:rPr>
                <w:kern w:val="0"/>
                <w:szCs w:val="21"/>
              </w:rPr>
            </w:pPr>
            <w:r>
              <w:rPr>
                <w:kern w:val="0"/>
                <w:szCs w:val="21"/>
              </w:rPr>
              <w:t>2025.10.19</w:t>
            </w:r>
          </w:p>
        </w:tc>
        <w:tc>
          <w:tcPr>
            <w:tcW w:w="352" w:type="pct"/>
            <w:vAlign w:val="center"/>
          </w:tcPr>
          <w:p>
            <w:pPr>
              <w:widowControl/>
              <w:jc w:val="center"/>
              <w:rPr>
                <w:kern w:val="0"/>
                <w:szCs w:val="21"/>
              </w:rPr>
            </w:pPr>
            <w:r>
              <w:rPr>
                <w:kern w:val="0"/>
                <w:szCs w:val="21"/>
              </w:rPr>
              <w:t>晴</w:t>
            </w:r>
          </w:p>
        </w:tc>
        <w:tc>
          <w:tcPr>
            <w:tcW w:w="439" w:type="pct"/>
            <w:vAlign w:val="center"/>
          </w:tcPr>
          <w:p>
            <w:pPr>
              <w:widowControl/>
              <w:jc w:val="center"/>
              <w:rPr>
                <w:kern w:val="0"/>
                <w:szCs w:val="21"/>
              </w:rPr>
            </w:pPr>
            <w:r>
              <w:rPr>
                <w:kern w:val="0"/>
                <w:szCs w:val="21"/>
              </w:rPr>
              <w:t>15.2</w:t>
            </w:r>
          </w:p>
        </w:tc>
        <w:tc>
          <w:tcPr>
            <w:tcW w:w="350" w:type="pct"/>
            <w:tcBorders>
              <w:right w:val="single" w:color="auto" w:sz="2" w:space="0"/>
            </w:tcBorders>
            <w:vAlign w:val="center"/>
          </w:tcPr>
          <w:p>
            <w:pPr>
              <w:widowControl/>
              <w:jc w:val="center"/>
              <w:rPr>
                <w:kern w:val="0"/>
                <w:szCs w:val="21"/>
              </w:rPr>
            </w:pPr>
            <w:r>
              <w:rPr>
                <w:kern w:val="0"/>
                <w:szCs w:val="21"/>
              </w:rPr>
              <w:t>22.9</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13" w:type="pct"/>
            <w:tcBorders>
              <w:left w:val="single" w:color="auto" w:sz="2" w:space="0"/>
            </w:tcBorders>
            <w:vAlign w:val="center"/>
          </w:tcPr>
          <w:p>
            <w:pPr>
              <w:widowControl/>
              <w:jc w:val="center"/>
              <w:rPr>
                <w:kern w:val="0"/>
                <w:szCs w:val="21"/>
              </w:rPr>
            </w:pPr>
            <w:r>
              <w:rPr>
                <w:kern w:val="0"/>
                <w:szCs w:val="21"/>
              </w:rPr>
              <w:t>北</w:t>
            </w:r>
          </w:p>
        </w:tc>
        <w:tc>
          <w:tcPr>
            <w:tcW w:w="386" w:type="pct"/>
            <w:tcBorders>
              <w:left w:val="single" w:color="auto" w:sz="2" w:space="0"/>
            </w:tcBorders>
            <w:vAlign w:val="center"/>
          </w:tcPr>
          <w:p>
            <w:pPr>
              <w:widowControl/>
              <w:jc w:val="center"/>
              <w:rPr>
                <w:kern w:val="0"/>
                <w:szCs w:val="21"/>
              </w:rPr>
            </w:pPr>
            <w:r>
              <w:rPr>
                <w:kern w:val="0"/>
                <w:szCs w:val="21"/>
              </w:rPr>
              <w:t>0.6</w:t>
            </w:r>
          </w:p>
        </w:tc>
        <w:tc>
          <w:tcPr>
            <w:tcW w:w="365" w:type="pct"/>
            <w:tcBorders>
              <w:left w:val="single" w:color="auto" w:sz="2" w:space="0"/>
            </w:tcBorders>
            <w:vAlign w:val="center"/>
          </w:tcPr>
          <w:p>
            <w:pPr>
              <w:widowControl/>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32" w:type="pct"/>
            <w:vAlign w:val="center"/>
          </w:tcPr>
          <w:p>
            <w:pPr>
              <w:pStyle w:val="114"/>
              <w:widowControl/>
              <w:numPr>
                <w:ilvl w:val="0"/>
                <w:numId w:val="31"/>
              </w:numPr>
              <w:ind w:left="0" w:firstLine="0" w:firstLineChars="0"/>
              <w:jc w:val="center"/>
              <w:rPr>
                <w:kern w:val="0"/>
                <w:szCs w:val="21"/>
              </w:rPr>
            </w:pPr>
          </w:p>
        </w:tc>
        <w:tc>
          <w:tcPr>
            <w:tcW w:w="1425" w:type="pct"/>
            <w:vAlign w:val="center"/>
          </w:tcPr>
          <w:p>
            <w:pPr>
              <w:widowControl/>
              <w:jc w:val="center"/>
              <w:rPr>
                <w:kern w:val="0"/>
                <w:szCs w:val="21"/>
              </w:rPr>
            </w:pPr>
            <w:r>
              <w:rPr>
                <w:kern w:val="0"/>
                <w:szCs w:val="21"/>
              </w:rPr>
              <w:t>东环110kV变电站站址中心5#</w:t>
            </w:r>
          </w:p>
        </w:tc>
        <w:tc>
          <w:tcPr>
            <w:tcW w:w="788" w:type="pct"/>
            <w:vAlign w:val="center"/>
          </w:tcPr>
          <w:p>
            <w:pPr>
              <w:widowControl/>
              <w:jc w:val="center"/>
              <w:rPr>
                <w:kern w:val="0"/>
                <w:szCs w:val="21"/>
              </w:rPr>
            </w:pPr>
            <w:r>
              <w:rPr>
                <w:kern w:val="0"/>
                <w:szCs w:val="21"/>
              </w:rPr>
              <w:t>2025.10.19</w:t>
            </w:r>
          </w:p>
        </w:tc>
        <w:tc>
          <w:tcPr>
            <w:tcW w:w="352" w:type="pct"/>
            <w:vAlign w:val="center"/>
          </w:tcPr>
          <w:p>
            <w:pPr>
              <w:widowControl/>
              <w:jc w:val="center"/>
              <w:rPr>
                <w:kern w:val="0"/>
                <w:szCs w:val="21"/>
              </w:rPr>
            </w:pPr>
            <w:r>
              <w:rPr>
                <w:kern w:val="0"/>
                <w:szCs w:val="21"/>
              </w:rPr>
              <w:t>晴</w:t>
            </w:r>
          </w:p>
        </w:tc>
        <w:tc>
          <w:tcPr>
            <w:tcW w:w="439" w:type="pct"/>
            <w:vAlign w:val="center"/>
          </w:tcPr>
          <w:p>
            <w:pPr>
              <w:widowControl/>
              <w:jc w:val="center"/>
              <w:rPr>
                <w:kern w:val="0"/>
                <w:szCs w:val="21"/>
              </w:rPr>
            </w:pPr>
            <w:r>
              <w:rPr>
                <w:kern w:val="0"/>
                <w:szCs w:val="21"/>
              </w:rPr>
              <w:t>15.2</w:t>
            </w:r>
          </w:p>
        </w:tc>
        <w:tc>
          <w:tcPr>
            <w:tcW w:w="350" w:type="pct"/>
            <w:tcBorders>
              <w:right w:val="single" w:color="auto" w:sz="2" w:space="0"/>
            </w:tcBorders>
            <w:vAlign w:val="center"/>
          </w:tcPr>
          <w:p>
            <w:pPr>
              <w:widowControl/>
              <w:jc w:val="center"/>
              <w:rPr>
                <w:kern w:val="0"/>
                <w:szCs w:val="21"/>
              </w:rPr>
            </w:pPr>
            <w:r>
              <w:rPr>
                <w:kern w:val="0"/>
                <w:szCs w:val="21"/>
              </w:rPr>
              <w:t>22.8</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13" w:type="pct"/>
            <w:tcBorders>
              <w:left w:val="single" w:color="auto" w:sz="2" w:space="0"/>
            </w:tcBorders>
            <w:vAlign w:val="center"/>
          </w:tcPr>
          <w:p>
            <w:pPr>
              <w:widowControl/>
              <w:jc w:val="center"/>
              <w:rPr>
                <w:kern w:val="0"/>
                <w:szCs w:val="21"/>
              </w:rPr>
            </w:pPr>
            <w:r>
              <w:rPr>
                <w:kern w:val="0"/>
                <w:szCs w:val="21"/>
              </w:rPr>
              <w:t>北</w:t>
            </w:r>
          </w:p>
        </w:tc>
        <w:tc>
          <w:tcPr>
            <w:tcW w:w="386" w:type="pct"/>
            <w:tcBorders>
              <w:left w:val="single" w:color="auto" w:sz="2" w:space="0"/>
            </w:tcBorders>
            <w:vAlign w:val="center"/>
          </w:tcPr>
          <w:p>
            <w:pPr>
              <w:widowControl/>
              <w:jc w:val="center"/>
              <w:rPr>
                <w:kern w:val="0"/>
                <w:szCs w:val="21"/>
              </w:rPr>
            </w:pPr>
            <w:r>
              <w:rPr>
                <w:kern w:val="0"/>
                <w:szCs w:val="21"/>
              </w:rPr>
              <w:t>0.4</w:t>
            </w:r>
          </w:p>
        </w:tc>
        <w:tc>
          <w:tcPr>
            <w:tcW w:w="365" w:type="pct"/>
            <w:tcBorders>
              <w:left w:val="single" w:color="auto" w:sz="2" w:space="0"/>
            </w:tcBorders>
            <w:vAlign w:val="center"/>
          </w:tcPr>
          <w:p>
            <w:pPr>
              <w:widowControl/>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0"/>
            <w:vAlign w:val="center"/>
          </w:tcPr>
          <w:p>
            <w:pPr>
              <w:widowControl/>
              <w:jc w:val="center"/>
              <w:rPr>
                <w:kern w:val="0"/>
                <w:szCs w:val="21"/>
              </w:rPr>
            </w:pPr>
            <w:r>
              <w:rPr>
                <w:b/>
                <w:kern w:val="0"/>
                <w:szCs w:val="21"/>
              </w:rPr>
              <w:t>（二）七泉湖~红旗π入番南变110千伏线路工程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32" w:type="pct"/>
            <w:vAlign w:val="center"/>
          </w:tcPr>
          <w:p>
            <w:pPr>
              <w:pStyle w:val="114"/>
              <w:widowControl/>
              <w:numPr>
                <w:ilvl w:val="0"/>
                <w:numId w:val="32"/>
              </w:numPr>
              <w:ind w:firstLineChars="0"/>
              <w:jc w:val="center"/>
              <w:rPr>
                <w:kern w:val="0"/>
                <w:szCs w:val="21"/>
              </w:rPr>
            </w:pPr>
          </w:p>
        </w:tc>
        <w:tc>
          <w:tcPr>
            <w:tcW w:w="1425" w:type="pct"/>
            <w:vAlign w:val="center"/>
          </w:tcPr>
          <w:p>
            <w:pPr>
              <w:widowControl/>
              <w:jc w:val="center"/>
              <w:rPr>
                <w:kern w:val="0"/>
                <w:szCs w:val="21"/>
              </w:rPr>
            </w:pPr>
            <w:r>
              <w:rPr>
                <w:kern w:val="0"/>
                <w:szCs w:val="21"/>
              </w:rPr>
              <w:t>新疆维吾尔自治区吐鲁番市高昌区恰特喀勒乡新光村二组406#房东侧</w:t>
            </w:r>
          </w:p>
        </w:tc>
        <w:tc>
          <w:tcPr>
            <w:tcW w:w="788" w:type="pct"/>
            <w:vAlign w:val="center"/>
          </w:tcPr>
          <w:p>
            <w:pPr>
              <w:widowControl/>
              <w:jc w:val="center"/>
              <w:rPr>
                <w:kern w:val="0"/>
                <w:szCs w:val="21"/>
              </w:rPr>
            </w:pPr>
            <w:r>
              <w:rPr>
                <w:kern w:val="0"/>
                <w:szCs w:val="21"/>
              </w:rPr>
              <w:t>2025.10.19</w:t>
            </w:r>
          </w:p>
        </w:tc>
        <w:tc>
          <w:tcPr>
            <w:tcW w:w="352" w:type="pct"/>
            <w:vAlign w:val="center"/>
          </w:tcPr>
          <w:p>
            <w:pPr>
              <w:widowControl/>
              <w:jc w:val="center"/>
              <w:rPr>
                <w:kern w:val="0"/>
                <w:szCs w:val="21"/>
              </w:rPr>
            </w:pPr>
            <w:r>
              <w:rPr>
                <w:kern w:val="0"/>
                <w:szCs w:val="21"/>
              </w:rPr>
              <w:t>晴</w:t>
            </w:r>
          </w:p>
        </w:tc>
        <w:tc>
          <w:tcPr>
            <w:tcW w:w="439" w:type="pct"/>
            <w:vAlign w:val="center"/>
          </w:tcPr>
          <w:p>
            <w:pPr>
              <w:widowControl/>
              <w:jc w:val="center"/>
              <w:rPr>
                <w:kern w:val="0"/>
                <w:szCs w:val="21"/>
              </w:rPr>
            </w:pPr>
            <w:r>
              <w:rPr>
                <w:kern w:val="0"/>
                <w:szCs w:val="21"/>
              </w:rPr>
              <w:t>16.5</w:t>
            </w:r>
          </w:p>
        </w:tc>
        <w:tc>
          <w:tcPr>
            <w:tcW w:w="350" w:type="pct"/>
            <w:tcBorders>
              <w:right w:val="single" w:color="auto" w:sz="2" w:space="0"/>
            </w:tcBorders>
            <w:vAlign w:val="center"/>
          </w:tcPr>
          <w:p>
            <w:pPr>
              <w:widowControl/>
              <w:jc w:val="center"/>
              <w:rPr>
                <w:kern w:val="0"/>
                <w:szCs w:val="21"/>
              </w:rPr>
            </w:pPr>
            <w:r>
              <w:rPr>
                <w:kern w:val="0"/>
                <w:szCs w:val="21"/>
              </w:rPr>
              <w:t>21.1</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13" w:type="pct"/>
            <w:tcBorders>
              <w:left w:val="single" w:color="auto" w:sz="2" w:space="0"/>
            </w:tcBorders>
            <w:vAlign w:val="center"/>
          </w:tcPr>
          <w:p>
            <w:pPr>
              <w:widowControl/>
              <w:jc w:val="center"/>
              <w:rPr>
                <w:kern w:val="0"/>
                <w:szCs w:val="21"/>
              </w:rPr>
            </w:pPr>
            <w:r>
              <w:rPr>
                <w:kern w:val="0"/>
                <w:szCs w:val="21"/>
              </w:rPr>
              <w:t>北</w:t>
            </w:r>
          </w:p>
        </w:tc>
        <w:tc>
          <w:tcPr>
            <w:tcW w:w="386" w:type="pct"/>
            <w:tcBorders>
              <w:left w:val="single" w:color="auto" w:sz="2" w:space="0"/>
            </w:tcBorders>
            <w:vAlign w:val="center"/>
          </w:tcPr>
          <w:p>
            <w:pPr>
              <w:widowControl/>
              <w:jc w:val="center"/>
              <w:rPr>
                <w:kern w:val="0"/>
                <w:szCs w:val="21"/>
              </w:rPr>
            </w:pPr>
            <w:r>
              <w:rPr>
                <w:kern w:val="0"/>
                <w:szCs w:val="21"/>
              </w:rPr>
              <w:t>0.6</w:t>
            </w:r>
          </w:p>
        </w:tc>
        <w:tc>
          <w:tcPr>
            <w:tcW w:w="365" w:type="pct"/>
            <w:tcBorders>
              <w:left w:val="single" w:color="auto" w:sz="2" w:space="0"/>
            </w:tcBorders>
            <w:vAlign w:val="center"/>
          </w:tcPr>
          <w:p>
            <w:pPr>
              <w:widowControl/>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 w:type="pct"/>
            <w:vAlign w:val="center"/>
          </w:tcPr>
          <w:p>
            <w:pPr>
              <w:pStyle w:val="114"/>
              <w:widowControl/>
              <w:numPr>
                <w:ilvl w:val="0"/>
                <w:numId w:val="32"/>
              </w:numPr>
              <w:ind w:left="0" w:firstLine="0" w:firstLineChars="0"/>
              <w:jc w:val="center"/>
              <w:rPr>
                <w:kern w:val="0"/>
                <w:szCs w:val="21"/>
              </w:rPr>
            </w:pPr>
          </w:p>
        </w:tc>
        <w:tc>
          <w:tcPr>
            <w:tcW w:w="1425" w:type="pct"/>
            <w:vAlign w:val="center"/>
          </w:tcPr>
          <w:p>
            <w:pPr>
              <w:widowControl/>
              <w:jc w:val="center"/>
              <w:rPr>
                <w:kern w:val="0"/>
                <w:szCs w:val="21"/>
              </w:rPr>
            </w:pPr>
            <w:r>
              <w:rPr>
                <w:kern w:val="0"/>
                <w:szCs w:val="21"/>
              </w:rPr>
              <w:t>线路背景值3#</w:t>
            </w:r>
          </w:p>
        </w:tc>
        <w:tc>
          <w:tcPr>
            <w:tcW w:w="788" w:type="pct"/>
            <w:vAlign w:val="center"/>
          </w:tcPr>
          <w:p>
            <w:pPr>
              <w:widowControl/>
              <w:jc w:val="center"/>
              <w:rPr>
                <w:kern w:val="0"/>
                <w:szCs w:val="21"/>
              </w:rPr>
            </w:pPr>
            <w:r>
              <w:rPr>
                <w:kern w:val="0"/>
                <w:szCs w:val="21"/>
              </w:rPr>
              <w:t>2025.10.19</w:t>
            </w:r>
          </w:p>
        </w:tc>
        <w:tc>
          <w:tcPr>
            <w:tcW w:w="352" w:type="pct"/>
            <w:vAlign w:val="center"/>
          </w:tcPr>
          <w:p>
            <w:pPr>
              <w:widowControl/>
              <w:jc w:val="center"/>
              <w:rPr>
                <w:kern w:val="0"/>
                <w:szCs w:val="21"/>
              </w:rPr>
            </w:pPr>
            <w:r>
              <w:rPr>
                <w:kern w:val="0"/>
                <w:szCs w:val="21"/>
              </w:rPr>
              <w:t>晴</w:t>
            </w:r>
          </w:p>
        </w:tc>
        <w:tc>
          <w:tcPr>
            <w:tcW w:w="439" w:type="pct"/>
            <w:vAlign w:val="center"/>
          </w:tcPr>
          <w:p>
            <w:pPr>
              <w:widowControl/>
              <w:jc w:val="center"/>
              <w:rPr>
                <w:kern w:val="0"/>
                <w:szCs w:val="21"/>
              </w:rPr>
            </w:pPr>
            <w:r>
              <w:rPr>
                <w:kern w:val="0"/>
                <w:szCs w:val="21"/>
              </w:rPr>
              <w:t>16.1</w:t>
            </w:r>
          </w:p>
        </w:tc>
        <w:tc>
          <w:tcPr>
            <w:tcW w:w="350" w:type="pct"/>
            <w:tcBorders>
              <w:right w:val="single" w:color="auto" w:sz="2" w:space="0"/>
            </w:tcBorders>
            <w:vAlign w:val="center"/>
          </w:tcPr>
          <w:p>
            <w:pPr>
              <w:widowControl/>
              <w:jc w:val="center"/>
              <w:rPr>
                <w:kern w:val="0"/>
                <w:szCs w:val="21"/>
              </w:rPr>
            </w:pPr>
            <w:r>
              <w:rPr>
                <w:kern w:val="0"/>
                <w:szCs w:val="21"/>
              </w:rPr>
              <w:t>21.3</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13" w:type="pct"/>
            <w:tcBorders>
              <w:left w:val="single" w:color="auto" w:sz="2" w:space="0"/>
            </w:tcBorders>
            <w:vAlign w:val="center"/>
          </w:tcPr>
          <w:p>
            <w:pPr>
              <w:widowControl/>
              <w:jc w:val="center"/>
              <w:rPr>
                <w:kern w:val="0"/>
                <w:szCs w:val="21"/>
              </w:rPr>
            </w:pPr>
            <w:r>
              <w:rPr>
                <w:kern w:val="0"/>
                <w:szCs w:val="21"/>
              </w:rPr>
              <w:t>北</w:t>
            </w:r>
          </w:p>
        </w:tc>
        <w:tc>
          <w:tcPr>
            <w:tcW w:w="386" w:type="pct"/>
            <w:tcBorders>
              <w:left w:val="single" w:color="auto" w:sz="2" w:space="0"/>
            </w:tcBorders>
            <w:vAlign w:val="center"/>
          </w:tcPr>
          <w:p>
            <w:pPr>
              <w:widowControl/>
              <w:jc w:val="center"/>
              <w:rPr>
                <w:kern w:val="0"/>
                <w:szCs w:val="21"/>
              </w:rPr>
            </w:pPr>
            <w:r>
              <w:rPr>
                <w:kern w:val="0"/>
                <w:szCs w:val="21"/>
              </w:rPr>
              <w:t>0.5</w:t>
            </w:r>
          </w:p>
        </w:tc>
        <w:tc>
          <w:tcPr>
            <w:tcW w:w="365" w:type="pct"/>
            <w:tcBorders>
              <w:left w:val="single" w:color="auto" w:sz="2" w:space="0"/>
            </w:tcBorders>
            <w:vAlign w:val="center"/>
          </w:tcPr>
          <w:p>
            <w:pPr>
              <w:widowControl/>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 w:type="pct"/>
            <w:vAlign w:val="center"/>
          </w:tcPr>
          <w:p>
            <w:pPr>
              <w:pStyle w:val="114"/>
              <w:widowControl/>
              <w:numPr>
                <w:ilvl w:val="0"/>
                <w:numId w:val="32"/>
              </w:numPr>
              <w:ind w:left="0" w:firstLine="0" w:firstLineChars="0"/>
              <w:jc w:val="center"/>
              <w:rPr>
                <w:kern w:val="0"/>
                <w:szCs w:val="21"/>
              </w:rPr>
            </w:pPr>
          </w:p>
        </w:tc>
        <w:tc>
          <w:tcPr>
            <w:tcW w:w="1425" w:type="pct"/>
            <w:vAlign w:val="center"/>
          </w:tcPr>
          <w:p>
            <w:pPr>
              <w:widowControl/>
              <w:jc w:val="center"/>
              <w:rPr>
                <w:kern w:val="0"/>
                <w:szCs w:val="21"/>
              </w:rPr>
            </w:pPr>
            <w:r>
              <w:rPr>
                <w:kern w:val="0"/>
                <w:szCs w:val="21"/>
              </w:rPr>
              <w:t>线路背景值4#</w:t>
            </w:r>
          </w:p>
        </w:tc>
        <w:tc>
          <w:tcPr>
            <w:tcW w:w="788" w:type="pct"/>
            <w:vAlign w:val="center"/>
          </w:tcPr>
          <w:p>
            <w:pPr>
              <w:widowControl/>
              <w:jc w:val="center"/>
              <w:rPr>
                <w:kern w:val="0"/>
                <w:szCs w:val="21"/>
              </w:rPr>
            </w:pPr>
            <w:r>
              <w:rPr>
                <w:kern w:val="0"/>
                <w:szCs w:val="21"/>
              </w:rPr>
              <w:t>2025.10.19</w:t>
            </w:r>
          </w:p>
        </w:tc>
        <w:tc>
          <w:tcPr>
            <w:tcW w:w="352" w:type="pct"/>
            <w:vAlign w:val="center"/>
          </w:tcPr>
          <w:p>
            <w:pPr>
              <w:widowControl/>
              <w:jc w:val="center"/>
              <w:rPr>
                <w:kern w:val="0"/>
                <w:szCs w:val="21"/>
              </w:rPr>
            </w:pPr>
            <w:r>
              <w:rPr>
                <w:kern w:val="0"/>
                <w:szCs w:val="21"/>
              </w:rPr>
              <w:t>晴</w:t>
            </w:r>
          </w:p>
        </w:tc>
        <w:tc>
          <w:tcPr>
            <w:tcW w:w="439" w:type="pct"/>
            <w:vAlign w:val="center"/>
          </w:tcPr>
          <w:p>
            <w:pPr>
              <w:widowControl/>
              <w:jc w:val="center"/>
              <w:rPr>
                <w:kern w:val="0"/>
                <w:szCs w:val="21"/>
              </w:rPr>
            </w:pPr>
            <w:r>
              <w:rPr>
                <w:kern w:val="0"/>
                <w:szCs w:val="21"/>
              </w:rPr>
              <w:t>16.1</w:t>
            </w:r>
          </w:p>
        </w:tc>
        <w:tc>
          <w:tcPr>
            <w:tcW w:w="350" w:type="pct"/>
            <w:tcBorders>
              <w:right w:val="single" w:color="auto" w:sz="2" w:space="0"/>
            </w:tcBorders>
            <w:vAlign w:val="center"/>
          </w:tcPr>
          <w:p>
            <w:pPr>
              <w:widowControl/>
              <w:jc w:val="center"/>
              <w:rPr>
                <w:kern w:val="0"/>
                <w:szCs w:val="21"/>
              </w:rPr>
            </w:pPr>
            <w:r>
              <w:rPr>
                <w:kern w:val="0"/>
                <w:szCs w:val="21"/>
              </w:rPr>
              <w:t>21.3</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13" w:type="pct"/>
            <w:tcBorders>
              <w:left w:val="single" w:color="auto" w:sz="2" w:space="0"/>
            </w:tcBorders>
            <w:vAlign w:val="center"/>
          </w:tcPr>
          <w:p>
            <w:pPr>
              <w:widowControl/>
              <w:jc w:val="center"/>
              <w:rPr>
                <w:kern w:val="0"/>
                <w:szCs w:val="21"/>
              </w:rPr>
            </w:pPr>
            <w:r>
              <w:rPr>
                <w:kern w:val="0"/>
                <w:szCs w:val="21"/>
              </w:rPr>
              <w:t>北</w:t>
            </w:r>
          </w:p>
        </w:tc>
        <w:tc>
          <w:tcPr>
            <w:tcW w:w="386" w:type="pct"/>
            <w:tcBorders>
              <w:left w:val="single" w:color="auto" w:sz="2" w:space="0"/>
            </w:tcBorders>
            <w:vAlign w:val="center"/>
          </w:tcPr>
          <w:p>
            <w:pPr>
              <w:widowControl/>
              <w:jc w:val="center"/>
              <w:rPr>
                <w:kern w:val="0"/>
                <w:szCs w:val="21"/>
              </w:rPr>
            </w:pPr>
            <w:r>
              <w:rPr>
                <w:kern w:val="0"/>
                <w:szCs w:val="21"/>
              </w:rPr>
              <w:t>0.7</w:t>
            </w:r>
          </w:p>
        </w:tc>
        <w:tc>
          <w:tcPr>
            <w:tcW w:w="365" w:type="pct"/>
            <w:tcBorders>
              <w:left w:val="single" w:color="auto" w:sz="2" w:space="0"/>
            </w:tcBorders>
            <w:vAlign w:val="center"/>
          </w:tcPr>
          <w:p>
            <w:pPr>
              <w:widowControl/>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 w:type="pct"/>
            <w:vAlign w:val="center"/>
          </w:tcPr>
          <w:p>
            <w:pPr>
              <w:pStyle w:val="114"/>
              <w:widowControl/>
              <w:numPr>
                <w:ilvl w:val="0"/>
                <w:numId w:val="32"/>
              </w:numPr>
              <w:ind w:left="0" w:firstLine="0" w:firstLineChars="0"/>
              <w:jc w:val="center"/>
              <w:rPr>
                <w:kern w:val="0"/>
                <w:szCs w:val="21"/>
              </w:rPr>
            </w:pPr>
          </w:p>
        </w:tc>
        <w:tc>
          <w:tcPr>
            <w:tcW w:w="1425" w:type="pct"/>
            <w:vAlign w:val="center"/>
          </w:tcPr>
          <w:p>
            <w:pPr>
              <w:widowControl/>
              <w:jc w:val="center"/>
              <w:rPr>
                <w:kern w:val="0"/>
                <w:szCs w:val="21"/>
              </w:rPr>
            </w:pPr>
            <w:r>
              <w:rPr>
                <w:kern w:val="0"/>
                <w:szCs w:val="21"/>
              </w:rPr>
              <w:t>线路背景值5#</w:t>
            </w:r>
          </w:p>
        </w:tc>
        <w:tc>
          <w:tcPr>
            <w:tcW w:w="788" w:type="pct"/>
            <w:vAlign w:val="center"/>
          </w:tcPr>
          <w:p>
            <w:pPr>
              <w:widowControl/>
              <w:jc w:val="center"/>
              <w:rPr>
                <w:kern w:val="0"/>
                <w:szCs w:val="21"/>
              </w:rPr>
            </w:pPr>
            <w:r>
              <w:rPr>
                <w:kern w:val="0"/>
                <w:szCs w:val="21"/>
              </w:rPr>
              <w:t>2025.10.19</w:t>
            </w:r>
          </w:p>
        </w:tc>
        <w:tc>
          <w:tcPr>
            <w:tcW w:w="352" w:type="pct"/>
            <w:vAlign w:val="center"/>
          </w:tcPr>
          <w:p>
            <w:pPr>
              <w:widowControl/>
              <w:jc w:val="center"/>
              <w:rPr>
                <w:kern w:val="0"/>
                <w:szCs w:val="21"/>
              </w:rPr>
            </w:pPr>
            <w:r>
              <w:rPr>
                <w:kern w:val="0"/>
                <w:szCs w:val="21"/>
              </w:rPr>
              <w:t>晴</w:t>
            </w:r>
          </w:p>
        </w:tc>
        <w:tc>
          <w:tcPr>
            <w:tcW w:w="439" w:type="pct"/>
            <w:vAlign w:val="center"/>
          </w:tcPr>
          <w:p>
            <w:pPr>
              <w:widowControl/>
              <w:jc w:val="center"/>
              <w:rPr>
                <w:kern w:val="0"/>
                <w:szCs w:val="21"/>
              </w:rPr>
            </w:pPr>
            <w:r>
              <w:rPr>
                <w:kern w:val="0"/>
                <w:szCs w:val="21"/>
              </w:rPr>
              <w:t>15.7</w:t>
            </w:r>
          </w:p>
        </w:tc>
        <w:tc>
          <w:tcPr>
            <w:tcW w:w="350" w:type="pct"/>
            <w:tcBorders>
              <w:right w:val="single" w:color="auto" w:sz="2" w:space="0"/>
            </w:tcBorders>
            <w:vAlign w:val="center"/>
          </w:tcPr>
          <w:p>
            <w:pPr>
              <w:widowControl/>
              <w:jc w:val="center"/>
              <w:rPr>
                <w:kern w:val="0"/>
                <w:szCs w:val="21"/>
              </w:rPr>
            </w:pPr>
            <w:r>
              <w:rPr>
                <w:kern w:val="0"/>
                <w:szCs w:val="21"/>
              </w:rPr>
              <w:t>21.5</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13" w:type="pct"/>
            <w:tcBorders>
              <w:left w:val="single" w:color="auto" w:sz="2" w:space="0"/>
            </w:tcBorders>
            <w:vAlign w:val="center"/>
          </w:tcPr>
          <w:p>
            <w:pPr>
              <w:widowControl/>
              <w:jc w:val="center"/>
              <w:rPr>
                <w:kern w:val="0"/>
                <w:szCs w:val="21"/>
              </w:rPr>
            </w:pPr>
            <w:r>
              <w:rPr>
                <w:kern w:val="0"/>
                <w:szCs w:val="21"/>
              </w:rPr>
              <w:t>北</w:t>
            </w:r>
          </w:p>
        </w:tc>
        <w:tc>
          <w:tcPr>
            <w:tcW w:w="386" w:type="pct"/>
            <w:tcBorders>
              <w:left w:val="single" w:color="auto" w:sz="2" w:space="0"/>
            </w:tcBorders>
            <w:vAlign w:val="center"/>
          </w:tcPr>
          <w:p>
            <w:pPr>
              <w:widowControl/>
              <w:jc w:val="center"/>
              <w:rPr>
                <w:kern w:val="0"/>
                <w:szCs w:val="21"/>
              </w:rPr>
            </w:pPr>
            <w:r>
              <w:rPr>
                <w:kern w:val="0"/>
                <w:szCs w:val="21"/>
              </w:rPr>
              <w:t>0.7</w:t>
            </w:r>
          </w:p>
        </w:tc>
        <w:tc>
          <w:tcPr>
            <w:tcW w:w="365" w:type="pct"/>
            <w:tcBorders>
              <w:left w:val="single" w:color="auto" w:sz="2" w:space="0"/>
            </w:tcBorders>
            <w:vAlign w:val="center"/>
          </w:tcPr>
          <w:p>
            <w:pPr>
              <w:widowControl/>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0"/>
            <w:vAlign w:val="center"/>
          </w:tcPr>
          <w:p>
            <w:pPr>
              <w:widowControl/>
              <w:jc w:val="center"/>
              <w:rPr>
                <w:kern w:val="0"/>
                <w:szCs w:val="21"/>
              </w:rPr>
            </w:pPr>
            <w:r>
              <w:rPr>
                <w:b/>
                <w:kern w:val="0"/>
                <w:szCs w:val="21"/>
              </w:rPr>
              <w:t>（三）七泉湖~番南改接入沙河子变110千伏线路工程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 w:type="pct"/>
            <w:vAlign w:val="center"/>
          </w:tcPr>
          <w:p>
            <w:pPr>
              <w:pStyle w:val="114"/>
              <w:widowControl/>
              <w:numPr>
                <w:ilvl w:val="0"/>
                <w:numId w:val="32"/>
              </w:numPr>
              <w:ind w:left="0" w:firstLine="0" w:firstLineChars="0"/>
              <w:jc w:val="center"/>
              <w:rPr>
                <w:kern w:val="0"/>
                <w:szCs w:val="21"/>
              </w:rPr>
            </w:pPr>
          </w:p>
        </w:tc>
        <w:tc>
          <w:tcPr>
            <w:tcW w:w="1425" w:type="pct"/>
            <w:vAlign w:val="center"/>
          </w:tcPr>
          <w:p>
            <w:pPr>
              <w:widowControl/>
              <w:jc w:val="center"/>
              <w:rPr>
                <w:kern w:val="0"/>
                <w:szCs w:val="21"/>
              </w:rPr>
            </w:pPr>
            <w:r>
              <w:rPr>
                <w:kern w:val="0"/>
                <w:szCs w:val="21"/>
              </w:rPr>
              <w:t>线路背景值2#</w:t>
            </w:r>
          </w:p>
        </w:tc>
        <w:tc>
          <w:tcPr>
            <w:tcW w:w="788" w:type="pct"/>
            <w:vAlign w:val="center"/>
          </w:tcPr>
          <w:p>
            <w:pPr>
              <w:widowControl/>
              <w:jc w:val="center"/>
              <w:rPr>
                <w:kern w:val="0"/>
                <w:szCs w:val="21"/>
              </w:rPr>
            </w:pPr>
            <w:r>
              <w:rPr>
                <w:kern w:val="0"/>
                <w:szCs w:val="21"/>
              </w:rPr>
              <w:t>2025.10.19</w:t>
            </w:r>
          </w:p>
        </w:tc>
        <w:tc>
          <w:tcPr>
            <w:tcW w:w="352" w:type="pct"/>
            <w:vAlign w:val="center"/>
          </w:tcPr>
          <w:p>
            <w:pPr>
              <w:widowControl/>
              <w:jc w:val="center"/>
              <w:rPr>
                <w:kern w:val="0"/>
                <w:szCs w:val="21"/>
              </w:rPr>
            </w:pPr>
            <w:r>
              <w:rPr>
                <w:kern w:val="0"/>
                <w:szCs w:val="21"/>
              </w:rPr>
              <w:t>晴</w:t>
            </w:r>
          </w:p>
        </w:tc>
        <w:tc>
          <w:tcPr>
            <w:tcW w:w="439" w:type="pct"/>
            <w:vAlign w:val="center"/>
          </w:tcPr>
          <w:p>
            <w:pPr>
              <w:widowControl/>
              <w:jc w:val="center"/>
              <w:rPr>
                <w:kern w:val="0"/>
                <w:szCs w:val="21"/>
              </w:rPr>
            </w:pPr>
            <w:r>
              <w:rPr>
                <w:kern w:val="0"/>
                <w:szCs w:val="21"/>
              </w:rPr>
              <w:t>16.8</w:t>
            </w:r>
          </w:p>
        </w:tc>
        <w:tc>
          <w:tcPr>
            <w:tcW w:w="350" w:type="pct"/>
            <w:tcBorders>
              <w:right w:val="single" w:color="auto" w:sz="2" w:space="0"/>
            </w:tcBorders>
            <w:vAlign w:val="center"/>
          </w:tcPr>
          <w:p>
            <w:pPr>
              <w:widowControl/>
              <w:jc w:val="center"/>
              <w:rPr>
                <w:kern w:val="0"/>
                <w:szCs w:val="21"/>
              </w:rPr>
            </w:pPr>
            <w:r>
              <w:rPr>
                <w:kern w:val="0"/>
                <w:szCs w:val="21"/>
              </w:rPr>
              <w:t>20.7</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13" w:type="pct"/>
            <w:tcBorders>
              <w:left w:val="single" w:color="auto" w:sz="2" w:space="0"/>
            </w:tcBorders>
            <w:vAlign w:val="center"/>
          </w:tcPr>
          <w:p>
            <w:pPr>
              <w:widowControl/>
              <w:jc w:val="center"/>
              <w:rPr>
                <w:kern w:val="0"/>
                <w:szCs w:val="21"/>
              </w:rPr>
            </w:pPr>
            <w:r>
              <w:rPr>
                <w:kern w:val="0"/>
                <w:szCs w:val="21"/>
              </w:rPr>
              <w:t>北</w:t>
            </w:r>
          </w:p>
        </w:tc>
        <w:tc>
          <w:tcPr>
            <w:tcW w:w="386" w:type="pct"/>
            <w:tcBorders>
              <w:left w:val="single" w:color="auto" w:sz="2" w:space="0"/>
            </w:tcBorders>
            <w:vAlign w:val="center"/>
          </w:tcPr>
          <w:p>
            <w:pPr>
              <w:widowControl/>
              <w:jc w:val="center"/>
              <w:rPr>
                <w:kern w:val="0"/>
                <w:szCs w:val="21"/>
              </w:rPr>
            </w:pPr>
            <w:r>
              <w:rPr>
                <w:kern w:val="0"/>
                <w:szCs w:val="21"/>
              </w:rPr>
              <w:t>0.5</w:t>
            </w:r>
          </w:p>
        </w:tc>
        <w:tc>
          <w:tcPr>
            <w:tcW w:w="365" w:type="pct"/>
            <w:tcBorders>
              <w:left w:val="single" w:color="auto" w:sz="2" w:space="0"/>
            </w:tcBorders>
            <w:vAlign w:val="center"/>
          </w:tcPr>
          <w:p>
            <w:pPr>
              <w:widowControl/>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0"/>
            <w:vAlign w:val="center"/>
          </w:tcPr>
          <w:p>
            <w:pPr>
              <w:widowControl/>
              <w:jc w:val="center"/>
              <w:rPr>
                <w:kern w:val="0"/>
                <w:szCs w:val="21"/>
              </w:rPr>
            </w:pPr>
            <w:r>
              <w:rPr>
                <w:b/>
                <w:kern w:val="0"/>
                <w:szCs w:val="21"/>
              </w:rPr>
              <w:t>（四）七泉湖~番南改接入交河变110千伏线路工程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 w:type="pct"/>
            <w:vAlign w:val="center"/>
          </w:tcPr>
          <w:p>
            <w:pPr>
              <w:pStyle w:val="114"/>
              <w:widowControl/>
              <w:numPr>
                <w:ilvl w:val="0"/>
                <w:numId w:val="32"/>
              </w:numPr>
              <w:ind w:left="0" w:firstLine="0" w:firstLineChars="0"/>
              <w:jc w:val="center"/>
              <w:rPr>
                <w:kern w:val="0"/>
                <w:szCs w:val="21"/>
              </w:rPr>
            </w:pPr>
          </w:p>
        </w:tc>
        <w:tc>
          <w:tcPr>
            <w:tcW w:w="1425" w:type="pct"/>
            <w:vAlign w:val="center"/>
          </w:tcPr>
          <w:p>
            <w:pPr>
              <w:widowControl/>
              <w:jc w:val="center"/>
              <w:rPr>
                <w:kern w:val="0"/>
                <w:szCs w:val="21"/>
              </w:rPr>
            </w:pPr>
            <w:r>
              <w:rPr>
                <w:kern w:val="0"/>
                <w:szCs w:val="21"/>
              </w:rPr>
              <w:t>线路背景值1#</w:t>
            </w:r>
          </w:p>
        </w:tc>
        <w:tc>
          <w:tcPr>
            <w:tcW w:w="788" w:type="pct"/>
            <w:vAlign w:val="center"/>
          </w:tcPr>
          <w:p>
            <w:pPr>
              <w:widowControl/>
              <w:jc w:val="center"/>
              <w:rPr>
                <w:kern w:val="0"/>
                <w:szCs w:val="21"/>
              </w:rPr>
            </w:pPr>
            <w:r>
              <w:rPr>
                <w:kern w:val="0"/>
                <w:szCs w:val="21"/>
              </w:rPr>
              <w:t>2025.10.19</w:t>
            </w:r>
          </w:p>
        </w:tc>
        <w:tc>
          <w:tcPr>
            <w:tcW w:w="352" w:type="pct"/>
            <w:vAlign w:val="center"/>
          </w:tcPr>
          <w:p>
            <w:pPr>
              <w:widowControl/>
              <w:jc w:val="center"/>
              <w:rPr>
                <w:kern w:val="0"/>
                <w:szCs w:val="21"/>
              </w:rPr>
            </w:pPr>
            <w:r>
              <w:rPr>
                <w:kern w:val="0"/>
                <w:szCs w:val="21"/>
              </w:rPr>
              <w:t>晴</w:t>
            </w:r>
          </w:p>
        </w:tc>
        <w:tc>
          <w:tcPr>
            <w:tcW w:w="439" w:type="pct"/>
            <w:vAlign w:val="center"/>
          </w:tcPr>
          <w:p>
            <w:pPr>
              <w:widowControl/>
              <w:jc w:val="center"/>
              <w:rPr>
                <w:kern w:val="0"/>
                <w:szCs w:val="21"/>
              </w:rPr>
            </w:pPr>
            <w:r>
              <w:rPr>
                <w:kern w:val="0"/>
                <w:szCs w:val="21"/>
              </w:rPr>
              <w:t>16.8</w:t>
            </w:r>
          </w:p>
        </w:tc>
        <w:tc>
          <w:tcPr>
            <w:tcW w:w="350" w:type="pct"/>
            <w:tcBorders>
              <w:right w:val="single" w:color="auto" w:sz="2" w:space="0"/>
            </w:tcBorders>
            <w:vAlign w:val="center"/>
          </w:tcPr>
          <w:p>
            <w:pPr>
              <w:widowControl/>
              <w:jc w:val="center"/>
              <w:rPr>
                <w:kern w:val="0"/>
                <w:szCs w:val="21"/>
              </w:rPr>
            </w:pPr>
            <w:r>
              <w:rPr>
                <w:kern w:val="0"/>
                <w:szCs w:val="21"/>
              </w:rPr>
              <w:t>20.8</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13" w:type="pct"/>
            <w:tcBorders>
              <w:left w:val="single" w:color="auto" w:sz="2" w:space="0"/>
            </w:tcBorders>
            <w:vAlign w:val="center"/>
          </w:tcPr>
          <w:p>
            <w:pPr>
              <w:widowControl/>
              <w:jc w:val="center"/>
              <w:rPr>
                <w:kern w:val="0"/>
                <w:szCs w:val="21"/>
              </w:rPr>
            </w:pPr>
            <w:r>
              <w:rPr>
                <w:kern w:val="0"/>
                <w:szCs w:val="21"/>
              </w:rPr>
              <w:t>北</w:t>
            </w:r>
          </w:p>
        </w:tc>
        <w:tc>
          <w:tcPr>
            <w:tcW w:w="386" w:type="pct"/>
            <w:tcBorders>
              <w:left w:val="single" w:color="auto" w:sz="2" w:space="0"/>
            </w:tcBorders>
            <w:vAlign w:val="center"/>
          </w:tcPr>
          <w:p>
            <w:pPr>
              <w:widowControl/>
              <w:jc w:val="center"/>
              <w:rPr>
                <w:kern w:val="0"/>
                <w:szCs w:val="21"/>
              </w:rPr>
            </w:pPr>
            <w:r>
              <w:rPr>
                <w:kern w:val="0"/>
                <w:szCs w:val="21"/>
              </w:rPr>
              <w:t>0.5</w:t>
            </w:r>
          </w:p>
        </w:tc>
        <w:tc>
          <w:tcPr>
            <w:tcW w:w="365" w:type="pct"/>
            <w:tcBorders>
              <w:left w:val="single" w:color="auto" w:sz="2" w:space="0"/>
            </w:tcBorders>
            <w:vAlign w:val="center"/>
          </w:tcPr>
          <w:p>
            <w:pPr>
              <w:widowControl/>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0"/>
            <w:vAlign w:val="center"/>
          </w:tcPr>
          <w:p>
            <w:pPr>
              <w:widowControl/>
              <w:jc w:val="center"/>
              <w:rPr>
                <w:kern w:val="0"/>
                <w:szCs w:val="21"/>
              </w:rPr>
            </w:pPr>
            <w:r>
              <w:rPr>
                <w:b/>
                <w:kern w:val="0"/>
                <w:szCs w:val="21"/>
              </w:rPr>
              <w:t>（五）交河~番南π入东环变110千伏线路工程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 w:type="pct"/>
            <w:vAlign w:val="center"/>
          </w:tcPr>
          <w:p>
            <w:pPr>
              <w:pStyle w:val="114"/>
              <w:widowControl/>
              <w:numPr>
                <w:ilvl w:val="0"/>
                <w:numId w:val="32"/>
              </w:numPr>
              <w:ind w:left="0" w:firstLine="0" w:firstLineChars="0"/>
              <w:jc w:val="center"/>
              <w:rPr>
                <w:kern w:val="0"/>
                <w:szCs w:val="21"/>
              </w:rPr>
            </w:pPr>
          </w:p>
        </w:tc>
        <w:tc>
          <w:tcPr>
            <w:tcW w:w="1425" w:type="pct"/>
            <w:vAlign w:val="center"/>
          </w:tcPr>
          <w:p>
            <w:pPr>
              <w:widowControl/>
              <w:jc w:val="center"/>
              <w:rPr>
                <w:kern w:val="0"/>
                <w:szCs w:val="21"/>
              </w:rPr>
            </w:pPr>
            <w:r>
              <w:rPr>
                <w:kern w:val="0"/>
                <w:szCs w:val="21"/>
              </w:rPr>
              <w:t>线路背景值6#</w:t>
            </w:r>
          </w:p>
        </w:tc>
        <w:tc>
          <w:tcPr>
            <w:tcW w:w="788" w:type="pct"/>
            <w:vAlign w:val="center"/>
          </w:tcPr>
          <w:p>
            <w:pPr>
              <w:widowControl/>
              <w:jc w:val="center"/>
              <w:rPr>
                <w:kern w:val="0"/>
                <w:szCs w:val="21"/>
              </w:rPr>
            </w:pPr>
            <w:r>
              <w:rPr>
                <w:kern w:val="0"/>
                <w:szCs w:val="21"/>
              </w:rPr>
              <w:t>2025.10.19</w:t>
            </w:r>
          </w:p>
        </w:tc>
        <w:tc>
          <w:tcPr>
            <w:tcW w:w="352" w:type="pct"/>
            <w:vAlign w:val="center"/>
          </w:tcPr>
          <w:p>
            <w:pPr>
              <w:widowControl/>
              <w:jc w:val="center"/>
              <w:rPr>
                <w:kern w:val="0"/>
                <w:szCs w:val="21"/>
              </w:rPr>
            </w:pPr>
            <w:r>
              <w:rPr>
                <w:kern w:val="0"/>
                <w:szCs w:val="21"/>
              </w:rPr>
              <w:t>晴</w:t>
            </w:r>
          </w:p>
        </w:tc>
        <w:tc>
          <w:tcPr>
            <w:tcW w:w="439" w:type="pct"/>
            <w:vAlign w:val="center"/>
          </w:tcPr>
          <w:p>
            <w:pPr>
              <w:widowControl/>
              <w:jc w:val="center"/>
              <w:rPr>
                <w:kern w:val="0"/>
                <w:szCs w:val="21"/>
              </w:rPr>
            </w:pPr>
            <w:r>
              <w:rPr>
                <w:kern w:val="0"/>
                <w:szCs w:val="21"/>
              </w:rPr>
              <w:t>15.3</w:t>
            </w:r>
          </w:p>
        </w:tc>
        <w:tc>
          <w:tcPr>
            <w:tcW w:w="350" w:type="pct"/>
            <w:tcBorders>
              <w:right w:val="single" w:color="auto" w:sz="2" w:space="0"/>
            </w:tcBorders>
            <w:vAlign w:val="center"/>
          </w:tcPr>
          <w:p>
            <w:pPr>
              <w:widowControl/>
              <w:jc w:val="center"/>
              <w:rPr>
                <w:kern w:val="0"/>
                <w:szCs w:val="21"/>
              </w:rPr>
            </w:pPr>
            <w:r>
              <w:rPr>
                <w:kern w:val="0"/>
                <w:szCs w:val="21"/>
              </w:rPr>
              <w:t>22.6</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13" w:type="pct"/>
            <w:tcBorders>
              <w:left w:val="single" w:color="auto" w:sz="2" w:space="0"/>
            </w:tcBorders>
            <w:vAlign w:val="center"/>
          </w:tcPr>
          <w:p>
            <w:pPr>
              <w:widowControl/>
              <w:jc w:val="center"/>
              <w:rPr>
                <w:kern w:val="0"/>
                <w:szCs w:val="21"/>
              </w:rPr>
            </w:pPr>
            <w:r>
              <w:rPr>
                <w:kern w:val="0"/>
                <w:szCs w:val="21"/>
              </w:rPr>
              <w:t>北</w:t>
            </w:r>
          </w:p>
        </w:tc>
        <w:tc>
          <w:tcPr>
            <w:tcW w:w="386" w:type="pct"/>
            <w:tcBorders>
              <w:left w:val="single" w:color="auto" w:sz="2" w:space="0"/>
            </w:tcBorders>
            <w:vAlign w:val="center"/>
          </w:tcPr>
          <w:p>
            <w:pPr>
              <w:widowControl/>
              <w:jc w:val="center"/>
              <w:rPr>
                <w:kern w:val="0"/>
                <w:szCs w:val="21"/>
              </w:rPr>
            </w:pPr>
            <w:r>
              <w:rPr>
                <w:kern w:val="0"/>
                <w:szCs w:val="21"/>
              </w:rPr>
              <w:t>0.5</w:t>
            </w:r>
          </w:p>
        </w:tc>
        <w:tc>
          <w:tcPr>
            <w:tcW w:w="365" w:type="pct"/>
            <w:tcBorders>
              <w:left w:val="single" w:color="auto" w:sz="2" w:space="0"/>
            </w:tcBorders>
            <w:vAlign w:val="center"/>
          </w:tcPr>
          <w:p>
            <w:pPr>
              <w:widowControl/>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 w:type="pct"/>
            <w:vAlign w:val="center"/>
          </w:tcPr>
          <w:p>
            <w:pPr>
              <w:pStyle w:val="114"/>
              <w:widowControl/>
              <w:numPr>
                <w:ilvl w:val="0"/>
                <w:numId w:val="32"/>
              </w:numPr>
              <w:ind w:left="0" w:firstLine="0" w:firstLineChars="0"/>
              <w:jc w:val="center"/>
              <w:rPr>
                <w:kern w:val="0"/>
                <w:szCs w:val="21"/>
              </w:rPr>
            </w:pPr>
          </w:p>
        </w:tc>
        <w:tc>
          <w:tcPr>
            <w:tcW w:w="1425" w:type="pct"/>
            <w:vAlign w:val="center"/>
          </w:tcPr>
          <w:p>
            <w:pPr>
              <w:widowControl/>
              <w:jc w:val="center"/>
              <w:rPr>
                <w:kern w:val="0"/>
                <w:szCs w:val="21"/>
              </w:rPr>
            </w:pPr>
            <w:r>
              <w:rPr>
                <w:kern w:val="0"/>
                <w:szCs w:val="21"/>
              </w:rPr>
              <w:t>线路背景值7#</w:t>
            </w:r>
          </w:p>
        </w:tc>
        <w:tc>
          <w:tcPr>
            <w:tcW w:w="788" w:type="pct"/>
            <w:vAlign w:val="center"/>
          </w:tcPr>
          <w:p>
            <w:pPr>
              <w:widowControl/>
              <w:jc w:val="center"/>
              <w:rPr>
                <w:kern w:val="0"/>
                <w:szCs w:val="21"/>
              </w:rPr>
            </w:pPr>
            <w:r>
              <w:rPr>
                <w:kern w:val="0"/>
                <w:szCs w:val="21"/>
              </w:rPr>
              <w:t>2025.10.19</w:t>
            </w:r>
          </w:p>
        </w:tc>
        <w:tc>
          <w:tcPr>
            <w:tcW w:w="352" w:type="pct"/>
            <w:vAlign w:val="center"/>
          </w:tcPr>
          <w:p>
            <w:pPr>
              <w:widowControl/>
              <w:jc w:val="center"/>
              <w:rPr>
                <w:kern w:val="0"/>
                <w:szCs w:val="21"/>
              </w:rPr>
            </w:pPr>
            <w:r>
              <w:rPr>
                <w:kern w:val="0"/>
                <w:szCs w:val="21"/>
              </w:rPr>
              <w:t>晴</w:t>
            </w:r>
          </w:p>
        </w:tc>
        <w:tc>
          <w:tcPr>
            <w:tcW w:w="439" w:type="pct"/>
            <w:vAlign w:val="center"/>
          </w:tcPr>
          <w:p>
            <w:pPr>
              <w:widowControl/>
              <w:jc w:val="center"/>
              <w:rPr>
                <w:kern w:val="0"/>
                <w:szCs w:val="21"/>
              </w:rPr>
            </w:pPr>
            <w:r>
              <w:rPr>
                <w:kern w:val="0"/>
                <w:szCs w:val="21"/>
              </w:rPr>
              <w:t>15.2</w:t>
            </w:r>
          </w:p>
        </w:tc>
        <w:tc>
          <w:tcPr>
            <w:tcW w:w="350" w:type="pct"/>
            <w:tcBorders>
              <w:right w:val="single" w:color="auto" w:sz="2" w:space="0"/>
            </w:tcBorders>
            <w:vAlign w:val="center"/>
          </w:tcPr>
          <w:p>
            <w:pPr>
              <w:widowControl/>
              <w:jc w:val="center"/>
              <w:rPr>
                <w:kern w:val="0"/>
                <w:szCs w:val="21"/>
              </w:rPr>
            </w:pPr>
            <w:r>
              <w:rPr>
                <w:kern w:val="0"/>
                <w:szCs w:val="21"/>
              </w:rPr>
              <w:t>22.7</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13" w:type="pct"/>
            <w:tcBorders>
              <w:left w:val="single" w:color="auto" w:sz="2" w:space="0"/>
            </w:tcBorders>
            <w:vAlign w:val="center"/>
          </w:tcPr>
          <w:p>
            <w:pPr>
              <w:widowControl/>
              <w:jc w:val="center"/>
              <w:rPr>
                <w:kern w:val="0"/>
                <w:szCs w:val="21"/>
              </w:rPr>
            </w:pPr>
            <w:r>
              <w:rPr>
                <w:kern w:val="0"/>
                <w:szCs w:val="21"/>
              </w:rPr>
              <w:t>北</w:t>
            </w:r>
          </w:p>
        </w:tc>
        <w:tc>
          <w:tcPr>
            <w:tcW w:w="386" w:type="pct"/>
            <w:tcBorders>
              <w:left w:val="single" w:color="auto" w:sz="2" w:space="0"/>
            </w:tcBorders>
            <w:vAlign w:val="center"/>
          </w:tcPr>
          <w:p>
            <w:pPr>
              <w:widowControl/>
              <w:jc w:val="center"/>
              <w:rPr>
                <w:kern w:val="0"/>
                <w:szCs w:val="21"/>
              </w:rPr>
            </w:pPr>
            <w:r>
              <w:rPr>
                <w:kern w:val="0"/>
                <w:szCs w:val="21"/>
              </w:rPr>
              <w:t>0.5</w:t>
            </w:r>
          </w:p>
        </w:tc>
        <w:tc>
          <w:tcPr>
            <w:tcW w:w="365" w:type="pct"/>
            <w:tcBorders>
              <w:left w:val="single" w:color="auto" w:sz="2" w:space="0"/>
            </w:tcBorders>
            <w:vAlign w:val="center"/>
          </w:tcPr>
          <w:p>
            <w:pPr>
              <w:widowControl/>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 w:type="pct"/>
            <w:vAlign w:val="center"/>
          </w:tcPr>
          <w:p>
            <w:pPr>
              <w:pStyle w:val="114"/>
              <w:widowControl/>
              <w:numPr>
                <w:ilvl w:val="0"/>
                <w:numId w:val="32"/>
              </w:numPr>
              <w:ind w:left="0" w:firstLine="0" w:firstLineChars="0"/>
              <w:jc w:val="center"/>
              <w:rPr>
                <w:kern w:val="0"/>
                <w:szCs w:val="21"/>
              </w:rPr>
            </w:pPr>
          </w:p>
        </w:tc>
        <w:tc>
          <w:tcPr>
            <w:tcW w:w="1425" w:type="pct"/>
            <w:vAlign w:val="center"/>
          </w:tcPr>
          <w:p>
            <w:pPr>
              <w:widowControl/>
              <w:jc w:val="center"/>
              <w:rPr>
                <w:kern w:val="0"/>
                <w:szCs w:val="21"/>
              </w:rPr>
            </w:pPr>
            <w:r>
              <w:rPr>
                <w:kern w:val="0"/>
                <w:szCs w:val="21"/>
              </w:rPr>
              <w:t>线路背景值8#</w:t>
            </w:r>
          </w:p>
        </w:tc>
        <w:tc>
          <w:tcPr>
            <w:tcW w:w="788" w:type="pct"/>
            <w:vAlign w:val="center"/>
          </w:tcPr>
          <w:p>
            <w:pPr>
              <w:widowControl/>
              <w:jc w:val="center"/>
              <w:rPr>
                <w:kern w:val="0"/>
                <w:szCs w:val="21"/>
              </w:rPr>
            </w:pPr>
            <w:r>
              <w:rPr>
                <w:kern w:val="0"/>
                <w:szCs w:val="21"/>
              </w:rPr>
              <w:t>2025.10.19</w:t>
            </w:r>
          </w:p>
        </w:tc>
        <w:tc>
          <w:tcPr>
            <w:tcW w:w="352" w:type="pct"/>
            <w:vAlign w:val="center"/>
          </w:tcPr>
          <w:p>
            <w:pPr>
              <w:widowControl/>
              <w:jc w:val="center"/>
              <w:rPr>
                <w:kern w:val="0"/>
                <w:szCs w:val="21"/>
              </w:rPr>
            </w:pPr>
            <w:r>
              <w:rPr>
                <w:kern w:val="0"/>
                <w:szCs w:val="21"/>
              </w:rPr>
              <w:t>晴</w:t>
            </w:r>
          </w:p>
        </w:tc>
        <w:tc>
          <w:tcPr>
            <w:tcW w:w="439" w:type="pct"/>
            <w:vAlign w:val="center"/>
          </w:tcPr>
          <w:p>
            <w:pPr>
              <w:widowControl/>
              <w:jc w:val="center"/>
              <w:rPr>
                <w:kern w:val="0"/>
                <w:szCs w:val="21"/>
              </w:rPr>
            </w:pPr>
            <w:r>
              <w:rPr>
                <w:kern w:val="0"/>
                <w:szCs w:val="21"/>
              </w:rPr>
              <w:t>15.6</w:t>
            </w:r>
          </w:p>
        </w:tc>
        <w:tc>
          <w:tcPr>
            <w:tcW w:w="350" w:type="pct"/>
            <w:tcBorders>
              <w:right w:val="single" w:color="auto" w:sz="2" w:space="0"/>
            </w:tcBorders>
            <w:vAlign w:val="center"/>
          </w:tcPr>
          <w:p>
            <w:pPr>
              <w:widowControl/>
              <w:jc w:val="center"/>
              <w:rPr>
                <w:kern w:val="0"/>
                <w:szCs w:val="21"/>
              </w:rPr>
            </w:pPr>
            <w:r>
              <w:rPr>
                <w:kern w:val="0"/>
                <w:szCs w:val="21"/>
              </w:rPr>
              <w:t>22.4</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13" w:type="pct"/>
            <w:tcBorders>
              <w:left w:val="single" w:color="auto" w:sz="2" w:space="0"/>
            </w:tcBorders>
            <w:vAlign w:val="center"/>
          </w:tcPr>
          <w:p>
            <w:pPr>
              <w:widowControl/>
              <w:jc w:val="center"/>
              <w:rPr>
                <w:kern w:val="0"/>
                <w:szCs w:val="21"/>
              </w:rPr>
            </w:pPr>
            <w:r>
              <w:rPr>
                <w:kern w:val="0"/>
                <w:szCs w:val="21"/>
              </w:rPr>
              <w:t>北</w:t>
            </w:r>
          </w:p>
        </w:tc>
        <w:tc>
          <w:tcPr>
            <w:tcW w:w="386" w:type="pct"/>
            <w:tcBorders>
              <w:left w:val="single" w:color="auto" w:sz="2" w:space="0"/>
            </w:tcBorders>
            <w:vAlign w:val="center"/>
          </w:tcPr>
          <w:p>
            <w:pPr>
              <w:widowControl/>
              <w:jc w:val="center"/>
              <w:rPr>
                <w:kern w:val="0"/>
                <w:szCs w:val="21"/>
              </w:rPr>
            </w:pPr>
            <w:r>
              <w:rPr>
                <w:kern w:val="0"/>
                <w:szCs w:val="21"/>
              </w:rPr>
              <w:t>0.9</w:t>
            </w:r>
          </w:p>
        </w:tc>
        <w:tc>
          <w:tcPr>
            <w:tcW w:w="365" w:type="pct"/>
            <w:tcBorders>
              <w:left w:val="single" w:color="auto" w:sz="2" w:space="0"/>
            </w:tcBorders>
            <w:vAlign w:val="center"/>
          </w:tcPr>
          <w:p>
            <w:pPr>
              <w:widowControl/>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 w:type="pct"/>
            <w:vAlign w:val="center"/>
          </w:tcPr>
          <w:p>
            <w:pPr>
              <w:pStyle w:val="114"/>
              <w:widowControl/>
              <w:numPr>
                <w:ilvl w:val="0"/>
                <w:numId w:val="32"/>
              </w:numPr>
              <w:ind w:left="0" w:firstLine="0" w:firstLineChars="0"/>
              <w:jc w:val="center"/>
              <w:rPr>
                <w:kern w:val="0"/>
                <w:szCs w:val="21"/>
              </w:rPr>
            </w:pPr>
          </w:p>
        </w:tc>
        <w:tc>
          <w:tcPr>
            <w:tcW w:w="1425" w:type="pct"/>
            <w:vAlign w:val="center"/>
          </w:tcPr>
          <w:p>
            <w:pPr>
              <w:widowControl/>
              <w:jc w:val="center"/>
              <w:rPr>
                <w:kern w:val="0"/>
                <w:szCs w:val="21"/>
              </w:rPr>
            </w:pPr>
            <w:r>
              <w:rPr>
                <w:kern w:val="0"/>
                <w:szCs w:val="21"/>
              </w:rPr>
              <w:t>线路背景值9#</w:t>
            </w:r>
          </w:p>
        </w:tc>
        <w:tc>
          <w:tcPr>
            <w:tcW w:w="788" w:type="pct"/>
            <w:vAlign w:val="center"/>
          </w:tcPr>
          <w:p>
            <w:pPr>
              <w:widowControl/>
              <w:jc w:val="center"/>
              <w:rPr>
                <w:kern w:val="0"/>
                <w:szCs w:val="21"/>
              </w:rPr>
            </w:pPr>
            <w:r>
              <w:rPr>
                <w:kern w:val="0"/>
                <w:szCs w:val="21"/>
              </w:rPr>
              <w:t>2025.10.19</w:t>
            </w:r>
          </w:p>
        </w:tc>
        <w:tc>
          <w:tcPr>
            <w:tcW w:w="352" w:type="pct"/>
            <w:vAlign w:val="center"/>
          </w:tcPr>
          <w:p>
            <w:pPr>
              <w:widowControl/>
              <w:jc w:val="center"/>
              <w:rPr>
                <w:kern w:val="0"/>
                <w:szCs w:val="21"/>
              </w:rPr>
            </w:pPr>
            <w:r>
              <w:rPr>
                <w:kern w:val="0"/>
                <w:szCs w:val="21"/>
              </w:rPr>
              <w:t>晴</w:t>
            </w:r>
          </w:p>
        </w:tc>
        <w:tc>
          <w:tcPr>
            <w:tcW w:w="439" w:type="pct"/>
            <w:vAlign w:val="center"/>
          </w:tcPr>
          <w:p>
            <w:pPr>
              <w:widowControl/>
              <w:jc w:val="center"/>
              <w:rPr>
                <w:kern w:val="0"/>
                <w:szCs w:val="21"/>
              </w:rPr>
            </w:pPr>
            <w:r>
              <w:rPr>
                <w:kern w:val="0"/>
                <w:szCs w:val="21"/>
              </w:rPr>
              <w:t>15.5</w:t>
            </w:r>
          </w:p>
        </w:tc>
        <w:tc>
          <w:tcPr>
            <w:tcW w:w="350" w:type="pct"/>
            <w:tcBorders>
              <w:right w:val="single" w:color="auto" w:sz="2" w:space="0"/>
            </w:tcBorders>
            <w:vAlign w:val="center"/>
          </w:tcPr>
          <w:p>
            <w:pPr>
              <w:widowControl/>
              <w:jc w:val="center"/>
              <w:rPr>
                <w:kern w:val="0"/>
                <w:szCs w:val="21"/>
              </w:rPr>
            </w:pPr>
            <w:r>
              <w:rPr>
                <w:kern w:val="0"/>
                <w:szCs w:val="21"/>
              </w:rPr>
              <w:t>22.3</w:t>
            </w:r>
          </w:p>
        </w:tc>
        <w:tc>
          <w:tcPr>
            <w:tcW w:w="350" w:type="pct"/>
            <w:tcBorders>
              <w:right w:val="single" w:color="auto" w:sz="2" w:space="0"/>
            </w:tcBorders>
            <w:vAlign w:val="center"/>
          </w:tcPr>
          <w:p>
            <w:pPr>
              <w:widowControl/>
              <w:jc w:val="center"/>
              <w:rPr>
                <w:kern w:val="0"/>
                <w:szCs w:val="21"/>
              </w:rPr>
            </w:pPr>
            <w:r>
              <w:rPr>
                <w:kern w:val="0"/>
                <w:szCs w:val="21"/>
              </w:rPr>
              <w:t>/</w:t>
            </w:r>
          </w:p>
        </w:tc>
        <w:tc>
          <w:tcPr>
            <w:tcW w:w="313" w:type="pct"/>
            <w:tcBorders>
              <w:left w:val="single" w:color="auto" w:sz="2" w:space="0"/>
            </w:tcBorders>
            <w:vAlign w:val="center"/>
          </w:tcPr>
          <w:p>
            <w:pPr>
              <w:widowControl/>
              <w:jc w:val="center"/>
              <w:rPr>
                <w:kern w:val="0"/>
                <w:szCs w:val="21"/>
              </w:rPr>
            </w:pPr>
            <w:r>
              <w:rPr>
                <w:kern w:val="0"/>
                <w:szCs w:val="21"/>
              </w:rPr>
              <w:t>北</w:t>
            </w:r>
          </w:p>
        </w:tc>
        <w:tc>
          <w:tcPr>
            <w:tcW w:w="386" w:type="pct"/>
            <w:tcBorders>
              <w:left w:val="single" w:color="auto" w:sz="2" w:space="0"/>
            </w:tcBorders>
            <w:vAlign w:val="center"/>
          </w:tcPr>
          <w:p>
            <w:pPr>
              <w:widowControl/>
              <w:jc w:val="center"/>
              <w:rPr>
                <w:kern w:val="0"/>
                <w:szCs w:val="21"/>
              </w:rPr>
            </w:pPr>
            <w:r>
              <w:rPr>
                <w:kern w:val="0"/>
                <w:szCs w:val="21"/>
              </w:rPr>
              <w:t>0.7</w:t>
            </w:r>
          </w:p>
        </w:tc>
        <w:tc>
          <w:tcPr>
            <w:tcW w:w="365" w:type="pct"/>
            <w:tcBorders>
              <w:left w:val="single" w:color="auto" w:sz="2" w:space="0"/>
            </w:tcBorders>
            <w:vAlign w:val="center"/>
          </w:tcPr>
          <w:p>
            <w:pPr>
              <w:widowControl/>
              <w:jc w:val="center"/>
              <w:rPr>
                <w:kern w:val="0"/>
                <w:szCs w:val="21"/>
              </w:rPr>
            </w:pPr>
            <w:r>
              <w:rPr>
                <w:kern w:val="0"/>
                <w:szCs w:val="21"/>
              </w:rPr>
              <w:t>/</w:t>
            </w:r>
          </w:p>
        </w:tc>
      </w:tr>
    </w:tbl>
    <w:p/>
    <w:p>
      <w:pPr>
        <w:keepNext/>
        <w:keepLines/>
        <w:numPr>
          <w:ilvl w:val="1"/>
          <w:numId w:val="28"/>
        </w:numPr>
        <w:adjustRightInd w:val="0"/>
        <w:spacing w:line="360" w:lineRule="auto"/>
        <w:outlineLvl w:val="1"/>
        <w:rPr>
          <w:b/>
          <w:bCs/>
          <w:color w:val="000000"/>
          <w:sz w:val="28"/>
          <w:szCs w:val="32"/>
        </w:rPr>
      </w:pPr>
      <w:bookmarkStart w:id="832" w:name="_Toc26799"/>
      <w:r>
        <w:rPr>
          <w:rFonts w:hint="eastAsia"/>
          <w:b/>
          <w:bCs/>
          <w:color w:val="000000"/>
          <w:sz w:val="28"/>
          <w:szCs w:val="32"/>
        </w:rPr>
        <w:t>监测方法</w:t>
      </w:r>
      <w:bookmarkEnd w:id="832"/>
    </w:p>
    <w:p>
      <w:pPr>
        <w:spacing w:line="360" w:lineRule="auto"/>
        <w:ind w:firstLine="480" w:firstLineChars="200"/>
        <w:rPr>
          <w:color w:val="000000"/>
          <w:sz w:val="24"/>
          <w:szCs w:val="20"/>
        </w:rPr>
      </w:pPr>
      <w:r>
        <w:rPr>
          <w:rFonts w:hint="eastAsia"/>
          <w:color w:val="000000"/>
          <w:sz w:val="24"/>
          <w:szCs w:val="20"/>
        </w:rPr>
        <w:t>按《交流输变电工程电磁环境监测方法（试行）》（</w:t>
      </w:r>
      <w:r>
        <w:rPr>
          <w:color w:val="000000"/>
          <w:sz w:val="24"/>
          <w:szCs w:val="20"/>
        </w:rPr>
        <w:t>HJ681-2013</w:t>
      </w:r>
      <w:r>
        <w:rPr>
          <w:rFonts w:hint="eastAsia"/>
          <w:color w:val="000000"/>
          <w:sz w:val="24"/>
          <w:szCs w:val="20"/>
        </w:rPr>
        <w:t>）规定的方法执行。</w:t>
      </w:r>
    </w:p>
    <w:p>
      <w:pPr>
        <w:keepNext/>
        <w:keepLines/>
        <w:numPr>
          <w:ilvl w:val="1"/>
          <w:numId w:val="28"/>
        </w:numPr>
        <w:adjustRightInd w:val="0"/>
        <w:spacing w:line="360" w:lineRule="auto"/>
        <w:outlineLvl w:val="1"/>
        <w:rPr>
          <w:b/>
          <w:bCs/>
          <w:color w:val="000000"/>
          <w:sz w:val="28"/>
          <w:szCs w:val="32"/>
        </w:rPr>
      </w:pPr>
      <w:bookmarkStart w:id="833" w:name="_Toc22707"/>
      <w:r>
        <w:rPr>
          <w:rFonts w:hint="eastAsia"/>
          <w:b/>
          <w:bCs/>
          <w:color w:val="000000"/>
          <w:sz w:val="28"/>
          <w:szCs w:val="32"/>
        </w:rPr>
        <w:t>监测仪器</w:t>
      </w:r>
      <w:bookmarkEnd w:id="833"/>
    </w:p>
    <w:p>
      <w:pPr>
        <w:spacing w:line="360" w:lineRule="auto"/>
        <w:ind w:firstLine="480" w:firstLineChars="200"/>
        <w:rPr>
          <w:color w:val="000000"/>
          <w:sz w:val="24"/>
          <w:szCs w:val="20"/>
        </w:rPr>
      </w:pPr>
      <w:r>
        <w:rPr>
          <w:rFonts w:hint="eastAsia"/>
          <w:color w:val="000000"/>
          <w:sz w:val="24"/>
          <w:szCs w:val="20"/>
        </w:rPr>
        <w:t>电磁环境现状监测仪</w:t>
      </w:r>
      <w:r>
        <w:rPr>
          <w:rFonts w:hint="eastAsia"/>
          <w:color w:val="000000"/>
          <w:sz w:val="24"/>
        </w:rPr>
        <w:t>器</w:t>
      </w:r>
      <w:r>
        <w:rPr>
          <w:rFonts w:hint="eastAsia"/>
          <w:color w:val="000000"/>
          <w:sz w:val="24"/>
          <w:szCs w:val="20"/>
        </w:rPr>
        <w:t>见</w:t>
      </w:r>
      <w:r>
        <w:rPr>
          <w:rFonts w:hint="eastAsia"/>
          <w:color w:val="000000"/>
          <w:sz w:val="24"/>
          <w:szCs w:val="20"/>
        </w:rPr>
        <w:fldChar w:fldCharType="begin"/>
      </w:r>
      <w:r>
        <w:rPr>
          <w:rFonts w:hint="eastAsia"/>
          <w:color w:val="000000"/>
          <w:sz w:val="24"/>
          <w:szCs w:val="20"/>
        </w:rPr>
        <w:instrText xml:space="preserve"> REF _Ref11639 \h </w:instrText>
      </w:r>
      <w:r>
        <w:rPr>
          <w:color w:val="000000"/>
          <w:sz w:val="24"/>
          <w:szCs w:val="20"/>
        </w:rPr>
        <w:instrText xml:space="preserve"> \* MERGEFORMAT </w:instrText>
      </w:r>
      <w:r>
        <w:rPr>
          <w:rFonts w:hint="eastAsia"/>
          <w:color w:val="000000"/>
          <w:sz w:val="24"/>
          <w:szCs w:val="20"/>
        </w:rPr>
        <w:fldChar w:fldCharType="separate"/>
      </w:r>
      <w:r>
        <w:rPr>
          <w:rFonts w:hint="eastAsia"/>
          <w:color w:val="000000"/>
          <w:sz w:val="24"/>
          <w:szCs w:val="20"/>
        </w:rPr>
        <w:t xml:space="preserve">表 </w:t>
      </w:r>
      <w:r>
        <w:rPr>
          <w:color w:val="000000"/>
          <w:sz w:val="24"/>
          <w:szCs w:val="20"/>
        </w:rPr>
        <w:t>30</w:t>
      </w:r>
      <w:r>
        <w:rPr>
          <w:rFonts w:hint="eastAsia"/>
          <w:color w:val="000000"/>
          <w:sz w:val="24"/>
          <w:szCs w:val="20"/>
        </w:rPr>
        <w:fldChar w:fldCharType="end"/>
      </w:r>
      <w:r>
        <w:rPr>
          <w:rFonts w:hint="eastAsia"/>
          <w:color w:val="000000"/>
          <w:sz w:val="24"/>
          <w:szCs w:val="20"/>
        </w:rPr>
        <w:t>。</w:t>
      </w:r>
    </w:p>
    <w:p>
      <w:pPr>
        <w:pStyle w:val="2"/>
      </w:pPr>
    </w:p>
    <w:p>
      <w:pPr>
        <w:adjustRightInd w:val="0"/>
        <w:snapToGrid w:val="0"/>
        <w:rPr>
          <w:rFonts w:hint="eastAsia" w:ascii="黑体" w:hAnsi="黑体" w:eastAsia="黑体" w:cs="黑体"/>
          <w:bCs/>
          <w:color w:val="000000"/>
          <w:szCs w:val="20"/>
        </w:rPr>
      </w:pPr>
      <w:bookmarkStart w:id="834" w:name="_Ref11639"/>
      <w:bookmarkStart w:id="835" w:name="_Toc383540712"/>
      <w:r>
        <w:rPr>
          <w:rFonts w:hint="eastAsia" w:ascii="黑体" w:hAnsi="黑体" w:eastAsia="黑体" w:cs="黑体"/>
          <w:bCs/>
        </w:rPr>
        <w:t xml:space="preserve">表 </w:t>
      </w:r>
      <w:r>
        <w:rPr>
          <w:rFonts w:hint="eastAsia" w:ascii="黑体" w:hAnsi="黑体" w:eastAsia="黑体" w:cs="黑体"/>
          <w:bCs/>
        </w:rPr>
        <w:fldChar w:fldCharType="begin"/>
      </w:r>
      <w:r>
        <w:rPr>
          <w:rFonts w:hint="eastAsia" w:ascii="黑体" w:hAnsi="黑体" w:eastAsia="黑体" w:cs="黑体"/>
          <w:bCs/>
        </w:rPr>
        <w:instrText xml:space="preserve"> SEQ 表 \* ARABIC </w:instrText>
      </w:r>
      <w:r>
        <w:rPr>
          <w:rFonts w:hint="eastAsia" w:ascii="黑体" w:hAnsi="黑体" w:eastAsia="黑体" w:cs="黑体"/>
          <w:bCs/>
        </w:rPr>
        <w:fldChar w:fldCharType="separate"/>
      </w:r>
      <w:r>
        <w:rPr>
          <w:rFonts w:ascii="黑体" w:hAnsi="黑体" w:eastAsia="黑体" w:cs="黑体"/>
          <w:bCs/>
        </w:rPr>
        <w:t>30</w:t>
      </w:r>
      <w:r>
        <w:rPr>
          <w:rFonts w:hint="eastAsia" w:ascii="黑体" w:hAnsi="黑体" w:eastAsia="黑体" w:cs="黑体"/>
          <w:bCs/>
        </w:rPr>
        <w:fldChar w:fldCharType="end"/>
      </w:r>
      <w:bookmarkEnd w:id="834"/>
      <w:r>
        <w:rPr>
          <w:rFonts w:hint="eastAsia" w:ascii="黑体" w:hAnsi="黑体" w:eastAsia="黑体" w:cs="黑体"/>
          <w:bCs/>
        </w:rPr>
        <w:t xml:space="preserve"> </w:t>
      </w:r>
      <w:r>
        <w:rPr>
          <w:rFonts w:hint="eastAsia" w:ascii="黑体" w:hAnsi="黑体" w:eastAsia="黑体" w:cs="黑体"/>
          <w:bCs/>
          <w:color w:val="000000"/>
          <w:szCs w:val="20"/>
        </w:rPr>
        <w:t xml:space="preserve">                       </w:t>
      </w:r>
      <w:bookmarkStart w:id="836" w:name="OLE_LINK3"/>
      <w:r>
        <w:rPr>
          <w:rFonts w:hint="eastAsia" w:ascii="黑体" w:hAnsi="黑体" w:eastAsia="黑体" w:cs="黑体"/>
          <w:bCs/>
          <w:color w:val="000000"/>
          <w:szCs w:val="20"/>
        </w:rPr>
        <w:t>电磁环境现状监测使用仪器信息一览表</w:t>
      </w:r>
      <w:bookmarkEnd w:id="836"/>
    </w:p>
    <w:bookmarkEnd w:id="835"/>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5"/>
        <w:gridCol w:w="2904"/>
        <w:gridCol w:w="3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715" w:type="dxa"/>
            <w:vAlign w:val="center"/>
          </w:tcPr>
          <w:p>
            <w:pPr>
              <w:snapToGrid w:val="0"/>
              <w:jc w:val="center"/>
              <w:rPr>
                <w:rFonts w:cs="ˎ̥"/>
                <w:b/>
                <w:snapToGrid w:val="0"/>
                <w:color w:val="000000"/>
                <w:kern w:val="0"/>
                <w:sz w:val="18"/>
                <w:szCs w:val="18"/>
              </w:rPr>
            </w:pPr>
            <w:r>
              <w:rPr>
                <w:rFonts w:hint="eastAsia" w:cs="ˎ̥"/>
                <w:b/>
                <w:snapToGrid w:val="0"/>
                <w:color w:val="000000"/>
                <w:kern w:val="0"/>
                <w:sz w:val="18"/>
                <w:szCs w:val="18"/>
              </w:rPr>
              <w:t>仪器名称型号及出厂编号</w:t>
            </w:r>
          </w:p>
        </w:tc>
        <w:tc>
          <w:tcPr>
            <w:tcW w:w="2904" w:type="dxa"/>
            <w:vAlign w:val="center"/>
          </w:tcPr>
          <w:p>
            <w:pPr>
              <w:snapToGrid w:val="0"/>
              <w:jc w:val="center"/>
              <w:rPr>
                <w:rFonts w:cs="ˎ̥"/>
                <w:b/>
                <w:snapToGrid w:val="0"/>
                <w:color w:val="000000"/>
                <w:kern w:val="0"/>
                <w:sz w:val="18"/>
                <w:szCs w:val="18"/>
              </w:rPr>
            </w:pPr>
            <w:r>
              <w:rPr>
                <w:rFonts w:hint="eastAsia" w:cs="ˎ̥"/>
                <w:b/>
                <w:snapToGrid w:val="0"/>
                <w:color w:val="000000"/>
                <w:kern w:val="0"/>
                <w:sz w:val="18"/>
                <w:szCs w:val="18"/>
              </w:rPr>
              <w:t>技术指标</w:t>
            </w:r>
          </w:p>
        </w:tc>
        <w:tc>
          <w:tcPr>
            <w:tcW w:w="3441" w:type="dxa"/>
            <w:vAlign w:val="center"/>
          </w:tcPr>
          <w:p>
            <w:pPr>
              <w:snapToGrid w:val="0"/>
              <w:jc w:val="center"/>
              <w:rPr>
                <w:rFonts w:cs="ˎ̥"/>
                <w:b/>
                <w:snapToGrid w:val="0"/>
                <w:color w:val="000000"/>
                <w:kern w:val="0"/>
                <w:sz w:val="18"/>
                <w:szCs w:val="18"/>
              </w:rPr>
            </w:pPr>
            <w:r>
              <w:rPr>
                <w:rFonts w:hint="eastAsia" w:cs="ˎ̥"/>
                <w:b/>
                <w:snapToGrid w:val="0"/>
                <w:color w:val="000000"/>
                <w:kern w:val="0"/>
                <w:sz w:val="18"/>
                <w:szCs w:val="18"/>
              </w:rPr>
              <w:t>校准证书编号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5" w:type="dxa"/>
            <w:vAlign w:val="center"/>
          </w:tcPr>
          <w:p>
            <w:pPr>
              <w:spacing w:line="276" w:lineRule="auto"/>
              <w:jc w:val="left"/>
              <w:rPr>
                <w:b/>
                <w:bCs/>
                <w:sz w:val="18"/>
                <w:szCs w:val="18"/>
              </w:rPr>
            </w:pPr>
            <w:r>
              <w:rPr>
                <w:b/>
                <w:bCs/>
                <w:sz w:val="18"/>
                <w:szCs w:val="18"/>
              </w:rPr>
              <w:t>工频电场、工频磁场</w:t>
            </w:r>
          </w:p>
          <w:p>
            <w:pPr>
              <w:spacing w:line="276" w:lineRule="auto"/>
              <w:jc w:val="left"/>
              <w:rPr>
                <w:sz w:val="18"/>
                <w:szCs w:val="18"/>
              </w:rPr>
            </w:pPr>
            <w:r>
              <w:rPr>
                <w:sz w:val="18"/>
                <w:szCs w:val="18"/>
              </w:rPr>
              <w:t>仪器名称：</w:t>
            </w:r>
            <w:r>
              <w:rPr>
                <w:rFonts w:hint="eastAsia"/>
                <w:sz w:val="18"/>
                <w:szCs w:val="18"/>
              </w:rPr>
              <w:t>电磁辐射分析仪</w:t>
            </w:r>
          </w:p>
          <w:p>
            <w:pPr>
              <w:spacing w:line="276" w:lineRule="auto"/>
              <w:jc w:val="left"/>
              <w:rPr>
                <w:sz w:val="18"/>
                <w:szCs w:val="18"/>
              </w:rPr>
            </w:pPr>
            <w:r>
              <w:rPr>
                <w:sz w:val="18"/>
                <w:szCs w:val="18"/>
              </w:rPr>
              <w:t>仪器型号：SEM-600/LF-01D</w:t>
            </w:r>
          </w:p>
          <w:p>
            <w:pPr>
              <w:spacing w:line="276" w:lineRule="auto"/>
              <w:jc w:val="left"/>
              <w:rPr>
                <w:sz w:val="18"/>
                <w:szCs w:val="18"/>
              </w:rPr>
            </w:pPr>
            <w:r>
              <w:rPr>
                <w:rFonts w:hint="eastAsia"/>
                <w:sz w:val="18"/>
                <w:szCs w:val="18"/>
              </w:rPr>
              <w:t>出厂编号：</w:t>
            </w:r>
            <w:r>
              <w:rPr>
                <w:sz w:val="18"/>
                <w:szCs w:val="18"/>
              </w:rPr>
              <w:t>G-2507/D-2526</w:t>
            </w:r>
          </w:p>
        </w:tc>
        <w:tc>
          <w:tcPr>
            <w:tcW w:w="2904" w:type="dxa"/>
            <w:vAlign w:val="center"/>
          </w:tcPr>
          <w:p>
            <w:pPr>
              <w:spacing w:line="276" w:lineRule="auto"/>
              <w:jc w:val="left"/>
              <w:rPr>
                <w:b/>
                <w:bCs/>
                <w:sz w:val="18"/>
                <w:szCs w:val="18"/>
              </w:rPr>
            </w:pPr>
            <w:r>
              <w:rPr>
                <w:rFonts w:hint="eastAsia"/>
                <w:b/>
                <w:bCs/>
                <w:sz w:val="18"/>
                <w:szCs w:val="18"/>
              </w:rPr>
              <w:t>测量</w:t>
            </w:r>
            <w:r>
              <w:rPr>
                <w:b/>
                <w:bCs/>
                <w:sz w:val="18"/>
                <w:szCs w:val="18"/>
              </w:rPr>
              <w:t>范围</w:t>
            </w:r>
          </w:p>
          <w:p>
            <w:pPr>
              <w:spacing w:line="276" w:lineRule="auto"/>
              <w:jc w:val="left"/>
              <w:rPr>
                <w:sz w:val="18"/>
                <w:szCs w:val="18"/>
              </w:rPr>
            </w:pPr>
            <w:r>
              <w:rPr>
                <w:sz w:val="18"/>
                <w:szCs w:val="18"/>
              </w:rPr>
              <w:t>电场强度：</w:t>
            </w:r>
          </w:p>
          <w:p>
            <w:pPr>
              <w:spacing w:line="276" w:lineRule="auto"/>
              <w:jc w:val="left"/>
              <w:rPr>
                <w:sz w:val="18"/>
                <w:szCs w:val="18"/>
              </w:rPr>
            </w:pPr>
            <w:r>
              <w:rPr>
                <w:sz w:val="18"/>
                <w:szCs w:val="18"/>
              </w:rPr>
              <w:t>0.01</w:t>
            </w:r>
            <w:r>
              <w:rPr>
                <w:rFonts w:hint="eastAsia"/>
                <w:sz w:val="18"/>
                <w:szCs w:val="18"/>
              </w:rPr>
              <w:t>V/m～100kV/m</w:t>
            </w:r>
          </w:p>
          <w:p>
            <w:pPr>
              <w:spacing w:line="276" w:lineRule="auto"/>
              <w:jc w:val="left"/>
              <w:rPr>
                <w:sz w:val="18"/>
                <w:szCs w:val="18"/>
              </w:rPr>
            </w:pPr>
            <w:r>
              <w:rPr>
                <w:sz w:val="18"/>
                <w:szCs w:val="18"/>
              </w:rPr>
              <w:t>磁感应强度：</w:t>
            </w:r>
          </w:p>
          <w:p>
            <w:pPr>
              <w:spacing w:line="276" w:lineRule="auto"/>
              <w:jc w:val="left"/>
              <w:rPr>
                <w:sz w:val="18"/>
                <w:szCs w:val="18"/>
              </w:rPr>
            </w:pPr>
            <w:r>
              <w:rPr>
                <w:rFonts w:hint="eastAsia"/>
                <w:sz w:val="18"/>
                <w:szCs w:val="18"/>
              </w:rPr>
              <w:t>1nT～10mT</w:t>
            </w:r>
          </w:p>
          <w:p>
            <w:pPr>
              <w:spacing w:line="276" w:lineRule="auto"/>
              <w:jc w:val="left"/>
              <w:rPr>
                <w:snapToGrid w:val="0"/>
                <w:kern w:val="0"/>
                <w:sz w:val="18"/>
                <w:szCs w:val="18"/>
              </w:rPr>
            </w:pPr>
            <w:r>
              <w:rPr>
                <w:rFonts w:hint="eastAsia"/>
                <w:b/>
                <w:color w:val="000000" w:themeColor="text1"/>
                <w:sz w:val="18"/>
                <w:szCs w:val="18"/>
                <w14:textFill>
                  <w14:solidFill>
                    <w14:schemeClr w14:val="tx1"/>
                  </w14:solidFill>
                </w14:textFill>
              </w:rPr>
              <w:t>频率范围</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1H</w:t>
            </w:r>
            <w:r>
              <w:rPr>
                <w:color w:val="000000" w:themeColor="text1"/>
                <w:sz w:val="18"/>
                <w:szCs w:val="18"/>
                <w14:textFill>
                  <w14:solidFill>
                    <w14:schemeClr w14:val="tx1"/>
                  </w14:solidFill>
                </w14:textFill>
              </w:rPr>
              <w:t>z</w:t>
            </w:r>
            <w:r>
              <w:rPr>
                <w:rFonts w:hint="eastAsia"/>
                <w:color w:val="000000" w:themeColor="text1"/>
                <w:sz w:val="18"/>
                <w:szCs w:val="18"/>
                <w14:textFill>
                  <w14:solidFill>
                    <w14:schemeClr w14:val="tx1"/>
                  </w14:solidFill>
                </w14:textFill>
              </w:rPr>
              <w:t>-100kHz</w:t>
            </w:r>
          </w:p>
        </w:tc>
        <w:tc>
          <w:tcPr>
            <w:tcW w:w="3441" w:type="dxa"/>
            <w:vAlign w:val="center"/>
          </w:tcPr>
          <w:p>
            <w:pPr>
              <w:snapToGrid w:val="0"/>
              <w:spacing w:line="276" w:lineRule="auto"/>
              <w:rPr>
                <w:snapToGrid w:val="0"/>
                <w:kern w:val="0"/>
                <w:sz w:val="18"/>
                <w:szCs w:val="18"/>
              </w:rPr>
            </w:pPr>
            <w:r>
              <w:rPr>
                <w:b/>
                <w:bCs/>
                <w:snapToGrid w:val="0"/>
                <w:kern w:val="0"/>
                <w:sz w:val="18"/>
                <w:szCs w:val="18"/>
              </w:rPr>
              <w:t>校准单位：</w:t>
            </w:r>
            <w:r>
              <w:rPr>
                <w:rFonts w:hint="eastAsia"/>
                <w:snapToGrid w:val="0"/>
                <w:kern w:val="0"/>
                <w:sz w:val="18"/>
                <w:szCs w:val="18"/>
              </w:rPr>
              <w:t>中国泰尔实验室</w:t>
            </w:r>
          </w:p>
          <w:p>
            <w:pPr>
              <w:snapToGrid w:val="0"/>
              <w:spacing w:line="276" w:lineRule="auto"/>
              <w:jc w:val="left"/>
              <w:rPr>
                <w:snapToGrid w:val="0"/>
                <w:kern w:val="0"/>
                <w:sz w:val="18"/>
                <w:szCs w:val="18"/>
              </w:rPr>
            </w:pPr>
            <w:r>
              <w:rPr>
                <w:b/>
                <w:bCs/>
                <w:snapToGrid w:val="0"/>
                <w:kern w:val="0"/>
                <w:sz w:val="18"/>
                <w:szCs w:val="18"/>
              </w:rPr>
              <w:t>证书编号：</w:t>
            </w:r>
            <w:r>
              <w:rPr>
                <w:snapToGrid w:val="0"/>
                <w:kern w:val="0"/>
                <w:sz w:val="18"/>
                <w:szCs w:val="18"/>
              </w:rPr>
              <w:t>25J02X006176</w:t>
            </w:r>
          </w:p>
          <w:p>
            <w:pPr>
              <w:snapToGrid w:val="0"/>
              <w:spacing w:line="276" w:lineRule="auto"/>
              <w:rPr>
                <w:b/>
                <w:bCs/>
                <w:snapToGrid w:val="0"/>
                <w:kern w:val="0"/>
                <w:sz w:val="18"/>
                <w:szCs w:val="18"/>
              </w:rPr>
            </w:pPr>
            <w:r>
              <w:rPr>
                <w:b/>
                <w:bCs/>
                <w:snapToGrid w:val="0"/>
                <w:kern w:val="0"/>
                <w:sz w:val="18"/>
                <w:szCs w:val="18"/>
              </w:rPr>
              <w:t>有效期：</w:t>
            </w:r>
            <w:r>
              <w:rPr>
                <w:snapToGrid w:val="0"/>
                <w:kern w:val="0"/>
                <w:sz w:val="18"/>
                <w:szCs w:val="18"/>
              </w:rPr>
              <w:t>2025.07.09-2026.07.08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5" w:type="dxa"/>
            <w:vAlign w:val="center"/>
          </w:tcPr>
          <w:p>
            <w:pPr>
              <w:spacing w:line="276" w:lineRule="auto"/>
              <w:rPr>
                <w:b/>
                <w:sz w:val="18"/>
                <w:szCs w:val="18"/>
              </w:rPr>
            </w:pPr>
            <w:r>
              <w:rPr>
                <w:rFonts w:hint="eastAsia"/>
                <w:b/>
                <w:sz w:val="18"/>
                <w:szCs w:val="18"/>
              </w:rPr>
              <w:t>温湿度</w:t>
            </w:r>
            <w:r>
              <w:rPr>
                <w:b/>
                <w:sz w:val="18"/>
                <w:szCs w:val="18"/>
              </w:rPr>
              <w:t>风速仪</w:t>
            </w:r>
          </w:p>
          <w:p>
            <w:pPr>
              <w:spacing w:line="276" w:lineRule="auto"/>
              <w:rPr>
                <w:sz w:val="18"/>
                <w:szCs w:val="18"/>
              </w:rPr>
            </w:pPr>
            <w:r>
              <w:rPr>
                <w:sz w:val="18"/>
                <w:szCs w:val="18"/>
              </w:rPr>
              <w:t>仪器名称：</w:t>
            </w:r>
            <w:r>
              <w:rPr>
                <w:rFonts w:hint="eastAsia"/>
                <w:sz w:val="18"/>
                <w:szCs w:val="18"/>
              </w:rPr>
              <w:t>多功能风速计</w:t>
            </w:r>
          </w:p>
          <w:p>
            <w:pPr>
              <w:spacing w:line="276" w:lineRule="auto"/>
              <w:rPr>
                <w:sz w:val="18"/>
                <w:szCs w:val="18"/>
              </w:rPr>
            </w:pPr>
            <w:r>
              <w:rPr>
                <w:sz w:val="18"/>
                <w:szCs w:val="18"/>
              </w:rPr>
              <w:t>仪器型号：Testo410-2</w:t>
            </w:r>
          </w:p>
          <w:p>
            <w:pPr>
              <w:spacing w:line="276" w:lineRule="auto"/>
              <w:rPr>
                <w:b/>
                <w:sz w:val="18"/>
                <w:szCs w:val="18"/>
              </w:rPr>
            </w:pPr>
            <w:r>
              <w:rPr>
                <w:rFonts w:hint="eastAsia"/>
                <w:sz w:val="18"/>
                <w:szCs w:val="18"/>
              </w:rPr>
              <w:t>出厂编号：</w:t>
            </w:r>
            <w:r>
              <w:rPr>
                <w:sz w:val="18"/>
                <w:szCs w:val="18"/>
              </w:rPr>
              <w:t>38577560/903</w:t>
            </w:r>
          </w:p>
        </w:tc>
        <w:tc>
          <w:tcPr>
            <w:tcW w:w="2904" w:type="dxa"/>
            <w:vAlign w:val="center"/>
          </w:tcPr>
          <w:p>
            <w:pPr>
              <w:spacing w:line="276" w:lineRule="auto"/>
              <w:jc w:val="left"/>
              <w:rPr>
                <w:b/>
                <w:sz w:val="18"/>
                <w:szCs w:val="18"/>
              </w:rPr>
            </w:pPr>
            <w:r>
              <w:rPr>
                <w:rFonts w:hint="eastAsia"/>
                <w:b/>
                <w:sz w:val="18"/>
                <w:szCs w:val="18"/>
              </w:rPr>
              <w:t>温度</w:t>
            </w:r>
          </w:p>
          <w:p>
            <w:pPr>
              <w:spacing w:line="276" w:lineRule="auto"/>
              <w:rPr>
                <w:sz w:val="18"/>
                <w:szCs w:val="18"/>
              </w:rPr>
            </w:pPr>
            <w:r>
              <w:rPr>
                <w:sz w:val="18"/>
                <w:szCs w:val="18"/>
              </w:rPr>
              <w:t>测量范围：</w:t>
            </w:r>
            <w:r>
              <w:rPr>
                <w:rFonts w:hint="eastAsia"/>
                <w:sz w:val="18"/>
                <w:szCs w:val="18"/>
              </w:rPr>
              <w:t>-10℃</w:t>
            </w:r>
            <w:r>
              <w:rPr>
                <w:sz w:val="18"/>
                <w:szCs w:val="18"/>
              </w:rPr>
              <w:t>~+50</w:t>
            </w:r>
            <w:r>
              <w:rPr>
                <w:rFonts w:hint="eastAsia"/>
                <w:sz w:val="18"/>
                <w:szCs w:val="18"/>
              </w:rPr>
              <w:t>℃</w:t>
            </w:r>
          </w:p>
          <w:p>
            <w:pPr>
              <w:spacing w:line="276" w:lineRule="auto"/>
              <w:jc w:val="left"/>
              <w:rPr>
                <w:rFonts w:hint="eastAsia" w:ascii="宋体" w:hAnsi="宋体" w:cs="宋体" w:eastAsiaTheme="minorEastAsia"/>
                <w:b/>
                <w:sz w:val="18"/>
                <w:szCs w:val="18"/>
              </w:rPr>
            </w:pPr>
            <w:r>
              <w:rPr>
                <w:rFonts w:hint="eastAsia" w:ascii="宋体" w:hAnsi="宋体" w:cs="宋体" w:eastAsiaTheme="minorEastAsia"/>
                <w:b/>
                <w:sz w:val="18"/>
                <w:szCs w:val="18"/>
              </w:rPr>
              <w:t>湿度</w:t>
            </w:r>
          </w:p>
          <w:p>
            <w:pPr>
              <w:spacing w:line="276" w:lineRule="auto"/>
              <w:ind w:left="810" w:hanging="810" w:hangingChars="450"/>
              <w:jc w:val="left"/>
              <w:rPr>
                <w:sz w:val="18"/>
                <w:szCs w:val="18"/>
              </w:rPr>
            </w:pPr>
            <w:r>
              <w:rPr>
                <w:sz w:val="18"/>
                <w:szCs w:val="18"/>
              </w:rPr>
              <w:t>测量范围：0% ~100%</w:t>
            </w:r>
            <w:r>
              <w:rPr>
                <w:rFonts w:hint="eastAsia"/>
                <w:sz w:val="18"/>
                <w:szCs w:val="18"/>
              </w:rPr>
              <w:t>（无</w:t>
            </w:r>
            <w:r>
              <w:rPr>
                <w:sz w:val="18"/>
                <w:szCs w:val="18"/>
              </w:rPr>
              <w:t>结露</w:t>
            </w:r>
            <w:r>
              <w:rPr>
                <w:rFonts w:hint="eastAsia"/>
                <w:sz w:val="18"/>
                <w:szCs w:val="18"/>
              </w:rPr>
              <w:t>）</w:t>
            </w:r>
          </w:p>
          <w:p>
            <w:pPr>
              <w:spacing w:line="276" w:lineRule="auto"/>
              <w:jc w:val="left"/>
              <w:rPr>
                <w:rFonts w:hint="eastAsia" w:ascii="宋体" w:hAnsi="宋体" w:cs="宋体"/>
                <w:b/>
                <w:sz w:val="18"/>
                <w:szCs w:val="18"/>
              </w:rPr>
            </w:pPr>
            <w:r>
              <w:rPr>
                <w:rFonts w:hint="eastAsia" w:ascii="宋体" w:hAnsi="宋体" w:cs="宋体"/>
                <w:b/>
                <w:sz w:val="18"/>
                <w:szCs w:val="18"/>
              </w:rPr>
              <w:t>风速</w:t>
            </w:r>
          </w:p>
          <w:p>
            <w:pPr>
              <w:spacing w:line="276" w:lineRule="auto"/>
              <w:rPr>
                <w:b/>
                <w:sz w:val="18"/>
                <w:szCs w:val="18"/>
              </w:rPr>
            </w:pPr>
            <w:r>
              <w:rPr>
                <w:sz w:val="18"/>
                <w:szCs w:val="18"/>
              </w:rPr>
              <w:t>测量范围：0.4m/s~20m/s</w:t>
            </w:r>
          </w:p>
        </w:tc>
        <w:tc>
          <w:tcPr>
            <w:tcW w:w="3441" w:type="dxa"/>
            <w:vAlign w:val="center"/>
          </w:tcPr>
          <w:p>
            <w:pPr>
              <w:snapToGrid w:val="0"/>
              <w:spacing w:line="276" w:lineRule="auto"/>
              <w:rPr>
                <w:snapToGrid w:val="0"/>
                <w:kern w:val="0"/>
                <w:sz w:val="18"/>
                <w:szCs w:val="18"/>
              </w:rPr>
            </w:pPr>
            <w:r>
              <w:rPr>
                <w:b/>
                <w:snapToGrid w:val="0"/>
                <w:kern w:val="0"/>
                <w:sz w:val="18"/>
                <w:szCs w:val="18"/>
              </w:rPr>
              <w:t>校准单位：</w:t>
            </w:r>
            <w:r>
              <w:rPr>
                <w:rFonts w:hint="eastAsia"/>
                <w:snapToGrid w:val="0"/>
                <w:kern w:val="0"/>
                <w:sz w:val="18"/>
                <w:szCs w:val="18"/>
              </w:rPr>
              <w:t>湖北省计量测试技术研究院</w:t>
            </w:r>
          </w:p>
          <w:p>
            <w:pPr>
              <w:snapToGrid w:val="0"/>
              <w:spacing w:line="276" w:lineRule="auto"/>
              <w:rPr>
                <w:snapToGrid w:val="0"/>
                <w:kern w:val="0"/>
                <w:sz w:val="18"/>
                <w:szCs w:val="18"/>
              </w:rPr>
            </w:pPr>
            <w:r>
              <w:rPr>
                <w:b/>
                <w:snapToGrid w:val="0"/>
                <w:kern w:val="0"/>
                <w:sz w:val="18"/>
                <w:szCs w:val="18"/>
              </w:rPr>
              <w:t>证书编号：</w:t>
            </w:r>
            <w:r>
              <w:rPr>
                <w:snapToGrid w:val="0"/>
                <w:kern w:val="0"/>
                <w:sz w:val="18"/>
                <w:szCs w:val="18"/>
              </w:rPr>
              <w:t>2024RG011802758</w:t>
            </w:r>
          </w:p>
          <w:p>
            <w:pPr>
              <w:snapToGrid w:val="0"/>
              <w:spacing w:line="276" w:lineRule="auto"/>
              <w:rPr>
                <w:snapToGrid w:val="0"/>
                <w:kern w:val="0"/>
                <w:sz w:val="18"/>
                <w:szCs w:val="18"/>
              </w:rPr>
            </w:pPr>
            <w:r>
              <w:rPr>
                <w:b/>
                <w:snapToGrid w:val="0"/>
                <w:kern w:val="0"/>
                <w:sz w:val="18"/>
                <w:szCs w:val="18"/>
              </w:rPr>
              <w:t>有效期：</w:t>
            </w:r>
            <w:r>
              <w:rPr>
                <w:snapToGrid w:val="0"/>
                <w:kern w:val="0"/>
                <w:sz w:val="18"/>
                <w:szCs w:val="18"/>
              </w:rPr>
              <w:t>2024.12.06-2025.12.05</w:t>
            </w:r>
          </w:p>
          <w:p>
            <w:pPr>
              <w:snapToGrid w:val="0"/>
              <w:spacing w:line="276" w:lineRule="auto"/>
              <w:rPr>
                <w:b/>
                <w:snapToGrid w:val="0"/>
                <w:kern w:val="0"/>
                <w:sz w:val="18"/>
                <w:szCs w:val="18"/>
              </w:rPr>
            </w:pPr>
          </w:p>
          <w:p>
            <w:pPr>
              <w:snapToGrid w:val="0"/>
              <w:spacing w:line="276" w:lineRule="auto"/>
              <w:rPr>
                <w:b/>
                <w:snapToGrid w:val="0"/>
                <w:kern w:val="0"/>
                <w:sz w:val="18"/>
                <w:szCs w:val="18"/>
              </w:rPr>
            </w:pPr>
            <w:r>
              <w:rPr>
                <w:rFonts w:hint="eastAsia"/>
                <w:b/>
                <w:snapToGrid w:val="0"/>
                <w:kern w:val="0"/>
                <w:sz w:val="18"/>
                <w:szCs w:val="18"/>
              </w:rPr>
              <w:t>检定</w:t>
            </w:r>
            <w:r>
              <w:rPr>
                <w:b/>
                <w:snapToGrid w:val="0"/>
                <w:kern w:val="0"/>
                <w:sz w:val="18"/>
                <w:szCs w:val="18"/>
              </w:rPr>
              <w:t>单位：</w:t>
            </w:r>
            <w:r>
              <w:rPr>
                <w:rFonts w:hint="eastAsia"/>
                <w:snapToGrid w:val="0"/>
                <w:kern w:val="0"/>
                <w:sz w:val="18"/>
                <w:szCs w:val="18"/>
              </w:rPr>
              <w:t>湖北省气象计量检定站</w:t>
            </w:r>
          </w:p>
          <w:p>
            <w:pPr>
              <w:snapToGrid w:val="0"/>
              <w:spacing w:line="276" w:lineRule="auto"/>
              <w:rPr>
                <w:b/>
                <w:snapToGrid w:val="0"/>
                <w:kern w:val="0"/>
                <w:sz w:val="18"/>
                <w:szCs w:val="18"/>
              </w:rPr>
            </w:pPr>
            <w:r>
              <w:rPr>
                <w:rFonts w:hint="eastAsia"/>
                <w:b/>
                <w:snapToGrid w:val="0"/>
                <w:kern w:val="0"/>
                <w:sz w:val="18"/>
                <w:szCs w:val="18"/>
              </w:rPr>
              <w:t>证书</w:t>
            </w:r>
            <w:r>
              <w:rPr>
                <w:b/>
                <w:snapToGrid w:val="0"/>
                <w:kern w:val="0"/>
                <w:sz w:val="18"/>
                <w:szCs w:val="18"/>
              </w:rPr>
              <w:t>编号：</w:t>
            </w:r>
            <w:r>
              <w:rPr>
                <w:rFonts w:hint="eastAsia"/>
                <w:snapToGrid w:val="0"/>
                <w:kern w:val="0"/>
                <w:sz w:val="18"/>
                <w:szCs w:val="18"/>
              </w:rPr>
              <w:t>鄂气检42412149</w:t>
            </w:r>
          </w:p>
          <w:p>
            <w:pPr>
              <w:snapToGrid w:val="0"/>
              <w:spacing w:line="276" w:lineRule="auto"/>
              <w:rPr>
                <w:b/>
                <w:snapToGrid w:val="0"/>
                <w:kern w:val="0"/>
                <w:sz w:val="18"/>
                <w:szCs w:val="18"/>
              </w:rPr>
            </w:pPr>
            <w:r>
              <w:rPr>
                <w:rFonts w:hint="eastAsia"/>
                <w:b/>
                <w:snapToGrid w:val="0"/>
                <w:kern w:val="0"/>
                <w:sz w:val="18"/>
                <w:szCs w:val="18"/>
              </w:rPr>
              <w:t>有效期</w:t>
            </w:r>
            <w:r>
              <w:rPr>
                <w:b/>
                <w:snapToGrid w:val="0"/>
                <w:kern w:val="0"/>
                <w:sz w:val="18"/>
                <w:szCs w:val="18"/>
              </w:rPr>
              <w:t>：</w:t>
            </w:r>
            <w:r>
              <w:rPr>
                <w:snapToGrid w:val="0"/>
                <w:kern w:val="0"/>
                <w:sz w:val="18"/>
                <w:szCs w:val="18"/>
              </w:rPr>
              <w:t>2024.12.04-2025.12.03</w:t>
            </w:r>
          </w:p>
        </w:tc>
      </w:tr>
    </w:tbl>
    <w:p>
      <w:pPr>
        <w:keepNext/>
        <w:keepLines/>
        <w:numPr>
          <w:ilvl w:val="1"/>
          <w:numId w:val="28"/>
        </w:numPr>
        <w:adjustRightInd w:val="0"/>
        <w:spacing w:line="360" w:lineRule="auto"/>
        <w:outlineLvl w:val="1"/>
        <w:rPr>
          <w:b/>
          <w:bCs/>
          <w:color w:val="000000"/>
          <w:sz w:val="28"/>
          <w:szCs w:val="32"/>
        </w:rPr>
      </w:pPr>
      <w:bookmarkStart w:id="837" w:name="_Toc10900"/>
      <w:r>
        <w:rPr>
          <w:rFonts w:hint="eastAsia"/>
          <w:b/>
          <w:bCs/>
          <w:color w:val="000000"/>
          <w:sz w:val="28"/>
          <w:szCs w:val="32"/>
        </w:rPr>
        <w:t>监测结果及分析</w:t>
      </w:r>
      <w:bookmarkEnd w:id="837"/>
    </w:p>
    <w:p>
      <w:pPr>
        <w:spacing w:line="360" w:lineRule="auto"/>
        <w:ind w:firstLine="480" w:firstLineChars="200"/>
        <w:rPr>
          <w:color w:val="000000"/>
          <w:sz w:val="24"/>
          <w:szCs w:val="20"/>
        </w:rPr>
      </w:pPr>
      <w:r>
        <w:rPr>
          <w:rFonts w:hint="eastAsia"/>
          <w:color w:val="000000"/>
          <w:sz w:val="24"/>
          <w:szCs w:val="20"/>
        </w:rPr>
        <w:t>（</w:t>
      </w:r>
      <w:r>
        <w:rPr>
          <w:color w:val="000000"/>
          <w:sz w:val="24"/>
          <w:szCs w:val="20"/>
        </w:rPr>
        <w:t>1</w:t>
      </w:r>
      <w:r>
        <w:rPr>
          <w:rFonts w:hint="eastAsia"/>
          <w:color w:val="000000"/>
          <w:sz w:val="24"/>
          <w:szCs w:val="20"/>
        </w:rPr>
        <w:t>）监测结果</w:t>
      </w:r>
    </w:p>
    <w:p>
      <w:pPr>
        <w:spacing w:line="360" w:lineRule="auto"/>
        <w:ind w:firstLine="480" w:firstLineChars="200"/>
        <w:rPr>
          <w:color w:val="000000"/>
          <w:sz w:val="24"/>
          <w:szCs w:val="20"/>
        </w:rPr>
      </w:pPr>
      <w:r>
        <w:rPr>
          <w:rFonts w:hint="eastAsia"/>
          <w:color w:val="000000"/>
          <w:sz w:val="24"/>
          <w:szCs w:val="20"/>
        </w:rPr>
        <w:t>武汉中电工程检测有限公司具备相应的监测资质和能力，按环评的布点等监测要求开展了监测工作并出具了检测报告。本环评对武汉中电工程检测有限公司的检测报告按照技术导则规范进行了审核确认。本工程电磁环境现状监测结果见</w:t>
      </w:r>
      <w:r>
        <w:rPr>
          <w:rFonts w:hint="eastAsia"/>
          <w:color w:val="000000"/>
          <w:sz w:val="24"/>
          <w:szCs w:val="20"/>
        </w:rPr>
        <w:fldChar w:fldCharType="begin"/>
      </w:r>
      <w:r>
        <w:rPr>
          <w:rFonts w:hint="eastAsia"/>
          <w:color w:val="000000"/>
          <w:sz w:val="24"/>
          <w:szCs w:val="20"/>
        </w:rPr>
        <w:instrText xml:space="preserve"> REF _Ref11721 \h </w:instrText>
      </w:r>
      <w:r>
        <w:rPr>
          <w:color w:val="000000"/>
          <w:sz w:val="24"/>
          <w:szCs w:val="20"/>
        </w:rPr>
        <w:instrText xml:space="preserve"> \* MERGEFORMAT </w:instrText>
      </w:r>
      <w:r>
        <w:rPr>
          <w:rFonts w:hint="eastAsia"/>
          <w:color w:val="000000"/>
          <w:sz w:val="24"/>
          <w:szCs w:val="20"/>
        </w:rPr>
        <w:fldChar w:fldCharType="separate"/>
      </w:r>
      <w:r>
        <w:rPr>
          <w:rFonts w:hint="eastAsia"/>
          <w:color w:val="000000"/>
          <w:sz w:val="24"/>
          <w:szCs w:val="20"/>
        </w:rPr>
        <w:t xml:space="preserve">表 </w:t>
      </w:r>
      <w:r>
        <w:rPr>
          <w:color w:val="000000"/>
          <w:sz w:val="24"/>
          <w:szCs w:val="20"/>
        </w:rPr>
        <w:t>31</w:t>
      </w:r>
      <w:r>
        <w:rPr>
          <w:rFonts w:hint="eastAsia"/>
          <w:color w:val="000000"/>
          <w:sz w:val="24"/>
          <w:szCs w:val="20"/>
        </w:rPr>
        <w:fldChar w:fldCharType="end"/>
      </w:r>
      <w:r>
        <w:rPr>
          <w:rFonts w:hint="eastAsia"/>
          <w:color w:val="000000"/>
          <w:sz w:val="24"/>
          <w:szCs w:val="20"/>
        </w:rPr>
        <w:t>。</w:t>
      </w:r>
    </w:p>
    <w:p>
      <w:pPr>
        <w:adjustRightInd w:val="0"/>
        <w:snapToGrid w:val="0"/>
        <w:rPr>
          <w:rFonts w:hint="eastAsia" w:ascii="黑体" w:hAnsi="黑体" w:eastAsia="黑体"/>
          <w:color w:val="000000"/>
          <w:szCs w:val="20"/>
        </w:rPr>
      </w:pPr>
      <w:bookmarkStart w:id="838" w:name="_Ref11721"/>
      <w:r>
        <w:rPr>
          <w:rFonts w:hint="eastAsia" w:ascii="黑体" w:hAnsi="黑体" w:eastAsia="黑体" w:cs="黑体"/>
          <w:bCs/>
        </w:rPr>
        <w:t xml:space="preserve">表 </w:t>
      </w:r>
      <w:r>
        <w:rPr>
          <w:rFonts w:hint="eastAsia" w:ascii="黑体" w:hAnsi="黑体" w:eastAsia="黑体" w:cs="黑体"/>
          <w:bCs/>
        </w:rPr>
        <w:fldChar w:fldCharType="begin"/>
      </w:r>
      <w:r>
        <w:rPr>
          <w:rFonts w:hint="eastAsia" w:ascii="黑体" w:hAnsi="黑体" w:eastAsia="黑体" w:cs="黑体"/>
          <w:bCs/>
        </w:rPr>
        <w:instrText xml:space="preserve"> SEQ 表 \* ARABIC </w:instrText>
      </w:r>
      <w:r>
        <w:rPr>
          <w:rFonts w:hint="eastAsia" w:ascii="黑体" w:hAnsi="黑体" w:eastAsia="黑体" w:cs="黑体"/>
          <w:bCs/>
        </w:rPr>
        <w:fldChar w:fldCharType="separate"/>
      </w:r>
      <w:r>
        <w:rPr>
          <w:rFonts w:ascii="黑体" w:hAnsi="黑体" w:eastAsia="黑体" w:cs="黑体"/>
          <w:bCs/>
        </w:rPr>
        <w:t>31</w:t>
      </w:r>
      <w:r>
        <w:rPr>
          <w:rFonts w:hint="eastAsia" w:ascii="黑体" w:hAnsi="黑体" w:eastAsia="黑体" w:cs="黑体"/>
          <w:bCs/>
        </w:rPr>
        <w:fldChar w:fldCharType="end"/>
      </w:r>
      <w:bookmarkEnd w:id="838"/>
      <w:r>
        <w:rPr>
          <w:rFonts w:hint="eastAsia" w:ascii="黑体" w:hAnsi="黑体" w:eastAsia="黑体" w:cs="黑体"/>
          <w:bCs/>
        </w:rPr>
        <w:t xml:space="preserve"> </w:t>
      </w:r>
      <w:r>
        <w:rPr>
          <w:rFonts w:eastAsia="黑体"/>
          <w:bCs/>
          <w:color w:val="000000"/>
          <w:szCs w:val="20"/>
        </w:rPr>
        <w:t xml:space="preserve">                    </w:t>
      </w:r>
      <w:r>
        <w:rPr>
          <w:rFonts w:eastAsia="黑体" w:cs="宋体"/>
          <w:bCs/>
          <w:color w:val="000000"/>
          <w:szCs w:val="20"/>
        </w:rPr>
        <w:t xml:space="preserve">      电磁环境现状监测结果</w:t>
      </w:r>
      <w:r>
        <w:rPr>
          <w:rFonts w:ascii="黑体" w:hAnsi="黑体" w:eastAsia="黑体"/>
          <w:bCs/>
          <w:color w:val="000000"/>
          <w:szCs w:val="20"/>
        </w:rPr>
        <w:t xml:space="preserve">  </w:t>
      </w:r>
      <w:r>
        <w:rPr>
          <w:rFonts w:ascii="黑体" w:hAnsi="黑体" w:eastAsia="黑体"/>
          <w:color w:val="000000"/>
          <w:szCs w:val="20"/>
        </w:rPr>
        <w:t xml:space="preserve">              </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
        <w:gridCol w:w="3583"/>
        <w:gridCol w:w="1723"/>
        <w:gridCol w:w="1434"/>
        <w:gridCol w:w="2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33" w:type="pct"/>
            <w:vAlign w:val="center"/>
          </w:tcPr>
          <w:p>
            <w:pPr>
              <w:widowControl/>
              <w:jc w:val="center"/>
              <w:rPr>
                <w:b/>
                <w:bCs/>
                <w:kern w:val="0"/>
                <w:szCs w:val="21"/>
              </w:rPr>
            </w:pPr>
            <w:r>
              <w:rPr>
                <w:b/>
                <w:bCs/>
                <w:kern w:val="0"/>
                <w:szCs w:val="21"/>
              </w:rPr>
              <w:t>序号</w:t>
            </w:r>
          </w:p>
        </w:tc>
        <w:tc>
          <w:tcPr>
            <w:tcW w:w="1929" w:type="pct"/>
            <w:vAlign w:val="center"/>
          </w:tcPr>
          <w:p>
            <w:pPr>
              <w:widowControl/>
              <w:jc w:val="center"/>
              <w:rPr>
                <w:b/>
                <w:bCs/>
                <w:kern w:val="0"/>
                <w:szCs w:val="21"/>
              </w:rPr>
            </w:pPr>
            <w:r>
              <w:rPr>
                <w:b/>
                <w:bCs/>
                <w:kern w:val="0"/>
                <w:szCs w:val="21"/>
              </w:rPr>
              <w:t>检测点位</w:t>
            </w:r>
          </w:p>
        </w:tc>
        <w:tc>
          <w:tcPr>
            <w:tcW w:w="928" w:type="pct"/>
            <w:vAlign w:val="center"/>
          </w:tcPr>
          <w:p>
            <w:pPr>
              <w:widowControl/>
              <w:jc w:val="center"/>
              <w:rPr>
                <w:b/>
                <w:bCs/>
                <w:kern w:val="0"/>
                <w:szCs w:val="21"/>
              </w:rPr>
            </w:pPr>
            <w:r>
              <w:rPr>
                <w:b/>
                <w:bCs/>
                <w:kern w:val="0"/>
                <w:szCs w:val="21"/>
              </w:rPr>
              <w:t>电场强度（V/m）</w:t>
            </w:r>
          </w:p>
        </w:tc>
        <w:tc>
          <w:tcPr>
            <w:tcW w:w="772" w:type="pct"/>
            <w:vAlign w:val="center"/>
          </w:tcPr>
          <w:p>
            <w:pPr>
              <w:widowControl/>
              <w:jc w:val="center"/>
              <w:rPr>
                <w:b/>
                <w:bCs/>
                <w:kern w:val="0"/>
                <w:szCs w:val="21"/>
              </w:rPr>
            </w:pPr>
            <w:r>
              <w:rPr>
                <w:b/>
                <w:bCs/>
                <w:kern w:val="0"/>
                <w:szCs w:val="21"/>
              </w:rPr>
              <w:t>磁感应强度（μT）</w:t>
            </w:r>
          </w:p>
        </w:tc>
        <w:tc>
          <w:tcPr>
            <w:tcW w:w="1138" w:type="pct"/>
            <w:vAlign w:val="center"/>
          </w:tcPr>
          <w:p>
            <w:pPr>
              <w:widowControl/>
              <w:jc w:val="center"/>
              <w:rPr>
                <w:b/>
                <w:bCs/>
                <w:kern w:val="0"/>
                <w:szCs w:val="21"/>
              </w:rPr>
            </w:pPr>
            <w:r>
              <w:rPr>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5000" w:type="pct"/>
            <w:gridSpan w:val="5"/>
            <w:vAlign w:val="center"/>
          </w:tcPr>
          <w:p>
            <w:pPr>
              <w:widowControl/>
              <w:jc w:val="center"/>
              <w:rPr>
                <w:szCs w:val="21"/>
              </w:rPr>
            </w:pPr>
            <w:r>
              <w:rPr>
                <w:b/>
                <w:kern w:val="0"/>
                <w:szCs w:val="21"/>
              </w:rPr>
              <w:t>（一）新建东环110千伏变电站工程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33" w:type="pct"/>
            <w:vAlign w:val="center"/>
          </w:tcPr>
          <w:p>
            <w:pPr>
              <w:pStyle w:val="114"/>
              <w:widowControl/>
              <w:numPr>
                <w:ilvl w:val="0"/>
                <w:numId w:val="33"/>
              </w:numPr>
              <w:ind w:left="0" w:firstLine="0" w:firstLineChars="0"/>
              <w:jc w:val="center"/>
              <w:rPr>
                <w:kern w:val="0"/>
                <w:szCs w:val="21"/>
              </w:rPr>
            </w:pPr>
          </w:p>
        </w:tc>
        <w:tc>
          <w:tcPr>
            <w:tcW w:w="1929" w:type="pct"/>
            <w:vAlign w:val="center"/>
          </w:tcPr>
          <w:p>
            <w:pPr>
              <w:widowControl/>
              <w:jc w:val="center"/>
              <w:rPr>
                <w:kern w:val="0"/>
                <w:szCs w:val="21"/>
              </w:rPr>
            </w:pPr>
            <w:r>
              <w:rPr>
                <w:kern w:val="0"/>
                <w:szCs w:val="21"/>
              </w:rPr>
              <w:t>东环110kV变电站站址东北侧1#</w:t>
            </w:r>
          </w:p>
        </w:tc>
        <w:tc>
          <w:tcPr>
            <w:tcW w:w="928" w:type="pct"/>
            <w:vAlign w:val="center"/>
          </w:tcPr>
          <w:p>
            <w:pPr>
              <w:widowControl/>
              <w:jc w:val="center"/>
              <w:rPr>
                <w:kern w:val="0"/>
                <w:szCs w:val="21"/>
              </w:rPr>
            </w:pPr>
            <w:r>
              <w:rPr>
                <w:kern w:val="0"/>
                <w:szCs w:val="21"/>
              </w:rPr>
              <w:t xml:space="preserve">2.70 </w:t>
            </w:r>
          </w:p>
        </w:tc>
        <w:tc>
          <w:tcPr>
            <w:tcW w:w="772" w:type="pct"/>
            <w:vAlign w:val="center"/>
          </w:tcPr>
          <w:p>
            <w:pPr>
              <w:widowControl/>
              <w:jc w:val="center"/>
              <w:rPr>
                <w:kern w:val="0"/>
                <w:szCs w:val="21"/>
              </w:rPr>
            </w:pPr>
            <w:r>
              <w:rPr>
                <w:kern w:val="0"/>
                <w:szCs w:val="21"/>
              </w:rPr>
              <w:t xml:space="preserve">0.022 </w:t>
            </w:r>
          </w:p>
        </w:tc>
        <w:tc>
          <w:tcPr>
            <w:tcW w:w="1138" w:type="pct"/>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33" w:type="pct"/>
            <w:vAlign w:val="center"/>
          </w:tcPr>
          <w:p>
            <w:pPr>
              <w:pStyle w:val="114"/>
              <w:widowControl/>
              <w:numPr>
                <w:ilvl w:val="0"/>
                <w:numId w:val="33"/>
              </w:numPr>
              <w:ind w:left="0" w:firstLine="0" w:firstLineChars="0"/>
              <w:jc w:val="center"/>
              <w:rPr>
                <w:kern w:val="0"/>
                <w:szCs w:val="21"/>
              </w:rPr>
            </w:pPr>
          </w:p>
        </w:tc>
        <w:tc>
          <w:tcPr>
            <w:tcW w:w="1929" w:type="pct"/>
            <w:vAlign w:val="center"/>
          </w:tcPr>
          <w:p>
            <w:pPr>
              <w:widowControl/>
              <w:jc w:val="center"/>
              <w:rPr>
                <w:kern w:val="0"/>
                <w:szCs w:val="21"/>
              </w:rPr>
            </w:pPr>
            <w:r>
              <w:rPr>
                <w:kern w:val="0"/>
                <w:szCs w:val="21"/>
              </w:rPr>
              <w:t>东环110kV变电站站址东南侧2#</w:t>
            </w:r>
          </w:p>
        </w:tc>
        <w:tc>
          <w:tcPr>
            <w:tcW w:w="928" w:type="pct"/>
            <w:vAlign w:val="center"/>
          </w:tcPr>
          <w:p>
            <w:pPr>
              <w:widowControl/>
              <w:jc w:val="center"/>
              <w:rPr>
                <w:kern w:val="0"/>
                <w:szCs w:val="21"/>
              </w:rPr>
            </w:pPr>
            <w:r>
              <w:rPr>
                <w:kern w:val="0"/>
                <w:szCs w:val="21"/>
              </w:rPr>
              <w:t xml:space="preserve">3.07 </w:t>
            </w:r>
          </w:p>
        </w:tc>
        <w:tc>
          <w:tcPr>
            <w:tcW w:w="772" w:type="pct"/>
            <w:vAlign w:val="center"/>
          </w:tcPr>
          <w:p>
            <w:pPr>
              <w:widowControl/>
              <w:jc w:val="center"/>
              <w:rPr>
                <w:kern w:val="0"/>
                <w:szCs w:val="21"/>
              </w:rPr>
            </w:pPr>
            <w:r>
              <w:rPr>
                <w:kern w:val="0"/>
                <w:szCs w:val="21"/>
              </w:rPr>
              <w:t xml:space="preserve">0.028 </w:t>
            </w:r>
          </w:p>
        </w:tc>
        <w:tc>
          <w:tcPr>
            <w:tcW w:w="1138" w:type="pct"/>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33" w:type="pct"/>
            <w:vAlign w:val="center"/>
          </w:tcPr>
          <w:p>
            <w:pPr>
              <w:pStyle w:val="114"/>
              <w:widowControl/>
              <w:numPr>
                <w:ilvl w:val="0"/>
                <w:numId w:val="33"/>
              </w:numPr>
              <w:ind w:left="0" w:firstLine="0" w:firstLineChars="0"/>
              <w:jc w:val="center"/>
              <w:rPr>
                <w:kern w:val="0"/>
                <w:szCs w:val="21"/>
              </w:rPr>
            </w:pPr>
          </w:p>
        </w:tc>
        <w:tc>
          <w:tcPr>
            <w:tcW w:w="1929" w:type="pct"/>
            <w:vAlign w:val="center"/>
          </w:tcPr>
          <w:p>
            <w:pPr>
              <w:widowControl/>
              <w:jc w:val="center"/>
              <w:rPr>
                <w:kern w:val="0"/>
                <w:szCs w:val="21"/>
              </w:rPr>
            </w:pPr>
            <w:r>
              <w:rPr>
                <w:kern w:val="0"/>
                <w:szCs w:val="21"/>
              </w:rPr>
              <w:t>东环110kV变电站站址西南侧3#</w:t>
            </w:r>
          </w:p>
        </w:tc>
        <w:tc>
          <w:tcPr>
            <w:tcW w:w="928" w:type="pct"/>
            <w:vAlign w:val="center"/>
          </w:tcPr>
          <w:p>
            <w:pPr>
              <w:widowControl/>
              <w:jc w:val="center"/>
              <w:rPr>
                <w:kern w:val="0"/>
                <w:szCs w:val="21"/>
              </w:rPr>
            </w:pPr>
            <w:r>
              <w:rPr>
                <w:kern w:val="0"/>
                <w:szCs w:val="21"/>
              </w:rPr>
              <w:t xml:space="preserve">3.09 </w:t>
            </w:r>
          </w:p>
        </w:tc>
        <w:tc>
          <w:tcPr>
            <w:tcW w:w="772" w:type="pct"/>
            <w:vAlign w:val="center"/>
          </w:tcPr>
          <w:p>
            <w:pPr>
              <w:widowControl/>
              <w:jc w:val="center"/>
              <w:rPr>
                <w:kern w:val="0"/>
                <w:szCs w:val="21"/>
              </w:rPr>
            </w:pPr>
            <w:r>
              <w:rPr>
                <w:kern w:val="0"/>
                <w:szCs w:val="21"/>
              </w:rPr>
              <w:t xml:space="preserve">0.023 </w:t>
            </w:r>
          </w:p>
        </w:tc>
        <w:tc>
          <w:tcPr>
            <w:tcW w:w="1138" w:type="pct"/>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33" w:type="pct"/>
            <w:vAlign w:val="center"/>
          </w:tcPr>
          <w:p>
            <w:pPr>
              <w:pStyle w:val="114"/>
              <w:widowControl/>
              <w:numPr>
                <w:ilvl w:val="0"/>
                <w:numId w:val="33"/>
              </w:numPr>
              <w:ind w:left="0" w:firstLine="0" w:firstLineChars="0"/>
              <w:jc w:val="center"/>
              <w:rPr>
                <w:kern w:val="0"/>
                <w:szCs w:val="21"/>
              </w:rPr>
            </w:pPr>
          </w:p>
        </w:tc>
        <w:tc>
          <w:tcPr>
            <w:tcW w:w="1929" w:type="pct"/>
            <w:vAlign w:val="center"/>
          </w:tcPr>
          <w:p>
            <w:pPr>
              <w:widowControl/>
              <w:jc w:val="center"/>
              <w:rPr>
                <w:kern w:val="0"/>
                <w:szCs w:val="21"/>
              </w:rPr>
            </w:pPr>
            <w:r>
              <w:rPr>
                <w:kern w:val="0"/>
                <w:szCs w:val="21"/>
              </w:rPr>
              <w:t>东环110kV变电站站址西北侧4#</w:t>
            </w:r>
          </w:p>
        </w:tc>
        <w:tc>
          <w:tcPr>
            <w:tcW w:w="928" w:type="pct"/>
            <w:vAlign w:val="center"/>
          </w:tcPr>
          <w:p>
            <w:pPr>
              <w:widowControl/>
              <w:jc w:val="center"/>
              <w:rPr>
                <w:kern w:val="0"/>
                <w:szCs w:val="21"/>
              </w:rPr>
            </w:pPr>
            <w:r>
              <w:rPr>
                <w:kern w:val="0"/>
                <w:szCs w:val="21"/>
              </w:rPr>
              <w:t xml:space="preserve">2.38 </w:t>
            </w:r>
          </w:p>
        </w:tc>
        <w:tc>
          <w:tcPr>
            <w:tcW w:w="772" w:type="pct"/>
            <w:vAlign w:val="center"/>
          </w:tcPr>
          <w:p>
            <w:pPr>
              <w:widowControl/>
              <w:jc w:val="center"/>
              <w:rPr>
                <w:kern w:val="0"/>
                <w:szCs w:val="21"/>
              </w:rPr>
            </w:pPr>
            <w:r>
              <w:rPr>
                <w:kern w:val="0"/>
                <w:szCs w:val="21"/>
              </w:rPr>
              <w:t xml:space="preserve">0.019 </w:t>
            </w:r>
          </w:p>
        </w:tc>
        <w:tc>
          <w:tcPr>
            <w:tcW w:w="1138" w:type="pct"/>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33" w:type="pct"/>
            <w:vAlign w:val="center"/>
          </w:tcPr>
          <w:p>
            <w:pPr>
              <w:pStyle w:val="114"/>
              <w:widowControl/>
              <w:numPr>
                <w:ilvl w:val="0"/>
                <w:numId w:val="33"/>
              </w:numPr>
              <w:ind w:left="0" w:firstLine="0" w:firstLineChars="0"/>
              <w:jc w:val="center"/>
              <w:rPr>
                <w:kern w:val="0"/>
                <w:szCs w:val="21"/>
              </w:rPr>
            </w:pPr>
          </w:p>
        </w:tc>
        <w:tc>
          <w:tcPr>
            <w:tcW w:w="1929" w:type="pct"/>
            <w:vAlign w:val="center"/>
          </w:tcPr>
          <w:p>
            <w:pPr>
              <w:widowControl/>
              <w:jc w:val="center"/>
              <w:rPr>
                <w:kern w:val="0"/>
                <w:szCs w:val="21"/>
              </w:rPr>
            </w:pPr>
            <w:r>
              <w:rPr>
                <w:kern w:val="0"/>
                <w:szCs w:val="21"/>
              </w:rPr>
              <w:t>东环110kV变电站站址中心5#</w:t>
            </w:r>
          </w:p>
        </w:tc>
        <w:tc>
          <w:tcPr>
            <w:tcW w:w="928" w:type="pct"/>
            <w:vAlign w:val="center"/>
          </w:tcPr>
          <w:p>
            <w:pPr>
              <w:widowControl/>
              <w:jc w:val="center"/>
              <w:rPr>
                <w:kern w:val="0"/>
                <w:szCs w:val="21"/>
              </w:rPr>
            </w:pPr>
            <w:r>
              <w:rPr>
                <w:kern w:val="0"/>
                <w:szCs w:val="21"/>
              </w:rPr>
              <w:t xml:space="preserve">2.78 </w:t>
            </w:r>
          </w:p>
        </w:tc>
        <w:tc>
          <w:tcPr>
            <w:tcW w:w="772" w:type="pct"/>
            <w:vAlign w:val="center"/>
          </w:tcPr>
          <w:p>
            <w:pPr>
              <w:widowControl/>
              <w:jc w:val="center"/>
              <w:rPr>
                <w:kern w:val="0"/>
                <w:szCs w:val="21"/>
              </w:rPr>
            </w:pPr>
            <w:r>
              <w:rPr>
                <w:kern w:val="0"/>
                <w:szCs w:val="21"/>
              </w:rPr>
              <w:t xml:space="preserve">0.021 </w:t>
            </w:r>
          </w:p>
        </w:tc>
        <w:tc>
          <w:tcPr>
            <w:tcW w:w="1138" w:type="pct"/>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000" w:type="pct"/>
            <w:gridSpan w:val="5"/>
            <w:vAlign w:val="center"/>
          </w:tcPr>
          <w:p>
            <w:pPr>
              <w:widowControl/>
              <w:jc w:val="center"/>
              <w:rPr>
                <w:kern w:val="0"/>
                <w:szCs w:val="21"/>
              </w:rPr>
            </w:pPr>
            <w:r>
              <w:rPr>
                <w:b/>
                <w:kern w:val="0"/>
                <w:szCs w:val="21"/>
              </w:rPr>
              <w:t>（二）七泉湖~红旗π入番南变110千伏线路工程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33" w:type="pct"/>
            <w:vAlign w:val="center"/>
          </w:tcPr>
          <w:p>
            <w:pPr>
              <w:pStyle w:val="114"/>
              <w:widowControl/>
              <w:numPr>
                <w:ilvl w:val="0"/>
                <w:numId w:val="34"/>
              </w:numPr>
              <w:ind w:left="0" w:firstLine="0" w:firstLineChars="0"/>
              <w:jc w:val="center"/>
              <w:rPr>
                <w:kern w:val="0"/>
                <w:szCs w:val="21"/>
              </w:rPr>
            </w:pPr>
          </w:p>
        </w:tc>
        <w:tc>
          <w:tcPr>
            <w:tcW w:w="1929" w:type="pct"/>
            <w:vAlign w:val="center"/>
          </w:tcPr>
          <w:p>
            <w:pPr>
              <w:widowControl/>
              <w:jc w:val="center"/>
              <w:rPr>
                <w:kern w:val="0"/>
                <w:szCs w:val="21"/>
              </w:rPr>
            </w:pPr>
            <w:r>
              <w:rPr>
                <w:kern w:val="0"/>
                <w:szCs w:val="21"/>
              </w:rPr>
              <w:t>新疆维吾尔自治区吐鲁番市高昌区恰特喀勒乡新光村二组406#房东侧</w:t>
            </w:r>
          </w:p>
        </w:tc>
        <w:tc>
          <w:tcPr>
            <w:tcW w:w="928" w:type="pct"/>
            <w:vAlign w:val="center"/>
          </w:tcPr>
          <w:p>
            <w:pPr>
              <w:widowControl/>
              <w:jc w:val="center"/>
              <w:rPr>
                <w:kern w:val="0"/>
                <w:szCs w:val="21"/>
              </w:rPr>
            </w:pPr>
            <w:r>
              <w:rPr>
                <w:kern w:val="0"/>
                <w:szCs w:val="21"/>
              </w:rPr>
              <w:t xml:space="preserve">7.15 </w:t>
            </w:r>
          </w:p>
        </w:tc>
        <w:tc>
          <w:tcPr>
            <w:tcW w:w="772" w:type="pct"/>
            <w:vAlign w:val="center"/>
          </w:tcPr>
          <w:p>
            <w:pPr>
              <w:widowControl/>
              <w:jc w:val="center"/>
              <w:rPr>
                <w:kern w:val="0"/>
                <w:szCs w:val="21"/>
              </w:rPr>
            </w:pPr>
            <w:r>
              <w:rPr>
                <w:kern w:val="0"/>
                <w:szCs w:val="21"/>
              </w:rPr>
              <w:t xml:space="preserve">0.107 </w:t>
            </w:r>
          </w:p>
        </w:tc>
        <w:tc>
          <w:tcPr>
            <w:tcW w:w="1138" w:type="pct"/>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33" w:type="pct"/>
            <w:vAlign w:val="center"/>
          </w:tcPr>
          <w:p>
            <w:pPr>
              <w:pStyle w:val="114"/>
              <w:widowControl/>
              <w:numPr>
                <w:ilvl w:val="0"/>
                <w:numId w:val="34"/>
              </w:numPr>
              <w:ind w:left="0" w:firstLine="0" w:firstLineChars="0"/>
              <w:jc w:val="center"/>
              <w:rPr>
                <w:kern w:val="0"/>
                <w:szCs w:val="21"/>
              </w:rPr>
            </w:pPr>
          </w:p>
        </w:tc>
        <w:tc>
          <w:tcPr>
            <w:tcW w:w="1929" w:type="pct"/>
            <w:vAlign w:val="center"/>
          </w:tcPr>
          <w:p>
            <w:pPr>
              <w:widowControl/>
              <w:jc w:val="center"/>
              <w:rPr>
                <w:kern w:val="0"/>
                <w:szCs w:val="21"/>
              </w:rPr>
            </w:pPr>
            <w:r>
              <w:rPr>
                <w:kern w:val="0"/>
                <w:szCs w:val="21"/>
              </w:rPr>
              <w:t>线路背景值3#</w:t>
            </w:r>
          </w:p>
        </w:tc>
        <w:tc>
          <w:tcPr>
            <w:tcW w:w="928" w:type="pct"/>
            <w:vAlign w:val="center"/>
          </w:tcPr>
          <w:p>
            <w:pPr>
              <w:widowControl/>
              <w:jc w:val="center"/>
              <w:rPr>
                <w:kern w:val="0"/>
                <w:szCs w:val="21"/>
              </w:rPr>
            </w:pPr>
            <w:r>
              <w:rPr>
                <w:kern w:val="0"/>
                <w:szCs w:val="21"/>
              </w:rPr>
              <w:t xml:space="preserve">0.36 </w:t>
            </w:r>
          </w:p>
        </w:tc>
        <w:tc>
          <w:tcPr>
            <w:tcW w:w="772" w:type="pct"/>
            <w:vAlign w:val="center"/>
          </w:tcPr>
          <w:p>
            <w:pPr>
              <w:widowControl/>
              <w:jc w:val="center"/>
              <w:rPr>
                <w:kern w:val="0"/>
                <w:szCs w:val="21"/>
              </w:rPr>
            </w:pPr>
            <w:r>
              <w:rPr>
                <w:kern w:val="0"/>
                <w:szCs w:val="21"/>
              </w:rPr>
              <w:t xml:space="preserve">0.014 </w:t>
            </w:r>
          </w:p>
        </w:tc>
        <w:tc>
          <w:tcPr>
            <w:tcW w:w="1138" w:type="pct"/>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33" w:type="pct"/>
            <w:vAlign w:val="center"/>
          </w:tcPr>
          <w:p>
            <w:pPr>
              <w:pStyle w:val="114"/>
              <w:widowControl/>
              <w:numPr>
                <w:ilvl w:val="0"/>
                <w:numId w:val="34"/>
              </w:numPr>
              <w:ind w:left="0" w:firstLine="0" w:firstLineChars="0"/>
              <w:jc w:val="center"/>
              <w:rPr>
                <w:kern w:val="0"/>
                <w:szCs w:val="21"/>
              </w:rPr>
            </w:pPr>
          </w:p>
        </w:tc>
        <w:tc>
          <w:tcPr>
            <w:tcW w:w="1929" w:type="pct"/>
            <w:vAlign w:val="center"/>
          </w:tcPr>
          <w:p>
            <w:pPr>
              <w:widowControl/>
              <w:jc w:val="center"/>
              <w:rPr>
                <w:kern w:val="0"/>
                <w:szCs w:val="21"/>
              </w:rPr>
            </w:pPr>
            <w:r>
              <w:rPr>
                <w:kern w:val="0"/>
                <w:szCs w:val="21"/>
              </w:rPr>
              <w:t>线路背景值4#</w:t>
            </w:r>
          </w:p>
        </w:tc>
        <w:tc>
          <w:tcPr>
            <w:tcW w:w="928" w:type="pct"/>
            <w:vAlign w:val="center"/>
          </w:tcPr>
          <w:p>
            <w:pPr>
              <w:widowControl/>
              <w:jc w:val="center"/>
              <w:rPr>
                <w:kern w:val="0"/>
                <w:szCs w:val="21"/>
              </w:rPr>
            </w:pPr>
            <w:r>
              <w:rPr>
                <w:kern w:val="0"/>
                <w:szCs w:val="21"/>
              </w:rPr>
              <w:t xml:space="preserve">0.38 </w:t>
            </w:r>
          </w:p>
        </w:tc>
        <w:tc>
          <w:tcPr>
            <w:tcW w:w="772" w:type="pct"/>
            <w:vAlign w:val="center"/>
          </w:tcPr>
          <w:p>
            <w:pPr>
              <w:widowControl/>
              <w:jc w:val="center"/>
              <w:rPr>
                <w:kern w:val="0"/>
                <w:szCs w:val="21"/>
              </w:rPr>
            </w:pPr>
            <w:r>
              <w:rPr>
                <w:kern w:val="0"/>
                <w:szCs w:val="21"/>
              </w:rPr>
              <w:t xml:space="preserve">0.014 </w:t>
            </w:r>
          </w:p>
        </w:tc>
        <w:tc>
          <w:tcPr>
            <w:tcW w:w="1138" w:type="pct"/>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33" w:type="pct"/>
            <w:vAlign w:val="center"/>
          </w:tcPr>
          <w:p>
            <w:pPr>
              <w:pStyle w:val="114"/>
              <w:widowControl/>
              <w:numPr>
                <w:ilvl w:val="0"/>
                <w:numId w:val="34"/>
              </w:numPr>
              <w:ind w:left="0" w:firstLine="0" w:firstLineChars="0"/>
              <w:jc w:val="center"/>
              <w:rPr>
                <w:kern w:val="0"/>
                <w:szCs w:val="21"/>
              </w:rPr>
            </w:pPr>
          </w:p>
        </w:tc>
        <w:tc>
          <w:tcPr>
            <w:tcW w:w="1929" w:type="pct"/>
            <w:vAlign w:val="center"/>
          </w:tcPr>
          <w:p>
            <w:pPr>
              <w:widowControl/>
              <w:jc w:val="center"/>
              <w:rPr>
                <w:kern w:val="0"/>
                <w:szCs w:val="21"/>
              </w:rPr>
            </w:pPr>
            <w:r>
              <w:rPr>
                <w:kern w:val="0"/>
                <w:szCs w:val="21"/>
              </w:rPr>
              <w:t>线路背景值5#</w:t>
            </w:r>
          </w:p>
        </w:tc>
        <w:tc>
          <w:tcPr>
            <w:tcW w:w="928" w:type="pct"/>
            <w:vAlign w:val="center"/>
          </w:tcPr>
          <w:p>
            <w:pPr>
              <w:widowControl/>
              <w:jc w:val="center"/>
              <w:rPr>
                <w:kern w:val="0"/>
                <w:szCs w:val="21"/>
              </w:rPr>
            </w:pPr>
            <w:r>
              <w:rPr>
                <w:kern w:val="0"/>
                <w:szCs w:val="21"/>
              </w:rPr>
              <w:t xml:space="preserve">0.24 </w:t>
            </w:r>
          </w:p>
        </w:tc>
        <w:tc>
          <w:tcPr>
            <w:tcW w:w="772" w:type="pct"/>
            <w:vAlign w:val="center"/>
          </w:tcPr>
          <w:p>
            <w:pPr>
              <w:widowControl/>
              <w:jc w:val="center"/>
              <w:rPr>
                <w:kern w:val="0"/>
                <w:szCs w:val="21"/>
              </w:rPr>
            </w:pPr>
            <w:r>
              <w:rPr>
                <w:kern w:val="0"/>
                <w:szCs w:val="21"/>
              </w:rPr>
              <w:t xml:space="preserve">0.014 </w:t>
            </w:r>
          </w:p>
        </w:tc>
        <w:tc>
          <w:tcPr>
            <w:tcW w:w="1138" w:type="pct"/>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5000" w:type="pct"/>
            <w:gridSpan w:val="5"/>
            <w:vAlign w:val="center"/>
          </w:tcPr>
          <w:p>
            <w:pPr>
              <w:widowControl/>
              <w:jc w:val="center"/>
              <w:rPr>
                <w:kern w:val="0"/>
                <w:szCs w:val="21"/>
              </w:rPr>
            </w:pPr>
            <w:r>
              <w:rPr>
                <w:b/>
                <w:kern w:val="0"/>
                <w:szCs w:val="21"/>
              </w:rPr>
              <w:t>（三）七泉湖~番南改接入沙河子变110千伏线路工程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33" w:type="pct"/>
            <w:vAlign w:val="center"/>
          </w:tcPr>
          <w:p>
            <w:pPr>
              <w:pStyle w:val="114"/>
              <w:widowControl/>
              <w:numPr>
                <w:ilvl w:val="0"/>
                <w:numId w:val="34"/>
              </w:numPr>
              <w:ind w:left="0" w:firstLine="0" w:firstLineChars="0"/>
              <w:jc w:val="center"/>
              <w:rPr>
                <w:kern w:val="0"/>
                <w:szCs w:val="21"/>
              </w:rPr>
            </w:pPr>
          </w:p>
        </w:tc>
        <w:tc>
          <w:tcPr>
            <w:tcW w:w="1929" w:type="pct"/>
            <w:vAlign w:val="center"/>
          </w:tcPr>
          <w:p>
            <w:pPr>
              <w:widowControl/>
              <w:jc w:val="center"/>
              <w:rPr>
                <w:kern w:val="0"/>
                <w:szCs w:val="21"/>
              </w:rPr>
            </w:pPr>
            <w:r>
              <w:rPr>
                <w:kern w:val="0"/>
                <w:szCs w:val="21"/>
              </w:rPr>
              <w:t>线路背景值2#</w:t>
            </w:r>
          </w:p>
        </w:tc>
        <w:tc>
          <w:tcPr>
            <w:tcW w:w="928" w:type="pct"/>
            <w:vAlign w:val="center"/>
          </w:tcPr>
          <w:p>
            <w:pPr>
              <w:widowControl/>
              <w:jc w:val="center"/>
              <w:rPr>
                <w:kern w:val="0"/>
                <w:szCs w:val="21"/>
              </w:rPr>
            </w:pPr>
            <w:r>
              <w:rPr>
                <w:kern w:val="0"/>
                <w:szCs w:val="21"/>
              </w:rPr>
              <w:t xml:space="preserve">0.78 </w:t>
            </w:r>
          </w:p>
        </w:tc>
        <w:tc>
          <w:tcPr>
            <w:tcW w:w="772" w:type="pct"/>
            <w:vAlign w:val="center"/>
          </w:tcPr>
          <w:p>
            <w:pPr>
              <w:widowControl/>
              <w:jc w:val="center"/>
              <w:rPr>
                <w:kern w:val="0"/>
                <w:szCs w:val="21"/>
              </w:rPr>
            </w:pPr>
            <w:r>
              <w:rPr>
                <w:kern w:val="0"/>
                <w:szCs w:val="21"/>
              </w:rPr>
              <w:t xml:space="preserve">0.025 </w:t>
            </w:r>
          </w:p>
        </w:tc>
        <w:tc>
          <w:tcPr>
            <w:tcW w:w="1138" w:type="pct"/>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5000" w:type="pct"/>
            <w:gridSpan w:val="5"/>
            <w:vAlign w:val="center"/>
          </w:tcPr>
          <w:p>
            <w:pPr>
              <w:widowControl/>
              <w:jc w:val="center"/>
              <w:rPr>
                <w:kern w:val="0"/>
                <w:szCs w:val="21"/>
              </w:rPr>
            </w:pPr>
            <w:r>
              <w:rPr>
                <w:b/>
                <w:kern w:val="0"/>
                <w:szCs w:val="21"/>
              </w:rPr>
              <w:t>（四）七泉湖~番南改接入交河变110千伏线路工程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33" w:type="pct"/>
            <w:vAlign w:val="center"/>
          </w:tcPr>
          <w:p>
            <w:pPr>
              <w:pStyle w:val="114"/>
              <w:widowControl/>
              <w:numPr>
                <w:ilvl w:val="0"/>
                <w:numId w:val="34"/>
              </w:numPr>
              <w:ind w:left="0" w:firstLine="0" w:firstLineChars="0"/>
              <w:jc w:val="center"/>
              <w:rPr>
                <w:kern w:val="0"/>
                <w:szCs w:val="21"/>
              </w:rPr>
            </w:pPr>
          </w:p>
        </w:tc>
        <w:tc>
          <w:tcPr>
            <w:tcW w:w="1929" w:type="pct"/>
            <w:vAlign w:val="center"/>
          </w:tcPr>
          <w:p>
            <w:pPr>
              <w:widowControl/>
              <w:jc w:val="center"/>
              <w:rPr>
                <w:kern w:val="0"/>
                <w:szCs w:val="21"/>
              </w:rPr>
            </w:pPr>
            <w:r>
              <w:rPr>
                <w:kern w:val="0"/>
                <w:szCs w:val="21"/>
              </w:rPr>
              <w:t>线路背景值1#</w:t>
            </w:r>
          </w:p>
        </w:tc>
        <w:tc>
          <w:tcPr>
            <w:tcW w:w="928" w:type="pct"/>
            <w:vAlign w:val="center"/>
          </w:tcPr>
          <w:p>
            <w:pPr>
              <w:widowControl/>
              <w:jc w:val="center"/>
              <w:rPr>
                <w:kern w:val="0"/>
                <w:szCs w:val="21"/>
              </w:rPr>
            </w:pPr>
            <w:r>
              <w:rPr>
                <w:kern w:val="0"/>
                <w:szCs w:val="21"/>
              </w:rPr>
              <w:t xml:space="preserve">1.16 </w:t>
            </w:r>
          </w:p>
        </w:tc>
        <w:tc>
          <w:tcPr>
            <w:tcW w:w="772" w:type="pct"/>
            <w:vAlign w:val="center"/>
          </w:tcPr>
          <w:p>
            <w:pPr>
              <w:widowControl/>
              <w:jc w:val="center"/>
              <w:rPr>
                <w:kern w:val="0"/>
                <w:szCs w:val="21"/>
              </w:rPr>
            </w:pPr>
            <w:r>
              <w:rPr>
                <w:kern w:val="0"/>
                <w:szCs w:val="21"/>
              </w:rPr>
              <w:t xml:space="preserve">0.052 </w:t>
            </w:r>
          </w:p>
        </w:tc>
        <w:tc>
          <w:tcPr>
            <w:tcW w:w="1138" w:type="pct"/>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000" w:type="pct"/>
            <w:gridSpan w:val="5"/>
            <w:vAlign w:val="center"/>
          </w:tcPr>
          <w:p>
            <w:pPr>
              <w:widowControl/>
              <w:jc w:val="center"/>
              <w:rPr>
                <w:kern w:val="0"/>
                <w:szCs w:val="21"/>
              </w:rPr>
            </w:pPr>
            <w:r>
              <w:rPr>
                <w:b/>
                <w:kern w:val="0"/>
                <w:szCs w:val="21"/>
              </w:rPr>
              <w:t>（四）交河~番南π入东环变110千伏线路工程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33" w:type="pct"/>
            <w:vAlign w:val="center"/>
          </w:tcPr>
          <w:p>
            <w:pPr>
              <w:pStyle w:val="114"/>
              <w:widowControl/>
              <w:numPr>
                <w:ilvl w:val="0"/>
                <w:numId w:val="34"/>
              </w:numPr>
              <w:ind w:left="0" w:firstLine="0" w:firstLineChars="0"/>
              <w:jc w:val="center"/>
              <w:rPr>
                <w:kern w:val="0"/>
                <w:szCs w:val="21"/>
              </w:rPr>
            </w:pPr>
          </w:p>
        </w:tc>
        <w:tc>
          <w:tcPr>
            <w:tcW w:w="1929" w:type="pct"/>
            <w:vAlign w:val="center"/>
          </w:tcPr>
          <w:p>
            <w:pPr>
              <w:widowControl/>
              <w:jc w:val="center"/>
              <w:rPr>
                <w:kern w:val="0"/>
                <w:szCs w:val="21"/>
              </w:rPr>
            </w:pPr>
            <w:r>
              <w:rPr>
                <w:kern w:val="0"/>
                <w:szCs w:val="21"/>
              </w:rPr>
              <w:t>线路背景值6#</w:t>
            </w:r>
          </w:p>
        </w:tc>
        <w:tc>
          <w:tcPr>
            <w:tcW w:w="928" w:type="pct"/>
            <w:vAlign w:val="center"/>
          </w:tcPr>
          <w:p>
            <w:pPr>
              <w:widowControl/>
              <w:jc w:val="center"/>
              <w:rPr>
                <w:kern w:val="0"/>
                <w:szCs w:val="21"/>
              </w:rPr>
            </w:pPr>
            <w:r>
              <w:rPr>
                <w:kern w:val="0"/>
                <w:szCs w:val="21"/>
              </w:rPr>
              <w:t>2.45 ×10</w:t>
            </w:r>
            <w:r>
              <w:rPr>
                <w:kern w:val="0"/>
                <w:szCs w:val="21"/>
                <w:vertAlign w:val="superscript"/>
              </w:rPr>
              <w:t>3</w:t>
            </w:r>
          </w:p>
        </w:tc>
        <w:tc>
          <w:tcPr>
            <w:tcW w:w="772" w:type="pct"/>
            <w:vAlign w:val="center"/>
          </w:tcPr>
          <w:p>
            <w:pPr>
              <w:widowControl/>
              <w:jc w:val="center"/>
              <w:rPr>
                <w:kern w:val="0"/>
                <w:szCs w:val="21"/>
              </w:rPr>
            </w:pPr>
            <w:r>
              <w:rPr>
                <w:kern w:val="0"/>
                <w:szCs w:val="21"/>
              </w:rPr>
              <w:t xml:space="preserve">1.332 </w:t>
            </w:r>
          </w:p>
        </w:tc>
        <w:tc>
          <w:tcPr>
            <w:tcW w:w="1138" w:type="pct"/>
            <w:vAlign w:val="center"/>
          </w:tcPr>
          <w:p>
            <w:pPr>
              <w:widowControl/>
              <w:jc w:val="center"/>
              <w:rPr>
                <w:kern w:val="0"/>
                <w:szCs w:val="21"/>
              </w:rPr>
            </w:pPr>
            <w:r>
              <w:rPr>
                <w:kern w:val="0"/>
                <w:szCs w:val="21"/>
              </w:rPr>
              <w:t>位于750kV巴吐I线边导线下，线高34m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33" w:type="pct"/>
            <w:vAlign w:val="center"/>
          </w:tcPr>
          <w:p>
            <w:pPr>
              <w:pStyle w:val="114"/>
              <w:widowControl/>
              <w:numPr>
                <w:ilvl w:val="0"/>
                <w:numId w:val="34"/>
              </w:numPr>
              <w:ind w:left="0" w:firstLine="0" w:firstLineChars="0"/>
              <w:jc w:val="center"/>
              <w:rPr>
                <w:kern w:val="0"/>
                <w:szCs w:val="21"/>
              </w:rPr>
            </w:pPr>
          </w:p>
        </w:tc>
        <w:tc>
          <w:tcPr>
            <w:tcW w:w="1929" w:type="pct"/>
            <w:vAlign w:val="center"/>
          </w:tcPr>
          <w:p>
            <w:pPr>
              <w:widowControl/>
              <w:jc w:val="center"/>
              <w:rPr>
                <w:kern w:val="0"/>
                <w:szCs w:val="21"/>
              </w:rPr>
            </w:pPr>
            <w:r>
              <w:rPr>
                <w:kern w:val="0"/>
                <w:szCs w:val="21"/>
              </w:rPr>
              <w:t>线路背景值7#</w:t>
            </w:r>
          </w:p>
        </w:tc>
        <w:tc>
          <w:tcPr>
            <w:tcW w:w="928" w:type="pct"/>
            <w:vAlign w:val="center"/>
          </w:tcPr>
          <w:p>
            <w:pPr>
              <w:widowControl/>
              <w:jc w:val="center"/>
              <w:rPr>
                <w:kern w:val="0"/>
                <w:szCs w:val="21"/>
              </w:rPr>
            </w:pPr>
            <w:r>
              <w:rPr>
                <w:kern w:val="0"/>
                <w:szCs w:val="21"/>
              </w:rPr>
              <w:t>2.25 ×10</w:t>
            </w:r>
            <w:r>
              <w:rPr>
                <w:kern w:val="0"/>
                <w:szCs w:val="21"/>
                <w:vertAlign w:val="superscript"/>
              </w:rPr>
              <w:t>3</w:t>
            </w:r>
          </w:p>
        </w:tc>
        <w:tc>
          <w:tcPr>
            <w:tcW w:w="772" w:type="pct"/>
            <w:vAlign w:val="center"/>
          </w:tcPr>
          <w:p>
            <w:pPr>
              <w:widowControl/>
              <w:jc w:val="center"/>
              <w:rPr>
                <w:kern w:val="0"/>
                <w:szCs w:val="21"/>
              </w:rPr>
            </w:pPr>
            <w:r>
              <w:rPr>
                <w:kern w:val="0"/>
                <w:szCs w:val="21"/>
              </w:rPr>
              <w:t xml:space="preserve">1.103 </w:t>
            </w:r>
          </w:p>
        </w:tc>
        <w:tc>
          <w:tcPr>
            <w:tcW w:w="1138" w:type="pct"/>
            <w:vAlign w:val="center"/>
          </w:tcPr>
          <w:p>
            <w:pPr>
              <w:widowControl/>
              <w:jc w:val="center"/>
              <w:rPr>
                <w:kern w:val="0"/>
                <w:szCs w:val="21"/>
              </w:rPr>
            </w:pPr>
            <w:r>
              <w:rPr>
                <w:kern w:val="0"/>
                <w:szCs w:val="21"/>
              </w:rPr>
              <w:t>位于750kV巴吐I线边导线下，线高38m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33" w:type="pct"/>
            <w:vAlign w:val="center"/>
          </w:tcPr>
          <w:p>
            <w:pPr>
              <w:pStyle w:val="114"/>
              <w:widowControl/>
              <w:numPr>
                <w:ilvl w:val="0"/>
                <w:numId w:val="34"/>
              </w:numPr>
              <w:ind w:left="0" w:firstLine="0" w:firstLineChars="0"/>
              <w:jc w:val="center"/>
              <w:rPr>
                <w:kern w:val="0"/>
                <w:szCs w:val="21"/>
              </w:rPr>
            </w:pPr>
          </w:p>
        </w:tc>
        <w:tc>
          <w:tcPr>
            <w:tcW w:w="1929" w:type="pct"/>
            <w:vAlign w:val="center"/>
          </w:tcPr>
          <w:p>
            <w:pPr>
              <w:widowControl/>
              <w:jc w:val="center"/>
              <w:rPr>
                <w:kern w:val="0"/>
                <w:szCs w:val="21"/>
              </w:rPr>
            </w:pPr>
            <w:r>
              <w:rPr>
                <w:kern w:val="0"/>
                <w:szCs w:val="21"/>
              </w:rPr>
              <w:t>线路背景值8#</w:t>
            </w:r>
          </w:p>
        </w:tc>
        <w:tc>
          <w:tcPr>
            <w:tcW w:w="928" w:type="pct"/>
            <w:vAlign w:val="center"/>
          </w:tcPr>
          <w:p>
            <w:pPr>
              <w:widowControl/>
              <w:jc w:val="center"/>
              <w:rPr>
                <w:kern w:val="0"/>
                <w:szCs w:val="21"/>
              </w:rPr>
            </w:pPr>
            <w:r>
              <w:rPr>
                <w:kern w:val="0"/>
                <w:szCs w:val="21"/>
              </w:rPr>
              <w:t xml:space="preserve">6.92 </w:t>
            </w:r>
          </w:p>
        </w:tc>
        <w:tc>
          <w:tcPr>
            <w:tcW w:w="772" w:type="pct"/>
            <w:vAlign w:val="center"/>
          </w:tcPr>
          <w:p>
            <w:pPr>
              <w:widowControl/>
              <w:jc w:val="center"/>
              <w:rPr>
                <w:kern w:val="0"/>
                <w:szCs w:val="21"/>
              </w:rPr>
            </w:pPr>
            <w:r>
              <w:rPr>
                <w:kern w:val="0"/>
                <w:szCs w:val="21"/>
              </w:rPr>
              <w:t xml:space="preserve">0.020 </w:t>
            </w:r>
          </w:p>
        </w:tc>
        <w:tc>
          <w:tcPr>
            <w:tcW w:w="1138" w:type="pct"/>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33" w:type="pct"/>
            <w:vAlign w:val="center"/>
          </w:tcPr>
          <w:p>
            <w:pPr>
              <w:pStyle w:val="114"/>
              <w:widowControl/>
              <w:numPr>
                <w:ilvl w:val="0"/>
                <w:numId w:val="34"/>
              </w:numPr>
              <w:ind w:left="0" w:firstLine="0" w:firstLineChars="0"/>
              <w:jc w:val="center"/>
              <w:rPr>
                <w:kern w:val="0"/>
                <w:szCs w:val="21"/>
              </w:rPr>
            </w:pPr>
          </w:p>
        </w:tc>
        <w:tc>
          <w:tcPr>
            <w:tcW w:w="1929" w:type="pct"/>
            <w:vAlign w:val="center"/>
          </w:tcPr>
          <w:p>
            <w:pPr>
              <w:widowControl/>
              <w:jc w:val="center"/>
              <w:rPr>
                <w:kern w:val="0"/>
                <w:szCs w:val="21"/>
              </w:rPr>
            </w:pPr>
            <w:r>
              <w:rPr>
                <w:kern w:val="0"/>
                <w:szCs w:val="21"/>
              </w:rPr>
              <w:t>线路背景值9#</w:t>
            </w:r>
          </w:p>
        </w:tc>
        <w:tc>
          <w:tcPr>
            <w:tcW w:w="928" w:type="pct"/>
            <w:vAlign w:val="center"/>
          </w:tcPr>
          <w:p>
            <w:pPr>
              <w:widowControl/>
              <w:jc w:val="center"/>
              <w:rPr>
                <w:kern w:val="0"/>
                <w:szCs w:val="21"/>
              </w:rPr>
            </w:pPr>
            <w:r>
              <w:rPr>
                <w:kern w:val="0"/>
                <w:szCs w:val="21"/>
              </w:rPr>
              <w:t xml:space="preserve">6.12 </w:t>
            </w:r>
          </w:p>
        </w:tc>
        <w:tc>
          <w:tcPr>
            <w:tcW w:w="772" w:type="pct"/>
            <w:vAlign w:val="center"/>
          </w:tcPr>
          <w:p>
            <w:pPr>
              <w:widowControl/>
              <w:jc w:val="center"/>
              <w:rPr>
                <w:kern w:val="0"/>
                <w:szCs w:val="21"/>
              </w:rPr>
            </w:pPr>
            <w:r>
              <w:rPr>
                <w:kern w:val="0"/>
                <w:szCs w:val="21"/>
              </w:rPr>
              <w:t xml:space="preserve">0.015 </w:t>
            </w:r>
          </w:p>
        </w:tc>
        <w:tc>
          <w:tcPr>
            <w:tcW w:w="1138" w:type="pct"/>
            <w:vAlign w:val="center"/>
          </w:tcPr>
          <w:p>
            <w:pPr>
              <w:widowControl/>
              <w:jc w:val="center"/>
              <w:rPr>
                <w:kern w:val="0"/>
                <w:szCs w:val="21"/>
              </w:rPr>
            </w:pPr>
          </w:p>
        </w:tc>
      </w:tr>
    </w:tbl>
    <w:p>
      <w:pPr>
        <w:spacing w:before="156" w:beforeLines="50" w:line="360" w:lineRule="auto"/>
        <w:ind w:firstLine="480" w:firstLineChars="200"/>
        <w:rPr>
          <w:color w:val="000000"/>
          <w:sz w:val="24"/>
          <w:szCs w:val="20"/>
        </w:rPr>
      </w:pPr>
      <w:r>
        <w:rPr>
          <w:rFonts w:hint="eastAsia"/>
          <w:color w:val="000000"/>
          <w:sz w:val="24"/>
          <w:szCs w:val="20"/>
        </w:rPr>
        <w:t>（</w:t>
      </w:r>
      <w:r>
        <w:rPr>
          <w:color w:val="000000"/>
          <w:sz w:val="24"/>
          <w:szCs w:val="20"/>
        </w:rPr>
        <w:t>2</w:t>
      </w:r>
      <w:r>
        <w:rPr>
          <w:rFonts w:hint="eastAsia"/>
          <w:color w:val="000000"/>
          <w:sz w:val="24"/>
          <w:szCs w:val="20"/>
        </w:rPr>
        <w:t>）监测结果分析</w:t>
      </w:r>
    </w:p>
    <w:p>
      <w:pPr>
        <w:spacing w:line="360" w:lineRule="auto"/>
        <w:ind w:firstLine="480" w:firstLineChars="200"/>
        <w:rPr>
          <w:color w:val="000000"/>
          <w:sz w:val="24"/>
        </w:rPr>
      </w:pPr>
      <w:bookmarkStart w:id="839" w:name="_Toc413055182"/>
      <w:r>
        <w:rPr>
          <w:rFonts w:hint="eastAsia"/>
          <w:color w:val="000000"/>
          <w:sz w:val="24"/>
        </w:rPr>
        <w:t>①新建东环110千伏变电站工程</w:t>
      </w:r>
    </w:p>
    <w:p>
      <w:pPr>
        <w:spacing w:line="360" w:lineRule="auto"/>
        <w:ind w:firstLine="480" w:firstLineChars="200"/>
        <w:rPr>
          <w:color w:val="000000"/>
          <w:sz w:val="24"/>
        </w:rPr>
      </w:pPr>
      <w:r>
        <w:rPr>
          <w:rFonts w:hint="eastAsia"/>
          <w:color w:val="000000"/>
          <w:sz w:val="24"/>
        </w:rPr>
        <w:t>东环110kV变电站厂界</w:t>
      </w:r>
      <w:r>
        <w:rPr>
          <w:color w:val="000000"/>
          <w:sz w:val="24"/>
        </w:rPr>
        <w:t>工频电场强度监测值范围为2.38V/m</w:t>
      </w:r>
      <w:r>
        <w:rPr>
          <w:rFonts w:hint="eastAsia"/>
          <w:color w:val="000000"/>
          <w:sz w:val="24"/>
        </w:rPr>
        <w:t>~</w:t>
      </w:r>
      <w:r>
        <w:rPr>
          <w:color w:val="000000"/>
          <w:sz w:val="24"/>
        </w:rPr>
        <w:t>3.09V/m</w:t>
      </w:r>
      <w:r>
        <w:rPr>
          <w:rFonts w:hint="eastAsia"/>
          <w:color w:val="000000"/>
          <w:sz w:val="24"/>
        </w:rPr>
        <w:t>、</w:t>
      </w:r>
      <w:r>
        <w:rPr>
          <w:color w:val="000000"/>
          <w:sz w:val="24"/>
        </w:rPr>
        <w:t>工频磁感应强度监测值范围为0.019μT</w:t>
      </w:r>
      <w:r>
        <w:rPr>
          <w:rFonts w:hint="eastAsia"/>
          <w:color w:val="000000"/>
          <w:sz w:val="24"/>
        </w:rPr>
        <w:t>~0.</w:t>
      </w:r>
      <w:r>
        <w:rPr>
          <w:color w:val="000000"/>
          <w:sz w:val="24"/>
        </w:rPr>
        <w:t>028μT</w:t>
      </w:r>
      <w:r>
        <w:rPr>
          <w:rFonts w:hint="eastAsia"/>
          <w:color w:val="000000"/>
          <w:sz w:val="24"/>
        </w:rPr>
        <w:t>，</w:t>
      </w:r>
      <w:r>
        <w:rPr>
          <w:color w:val="000000"/>
          <w:sz w:val="24"/>
        </w:rPr>
        <w:t>工频电场强度、工频磁感应强度分别满足《电磁环境控制限值》（GB8702-2014）中4</w:t>
      </w:r>
      <w:r>
        <w:rPr>
          <w:rFonts w:hint="eastAsia"/>
          <w:color w:val="000000"/>
          <w:sz w:val="24"/>
        </w:rPr>
        <w:t>000</w:t>
      </w:r>
      <w:r>
        <w:rPr>
          <w:color w:val="000000"/>
          <w:sz w:val="24"/>
        </w:rPr>
        <w:t>V/m、100μT的限值要求</w:t>
      </w:r>
      <w:r>
        <w:rPr>
          <w:rFonts w:hint="eastAsia"/>
          <w:color w:val="000000"/>
          <w:sz w:val="24"/>
        </w:rPr>
        <w:t>。</w:t>
      </w:r>
    </w:p>
    <w:p>
      <w:pPr>
        <w:spacing w:line="360" w:lineRule="auto"/>
        <w:ind w:firstLine="480" w:firstLineChars="200"/>
        <w:rPr>
          <w:color w:val="000000"/>
          <w:sz w:val="24"/>
        </w:rPr>
      </w:pPr>
      <w:r>
        <w:rPr>
          <w:rFonts w:hint="eastAsia"/>
          <w:color w:val="000000"/>
          <w:sz w:val="24"/>
        </w:rPr>
        <w:t>②新建110kV线路工程</w:t>
      </w:r>
    </w:p>
    <w:p>
      <w:pPr>
        <w:spacing w:line="360" w:lineRule="auto"/>
        <w:ind w:firstLine="480" w:firstLineChars="200"/>
        <w:rPr>
          <w:color w:val="000000"/>
          <w:sz w:val="24"/>
        </w:rPr>
      </w:pPr>
      <w:r>
        <w:rPr>
          <w:rFonts w:hint="eastAsia"/>
          <w:color w:val="000000"/>
          <w:sz w:val="24"/>
        </w:rPr>
        <w:t>本工程拟建线路沿线环境敏感保护目标处的工频电场强度监测值为</w:t>
      </w:r>
      <w:r>
        <w:rPr>
          <w:color w:val="000000"/>
          <w:sz w:val="24"/>
        </w:rPr>
        <w:t>7.15</w:t>
      </w:r>
      <w:r>
        <w:rPr>
          <w:rFonts w:hint="eastAsia"/>
          <w:color w:val="000000"/>
          <w:sz w:val="24"/>
        </w:rPr>
        <w:t>V/m、工频磁感应强度监测值为</w:t>
      </w:r>
      <w:r>
        <w:rPr>
          <w:color w:val="000000"/>
          <w:sz w:val="24"/>
        </w:rPr>
        <w:t>0.107μ</w:t>
      </w:r>
      <w:r>
        <w:rPr>
          <w:rFonts w:hint="eastAsia"/>
          <w:color w:val="000000"/>
          <w:sz w:val="24"/>
        </w:rPr>
        <w:t>T，工频电场强度、磁感应强度分别满足4000V/m、100</w:t>
      </w:r>
      <w:r>
        <w:rPr>
          <w:color w:val="000000"/>
          <w:sz w:val="24"/>
        </w:rPr>
        <w:t>μ</w:t>
      </w:r>
      <w:r>
        <w:rPr>
          <w:rFonts w:hint="eastAsia"/>
          <w:color w:val="000000"/>
          <w:sz w:val="24"/>
        </w:rPr>
        <w:t>T的限值要求；本工程拟建线路沿线现状监测点工频电场强度监测范围值为</w:t>
      </w:r>
      <w:r>
        <w:rPr>
          <w:color w:val="000000"/>
          <w:sz w:val="24"/>
        </w:rPr>
        <w:t>0.24</w:t>
      </w:r>
      <w:r>
        <w:rPr>
          <w:rFonts w:hint="eastAsia"/>
          <w:color w:val="000000"/>
          <w:sz w:val="24"/>
        </w:rPr>
        <w:t>V/m～</w:t>
      </w:r>
      <w:r>
        <w:rPr>
          <w:rFonts w:eastAsiaTheme="minorEastAsia"/>
          <w:kern w:val="0"/>
          <w:sz w:val="24"/>
          <w:szCs w:val="21"/>
        </w:rPr>
        <w:t xml:space="preserve">2.45 </w:t>
      </w:r>
      <w:r>
        <w:rPr>
          <w:kern w:val="0"/>
          <w:sz w:val="24"/>
          <w:szCs w:val="21"/>
        </w:rPr>
        <w:t>×</w:t>
      </w:r>
      <w:r>
        <w:rPr>
          <w:rFonts w:eastAsiaTheme="minorEastAsia"/>
          <w:kern w:val="0"/>
          <w:sz w:val="24"/>
          <w:szCs w:val="21"/>
        </w:rPr>
        <w:t>10</w:t>
      </w:r>
      <w:r>
        <w:rPr>
          <w:rFonts w:eastAsiaTheme="minorEastAsia"/>
          <w:kern w:val="0"/>
          <w:sz w:val="24"/>
          <w:szCs w:val="21"/>
          <w:vertAlign w:val="superscript"/>
        </w:rPr>
        <w:t>3</w:t>
      </w:r>
      <w:r>
        <w:rPr>
          <w:rFonts w:hint="eastAsia"/>
          <w:color w:val="000000"/>
          <w:sz w:val="24"/>
        </w:rPr>
        <w:t>V/m，工频磁感应强度监测值范围为</w:t>
      </w:r>
      <w:r>
        <w:rPr>
          <w:color w:val="000000"/>
          <w:sz w:val="24"/>
        </w:rPr>
        <w:t>0.014</w:t>
      </w:r>
      <w:r>
        <w:rPr>
          <w:rFonts w:hint="eastAsia"/>
          <w:color w:val="000000"/>
          <w:sz w:val="24"/>
        </w:rPr>
        <w:t>µT～1.</w:t>
      </w:r>
      <w:r>
        <w:rPr>
          <w:color w:val="000000"/>
          <w:sz w:val="24"/>
        </w:rPr>
        <w:t>332</w:t>
      </w:r>
      <w:r>
        <w:rPr>
          <w:rFonts w:hint="eastAsia"/>
          <w:color w:val="000000"/>
          <w:sz w:val="24"/>
        </w:rPr>
        <w:t>µT，工频电场强度、工频磁感应强度均分别满足《电磁环境控制限值》（GB8702-2014）中的10kV/m、100μT的控制限值。</w:t>
      </w:r>
    </w:p>
    <w:p>
      <w:pPr>
        <w:numPr>
          <w:ilvl w:val="0"/>
          <w:numId w:val="28"/>
        </w:numPr>
        <w:topLinePunct/>
        <w:spacing w:line="360" w:lineRule="auto"/>
        <w:outlineLvl w:val="0"/>
        <w:rPr>
          <w:rFonts w:cs="ˎ̥"/>
          <w:b/>
          <w:bCs/>
          <w:color w:val="000000"/>
          <w:kern w:val="44"/>
          <w:sz w:val="30"/>
          <w:szCs w:val="44"/>
        </w:rPr>
      </w:pPr>
      <w:bookmarkStart w:id="840" w:name="_Toc24647693"/>
      <w:bookmarkStart w:id="841" w:name="_Toc473"/>
      <w:r>
        <w:rPr>
          <w:rFonts w:hint="eastAsia" w:cs="ˎ̥"/>
          <w:b/>
          <w:bCs/>
          <w:color w:val="000000"/>
          <w:kern w:val="44"/>
          <w:sz w:val="30"/>
          <w:szCs w:val="44"/>
        </w:rPr>
        <w:t>电磁环境影响预测与评价</w:t>
      </w:r>
      <w:bookmarkEnd w:id="840"/>
      <w:bookmarkEnd w:id="841"/>
    </w:p>
    <w:bookmarkEnd w:id="839"/>
    <w:p>
      <w:pPr>
        <w:keepNext/>
        <w:keepLines/>
        <w:numPr>
          <w:ilvl w:val="1"/>
          <w:numId w:val="28"/>
        </w:numPr>
        <w:adjustRightInd w:val="0"/>
        <w:spacing w:line="360" w:lineRule="auto"/>
        <w:outlineLvl w:val="1"/>
        <w:rPr>
          <w:b/>
          <w:bCs/>
          <w:color w:val="000000"/>
          <w:sz w:val="28"/>
          <w:szCs w:val="32"/>
        </w:rPr>
      </w:pPr>
      <w:bookmarkStart w:id="842" w:name="_Toc15678"/>
      <w:bookmarkStart w:id="843" w:name="_Toc413680604"/>
      <w:bookmarkStart w:id="844" w:name="_Toc344399759"/>
      <w:bookmarkStart w:id="845" w:name="_Toc344398023"/>
      <w:r>
        <w:rPr>
          <w:rFonts w:hint="eastAsia"/>
          <w:b/>
          <w:bCs/>
          <w:color w:val="000000"/>
          <w:sz w:val="28"/>
          <w:szCs w:val="32"/>
        </w:rPr>
        <w:t>东环110千伏变电站新建工程电磁环境影响预测与评价</w:t>
      </w:r>
      <w:bookmarkEnd w:id="842"/>
    </w:p>
    <w:p>
      <w:pPr>
        <w:keepNext/>
        <w:keepLines/>
        <w:numPr>
          <w:ilvl w:val="2"/>
          <w:numId w:val="28"/>
        </w:numPr>
        <w:spacing w:line="360" w:lineRule="auto"/>
        <w:outlineLvl w:val="2"/>
        <w:rPr>
          <w:rFonts w:cs="ˎ̥"/>
          <w:b/>
          <w:bCs/>
          <w:color w:val="000000"/>
          <w:sz w:val="24"/>
          <w:szCs w:val="32"/>
        </w:rPr>
      </w:pPr>
      <w:bookmarkStart w:id="846" w:name="_Toc4003"/>
      <w:r>
        <w:rPr>
          <w:rFonts w:hint="eastAsia" w:cs="ˎ̥"/>
          <w:b/>
          <w:bCs/>
          <w:color w:val="000000"/>
          <w:sz w:val="24"/>
          <w:szCs w:val="32"/>
        </w:rPr>
        <w:t>预测与评价方法</w:t>
      </w:r>
      <w:bookmarkEnd w:id="846"/>
    </w:p>
    <w:p>
      <w:pPr>
        <w:adjustRightInd w:val="0"/>
        <w:snapToGrid w:val="0"/>
        <w:spacing w:line="360" w:lineRule="auto"/>
        <w:ind w:firstLine="480" w:firstLineChars="200"/>
        <w:rPr>
          <w:rFonts w:hint="eastAsia" w:ascii="ˎ̥" w:hAnsi="ˎ̥" w:cs="ˎ̥"/>
          <w:sz w:val="24"/>
          <w:szCs w:val="22"/>
        </w:rPr>
      </w:pPr>
      <w:r>
        <w:rPr>
          <w:rFonts w:hint="eastAsia" w:ascii="ˎ̥" w:hAnsi="ˎ̥" w:cs="ˎ̥"/>
          <w:sz w:val="24"/>
          <w:szCs w:val="22"/>
        </w:rPr>
        <w:t>本工程评价等级根据主体工程电压等级确定，本期东环110kV变电站为户外站，根据《环境影响评价技术导则 输变电》（HJ24-2020）的规定，本工程电磁环境影响评价等级为二级。因此，本次评价采用类比分析的方式进行电磁环境影响预测。</w:t>
      </w:r>
    </w:p>
    <w:p>
      <w:pPr>
        <w:keepNext/>
        <w:keepLines/>
        <w:numPr>
          <w:ilvl w:val="2"/>
          <w:numId w:val="28"/>
        </w:numPr>
        <w:spacing w:line="360" w:lineRule="auto"/>
        <w:outlineLvl w:val="2"/>
        <w:rPr>
          <w:rFonts w:cs="ˎ̥"/>
          <w:b/>
          <w:bCs/>
          <w:color w:val="000000"/>
          <w:sz w:val="24"/>
          <w:szCs w:val="32"/>
        </w:rPr>
      </w:pPr>
      <w:bookmarkStart w:id="847" w:name="_Toc29225"/>
      <w:r>
        <w:rPr>
          <w:rFonts w:hint="eastAsia" w:cs="ˎ̥"/>
          <w:b/>
          <w:bCs/>
          <w:color w:val="000000"/>
          <w:sz w:val="24"/>
          <w:szCs w:val="32"/>
        </w:rPr>
        <w:t>类比对象选择及可行性分析</w:t>
      </w:r>
      <w:bookmarkEnd w:id="847"/>
    </w:p>
    <w:p>
      <w:pPr>
        <w:spacing w:line="360" w:lineRule="auto"/>
        <w:ind w:firstLine="480" w:firstLineChars="200"/>
        <w:rPr>
          <w:rFonts w:hint="eastAsia" w:ascii="ˎ̥" w:hAnsi="ˎ̥" w:cs="ˎ̥"/>
          <w:bCs/>
          <w:sz w:val="24"/>
          <w:szCs w:val="22"/>
        </w:rPr>
      </w:pPr>
      <w:r>
        <w:rPr>
          <w:rFonts w:hint="eastAsia" w:ascii="ˎ̥" w:hAnsi="ˎ̥" w:cs="ˎ̥"/>
          <w:bCs/>
          <w:sz w:val="24"/>
          <w:szCs w:val="22"/>
        </w:rPr>
        <w:t>（1）类比对象选择的原则</w:t>
      </w:r>
    </w:p>
    <w:p>
      <w:pPr>
        <w:spacing w:line="360" w:lineRule="auto"/>
        <w:ind w:firstLine="480" w:firstLineChars="200"/>
        <w:rPr>
          <w:rFonts w:hint="eastAsia" w:ascii="ˎ̥" w:hAnsi="ˎ̥" w:cs="ˎ̥"/>
          <w:bCs/>
          <w:sz w:val="24"/>
          <w:szCs w:val="22"/>
        </w:rPr>
      </w:pPr>
      <w:r>
        <w:rPr>
          <w:rFonts w:hint="eastAsia" w:ascii="ˎ̥" w:hAnsi="ˎ̥" w:cs="ˎ̥"/>
          <w:bCs/>
          <w:sz w:val="24"/>
          <w:szCs w:val="22"/>
        </w:rPr>
        <w:t>工频电场强度主要取决于电压等级及预测点与源的距离，并与环境湿度、植被及地理地形等屏蔽条件相关；工频磁感应强度主要取决于电流及关心点与源的距离。</w:t>
      </w:r>
    </w:p>
    <w:p>
      <w:pPr>
        <w:spacing w:line="360" w:lineRule="auto"/>
        <w:ind w:firstLine="480" w:firstLineChars="200"/>
        <w:rPr>
          <w:rFonts w:hint="eastAsia" w:ascii="ˎ̥" w:hAnsi="ˎ̥" w:cs="ˎ̥"/>
          <w:bCs/>
          <w:sz w:val="24"/>
          <w:szCs w:val="22"/>
        </w:rPr>
      </w:pPr>
      <w:r>
        <w:rPr>
          <w:rFonts w:hint="eastAsia" w:ascii="ˎ̥" w:hAnsi="ˎ̥" w:cs="ˎ̥"/>
          <w:bCs/>
          <w:sz w:val="24"/>
          <w:szCs w:val="22"/>
        </w:rPr>
        <w:t>变电站电磁环境类比测量，从严格意义讲，具有相同的变电站型式、完全相同的设备型号（决定了电压等级及额定功率、额定电流等）、布置情况（决定了距离因子）和环境条件是最理想的，即：不仅有相同变电站型式、主变压器数量和容量，而且一次主接线也相同，布置情况及环境条件也相同。但是要满足这样的条件是很困难的，要解决这一实际困难，可以在关键部分相同，而达到进行类比的条件。所谓关键部分，就是工频电场、工频磁感应强度的主要产生源。</w:t>
      </w:r>
    </w:p>
    <w:p>
      <w:pPr>
        <w:spacing w:line="360" w:lineRule="auto"/>
        <w:ind w:firstLine="480" w:firstLineChars="200"/>
        <w:rPr>
          <w:rFonts w:hint="eastAsia" w:ascii="ˎ̥" w:hAnsi="ˎ̥" w:cs="ˎ̥"/>
          <w:bCs/>
          <w:sz w:val="24"/>
          <w:szCs w:val="22"/>
        </w:rPr>
      </w:pPr>
      <w:r>
        <w:rPr>
          <w:rFonts w:hint="eastAsia" w:ascii="ˎ̥" w:hAnsi="ˎ̥" w:cs="ˎ̥"/>
          <w:bCs/>
          <w:sz w:val="24"/>
          <w:szCs w:val="22"/>
        </w:rPr>
        <w:t>对于变电站围墙外的工频电场，要求最近的高压带电构架布置一致、电压相同，此时就可以认为具有可比性；同样对于变电站围墙外的工频磁感应强度，也要求最近的通流导体的布置和电流相同才具有可比性。实际情况是，工频电场的类比条件相对容易实现，因为变电站主设备和母线电压是基本稳定的，不会随时间和负荷的变化而产生大的变化。但是产生工频磁感应强度的电流却是随负荷变化而有较大的变化。</w:t>
      </w:r>
    </w:p>
    <w:p>
      <w:pPr>
        <w:spacing w:line="360" w:lineRule="auto"/>
        <w:ind w:firstLine="480" w:firstLineChars="200"/>
        <w:rPr>
          <w:rFonts w:hint="eastAsia" w:ascii="ˎ̥" w:hAnsi="ˎ̥" w:cs="ˎ̥"/>
          <w:bCs/>
          <w:sz w:val="24"/>
          <w:szCs w:val="22"/>
        </w:rPr>
      </w:pPr>
      <w:r>
        <w:rPr>
          <w:rFonts w:hint="eastAsia" w:ascii="ˎ̥" w:hAnsi="ˎ̥" w:cs="ˎ̥"/>
          <w:bCs/>
          <w:sz w:val="24"/>
          <w:szCs w:val="22"/>
        </w:rPr>
        <w:t>根据以往对诸多变电站的类比监测结果，变电站周围的工频磁感应强度场强远小于100μT的限值标准，因此本工程主要针对工频电场选取类比对象。</w:t>
      </w:r>
    </w:p>
    <w:p>
      <w:pPr>
        <w:spacing w:line="360" w:lineRule="auto"/>
        <w:ind w:firstLine="480" w:firstLineChars="200"/>
        <w:rPr>
          <w:rFonts w:hint="eastAsia" w:ascii="ˎ̥" w:hAnsi="ˎ̥" w:cs="ˎ̥"/>
          <w:bCs/>
          <w:sz w:val="24"/>
          <w:szCs w:val="22"/>
        </w:rPr>
      </w:pPr>
      <w:r>
        <w:rPr>
          <w:rFonts w:hint="eastAsia" w:ascii="ˎ̥" w:hAnsi="ˎ̥" w:cs="ˎ̥"/>
          <w:bCs/>
          <w:sz w:val="24"/>
          <w:szCs w:val="22"/>
        </w:rPr>
        <w:t>（2）类比对象</w:t>
      </w:r>
    </w:p>
    <w:p>
      <w:pPr>
        <w:spacing w:line="360" w:lineRule="auto"/>
        <w:ind w:firstLine="480" w:firstLineChars="200"/>
        <w:rPr>
          <w:rFonts w:hint="eastAsia" w:ascii="ˎ̥" w:hAnsi="ˎ̥" w:cs="ˎ̥"/>
          <w:bCs/>
          <w:sz w:val="24"/>
          <w:szCs w:val="22"/>
        </w:rPr>
      </w:pPr>
      <w:r>
        <w:rPr>
          <w:rFonts w:hint="eastAsia" w:ascii="ˎ̥" w:hAnsi="ˎ̥" w:cs="ˎ̥"/>
          <w:bCs/>
          <w:sz w:val="24"/>
          <w:szCs w:val="22"/>
        </w:rPr>
        <w:t>按照类似工程的主变规模、电压等级、布置形式等原则。现以已运行的“水磨沟110kV变电站”作为类比对象，该变电站主变压器容量为2×50MVA，电压等级为110kV，主变为户外布置。类比变电站与建设项目变电站主要技术参数对</w:t>
      </w:r>
      <w:r>
        <w:rPr>
          <w:rFonts w:hint="eastAsia"/>
          <w:color w:val="000000"/>
          <w:sz w:val="24"/>
          <w:szCs w:val="20"/>
        </w:rPr>
        <w:t>照见</w:t>
      </w:r>
      <w:r>
        <w:rPr>
          <w:rFonts w:hint="eastAsia"/>
          <w:color w:val="000000"/>
          <w:sz w:val="24"/>
          <w:szCs w:val="20"/>
        </w:rPr>
        <w:fldChar w:fldCharType="begin"/>
      </w:r>
      <w:r>
        <w:rPr>
          <w:rFonts w:hint="eastAsia"/>
          <w:color w:val="000000"/>
          <w:sz w:val="24"/>
          <w:szCs w:val="20"/>
        </w:rPr>
        <w:instrText xml:space="preserve"> REF _Ref206437090 \h </w:instrText>
      </w:r>
      <w:r>
        <w:rPr>
          <w:color w:val="000000"/>
          <w:sz w:val="24"/>
          <w:szCs w:val="20"/>
        </w:rPr>
        <w:instrText xml:space="preserve"> \* MERGEFORMAT </w:instrText>
      </w:r>
      <w:r>
        <w:rPr>
          <w:rFonts w:hint="eastAsia"/>
          <w:color w:val="000000"/>
          <w:sz w:val="24"/>
          <w:szCs w:val="20"/>
        </w:rPr>
        <w:fldChar w:fldCharType="separate"/>
      </w:r>
      <w:r>
        <w:rPr>
          <w:rFonts w:hint="eastAsia"/>
          <w:color w:val="000000"/>
          <w:sz w:val="24"/>
          <w:szCs w:val="20"/>
        </w:rPr>
        <w:t xml:space="preserve">表 </w:t>
      </w:r>
      <w:r>
        <w:rPr>
          <w:color w:val="000000"/>
          <w:sz w:val="24"/>
          <w:szCs w:val="20"/>
        </w:rPr>
        <w:t>32</w:t>
      </w:r>
      <w:r>
        <w:rPr>
          <w:rFonts w:hint="eastAsia"/>
          <w:color w:val="000000"/>
          <w:sz w:val="24"/>
          <w:szCs w:val="20"/>
        </w:rPr>
        <w:fldChar w:fldCharType="end"/>
      </w:r>
      <w:r>
        <w:rPr>
          <w:rFonts w:hint="eastAsia"/>
          <w:color w:val="000000"/>
          <w:sz w:val="24"/>
          <w:szCs w:val="20"/>
        </w:rPr>
        <w:t>。</w:t>
      </w:r>
    </w:p>
    <w:p>
      <w:pPr>
        <w:pStyle w:val="18"/>
        <w:ind w:firstLine="420"/>
        <w:rPr>
          <w:lang w:val="zh-CN"/>
        </w:rPr>
      </w:pPr>
      <w:bookmarkStart w:id="848" w:name="_Ref206437090"/>
      <w:r>
        <w:rPr>
          <w:rFonts w:hint="eastAsia"/>
          <w:bCs/>
          <w:color w:val="000000"/>
        </w:rPr>
        <w:t xml:space="preserve">表 </w:t>
      </w:r>
      <w:r>
        <w:rPr>
          <w:bCs/>
          <w:color w:val="000000"/>
        </w:rPr>
        <w:fldChar w:fldCharType="begin"/>
      </w:r>
      <w:r>
        <w:rPr>
          <w:bCs/>
          <w:color w:val="000000"/>
        </w:rPr>
        <w:instrText xml:space="preserve"> </w:instrText>
      </w:r>
      <w:r>
        <w:rPr>
          <w:rFonts w:hint="eastAsia"/>
          <w:bCs/>
          <w:color w:val="000000"/>
        </w:rPr>
        <w:instrText xml:space="preserve">SEQ 表 \* ARABIC</w:instrText>
      </w:r>
      <w:r>
        <w:rPr>
          <w:bCs/>
          <w:color w:val="000000"/>
        </w:rPr>
        <w:instrText xml:space="preserve"> </w:instrText>
      </w:r>
      <w:r>
        <w:rPr>
          <w:bCs/>
          <w:color w:val="000000"/>
        </w:rPr>
        <w:fldChar w:fldCharType="separate"/>
      </w:r>
      <w:r>
        <w:rPr>
          <w:bCs/>
          <w:color w:val="000000"/>
        </w:rPr>
        <w:t>32</w:t>
      </w:r>
      <w:r>
        <w:rPr>
          <w:bCs/>
          <w:color w:val="000000"/>
        </w:rPr>
        <w:fldChar w:fldCharType="end"/>
      </w:r>
      <w:bookmarkEnd w:id="848"/>
      <w:r>
        <w:rPr>
          <w:bCs/>
          <w:color w:val="000000"/>
        </w:rPr>
        <w:t xml:space="preserve"> </w:t>
      </w:r>
      <w:r>
        <w:rPr>
          <w:rFonts w:hint="eastAsia"/>
        </w:rPr>
        <w:t xml:space="preserve">                        主要技术指标对照表</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9"/>
        <w:gridCol w:w="3731"/>
        <w:gridCol w:w="3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pPr>
              <w:widowControl/>
              <w:ind w:left="-63" w:leftChars="-30" w:right="-63" w:rightChars="-30"/>
              <w:jc w:val="center"/>
              <w:rPr>
                <w:b/>
                <w:bCs/>
                <w:kern w:val="0"/>
                <w:szCs w:val="21"/>
              </w:rPr>
            </w:pPr>
            <w:r>
              <w:rPr>
                <w:rFonts w:hint="eastAsia"/>
                <w:b/>
                <w:bCs/>
                <w:kern w:val="0"/>
                <w:szCs w:val="21"/>
              </w:rPr>
              <w:t>主</w:t>
            </w:r>
          </w:p>
        </w:tc>
        <w:tc>
          <w:tcPr>
            <w:tcW w:w="3731" w:type="dxa"/>
          </w:tcPr>
          <w:p>
            <w:pPr>
              <w:widowControl/>
              <w:ind w:left="-63" w:leftChars="-30" w:right="-63" w:rightChars="-30"/>
              <w:jc w:val="center"/>
              <w:rPr>
                <w:b/>
                <w:bCs/>
                <w:kern w:val="0"/>
                <w:szCs w:val="21"/>
              </w:rPr>
            </w:pPr>
            <w:r>
              <w:rPr>
                <w:rFonts w:hint="eastAsia"/>
                <w:b/>
                <w:bCs/>
                <w:kern w:val="0"/>
                <w:szCs w:val="21"/>
              </w:rPr>
              <w:t>水磨沟110kV变电站</w:t>
            </w:r>
          </w:p>
        </w:tc>
        <w:tc>
          <w:tcPr>
            <w:tcW w:w="3162" w:type="dxa"/>
          </w:tcPr>
          <w:p>
            <w:pPr>
              <w:widowControl/>
              <w:ind w:left="-63" w:leftChars="-30" w:right="-63" w:rightChars="-30"/>
              <w:jc w:val="center"/>
              <w:rPr>
                <w:b/>
                <w:bCs/>
                <w:kern w:val="0"/>
                <w:szCs w:val="21"/>
              </w:rPr>
            </w:pPr>
            <w:r>
              <w:rPr>
                <w:rFonts w:hint="eastAsia"/>
                <w:b/>
                <w:bCs/>
                <w:kern w:val="0"/>
                <w:szCs w:val="21"/>
              </w:rPr>
              <w:t>东环110kV变电站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629" w:type="dxa"/>
          </w:tcPr>
          <w:p>
            <w:pPr>
              <w:widowControl/>
              <w:ind w:left="-63" w:leftChars="-30" w:right="-63" w:rightChars="-30"/>
              <w:jc w:val="center"/>
              <w:rPr>
                <w:kern w:val="0"/>
                <w:szCs w:val="21"/>
              </w:rPr>
            </w:pPr>
            <w:r>
              <w:rPr>
                <w:rFonts w:hint="eastAsia"/>
                <w:kern w:val="0"/>
                <w:szCs w:val="21"/>
              </w:rPr>
              <w:t>主变规模</w:t>
            </w:r>
          </w:p>
        </w:tc>
        <w:tc>
          <w:tcPr>
            <w:tcW w:w="3731" w:type="dxa"/>
          </w:tcPr>
          <w:p>
            <w:pPr>
              <w:widowControl/>
              <w:ind w:left="-63" w:leftChars="-30" w:right="-63" w:rightChars="-30"/>
              <w:jc w:val="center"/>
              <w:rPr>
                <w:kern w:val="0"/>
                <w:szCs w:val="21"/>
              </w:rPr>
            </w:pPr>
            <w:r>
              <w:rPr>
                <w:rFonts w:hint="eastAsia"/>
                <w:kern w:val="0"/>
                <w:szCs w:val="21"/>
              </w:rPr>
              <w:t>2×50MVA</w:t>
            </w:r>
          </w:p>
        </w:tc>
        <w:tc>
          <w:tcPr>
            <w:tcW w:w="3162" w:type="dxa"/>
          </w:tcPr>
          <w:p>
            <w:pPr>
              <w:widowControl/>
              <w:ind w:left="-63" w:leftChars="-30" w:right="-63" w:rightChars="-30"/>
              <w:jc w:val="center"/>
              <w:rPr>
                <w:kern w:val="0"/>
                <w:szCs w:val="21"/>
              </w:rPr>
            </w:pPr>
            <w:r>
              <w:rPr>
                <w:rFonts w:hint="eastAsia"/>
                <w:kern w:val="0"/>
                <w:szCs w:val="21"/>
              </w:rPr>
              <w:t>2×50MVA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vAlign w:val="center"/>
          </w:tcPr>
          <w:p>
            <w:pPr>
              <w:widowControl/>
              <w:ind w:left="-63" w:leftChars="-30" w:right="-63" w:rightChars="-30"/>
              <w:jc w:val="center"/>
              <w:rPr>
                <w:kern w:val="0"/>
                <w:szCs w:val="21"/>
              </w:rPr>
            </w:pPr>
            <w:r>
              <w:rPr>
                <w:rFonts w:hint="eastAsia"/>
                <w:kern w:val="0"/>
                <w:szCs w:val="21"/>
              </w:rPr>
              <w:t>电压等级</w:t>
            </w:r>
          </w:p>
        </w:tc>
        <w:tc>
          <w:tcPr>
            <w:tcW w:w="3731" w:type="dxa"/>
            <w:vAlign w:val="center"/>
          </w:tcPr>
          <w:p>
            <w:pPr>
              <w:widowControl/>
              <w:ind w:left="-63" w:leftChars="-30" w:right="-63" w:rightChars="-30"/>
              <w:jc w:val="center"/>
              <w:rPr>
                <w:kern w:val="0"/>
                <w:szCs w:val="21"/>
              </w:rPr>
            </w:pPr>
            <w:r>
              <w:rPr>
                <w:rFonts w:hint="eastAsia"/>
                <w:kern w:val="0"/>
                <w:szCs w:val="21"/>
              </w:rPr>
              <w:t>110kV</w:t>
            </w:r>
          </w:p>
        </w:tc>
        <w:tc>
          <w:tcPr>
            <w:tcW w:w="3162" w:type="dxa"/>
            <w:vAlign w:val="center"/>
          </w:tcPr>
          <w:p>
            <w:pPr>
              <w:widowControl/>
              <w:ind w:left="-63" w:leftChars="-30" w:right="-63" w:rightChars="-30"/>
              <w:jc w:val="center"/>
              <w:rPr>
                <w:kern w:val="0"/>
                <w:szCs w:val="21"/>
              </w:rPr>
            </w:pPr>
            <w:r>
              <w:rPr>
                <w:rFonts w:hint="eastAsia"/>
                <w:kern w:val="0"/>
                <w:szCs w:val="21"/>
              </w:rPr>
              <w:t>110kV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pPr>
              <w:widowControl/>
              <w:ind w:left="-63" w:leftChars="-30" w:right="-63" w:rightChars="-30"/>
              <w:jc w:val="center"/>
              <w:rPr>
                <w:kern w:val="0"/>
                <w:szCs w:val="21"/>
              </w:rPr>
            </w:pPr>
            <w:r>
              <w:rPr>
                <w:rFonts w:hint="eastAsia"/>
                <w:kern w:val="0"/>
                <w:szCs w:val="21"/>
              </w:rPr>
              <w:t>主变布置形式</w:t>
            </w:r>
          </w:p>
        </w:tc>
        <w:tc>
          <w:tcPr>
            <w:tcW w:w="3731" w:type="dxa"/>
          </w:tcPr>
          <w:p>
            <w:pPr>
              <w:widowControl/>
              <w:ind w:left="-63" w:leftChars="-30" w:right="-63" w:rightChars="-30"/>
              <w:jc w:val="center"/>
              <w:rPr>
                <w:kern w:val="0"/>
                <w:szCs w:val="21"/>
              </w:rPr>
            </w:pPr>
            <w:r>
              <w:rPr>
                <w:rFonts w:hint="eastAsia"/>
                <w:kern w:val="0"/>
                <w:szCs w:val="21"/>
              </w:rPr>
              <w:t>户外布置</w:t>
            </w:r>
          </w:p>
        </w:tc>
        <w:tc>
          <w:tcPr>
            <w:tcW w:w="3162" w:type="dxa"/>
          </w:tcPr>
          <w:p>
            <w:pPr>
              <w:widowControl/>
              <w:ind w:left="-63" w:leftChars="-30" w:right="-63" w:rightChars="-30"/>
              <w:jc w:val="center"/>
              <w:rPr>
                <w:kern w:val="0"/>
                <w:szCs w:val="21"/>
              </w:rPr>
            </w:pPr>
            <w:r>
              <w:rPr>
                <w:rFonts w:hint="eastAsia"/>
                <w:kern w:val="0"/>
                <w:szCs w:val="21"/>
              </w:rPr>
              <w:t>户外布置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pPr>
              <w:widowControl/>
              <w:ind w:left="-63" w:leftChars="-30" w:right="-63" w:rightChars="-30"/>
              <w:jc w:val="center"/>
              <w:rPr>
                <w:kern w:val="0"/>
                <w:szCs w:val="21"/>
              </w:rPr>
            </w:pPr>
            <w:r>
              <w:rPr>
                <w:rFonts w:hint="eastAsia"/>
                <w:kern w:val="0"/>
                <w:szCs w:val="21"/>
              </w:rPr>
              <w:t>总平面布置</w:t>
            </w:r>
          </w:p>
        </w:tc>
        <w:tc>
          <w:tcPr>
            <w:tcW w:w="3731" w:type="dxa"/>
          </w:tcPr>
          <w:p>
            <w:pPr>
              <w:widowControl/>
              <w:ind w:left="-63" w:leftChars="-30" w:right="-63" w:rightChars="-30"/>
              <w:jc w:val="center"/>
              <w:rPr>
                <w:kern w:val="0"/>
                <w:szCs w:val="21"/>
              </w:rPr>
            </w:pPr>
            <w:r>
              <w:rPr>
                <w:rFonts w:hint="eastAsia"/>
                <w:kern w:val="0"/>
                <w:szCs w:val="21"/>
              </w:rPr>
              <w:t>三列式布置</w:t>
            </w:r>
          </w:p>
        </w:tc>
        <w:tc>
          <w:tcPr>
            <w:tcW w:w="3162" w:type="dxa"/>
          </w:tcPr>
          <w:p>
            <w:pPr>
              <w:widowControl/>
              <w:ind w:left="-63" w:leftChars="-30" w:right="-63" w:rightChars="-30"/>
              <w:jc w:val="center"/>
              <w:rPr>
                <w:kern w:val="0"/>
                <w:szCs w:val="21"/>
              </w:rPr>
            </w:pPr>
            <w:r>
              <w:rPr>
                <w:rFonts w:hint="eastAsia"/>
                <w:kern w:val="0"/>
                <w:szCs w:val="21"/>
              </w:rPr>
              <w:t>三列式布置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pPr>
              <w:widowControl/>
              <w:ind w:left="-63" w:leftChars="-30" w:right="-63" w:rightChars="-30"/>
              <w:jc w:val="center"/>
              <w:rPr>
                <w:kern w:val="0"/>
                <w:szCs w:val="21"/>
              </w:rPr>
            </w:pPr>
            <w:r>
              <w:rPr>
                <w:rFonts w:hint="eastAsia"/>
                <w:kern w:val="0"/>
                <w:szCs w:val="21"/>
              </w:rPr>
              <w:t>占地面积</w:t>
            </w:r>
          </w:p>
        </w:tc>
        <w:tc>
          <w:tcPr>
            <w:tcW w:w="3731" w:type="dxa"/>
          </w:tcPr>
          <w:p>
            <w:pPr>
              <w:widowControl/>
              <w:jc w:val="center"/>
              <w:rPr>
                <w:kern w:val="0"/>
                <w:sz w:val="20"/>
              </w:rPr>
            </w:pPr>
            <w:r>
              <w:rPr>
                <w:rStyle w:val="91"/>
                <w:rFonts w:ascii="Times New Roman" w:cs="Times New Roman"/>
                <w:sz w:val="21"/>
              </w:rPr>
              <w:t>0.2505hm</w:t>
            </w:r>
            <w:r>
              <w:rPr>
                <w:rFonts w:hint="eastAsia"/>
                <w:kern w:val="0"/>
                <w:sz w:val="20"/>
                <w:vertAlign w:val="superscript"/>
              </w:rPr>
              <w:t>2</w:t>
            </w:r>
          </w:p>
        </w:tc>
        <w:tc>
          <w:tcPr>
            <w:tcW w:w="3162" w:type="dxa"/>
          </w:tcPr>
          <w:p>
            <w:pPr>
              <w:widowControl/>
              <w:ind w:left="-63" w:leftChars="-30" w:right="-63" w:rightChars="-30"/>
              <w:jc w:val="center"/>
              <w:rPr>
                <w:kern w:val="0"/>
                <w:szCs w:val="21"/>
              </w:rPr>
            </w:pPr>
            <w:r>
              <w:rPr>
                <w:rFonts w:hint="eastAsia"/>
                <w:kern w:val="0"/>
                <w:szCs w:val="21"/>
              </w:rPr>
              <w:t>0.5</w:t>
            </w:r>
            <w:r>
              <w:rPr>
                <w:kern w:val="0"/>
                <w:szCs w:val="21"/>
              </w:rPr>
              <w:t>01</w:t>
            </w:r>
            <w:r>
              <w:rPr>
                <w:rStyle w:val="91"/>
                <w:rFonts w:ascii="Times New Roman" w:cs="Times New Roman"/>
                <w:sz w:val="21"/>
              </w:rPr>
              <w:t>hm</w:t>
            </w:r>
            <w:r>
              <w:rPr>
                <w:rFonts w:hint="eastAsia"/>
                <w:kern w:val="0"/>
                <w:sz w:val="2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629" w:type="dxa"/>
          </w:tcPr>
          <w:p>
            <w:pPr>
              <w:widowControl/>
              <w:ind w:left="-63" w:leftChars="-30" w:right="-63" w:rightChars="-30"/>
              <w:jc w:val="center"/>
              <w:rPr>
                <w:kern w:val="0"/>
                <w:szCs w:val="21"/>
              </w:rPr>
            </w:pPr>
            <w:r>
              <w:rPr>
                <w:rFonts w:hint="eastAsia"/>
                <w:kern w:val="0"/>
                <w:szCs w:val="21"/>
              </w:rPr>
              <w:t>110kV出线回数</w:t>
            </w:r>
          </w:p>
        </w:tc>
        <w:tc>
          <w:tcPr>
            <w:tcW w:w="3731" w:type="dxa"/>
          </w:tcPr>
          <w:p>
            <w:pPr>
              <w:widowControl/>
              <w:ind w:left="-63" w:leftChars="-30" w:right="-63" w:rightChars="-30"/>
              <w:jc w:val="center"/>
              <w:rPr>
                <w:kern w:val="0"/>
                <w:szCs w:val="21"/>
              </w:rPr>
            </w:pPr>
            <w:r>
              <w:rPr>
                <w:rFonts w:hint="eastAsia"/>
                <w:kern w:val="0"/>
                <w:szCs w:val="21"/>
              </w:rPr>
              <w:t>2回</w:t>
            </w:r>
          </w:p>
        </w:tc>
        <w:tc>
          <w:tcPr>
            <w:tcW w:w="3162" w:type="dxa"/>
          </w:tcPr>
          <w:p>
            <w:pPr>
              <w:widowControl/>
              <w:ind w:left="-63" w:leftChars="-30" w:right="-63" w:rightChars="-30"/>
              <w:jc w:val="center"/>
              <w:rPr>
                <w:kern w:val="0"/>
                <w:szCs w:val="21"/>
              </w:rPr>
            </w:pPr>
            <w:r>
              <w:rPr>
                <w:rFonts w:hint="eastAsia"/>
                <w:kern w:val="0"/>
                <w:szCs w:val="21"/>
              </w:rPr>
              <w:t>2回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629" w:type="dxa"/>
          </w:tcPr>
          <w:p>
            <w:pPr>
              <w:widowControl/>
              <w:ind w:left="-63" w:leftChars="-30" w:right="-63" w:rightChars="-30"/>
              <w:jc w:val="center"/>
              <w:rPr>
                <w:kern w:val="0"/>
                <w:szCs w:val="21"/>
              </w:rPr>
            </w:pPr>
            <w:r>
              <w:rPr>
                <w:rFonts w:hint="eastAsia"/>
                <w:kern w:val="0"/>
                <w:szCs w:val="21"/>
              </w:rPr>
              <w:t>110kV架线型式</w:t>
            </w:r>
          </w:p>
        </w:tc>
        <w:tc>
          <w:tcPr>
            <w:tcW w:w="3731" w:type="dxa"/>
          </w:tcPr>
          <w:p>
            <w:pPr>
              <w:widowControl/>
              <w:ind w:left="-63" w:leftChars="-30" w:right="-63" w:rightChars="-30"/>
              <w:jc w:val="center"/>
              <w:rPr>
                <w:kern w:val="0"/>
                <w:szCs w:val="21"/>
              </w:rPr>
            </w:pPr>
            <w:r>
              <w:rPr>
                <w:rFonts w:hint="eastAsia"/>
                <w:kern w:val="0"/>
                <w:szCs w:val="21"/>
              </w:rPr>
              <w:t>架空出线</w:t>
            </w:r>
          </w:p>
        </w:tc>
        <w:tc>
          <w:tcPr>
            <w:tcW w:w="3162" w:type="dxa"/>
          </w:tcPr>
          <w:p>
            <w:pPr>
              <w:widowControl/>
              <w:ind w:left="-63" w:leftChars="-30" w:right="-63" w:rightChars="-30"/>
              <w:jc w:val="center"/>
              <w:rPr>
                <w:kern w:val="0"/>
                <w:szCs w:val="21"/>
              </w:rPr>
            </w:pPr>
            <w:r>
              <w:rPr>
                <w:rFonts w:hint="eastAsia"/>
                <w:kern w:val="0"/>
                <w:szCs w:val="21"/>
              </w:rPr>
              <w:t>架空出线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629" w:type="dxa"/>
            <w:vAlign w:val="center"/>
          </w:tcPr>
          <w:p>
            <w:pPr>
              <w:widowControl/>
              <w:ind w:left="-63" w:leftChars="-30" w:right="-63" w:rightChars="-30"/>
              <w:jc w:val="center"/>
              <w:rPr>
                <w:kern w:val="0"/>
                <w:szCs w:val="21"/>
              </w:rPr>
            </w:pPr>
            <w:r>
              <w:rPr>
                <w:rFonts w:hint="eastAsia"/>
                <w:kern w:val="0"/>
                <w:szCs w:val="21"/>
              </w:rPr>
              <w:t>环境条件</w:t>
            </w:r>
          </w:p>
        </w:tc>
        <w:tc>
          <w:tcPr>
            <w:tcW w:w="3731" w:type="dxa"/>
          </w:tcPr>
          <w:p>
            <w:pPr>
              <w:widowControl/>
              <w:ind w:left="-63" w:leftChars="-30" w:right="-63" w:rightChars="-30"/>
              <w:jc w:val="center"/>
            </w:pPr>
            <w:r>
              <w:rPr>
                <w:rFonts w:hint="eastAsia"/>
              </w:rPr>
              <w:t>乌苏市</w:t>
            </w:r>
          </w:p>
          <w:p>
            <w:pPr>
              <w:widowControl/>
              <w:ind w:left="-63" w:leftChars="-30" w:right="-63" w:rightChars="-30"/>
              <w:jc w:val="center"/>
            </w:pPr>
            <w:r>
              <w:rPr>
                <w:rFonts w:hint="eastAsia"/>
              </w:rPr>
              <w:t>温带</w:t>
            </w:r>
            <w:r>
              <w:rPr>
                <w:rFonts w:hint="eastAsia" w:ascii="宋体" w:hAnsi="宋体" w:cs="宋体"/>
                <w:color w:val="000000"/>
                <w:szCs w:val="21"/>
                <w:shd w:val="clear" w:color="auto" w:fill="FFFFFF"/>
              </w:rPr>
              <w:t>大陆性干旱、半干旱气候</w:t>
            </w:r>
          </w:p>
        </w:tc>
        <w:tc>
          <w:tcPr>
            <w:tcW w:w="3162" w:type="dxa"/>
          </w:tcPr>
          <w:p>
            <w:pPr>
              <w:widowControl/>
              <w:ind w:left="-63" w:leftChars="-30" w:right="-63" w:rightChars="-30"/>
              <w:jc w:val="center"/>
            </w:pPr>
            <w:r>
              <w:rPr>
                <w:rFonts w:hint="eastAsia"/>
              </w:rPr>
              <w:t>吐鲁番市</w:t>
            </w:r>
          </w:p>
          <w:p>
            <w:pPr>
              <w:jc w:val="center"/>
            </w:pPr>
            <w:r>
              <w:rPr>
                <w:rFonts w:hint="eastAsia"/>
              </w:rPr>
              <w:t>温带大陆性干旱气候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vAlign w:val="center"/>
          </w:tcPr>
          <w:p>
            <w:pPr>
              <w:widowControl/>
              <w:ind w:left="-63" w:leftChars="-30" w:right="-63" w:rightChars="-30"/>
              <w:jc w:val="center"/>
              <w:rPr>
                <w:kern w:val="0"/>
                <w:szCs w:val="21"/>
              </w:rPr>
            </w:pPr>
            <w:r>
              <w:rPr>
                <w:rFonts w:hint="eastAsia"/>
                <w:kern w:val="0"/>
                <w:szCs w:val="21"/>
              </w:rPr>
              <w:t>运行工况</w:t>
            </w:r>
          </w:p>
        </w:tc>
        <w:tc>
          <w:tcPr>
            <w:tcW w:w="3731" w:type="dxa"/>
          </w:tcPr>
          <w:p>
            <w:pPr>
              <w:widowControl/>
              <w:ind w:left="-63" w:leftChars="-30" w:right="-63" w:rightChars="-30"/>
              <w:rPr>
                <w:kern w:val="0"/>
                <w:szCs w:val="21"/>
              </w:rPr>
            </w:pPr>
            <w:r>
              <w:rPr>
                <w:rFonts w:hint="eastAsia"/>
                <w:kern w:val="0"/>
                <w:szCs w:val="21"/>
              </w:rPr>
              <w:t>1#主变运行电压为115.72kV~115.76kV；</w:t>
            </w:r>
          </w:p>
          <w:p>
            <w:pPr>
              <w:widowControl/>
              <w:ind w:left="-63" w:leftChars="-30" w:right="-63" w:rightChars="-30"/>
              <w:rPr>
                <w:kern w:val="0"/>
                <w:szCs w:val="21"/>
              </w:rPr>
            </w:pPr>
            <w:r>
              <w:rPr>
                <w:rFonts w:hint="eastAsia"/>
                <w:kern w:val="0"/>
                <w:szCs w:val="21"/>
              </w:rPr>
              <w:t>运行电流为39.45A~39.86A；</w:t>
            </w:r>
          </w:p>
          <w:p>
            <w:pPr>
              <w:widowControl/>
              <w:ind w:left="-63" w:leftChars="-30" w:right="-63" w:rightChars="-30"/>
              <w:rPr>
                <w:kern w:val="0"/>
                <w:szCs w:val="21"/>
              </w:rPr>
            </w:pPr>
            <w:r>
              <w:rPr>
                <w:rFonts w:hint="eastAsia"/>
                <w:kern w:val="0"/>
                <w:szCs w:val="21"/>
              </w:rPr>
              <w:t>有功功率为</w:t>
            </w:r>
            <w:r>
              <w:rPr>
                <w:rStyle w:val="50"/>
                <w:rFonts w:hint="eastAsia"/>
              </w:rPr>
              <w:t>7.24</w:t>
            </w:r>
            <w:r>
              <w:rPr>
                <w:rFonts w:hint="eastAsia"/>
                <w:kern w:val="0"/>
                <w:szCs w:val="21"/>
              </w:rPr>
              <w:t>MW~7.61MW；</w:t>
            </w:r>
          </w:p>
          <w:p>
            <w:pPr>
              <w:widowControl/>
              <w:ind w:left="-63" w:leftChars="-30" w:right="-63" w:rightChars="-30"/>
              <w:rPr>
                <w:kern w:val="0"/>
                <w:szCs w:val="21"/>
              </w:rPr>
            </w:pPr>
            <w:r>
              <w:rPr>
                <w:rFonts w:hint="eastAsia"/>
                <w:kern w:val="0"/>
                <w:szCs w:val="21"/>
              </w:rPr>
              <w:t>无功功率为-3.73Mvar~-3.02Mvar。</w:t>
            </w:r>
          </w:p>
          <w:p>
            <w:pPr>
              <w:widowControl/>
              <w:ind w:left="-63" w:leftChars="-30" w:right="-63" w:rightChars="-30"/>
              <w:rPr>
                <w:kern w:val="0"/>
                <w:szCs w:val="21"/>
              </w:rPr>
            </w:pPr>
            <w:r>
              <w:rPr>
                <w:rFonts w:hint="eastAsia"/>
                <w:kern w:val="0"/>
                <w:szCs w:val="21"/>
              </w:rPr>
              <w:t>2#主变运行电压为117.78kV~117.86kV；运行电流为47.11A~47.58A；</w:t>
            </w:r>
          </w:p>
          <w:p>
            <w:pPr>
              <w:widowControl/>
              <w:ind w:left="-63" w:leftChars="-30" w:right="-63" w:rightChars="-30"/>
              <w:rPr>
                <w:kern w:val="0"/>
                <w:szCs w:val="21"/>
              </w:rPr>
            </w:pPr>
            <w:r>
              <w:rPr>
                <w:rFonts w:hint="eastAsia"/>
                <w:kern w:val="0"/>
                <w:szCs w:val="21"/>
              </w:rPr>
              <w:t>有功功率为8.66MW~8.82MW；</w:t>
            </w:r>
          </w:p>
          <w:p>
            <w:pPr>
              <w:widowControl/>
              <w:ind w:left="-63" w:leftChars="-30" w:right="-63" w:rightChars="-30"/>
              <w:rPr>
                <w:kern w:val="0"/>
                <w:szCs w:val="21"/>
              </w:rPr>
            </w:pPr>
            <w:r>
              <w:rPr>
                <w:rFonts w:hint="eastAsia"/>
                <w:kern w:val="0"/>
                <w:szCs w:val="21"/>
              </w:rPr>
              <w:t>无功功率为-4.55Mvar~-4.41Mvar。</w:t>
            </w:r>
          </w:p>
        </w:tc>
        <w:tc>
          <w:tcPr>
            <w:tcW w:w="3162" w:type="dxa"/>
            <w:vAlign w:val="center"/>
          </w:tcPr>
          <w:p>
            <w:pPr>
              <w:widowControl/>
              <w:ind w:left="-63" w:leftChars="-30" w:right="-63" w:rightChars="-30"/>
              <w:jc w:val="center"/>
              <w:rPr>
                <w:kern w:val="0"/>
                <w:szCs w:val="21"/>
              </w:rPr>
            </w:pPr>
            <w:r>
              <w:rPr>
                <w:kern w:val="0"/>
                <w:szCs w:val="21"/>
              </w:rPr>
              <w:t>/</w:t>
            </w:r>
          </w:p>
        </w:tc>
      </w:tr>
    </w:tbl>
    <w:p>
      <w:pPr>
        <w:spacing w:line="360" w:lineRule="auto"/>
        <w:ind w:firstLine="480" w:firstLineChars="200"/>
        <w:rPr>
          <w:rFonts w:hint="eastAsia" w:ascii="ˎ̥" w:hAnsi="ˎ̥" w:cs="ˎ̥"/>
          <w:bCs/>
          <w:sz w:val="24"/>
          <w:szCs w:val="22"/>
        </w:rPr>
      </w:pPr>
      <w:r>
        <w:rPr>
          <w:rFonts w:hint="eastAsia" w:ascii="ˎ̥" w:hAnsi="ˎ̥" w:cs="ˎ̥"/>
          <w:bCs/>
          <w:sz w:val="24"/>
          <w:szCs w:val="22"/>
        </w:rPr>
        <w:t>（3）类比对象的可比性分析</w:t>
      </w:r>
    </w:p>
    <w:p>
      <w:pPr>
        <w:spacing w:line="360" w:lineRule="auto"/>
        <w:ind w:firstLine="480" w:firstLineChars="200"/>
        <w:rPr>
          <w:rFonts w:hint="eastAsia" w:ascii="ˎ̥" w:hAnsi="ˎ̥" w:cs="ˎ̥"/>
          <w:bCs/>
          <w:sz w:val="24"/>
          <w:szCs w:val="22"/>
        </w:rPr>
      </w:pPr>
      <w:r>
        <w:rPr>
          <w:rFonts w:hint="eastAsia" w:ascii="ˎ̥" w:hAnsi="ˎ̥" w:cs="ˎ̥"/>
          <w:bCs/>
          <w:sz w:val="24"/>
          <w:szCs w:val="22"/>
        </w:rPr>
        <w:t>东环110kV变电站与已投运的水磨沟110kV变电站电压等级相同，主变数量、容量及布置型式均一致。</w:t>
      </w:r>
    </w:p>
    <w:p>
      <w:pPr>
        <w:spacing w:line="360" w:lineRule="auto"/>
        <w:ind w:firstLine="480" w:firstLineChars="200"/>
        <w:rPr>
          <w:sz w:val="24"/>
          <w:szCs w:val="32"/>
        </w:rPr>
      </w:pPr>
      <w:r>
        <w:rPr>
          <w:rFonts w:hint="eastAsia" w:ascii="ˎ̥" w:hAnsi="ˎ̥" w:cs="ˎ̥"/>
          <w:bCs/>
          <w:sz w:val="24"/>
          <w:szCs w:val="22"/>
        </w:rPr>
        <w:t>工频电场仅和运行电压及布置型式相关，对于工频电场只要电压等级相同、布置型式一致就具有可比性。东环110kV变电站本期投运后的电压等级、主变容量、主变布置形式均与类比变电站一致。因此，本次选用水磨沟110kV变电站作为本工程东环110kV变电站的类比站是可行的</w:t>
      </w:r>
      <w:r>
        <w:rPr>
          <w:rFonts w:hint="eastAsia"/>
          <w:sz w:val="24"/>
          <w:szCs w:val="32"/>
        </w:rPr>
        <w:t>。</w:t>
      </w:r>
    </w:p>
    <w:p>
      <w:pPr>
        <w:keepNext/>
        <w:keepLines/>
        <w:numPr>
          <w:ilvl w:val="2"/>
          <w:numId w:val="28"/>
        </w:numPr>
        <w:spacing w:line="360" w:lineRule="auto"/>
        <w:outlineLvl w:val="2"/>
        <w:rPr>
          <w:rFonts w:cs="ˎ̥"/>
          <w:b/>
          <w:bCs/>
          <w:color w:val="000000"/>
          <w:sz w:val="24"/>
          <w:szCs w:val="32"/>
        </w:rPr>
      </w:pPr>
      <w:bookmarkStart w:id="849" w:name="_Toc18213"/>
      <w:r>
        <w:rPr>
          <w:rFonts w:hint="eastAsia" w:cs="ˎ̥"/>
          <w:b/>
          <w:bCs/>
          <w:color w:val="000000"/>
          <w:sz w:val="24"/>
          <w:szCs w:val="32"/>
        </w:rPr>
        <w:t>类比检测</w:t>
      </w:r>
      <w:bookmarkEnd w:id="849"/>
    </w:p>
    <w:p>
      <w:pPr>
        <w:spacing w:line="360" w:lineRule="auto"/>
        <w:ind w:firstLine="480" w:firstLineChars="200"/>
        <w:rPr>
          <w:rFonts w:hint="eastAsia" w:ascii="ˎ̥" w:hAnsi="ˎ̥" w:cs="ˎ̥"/>
          <w:bCs/>
          <w:sz w:val="24"/>
          <w:szCs w:val="22"/>
        </w:rPr>
      </w:pPr>
      <w:r>
        <w:rPr>
          <w:rFonts w:hint="eastAsia" w:ascii="ˎ̥" w:hAnsi="ˎ̥" w:cs="ˎ̥"/>
          <w:bCs/>
          <w:sz w:val="24"/>
          <w:szCs w:val="22"/>
        </w:rPr>
        <w:t>（1）监测单位</w:t>
      </w:r>
    </w:p>
    <w:p>
      <w:pPr>
        <w:spacing w:line="360" w:lineRule="auto"/>
        <w:ind w:firstLine="480" w:firstLineChars="200"/>
        <w:rPr>
          <w:rFonts w:hint="eastAsia" w:ascii="ˎ̥" w:hAnsi="ˎ̥" w:cs="ˎ̥"/>
          <w:bCs/>
          <w:sz w:val="24"/>
          <w:szCs w:val="22"/>
        </w:rPr>
      </w:pPr>
      <w:r>
        <w:rPr>
          <w:rFonts w:hint="eastAsia" w:ascii="ˎ̥" w:hAnsi="ˎ̥" w:cs="ˎ̥"/>
          <w:bCs/>
          <w:sz w:val="24"/>
          <w:szCs w:val="22"/>
        </w:rPr>
        <w:t>新疆广宇众联环境监测有限公司</w:t>
      </w:r>
    </w:p>
    <w:p>
      <w:pPr>
        <w:spacing w:line="360" w:lineRule="auto"/>
        <w:ind w:firstLine="480" w:firstLineChars="200"/>
        <w:rPr>
          <w:rFonts w:hint="eastAsia" w:ascii="ˎ̥" w:hAnsi="ˎ̥" w:cs="ˎ̥"/>
          <w:bCs/>
          <w:sz w:val="24"/>
          <w:szCs w:val="22"/>
        </w:rPr>
      </w:pPr>
      <w:r>
        <w:rPr>
          <w:rFonts w:hint="eastAsia" w:ascii="ˎ̥" w:hAnsi="ˎ̥" w:cs="ˎ̥"/>
          <w:bCs/>
          <w:sz w:val="24"/>
          <w:szCs w:val="22"/>
        </w:rPr>
        <w:t>（2）监测因子</w:t>
      </w:r>
    </w:p>
    <w:p>
      <w:pPr>
        <w:spacing w:line="360" w:lineRule="auto"/>
        <w:ind w:firstLine="480" w:firstLineChars="200"/>
        <w:rPr>
          <w:rFonts w:hint="eastAsia" w:ascii="ˎ̥" w:hAnsi="ˎ̥" w:cs="ˎ̥"/>
          <w:bCs/>
          <w:sz w:val="24"/>
          <w:szCs w:val="22"/>
        </w:rPr>
      </w:pPr>
      <w:r>
        <w:rPr>
          <w:rFonts w:hint="eastAsia" w:ascii="ˎ̥" w:hAnsi="ˎ̥" w:cs="ˎ̥"/>
          <w:bCs/>
          <w:sz w:val="24"/>
          <w:szCs w:val="22"/>
        </w:rPr>
        <w:t>工频电场、工频磁场</w:t>
      </w:r>
    </w:p>
    <w:p>
      <w:pPr>
        <w:spacing w:line="360" w:lineRule="auto"/>
        <w:ind w:firstLine="480" w:firstLineChars="200"/>
        <w:rPr>
          <w:rFonts w:hint="eastAsia" w:ascii="ˎ̥" w:hAnsi="ˎ̥" w:cs="ˎ̥"/>
          <w:bCs/>
          <w:sz w:val="24"/>
          <w:szCs w:val="22"/>
        </w:rPr>
      </w:pPr>
      <w:r>
        <w:rPr>
          <w:rFonts w:hint="eastAsia" w:ascii="ˎ̥" w:hAnsi="ˎ̥" w:cs="ˎ̥"/>
          <w:bCs/>
          <w:sz w:val="24"/>
          <w:szCs w:val="22"/>
        </w:rPr>
        <w:t>（3）监测方法</w:t>
      </w:r>
    </w:p>
    <w:p>
      <w:pPr>
        <w:spacing w:line="360" w:lineRule="auto"/>
        <w:ind w:firstLine="480" w:firstLineChars="200"/>
        <w:rPr>
          <w:rFonts w:hint="eastAsia" w:ascii="ˎ̥" w:hAnsi="ˎ̥" w:cs="ˎ̥"/>
          <w:bCs/>
          <w:sz w:val="24"/>
          <w:szCs w:val="22"/>
        </w:rPr>
      </w:pPr>
      <w:r>
        <w:rPr>
          <w:rFonts w:hint="eastAsia" w:ascii="ˎ̥" w:hAnsi="ˎ̥" w:cs="ˎ̥"/>
          <w:bCs/>
          <w:sz w:val="24"/>
          <w:szCs w:val="22"/>
        </w:rPr>
        <w:t>类比变电站电磁环境现状监测按《交流输变电工程电磁环境监测方法（试行）》（HJ 681-2013）中相关规定执行。</w:t>
      </w:r>
    </w:p>
    <w:p>
      <w:pPr>
        <w:spacing w:line="360" w:lineRule="auto"/>
        <w:ind w:firstLine="480" w:firstLineChars="200"/>
        <w:rPr>
          <w:rFonts w:hint="eastAsia" w:ascii="ˎ̥" w:hAnsi="ˎ̥" w:cs="ˎ̥"/>
          <w:bCs/>
          <w:sz w:val="24"/>
          <w:szCs w:val="22"/>
        </w:rPr>
      </w:pPr>
      <w:r>
        <w:rPr>
          <w:rFonts w:hint="eastAsia" w:ascii="ˎ̥" w:hAnsi="ˎ̥" w:cs="ˎ̥"/>
          <w:bCs/>
          <w:sz w:val="24"/>
          <w:szCs w:val="22"/>
        </w:rPr>
        <w:t>（4）监测仪器</w:t>
      </w:r>
    </w:p>
    <w:p>
      <w:pPr>
        <w:spacing w:line="360" w:lineRule="auto"/>
        <w:ind w:firstLine="480" w:firstLineChars="200"/>
        <w:rPr>
          <w:rFonts w:hint="eastAsia" w:ascii="ˎ̥" w:hAnsi="ˎ̥" w:cs="ˎ̥"/>
          <w:bCs/>
          <w:sz w:val="24"/>
          <w:szCs w:val="22"/>
        </w:rPr>
      </w:pPr>
      <w:r>
        <w:rPr>
          <w:rFonts w:hint="eastAsia" w:ascii="ˎ̥" w:hAnsi="ˎ̥" w:cs="ˎ̥"/>
          <w:bCs/>
          <w:sz w:val="24"/>
          <w:szCs w:val="22"/>
        </w:rPr>
        <w:t>类比监测所用相关仪器情</w:t>
      </w:r>
      <w:r>
        <w:rPr>
          <w:rFonts w:hint="eastAsia"/>
          <w:color w:val="000000"/>
          <w:sz w:val="24"/>
          <w:szCs w:val="20"/>
        </w:rPr>
        <w:t>况见</w:t>
      </w:r>
      <w:r>
        <w:rPr>
          <w:rFonts w:hint="eastAsia"/>
          <w:color w:val="000000"/>
          <w:sz w:val="24"/>
          <w:szCs w:val="20"/>
        </w:rPr>
        <w:fldChar w:fldCharType="begin"/>
      </w:r>
      <w:r>
        <w:rPr>
          <w:rFonts w:hint="eastAsia"/>
          <w:color w:val="000000"/>
          <w:sz w:val="24"/>
          <w:szCs w:val="20"/>
        </w:rPr>
        <w:instrText xml:space="preserve"> REF _Ref206437103 \h </w:instrText>
      </w:r>
      <w:r>
        <w:rPr>
          <w:color w:val="000000"/>
          <w:sz w:val="24"/>
          <w:szCs w:val="20"/>
        </w:rPr>
        <w:instrText xml:space="preserve"> \* MERGEFORMAT </w:instrText>
      </w:r>
      <w:r>
        <w:rPr>
          <w:rFonts w:hint="eastAsia"/>
          <w:color w:val="000000"/>
          <w:sz w:val="24"/>
          <w:szCs w:val="20"/>
        </w:rPr>
        <w:fldChar w:fldCharType="separate"/>
      </w:r>
      <w:r>
        <w:rPr>
          <w:rFonts w:hint="eastAsia"/>
          <w:color w:val="000000"/>
          <w:sz w:val="24"/>
          <w:szCs w:val="20"/>
        </w:rPr>
        <w:t xml:space="preserve">表 </w:t>
      </w:r>
      <w:r>
        <w:rPr>
          <w:color w:val="000000"/>
          <w:sz w:val="24"/>
          <w:szCs w:val="20"/>
        </w:rPr>
        <w:t>33</w:t>
      </w:r>
      <w:r>
        <w:rPr>
          <w:rFonts w:hint="eastAsia"/>
          <w:color w:val="000000"/>
          <w:sz w:val="24"/>
          <w:szCs w:val="20"/>
        </w:rPr>
        <w:fldChar w:fldCharType="end"/>
      </w:r>
      <w:r>
        <w:rPr>
          <w:rFonts w:hint="eastAsia"/>
          <w:color w:val="000000"/>
          <w:sz w:val="24"/>
          <w:szCs w:val="20"/>
        </w:rPr>
        <w:t>。</w:t>
      </w:r>
    </w:p>
    <w:p>
      <w:pPr>
        <w:pStyle w:val="18"/>
        <w:ind w:firstLine="420"/>
      </w:pPr>
      <w:bookmarkStart w:id="850" w:name="_Ref206437103"/>
      <w:r>
        <w:rPr>
          <w:rFonts w:hint="eastAsia"/>
          <w:bCs/>
          <w:color w:val="000000"/>
        </w:rPr>
        <w:t xml:space="preserve">表 </w:t>
      </w:r>
      <w:r>
        <w:rPr>
          <w:bCs/>
          <w:color w:val="000000"/>
        </w:rPr>
        <w:fldChar w:fldCharType="begin"/>
      </w:r>
      <w:r>
        <w:rPr>
          <w:bCs/>
          <w:color w:val="000000"/>
        </w:rPr>
        <w:instrText xml:space="preserve"> </w:instrText>
      </w:r>
      <w:r>
        <w:rPr>
          <w:rFonts w:hint="eastAsia"/>
          <w:bCs/>
          <w:color w:val="000000"/>
        </w:rPr>
        <w:instrText xml:space="preserve">SEQ 表 \* ARABIC</w:instrText>
      </w:r>
      <w:r>
        <w:rPr>
          <w:bCs/>
          <w:color w:val="000000"/>
        </w:rPr>
        <w:instrText xml:space="preserve"> </w:instrText>
      </w:r>
      <w:r>
        <w:rPr>
          <w:bCs/>
          <w:color w:val="000000"/>
        </w:rPr>
        <w:fldChar w:fldCharType="separate"/>
      </w:r>
      <w:r>
        <w:rPr>
          <w:bCs/>
          <w:color w:val="000000"/>
        </w:rPr>
        <w:t>33</w:t>
      </w:r>
      <w:r>
        <w:rPr>
          <w:bCs/>
          <w:color w:val="000000"/>
        </w:rPr>
        <w:fldChar w:fldCharType="end"/>
      </w:r>
      <w:bookmarkEnd w:id="850"/>
      <w:r>
        <w:rPr>
          <w:bCs/>
          <w:color w:val="000000"/>
        </w:rPr>
        <w:t xml:space="preserve"> </w:t>
      </w:r>
      <w:r>
        <w:rPr>
          <w:rFonts w:hint="eastAsia"/>
        </w:rPr>
        <w:t xml:space="preserve">                      监测所用仪器一览表</w:t>
      </w:r>
    </w:p>
    <w:tbl>
      <w:tblPr>
        <w:tblStyle w:val="43"/>
        <w:tblW w:w="5009"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28" w:type="dxa"/>
          <w:bottom w:w="0" w:type="dxa"/>
          <w:right w:w="28" w:type="dxa"/>
        </w:tblCellMar>
      </w:tblPr>
      <w:tblGrid>
        <w:gridCol w:w="710"/>
        <w:gridCol w:w="1707"/>
        <w:gridCol w:w="1228"/>
        <w:gridCol w:w="1173"/>
        <w:gridCol w:w="2022"/>
        <w:gridCol w:w="2262"/>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620" w:hRule="atLeast"/>
          <w:jc w:val="center"/>
        </w:trPr>
        <w:tc>
          <w:tcPr>
            <w:tcW w:w="390" w:type="pct"/>
            <w:tcBorders>
              <w:tl2br w:val="nil"/>
              <w:tr2bl w:val="nil"/>
            </w:tcBorders>
            <w:tcMar>
              <w:top w:w="0" w:type="dxa"/>
              <w:left w:w="0" w:type="dxa"/>
              <w:bottom w:w="0" w:type="dxa"/>
              <w:right w:w="0" w:type="dxa"/>
            </w:tcMar>
            <w:vAlign w:val="center"/>
          </w:tcPr>
          <w:p>
            <w:pPr>
              <w:widowControl/>
              <w:ind w:left="-63" w:leftChars="-30" w:right="-63" w:rightChars="-30"/>
              <w:jc w:val="center"/>
              <w:rPr>
                <w:kern w:val="0"/>
                <w:szCs w:val="21"/>
              </w:rPr>
            </w:pPr>
            <w:r>
              <w:rPr>
                <w:kern w:val="0"/>
                <w:szCs w:val="21"/>
              </w:rPr>
              <w:t>序号</w:t>
            </w:r>
          </w:p>
        </w:tc>
        <w:tc>
          <w:tcPr>
            <w:tcW w:w="937" w:type="pct"/>
            <w:tcBorders>
              <w:tl2br w:val="nil"/>
              <w:tr2bl w:val="nil"/>
            </w:tcBorders>
            <w:tcMar>
              <w:top w:w="0" w:type="dxa"/>
              <w:left w:w="0" w:type="dxa"/>
              <w:bottom w:w="0" w:type="dxa"/>
              <w:right w:w="0" w:type="dxa"/>
            </w:tcMar>
            <w:vAlign w:val="center"/>
          </w:tcPr>
          <w:p>
            <w:pPr>
              <w:widowControl/>
              <w:ind w:left="-63" w:leftChars="-30" w:right="-63" w:rightChars="-30"/>
              <w:jc w:val="center"/>
              <w:rPr>
                <w:kern w:val="0"/>
                <w:szCs w:val="21"/>
              </w:rPr>
            </w:pPr>
            <w:r>
              <w:rPr>
                <w:kern w:val="0"/>
                <w:szCs w:val="21"/>
              </w:rPr>
              <w:t>监测项目</w:t>
            </w:r>
          </w:p>
        </w:tc>
        <w:tc>
          <w:tcPr>
            <w:tcW w:w="674" w:type="pct"/>
            <w:tcBorders>
              <w:tl2br w:val="nil"/>
              <w:tr2bl w:val="nil"/>
            </w:tcBorders>
            <w:tcMar>
              <w:top w:w="0" w:type="dxa"/>
              <w:left w:w="0" w:type="dxa"/>
              <w:bottom w:w="0" w:type="dxa"/>
              <w:right w:w="0" w:type="dxa"/>
            </w:tcMar>
            <w:vAlign w:val="center"/>
          </w:tcPr>
          <w:p>
            <w:pPr>
              <w:spacing w:line="470" w:lineRule="exact"/>
              <w:jc w:val="center"/>
              <w:rPr>
                <w:b/>
                <w:szCs w:val="21"/>
              </w:rPr>
            </w:pPr>
            <w:r>
              <w:rPr>
                <w:b/>
                <w:szCs w:val="21"/>
              </w:rPr>
              <w:t>设备名称</w:t>
            </w:r>
          </w:p>
        </w:tc>
        <w:tc>
          <w:tcPr>
            <w:tcW w:w="644" w:type="pct"/>
            <w:tcBorders>
              <w:tl2br w:val="nil"/>
              <w:tr2bl w:val="nil"/>
            </w:tcBorders>
            <w:tcMar>
              <w:top w:w="0" w:type="dxa"/>
              <w:left w:w="0" w:type="dxa"/>
              <w:bottom w:w="0" w:type="dxa"/>
              <w:right w:w="0" w:type="dxa"/>
            </w:tcMar>
            <w:vAlign w:val="center"/>
          </w:tcPr>
          <w:p>
            <w:pPr>
              <w:spacing w:line="470" w:lineRule="exact"/>
              <w:jc w:val="center"/>
              <w:rPr>
                <w:b/>
                <w:szCs w:val="21"/>
              </w:rPr>
            </w:pPr>
            <w:r>
              <w:rPr>
                <w:b/>
                <w:szCs w:val="21"/>
              </w:rPr>
              <w:t>设备编号</w:t>
            </w:r>
          </w:p>
        </w:tc>
        <w:tc>
          <w:tcPr>
            <w:tcW w:w="1110" w:type="pct"/>
            <w:tcBorders>
              <w:tl2br w:val="nil"/>
              <w:tr2bl w:val="nil"/>
            </w:tcBorders>
            <w:tcMar>
              <w:top w:w="0" w:type="dxa"/>
              <w:left w:w="0" w:type="dxa"/>
              <w:bottom w:w="0" w:type="dxa"/>
              <w:right w:w="0" w:type="dxa"/>
            </w:tcMar>
            <w:vAlign w:val="center"/>
          </w:tcPr>
          <w:p>
            <w:pPr>
              <w:spacing w:line="470" w:lineRule="exact"/>
              <w:jc w:val="center"/>
              <w:rPr>
                <w:b/>
                <w:szCs w:val="21"/>
              </w:rPr>
            </w:pPr>
            <w:r>
              <w:rPr>
                <w:b/>
                <w:szCs w:val="21"/>
              </w:rPr>
              <w:t>检定/校准机构</w:t>
            </w:r>
          </w:p>
        </w:tc>
        <w:tc>
          <w:tcPr>
            <w:tcW w:w="1242" w:type="pct"/>
            <w:tcBorders>
              <w:tl2br w:val="nil"/>
              <w:tr2bl w:val="nil"/>
            </w:tcBorders>
            <w:tcMar>
              <w:top w:w="0" w:type="dxa"/>
              <w:left w:w="0" w:type="dxa"/>
              <w:bottom w:w="0" w:type="dxa"/>
              <w:right w:w="0" w:type="dxa"/>
            </w:tcMar>
            <w:vAlign w:val="center"/>
          </w:tcPr>
          <w:p>
            <w:pPr>
              <w:spacing w:line="470" w:lineRule="exact"/>
              <w:jc w:val="center"/>
              <w:rPr>
                <w:b/>
                <w:szCs w:val="21"/>
              </w:rPr>
            </w:pPr>
            <w:r>
              <w:rPr>
                <w:b/>
                <w:szCs w:val="21"/>
              </w:rPr>
              <w:t>有效日期</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272" w:hRule="atLeast"/>
          <w:jc w:val="center"/>
        </w:trPr>
        <w:tc>
          <w:tcPr>
            <w:tcW w:w="390" w:type="pct"/>
            <w:vMerge w:val="restart"/>
            <w:tcBorders>
              <w:tl2br w:val="nil"/>
              <w:tr2bl w:val="nil"/>
            </w:tcBorders>
            <w:tcMar>
              <w:top w:w="0" w:type="dxa"/>
              <w:left w:w="0" w:type="dxa"/>
              <w:bottom w:w="0" w:type="dxa"/>
              <w:right w:w="0" w:type="dxa"/>
            </w:tcMar>
            <w:vAlign w:val="center"/>
          </w:tcPr>
          <w:p>
            <w:pPr>
              <w:widowControl/>
              <w:ind w:left="-63" w:leftChars="-30" w:right="-63" w:rightChars="-30"/>
              <w:jc w:val="center"/>
              <w:rPr>
                <w:kern w:val="0"/>
                <w:szCs w:val="21"/>
              </w:rPr>
            </w:pPr>
            <w:r>
              <w:rPr>
                <w:kern w:val="0"/>
                <w:szCs w:val="21"/>
              </w:rPr>
              <w:t>1</w:t>
            </w:r>
          </w:p>
        </w:tc>
        <w:tc>
          <w:tcPr>
            <w:tcW w:w="937" w:type="pct"/>
            <w:tcBorders>
              <w:tl2br w:val="nil"/>
              <w:tr2bl w:val="nil"/>
            </w:tcBorders>
            <w:tcMar>
              <w:top w:w="0" w:type="dxa"/>
              <w:left w:w="0" w:type="dxa"/>
              <w:bottom w:w="0" w:type="dxa"/>
              <w:right w:w="0" w:type="dxa"/>
            </w:tcMar>
            <w:vAlign w:val="center"/>
          </w:tcPr>
          <w:p>
            <w:pPr>
              <w:widowControl/>
              <w:ind w:left="-63" w:leftChars="-30" w:right="-63" w:rightChars="-30"/>
              <w:jc w:val="center"/>
              <w:rPr>
                <w:kern w:val="0"/>
                <w:szCs w:val="21"/>
              </w:rPr>
            </w:pPr>
            <w:r>
              <w:rPr>
                <w:kern w:val="0"/>
                <w:szCs w:val="21"/>
              </w:rPr>
              <w:t>工频电场强度</w:t>
            </w:r>
          </w:p>
        </w:tc>
        <w:tc>
          <w:tcPr>
            <w:tcW w:w="674" w:type="pct"/>
            <w:vMerge w:val="restart"/>
            <w:tcBorders>
              <w:tl2br w:val="nil"/>
              <w:tr2bl w:val="nil"/>
            </w:tcBorders>
            <w:tcMar>
              <w:top w:w="0" w:type="dxa"/>
              <w:left w:w="0" w:type="dxa"/>
              <w:bottom w:w="0" w:type="dxa"/>
              <w:right w:w="0" w:type="dxa"/>
            </w:tcMar>
            <w:vAlign w:val="center"/>
          </w:tcPr>
          <w:p>
            <w:pPr>
              <w:widowControl/>
              <w:ind w:left="-63" w:leftChars="-30" w:right="-63" w:rightChars="-30"/>
              <w:jc w:val="center"/>
              <w:rPr>
                <w:kern w:val="0"/>
                <w:szCs w:val="21"/>
              </w:rPr>
            </w:pPr>
            <w:r>
              <w:rPr>
                <w:kern w:val="0"/>
                <w:szCs w:val="21"/>
              </w:rPr>
              <w:t>电磁监测分析仪</w:t>
            </w:r>
          </w:p>
        </w:tc>
        <w:tc>
          <w:tcPr>
            <w:tcW w:w="644" w:type="pct"/>
            <w:vMerge w:val="restart"/>
            <w:tcBorders>
              <w:tl2br w:val="nil"/>
              <w:tr2bl w:val="nil"/>
            </w:tcBorders>
            <w:tcMar>
              <w:top w:w="0" w:type="dxa"/>
              <w:left w:w="0" w:type="dxa"/>
              <w:bottom w:w="0" w:type="dxa"/>
              <w:right w:w="0" w:type="dxa"/>
            </w:tcMar>
            <w:vAlign w:val="center"/>
          </w:tcPr>
          <w:p>
            <w:pPr>
              <w:widowControl/>
              <w:ind w:left="-63" w:leftChars="-30" w:right="-63" w:rightChars="-30"/>
              <w:jc w:val="center"/>
              <w:rPr>
                <w:kern w:val="0"/>
                <w:szCs w:val="21"/>
              </w:rPr>
            </w:pPr>
            <w:r>
              <w:rPr>
                <w:kern w:val="0"/>
                <w:szCs w:val="21"/>
              </w:rPr>
              <w:t>NBM-550+</w:t>
            </w:r>
          </w:p>
          <w:p>
            <w:pPr>
              <w:widowControl/>
              <w:ind w:left="-63" w:leftChars="-30" w:right="-63" w:rightChars="-30"/>
              <w:jc w:val="center"/>
              <w:rPr>
                <w:kern w:val="0"/>
                <w:szCs w:val="21"/>
              </w:rPr>
            </w:pPr>
            <w:r>
              <w:rPr>
                <w:kern w:val="0"/>
                <w:szCs w:val="21"/>
              </w:rPr>
              <w:t>EHP-50F</w:t>
            </w:r>
          </w:p>
        </w:tc>
        <w:tc>
          <w:tcPr>
            <w:tcW w:w="1110" w:type="pct"/>
            <w:vMerge w:val="restart"/>
            <w:tcBorders>
              <w:tl2br w:val="nil"/>
              <w:tr2bl w:val="nil"/>
            </w:tcBorders>
            <w:tcMar>
              <w:top w:w="0" w:type="dxa"/>
              <w:left w:w="0" w:type="dxa"/>
              <w:bottom w:w="0" w:type="dxa"/>
              <w:right w:w="0" w:type="dxa"/>
            </w:tcMar>
            <w:vAlign w:val="center"/>
          </w:tcPr>
          <w:p>
            <w:pPr>
              <w:widowControl/>
              <w:ind w:left="-63" w:leftChars="-30" w:right="-63" w:rightChars="-30"/>
              <w:jc w:val="center"/>
              <w:rPr>
                <w:kern w:val="0"/>
                <w:szCs w:val="21"/>
              </w:rPr>
            </w:pPr>
            <w:r>
              <w:rPr>
                <w:kern w:val="0"/>
                <w:szCs w:val="21"/>
              </w:rPr>
              <w:t>北京市计量检测</w:t>
            </w:r>
          </w:p>
          <w:p>
            <w:pPr>
              <w:widowControl/>
              <w:ind w:left="-63" w:leftChars="-30" w:right="-63" w:rightChars="-30"/>
              <w:jc w:val="center"/>
              <w:rPr>
                <w:kern w:val="0"/>
                <w:szCs w:val="21"/>
              </w:rPr>
            </w:pPr>
            <w:r>
              <w:rPr>
                <w:kern w:val="0"/>
                <w:szCs w:val="21"/>
              </w:rPr>
              <w:t>科学研究院</w:t>
            </w:r>
          </w:p>
        </w:tc>
        <w:tc>
          <w:tcPr>
            <w:tcW w:w="1242" w:type="pct"/>
            <w:vMerge w:val="restart"/>
            <w:tcBorders>
              <w:tl2br w:val="nil"/>
              <w:tr2bl w:val="nil"/>
            </w:tcBorders>
            <w:tcMar>
              <w:top w:w="0" w:type="dxa"/>
              <w:left w:w="0" w:type="dxa"/>
              <w:bottom w:w="0" w:type="dxa"/>
              <w:right w:w="0" w:type="dxa"/>
            </w:tcMar>
            <w:vAlign w:val="center"/>
          </w:tcPr>
          <w:p>
            <w:pPr>
              <w:widowControl/>
              <w:ind w:left="-63" w:leftChars="-30" w:right="-63" w:rightChars="-30"/>
              <w:jc w:val="center"/>
              <w:rPr>
                <w:kern w:val="0"/>
                <w:szCs w:val="21"/>
              </w:rPr>
            </w:pPr>
            <w:r>
              <w:rPr>
                <w:kern w:val="0"/>
                <w:szCs w:val="21"/>
              </w:rPr>
              <w:t>2023年6月29日至</w:t>
            </w:r>
          </w:p>
          <w:p>
            <w:pPr>
              <w:widowControl/>
              <w:ind w:left="-63" w:leftChars="-30" w:right="-63" w:rightChars="-30"/>
              <w:jc w:val="center"/>
              <w:rPr>
                <w:kern w:val="0"/>
                <w:szCs w:val="21"/>
              </w:rPr>
            </w:pPr>
            <w:r>
              <w:rPr>
                <w:kern w:val="0"/>
                <w:szCs w:val="21"/>
              </w:rPr>
              <w:t>2024年6月28日</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272" w:hRule="atLeast"/>
          <w:jc w:val="center"/>
        </w:trPr>
        <w:tc>
          <w:tcPr>
            <w:tcW w:w="390" w:type="pct"/>
            <w:vMerge w:val="continue"/>
            <w:tcBorders>
              <w:tl2br w:val="nil"/>
              <w:tr2bl w:val="nil"/>
            </w:tcBorders>
            <w:tcMar>
              <w:top w:w="0" w:type="dxa"/>
              <w:left w:w="0" w:type="dxa"/>
              <w:bottom w:w="0" w:type="dxa"/>
              <w:right w:w="0" w:type="dxa"/>
            </w:tcMar>
            <w:vAlign w:val="center"/>
          </w:tcPr>
          <w:p>
            <w:pPr>
              <w:widowControl/>
              <w:ind w:left="-63" w:leftChars="-30" w:right="-63" w:rightChars="-30"/>
              <w:jc w:val="center"/>
              <w:rPr>
                <w:kern w:val="0"/>
                <w:szCs w:val="21"/>
              </w:rPr>
            </w:pPr>
          </w:p>
        </w:tc>
        <w:tc>
          <w:tcPr>
            <w:tcW w:w="937" w:type="pct"/>
            <w:tcBorders>
              <w:tl2br w:val="nil"/>
              <w:tr2bl w:val="nil"/>
            </w:tcBorders>
            <w:tcMar>
              <w:top w:w="0" w:type="dxa"/>
              <w:left w:w="0" w:type="dxa"/>
              <w:bottom w:w="0" w:type="dxa"/>
              <w:right w:w="0" w:type="dxa"/>
            </w:tcMar>
            <w:vAlign w:val="center"/>
          </w:tcPr>
          <w:p>
            <w:pPr>
              <w:widowControl/>
              <w:ind w:left="-63" w:leftChars="-30" w:right="-63" w:rightChars="-30"/>
              <w:jc w:val="center"/>
              <w:rPr>
                <w:kern w:val="0"/>
                <w:szCs w:val="21"/>
              </w:rPr>
            </w:pPr>
            <w:r>
              <w:rPr>
                <w:kern w:val="0"/>
                <w:szCs w:val="21"/>
              </w:rPr>
              <w:t>工频磁感应强度</w:t>
            </w:r>
          </w:p>
        </w:tc>
        <w:tc>
          <w:tcPr>
            <w:tcW w:w="674" w:type="pct"/>
            <w:vMerge w:val="continue"/>
            <w:tcBorders>
              <w:tl2br w:val="nil"/>
              <w:tr2bl w:val="nil"/>
            </w:tcBorders>
            <w:tcMar>
              <w:top w:w="0" w:type="dxa"/>
              <w:left w:w="0" w:type="dxa"/>
              <w:bottom w:w="0" w:type="dxa"/>
              <w:right w:w="0" w:type="dxa"/>
            </w:tcMar>
            <w:vAlign w:val="center"/>
          </w:tcPr>
          <w:p>
            <w:pPr>
              <w:topLinePunct/>
              <w:adjustRightInd w:val="0"/>
              <w:snapToGrid w:val="0"/>
              <w:jc w:val="center"/>
              <w:textAlignment w:val="center"/>
              <w:rPr>
                <w:kern w:val="0"/>
                <w:szCs w:val="21"/>
              </w:rPr>
            </w:pPr>
          </w:p>
        </w:tc>
        <w:tc>
          <w:tcPr>
            <w:tcW w:w="644" w:type="pct"/>
            <w:vMerge w:val="continue"/>
            <w:tcBorders>
              <w:tl2br w:val="nil"/>
              <w:tr2bl w:val="nil"/>
            </w:tcBorders>
            <w:tcMar>
              <w:top w:w="0" w:type="dxa"/>
              <w:left w:w="0" w:type="dxa"/>
              <w:bottom w:w="0" w:type="dxa"/>
              <w:right w:w="0" w:type="dxa"/>
            </w:tcMar>
            <w:vAlign w:val="center"/>
          </w:tcPr>
          <w:p>
            <w:pPr>
              <w:topLinePunct/>
              <w:adjustRightInd w:val="0"/>
              <w:snapToGrid w:val="0"/>
              <w:jc w:val="center"/>
              <w:textAlignment w:val="center"/>
              <w:rPr>
                <w:kern w:val="0"/>
                <w:szCs w:val="21"/>
              </w:rPr>
            </w:pPr>
          </w:p>
        </w:tc>
        <w:tc>
          <w:tcPr>
            <w:tcW w:w="1110" w:type="pct"/>
            <w:vMerge w:val="continue"/>
            <w:tcBorders>
              <w:tl2br w:val="nil"/>
              <w:tr2bl w:val="nil"/>
            </w:tcBorders>
            <w:tcMar>
              <w:top w:w="0" w:type="dxa"/>
              <w:left w:w="0" w:type="dxa"/>
              <w:bottom w:w="0" w:type="dxa"/>
              <w:right w:w="0" w:type="dxa"/>
            </w:tcMar>
            <w:vAlign w:val="center"/>
          </w:tcPr>
          <w:p>
            <w:pPr>
              <w:topLinePunct/>
              <w:adjustRightInd w:val="0"/>
              <w:snapToGrid w:val="0"/>
              <w:jc w:val="center"/>
              <w:textAlignment w:val="center"/>
              <w:rPr>
                <w:kern w:val="0"/>
                <w:szCs w:val="21"/>
              </w:rPr>
            </w:pPr>
          </w:p>
        </w:tc>
        <w:tc>
          <w:tcPr>
            <w:tcW w:w="1242" w:type="pct"/>
            <w:vMerge w:val="continue"/>
            <w:tcBorders>
              <w:tl2br w:val="nil"/>
              <w:tr2bl w:val="nil"/>
            </w:tcBorders>
            <w:tcMar>
              <w:top w:w="0" w:type="dxa"/>
              <w:left w:w="0" w:type="dxa"/>
              <w:bottom w:w="0" w:type="dxa"/>
              <w:right w:w="0" w:type="dxa"/>
            </w:tcMar>
            <w:vAlign w:val="center"/>
          </w:tcPr>
          <w:p>
            <w:pPr>
              <w:topLinePunct/>
              <w:adjustRightInd w:val="0"/>
              <w:snapToGrid w:val="0"/>
              <w:jc w:val="center"/>
              <w:textAlignment w:val="center"/>
              <w:rPr>
                <w:kern w:val="0"/>
                <w:szCs w:val="21"/>
              </w:rPr>
            </w:pPr>
          </w:p>
        </w:tc>
      </w:tr>
    </w:tbl>
    <w:p>
      <w:pPr>
        <w:spacing w:line="360" w:lineRule="auto"/>
        <w:ind w:firstLine="480" w:firstLineChars="200"/>
        <w:rPr>
          <w:color w:val="000000"/>
          <w:sz w:val="24"/>
        </w:rPr>
      </w:pPr>
      <w:r>
        <w:rPr>
          <w:rFonts w:hint="eastAsia"/>
          <w:color w:val="000000"/>
          <w:sz w:val="24"/>
        </w:rPr>
        <w:t>（5）监测时间及气象条件</w:t>
      </w:r>
    </w:p>
    <w:p>
      <w:pPr>
        <w:spacing w:line="360" w:lineRule="auto"/>
        <w:ind w:firstLine="480" w:firstLineChars="200"/>
        <w:rPr>
          <w:color w:val="000000"/>
          <w:sz w:val="24"/>
        </w:rPr>
      </w:pPr>
      <w:r>
        <w:rPr>
          <w:rFonts w:hint="eastAsia"/>
          <w:color w:val="000000"/>
          <w:sz w:val="24"/>
        </w:rPr>
        <w:t>监测时间：2023年8月16日；</w:t>
      </w:r>
    </w:p>
    <w:p>
      <w:pPr>
        <w:spacing w:line="360" w:lineRule="auto"/>
        <w:ind w:firstLine="480" w:firstLineChars="200"/>
        <w:rPr>
          <w:color w:val="000000"/>
          <w:sz w:val="24"/>
        </w:rPr>
      </w:pPr>
      <w:r>
        <w:rPr>
          <w:rFonts w:hint="eastAsia"/>
          <w:color w:val="000000"/>
          <w:sz w:val="24"/>
        </w:rPr>
        <w:t>气象条件：晴、相对湿度49.6%～49.9%、温度20.4℃～25.7℃。</w:t>
      </w:r>
    </w:p>
    <w:p>
      <w:pPr>
        <w:spacing w:line="360" w:lineRule="auto"/>
        <w:ind w:firstLine="480" w:firstLineChars="200"/>
        <w:rPr>
          <w:color w:val="000000"/>
          <w:sz w:val="24"/>
        </w:rPr>
      </w:pPr>
      <w:r>
        <w:rPr>
          <w:rFonts w:hint="eastAsia"/>
          <w:color w:val="000000"/>
          <w:sz w:val="24"/>
        </w:rPr>
        <w:t>（6）监测布点</w:t>
      </w:r>
    </w:p>
    <w:p>
      <w:pPr>
        <w:spacing w:line="360" w:lineRule="auto"/>
        <w:ind w:firstLine="480" w:firstLineChars="200"/>
        <w:rPr>
          <w:color w:val="000000"/>
          <w:sz w:val="24"/>
        </w:rPr>
      </w:pPr>
      <w:r>
        <w:rPr>
          <w:rFonts w:hint="eastAsia"/>
          <w:color w:val="000000"/>
          <w:sz w:val="24"/>
        </w:rPr>
        <w:t>变电站厂界：根据电磁环境厂界在变电站围墙外5米处布置监测点的原则，变电站四周围墙外5米处共布置8个测点，距离地面1.5m高度处。</w:t>
      </w:r>
    </w:p>
    <w:p>
      <w:pPr>
        <w:spacing w:line="360" w:lineRule="auto"/>
        <w:ind w:firstLine="480" w:firstLineChars="200"/>
        <w:rPr>
          <w:color w:val="000000"/>
          <w:sz w:val="24"/>
        </w:rPr>
      </w:pPr>
      <w:r>
        <w:rPr>
          <w:rFonts w:hint="eastAsia"/>
          <w:color w:val="000000"/>
          <w:sz w:val="24"/>
        </w:rPr>
        <w:t>（7）监测结果</w:t>
      </w:r>
    </w:p>
    <w:p>
      <w:pPr>
        <w:spacing w:line="360" w:lineRule="auto"/>
        <w:ind w:firstLine="480" w:firstLineChars="200"/>
        <w:rPr>
          <w:color w:val="000000"/>
          <w:sz w:val="24"/>
        </w:rPr>
      </w:pPr>
      <w:r>
        <w:rPr>
          <w:rFonts w:hint="eastAsia"/>
          <w:color w:val="000000"/>
          <w:sz w:val="24"/>
        </w:rPr>
        <w:t>变电站类比监测结果</w:t>
      </w:r>
      <w:r>
        <w:rPr>
          <w:rFonts w:hint="eastAsia"/>
          <w:color w:val="000000"/>
          <w:sz w:val="24"/>
          <w:szCs w:val="20"/>
        </w:rPr>
        <w:t>见</w:t>
      </w:r>
      <w:r>
        <w:rPr>
          <w:rFonts w:hint="eastAsia"/>
          <w:color w:val="000000"/>
          <w:sz w:val="24"/>
          <w:szCs w:val="20"/>
        </w:rPr>
        <w:fldChar w:fldCharType="begin"/>
      </w:r>
      <w:r>
        <w:rPr>
          <w:rFonts w:hint="eastAsia"/>
          <w:color w:val="000000"/>
          <w:sz w:val="24"/>
          <w:szCs w:val="20"/>
        </w:rPr>
        <w:instrText xml:space="preserve"> REF _Ref206437109 \h </w:instrText>
      </w:r>
      <w:r>
        <w:rPr>
          <w:color w:val="000000"/>
          <w:sz w:val="24"/>
          <w:szCs w:val="20"/>
        </w:rPr>
        <w:instrText xml:space="preserve"> \* MERGEFORMAT </w:instrText>
      </w:r>
      <w:r>
        <w:rPr>
          <w:rFonts w:hint="eastAsia"/>
          <w:color w:val="000000"/>
          <w:sz w:val="24"/>
          <w:szCs w:val="20"/>
        </w:rPr>
        <w:fldChar w:fldCharType="separate"/>
      </w:r>
      <w:r>
        <w:rPr>
          <w:rFonts w:hint="eastAsia"/>
          <w:color w:val="000000"/>
          <w:sz w:val="24"/>
          <w:szCs w:val="20"/>
        </w:rPr>
        <w:t xml:space="preserve">表 </w:t>
      </w:r>
      <w:r>
        <w:rPr>
          <w:color w:val="000000"/>
          <w:sz w:val="24"/>
          <w:szCs w:val="20"/>
        </w:rPr>
        <w:t>34</w:t>
      </w:r>
      <w:r>
        <w:rPr>
          <w:rFonts w:hint="eastAsia"/>
          <w:color w:val="000000"/>
          <w:sz w:val="24"/>
          <w:szCs w:val="20"/>
        </w:rPr>
        <w:fldChar w:fldCharType="end"/>
      </w:r>
      <w:r>
        <w:rPr>
          <w:rFonts w:hint="eastAsia"/>
          <w:color w:val="000000"/>
          <w:sz w:val="24"/>
          <w:szCs w:val="20"/>
        </w:rPr>
        <w:t>。</w:t>
      </w:r>
    </w:p>
    <w:p>
      <w:pPr>
        <w:pStyle w:val="18"/>
        <w:ind w:firstLine="420"/>
      </w:pPr>
      <w:bookmarkStart w:id="851" w:name="_Ref206437109"/>
      <w:r>
        <w:rPr>
          <w:rFonts w:hint="eastAsia"/>
          <w:bCs/>
          <w:color w:val="000000"/>
        </w:rPr>
        <w:t xml:space="preserve">表 </w:t>
      </w:r>
      <w:r>
        <w:rPr>
          <w:bCs/>
          <w:color w:val="000000"/>
        </w:rPr>
        <w:fldChar w:fldCharType="begin"/>
      </w:r>
      <w:r>
        <w:rPr>
          <w:bCs/>
          <w:color w:val="000000"/>
        </w:rPr>
        <w:instrText xml:space="preserve"> </w:instrText>
      </w:r>
      <w:r>
        <w:rPr>
          <w:rFonts w:hint="eastAsia"/>
          <w:bCs/>
          <w:color w:val="000000"/>
        </w:rPr>
        <w:instrText xml:space="preserve">SEQ 表 \* ARABIC</w:instrText>
      </w:r>
      <w:r>
        <w:rPr>
          <w:bCs/>
          <w:color w:val="000000"/>
        </w:rPr>
        <w:instrText xml:space="preserve"> </w:instrText>
      </w:r>
      <w:r>
        <w:rPr>
          <w:bCs/>
          <w:color w:val="000000"/>
        </w:rPr>
        <w:fldChar w:fldCharType="separate"/>
      </w:r>
      <w:r>
        <w:rPr>
          <w:bCs/>
          <w:color w:val="000000"/>
        </w:rPr>
        <w:t>34</w:t>
      </w:r>
      <w:r>
        <w:rPr>
          <w:bCs/>
          <w:color w:val="000000"/>
        </w:rPr>
        <w:fldChar w:fldCharType="end"/>
      </w:r>
      <w:bookmarkEnd w:id="851"/>
      <w:r>
        <w:rPr>
          <w:bCs/>
          <w:color w:val="000000"/>
        </w:rPr>
        <w:t xml:space="preserve"> </w:t>
      </w:r>
      <w:r>
        <w:rPr>
          <w:rFonts w:hint="eastAsia"/>
        </w:rPr>
        <w:t xml:space="preserve">            水磨沟110kV变电站厂界工频电磁场环境监测结果</w:t>
      </w:r>
    </w:p>
    <w:tbl>
      <w:tblPr>
        <w:tblStyle w:val="4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65"/>
        <w:gridCol w:w="4841"/>
        <w:gridCol w:w="1742"/>
        <w:gridCol w:w="193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8" w:hRule="atLeast"/>
          <w:tblHeader/>
          <w:jc w:val="center"/>
        </w:trPr>
        <w:tc>
          <w:tcPr>
            <w:tcW w:w="412" w:type="pct"/>
            <w:tcBorders>
              <w:tl2br w:val="nil"/>
              <w:tr2bl w:val="nil"/>
            </w:tcBorders>
            <w:vAlign w:val="center"/>
          </w:tcPr>
          <w:p>
            <w:pPr>
              <w:widowControl/>
              <w:ind w:left="-63" w:leftChars="-30" w:right="-63" w:rightChars="-30"/>
              <w:jc w:val="center"/>
              <w:rPr>
                <w:b/>
                <w:bCs/>
                <w:kern w:val="0"/>
                <w:szCs w:val="21"/>
              </w:rPr>
            </w:pPr>
            <w:r>
              <w:rPr>
                <w:rFonts w:hint="eastAsia"/>
                <w:b/>
                <w:bCs/>
                <w:kern w:val="0"/>
                <w:szCs w:val="21"/>
              </w:rPr>
              <w:t>序号</w:t>
            </w:r>
          </w:p>
        </w:tc>
        <w:tc>
          <w:tcPr>
            <w:tcW w:w="2606" w:type="pct"/>
            <w:tcBorders>
              <w:tl2br w:val="nil"/>
              <w:tr2bl w:val="nil"/>
            </w:tcBorders>
            <w:vAlign w:val="center"/>
          </w:tcPr>
          <w:p>
            <w:pPr>
              <w:widowControl/>
              <w:ind w:left="-63" w:leftChars="-30" w:right="-63" w:rightChars="-30"/>
              <w:jc w:val="center"/>
              <w:rPr>
                <w:b/>
                <w:bCs/>
                <w:kern w:val="0"/>
                <w:szCs w:val="21"/>
              </w:rPr>
            </w:pPr>
            <w:r>
              <w:rPr>
                <w:rFonts w:hint="eastAsia"/>
                <w:b/>
                <w:bCs/>
                <w:kern w:val="0"/>
                <w:szCs w:val="21"/>
              </w:rPr>
              <w:t>测点位置</w:t>
            </w:r>
          </w:p>
        </w:tc>
        <w:tc>
          <w:tcPr>
            <w:tcW w:w="938" w:type="pct"/>
            <w:tcBorders>
              <w:tl2br w:val="nil"/>
              <w:tr2bl w:val="nil"/>
            </w:tcBorders>
            <w:vAlign w:val="center"/>
          </w:tcPr>
          <w:p>
            <w:pPr>
              <w:widowControl/>
              <w:ind w:left="-63" w:leftChars="-30" w:right="-63" w:rightChars="-30"/>
              <w:jc w:val="center"/>
              <w:rPr>
                <w:b/>
                <w:bCs/>
                <w:kern w:val="0"/>
                <w:szCs w:val="21"/>
              </w:rPr>
            </w:pPr>
            <w:r>
              <w:rPr>
                <w:rFonts w:hint="eastAsia"/>
                <w:b/>
                <w:bCs/>
                <w:kern w:val="0"/>
                <w:szCs w:val="21"/>
              </w:rPr>
              <w:t>工频电场强度</w:t>
            </w:r>
          </w:p>
          <w:p>
            <w:pPr>
              <w:widowControl/>
              <w:ind w:left="-63" w:leftChars="-30" w:right="-63" w:rightChars="-30"/>
              <w:jc w:val="center"/>
              <w:rPr>
                <w:b/>
                <w:bCs/>
                <w:kern w:val="0"/>
                <w:szCs w:val="21"/>
              </w:rPr>
            </w:pPr>
            <w:r>
              <w:rPr>
                <w:rFonts w:hint="eastAsia"/>
                <w:b/>
                <w:bCs/>
                <w:kern w:val="0"/>
                <w:szCs w:val="21"/>
              </w:rPr>
              <w:t>(V/m)</w:t>
            </w:r>
          </w:p>
        </w:tc>
        <w:tc>
          <w:tcPr>
            <w:tcW w:w="1043" w:type="pct"/>
            <w:tcBorders>
              <w:tl2br w:val="nil"/>
              <w:tr2bl w:val="nil"/>
            </w:tcBorders>
            <w:vAlign w:val="center"/>
          </w:tcPr>
          <w:p>
            <w:pPr>
              <w:widowControl/>
              <w:ind w:left="-63" w:leftChars="-30" w:right="-63" w:rightChars="-30"/>
              <w:jc w:val="center"/>
              <w:rPr>
                <w:b/>
                <w:bCs/>
                <w:kern w:val="0"/>
                <w:szCs w:val="21"/>
              </w:rPr>
            </w:pPr>
            <w:r>
              <w:rPr>
                <w:rFonts w:hint="eastAsia"/>
                <w:b/>
                <w:bCs/>
                <w:kern w:val="0"/>
                <w:szCs w:val="21"/>
              </w:rPr>
              <w:t>工频磁感应强度</w:t>
            </w:r>
          </w:p>
          <w:p>
            <w:pPr>
              <w:widowControl/>
              <w:ind w:left="-63" w:leftChars="-30" w:right="-63" w:rightChars="-30"/>
              <w:jc w:val="center"/>
              <w:rPr>
                <w:b/>
                <w:bCs/>
                <w:kern w:val="0"/>
                <w:szCs w:val="21"/>
              </w:rPr>
            </w:pPr>
            <w:r>
              <w:rPr>
                <w:rFonts w:hint="eastAsia"/>
                <w:b/>
                <w:bCs/>
                <w:kern w:val="0"/>
                <w:szCs w:val="21"/>
              </w:rPr>
              <w:t>(μT)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38" w:hRule="atLeast"/>
          <w:jc w:val="center"/>
        </w:trPr>
        <w:tc>
          <w:tcPr>
            <w:tcW w:w="412" w:type="pct"/>
            <w:tcBorders>
              <w:tl2br w:val="nil"/>
              <w:tr2bl w:val="nil"/>
            </w:tcBorders>
            <w:vAlign w:val="center"/>
          </w:tcPr>
          <w:p>
            <w:pPr>
              <w:widowControl/>
              <w:ind w:left="-63" w:leftChars="-30" w:right="-63" w:rightChars="-30"/>
              <w:jc w:val="center"/>
              <w:rPr>
                <w:kern w:val="0"/>
                <w:szCs w:val="21"/>
              </w:rPr>
            </w:pPr>
            <w:r>
              <w:rPr>
                <w:kern w:val="0"/>
                <w:szCs w:val="21"/>
              </w:rPr>
              <w:t>1</w:t>
            </w:r>
          </w:p>
        </w:tc>
        <w:tc>
          <w:tcPr>
            <w:tcW w:w="2606" w:type="pct"/>
            <w:tcBorders>
              <w:tl2br w:val="nil"/>
              <w:tr2bl w:val="nil"/>
            </w:tcBorders>
            <w:vAlign w:val="center"/>
          </w:tcPr>
          <w:p>
            <w:pPr>
              <w:widowControl/>
              <w:ind w:left="-63" w:leftChars="-30" w:right="-63" w:rightChars="-30"/>
              <w:jc w:val="center"/>
              <w:rPr>
                <w:kern w:val="0"/>
                <w:szCs w:val="21"/>
              </w:rPr>
            </w:pPr>
            <w:r>
              <w:rPr>
                <w:kern w:val="0"/>
                <w:szCs w:val="21"/>
              </w:rPr>
              <w:t>距水磨沟变电站西偏北边界5米处</w:t>
            </w:r>
          </w:p>
        </w:tc>
        <w:tc>
          <w:tcPr>
            <w:tcW w:w="938" w:type="pct"/>
            <w:tcBorders>
              <w:tl2br w:val="nil"/>
              <w:tr2bl w:val="nil"/>
            </w:tcBorders>
            <w:vAlign w:val="center"/>
          </w:tcPr>
          <w:p>
            <w:pPr>
              <w:widowControl/>
              <w:ind w:left="-63" w:leftChars="-30" w:right="-63" w:rightChars="-30"/>
              <w:jc w:val="center"/>
              <w:rPr>
                <w:kern w:val="0"/>
                <w:szCs w:val="21"/>
              </w:rPr>
            </w:pPr>
            <w:r>
              <w:rPr>
                <w:rFonts w:hint="eastAsia"/>
                <w:kern w:val="0"/>
                <w:szCs w:val="21"/>
              </w:rPr>
              <w:t>468.9</w:t>
            </w:r>
          </w:p>
        </w:tc>
        <w:tc>
          <w:tcPr>
            <w:tcW w:w="1043" w:type="pct"/>
            <w:tcBorders>
              <w:tl2br w:val="nil"/>
              <w:tr2bl w:val="nil"/>
            </w:tcBorders>
            <w:vAlign w:val="center"/>
          </w:tcPr>
          <w:p>
            <w:pPr>
              <w:widowControl/>
              <w:ind w:left="-63" w:leftChars="-30" w:right="-63" w:rightChars="-30"/>
              <w:jc w:val="center"/>
              <w:rPr>
                <w:kern w:val="0"/>
                <w:szCs w:val="21"/>
              </w:rPr>
            </w:pPr>
            <w:r>
              <w:rPr>
                <w:rFonts w:hint="eastAsia"/>
                <w:kern w:val="0"/>
                <w:szCs w:val="21"/>
              </w:rPr>
              <w:t>0.2402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39" w:hRule="atLeast"/>
          <w:jc w:val="center"/>
        </w:trPr>
        <w:tc>
          <w:tcPr>
            <w:tcW w:w="412" w:type="pct"/>
            <w:tcBorders>
              <w:tl2br w:val="nil"/>
              <w:tr2bl w:val="nil"/>
            </w:tcBorders>
            <w:vAlign w:val="center"/>
          </w:tcPr>
          <w:p>
            <w:pPr>
              <w:widowControl/>
              <w:ind w:left="-63" w:leftChars="-30" w:right="-63" w:rightChars="-30"/>
              <w:jc w:val="center"/>
              <w:rPr>
                <w:kern w:val="0"/>
                <w:szCs w:val="21"/>
              </w:rPr>
            </w:pPr>
            <w:r>
              <w:rPr>
                <w:kern w:val="0"/>
                <w:szCs w:val="21"/>
              </w:rPr>
              <w:t>2</w:t>
            </w:r>
          </w:p>
        </w:tc>
        <w:tc>
          <w:tcPr>
            <w:tcW w:w="2606" w:type="pct"/>
            <w:tcBorders>
              <w:tl2br w:val="nil"/>
              <w:tr2bl w:val="nil"/>
            </w:tcBorders>
            <w:vAlign w:val="center"/>
          </w:tcPr>
          <w:p>
            <w:pPr>
              <w:widowControl/>
              <w:ind w:left="-63" w:leftChars="-30" w:right="-63" w:rightChars="-30"/>
              <w:jc w:val="center"/>
              <w:rPr>
                <w:kern w:val="0"/>
                <w:szCs w:val="21"/>
              </w:rPr>
            </w:pPr>
            <w:r>
              <w:rPr>
                <w:kern w:val="0"/>
                <w:szCs w:val="21"/>
              </w:rPr>
              <w:t>距水磨沟变电站西偏南边界5米处</w:t>
            </w:r>
          </w:p>
        </w:tc>
        <w:tc>
          <w:tcPr>
            <w:tcW w:w="938" w:type="pct"/>
            <w:tcBorders>
              <w:tl2br w:val="nil"/>
              <w:tr2bl w:val="nil"/>
            </w:tcBorders>
            <w:vAlign w:val="center"/>
          </w:tcPr>
          <w:p>
            <w:pPr>
              <w:widowControl/>
              <w:ind w:left="-63" w:leftChars="-30" w:right="-63" w:rightChars="-30"/>
              <w:jc w:val="center"/>
              <w:rPr>
                <w:kern w:val="0"/>
                <w:szCs w:val="21"/>
              </w:rPr>
            </w:pPr>
            <w:r>
              <w:rPr>
                <w:rFonts w:hint="eastAsia"/>
                <w:kern w:val="0"/>
                <w:szCs w:val="21"/>
              </w:rPr>
              <w:t>184.6</w:t>
            </w:r>
          </w:p>
        </w:tc>
        <w:tc>
          <w:tcPr>
            <w:tcW w:w="1043" w:type="pct"/>
            <w:tcBorders>
              <w:tl2br w:val="nil"/>
              <w:tr2bl w:val="nil"/>
            </w:tcBorders>
            <w:vAlign w:val="center"/>
          </w:tcPr>
          <w:p>
            <w:pPr>
              <w:widowControl/>
              <w:ind w:left="-63" w:leftChars="-30" w:right="-63" w:rightChars="-30"/>
              <w:jc w:val="center"/>
              <w:rPr>
                <w:kern w:val="0"/>
                <w:szCs w:val="21"/>
              </w:rPr>
            </w:pPr>
            <w:r>
              <w:rPr>
                <w:rFonts w:hint="eastAsia"/>
                <w:kern w:val="0"/>
                <w:szCs w:val="21"/>
              </w:rPr>
              <w:t>0.0378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38" w:hRule="atLeast"/>
          <w:jc w:val="center"/>
        </w:trPr>
        <w:tc>
          <w:tcPr>
            <w:tcW w:w="412" w:type="pct"/>
            <w:tcBorders>
              <w:tl2br w:val="nil"/>
              <w:tr2bl w:val="nil"/>
            </w:tcBorders>
            <w:vAlign w:val="center"/>
          </w:tcPr>
          <w:p>
            <w:pPr>
              <w:widowControl/>
              <w:ind w:left="-63" w:leftChars="-30" w:right="-63" w:rightChars="-30"/>
              <w:jc w:val="center"/>
              <w:rPr>
                <w:kern w:val="0"/>
                <w:szCs w:val="21"/>
              </w:rPr>
            </w:pPr>
            <w:r>
              <w:rPr>
                <w:kern w:val="0"/>
                <w:szCs w:val="21"/>
              </w:rPr>
              <w:t>3</w:t>
            </w:r>
          </w:p>
        </w:tc>
        <w:tc>
          <w:tcPr>
            <w:tcW w:w="2606" w:type="pct"/>
            <w:tcBorders>
              <w:tl2br w:val="nil"/>
              <w:tr2bl w:val="nil"/>
            </w:tcBorders>
            <w:vAlign w:val="center"/>
          </w:tcPr>
          <w:p>
            <w:pPr>
              <w:widowControl/>
              <w:ind w:left="-63" w:leftChars="-30" w:right="-63" w:rightChars="-30"/>
              <w:jc w:val="center"/>
              <w:rPr>
                <w:kern w:val="0"/>
                <w:szCs w:val="21"/>
              </w:rPr>
            </w:pPr>
            <w:r>
              <w:rPr>
                <w:kern w:val="0"/>
                <w:szCs w:val="21"/>
              </w:rPr>
              <w:t>距水磨沟变电站南偏西边界5米处</w:t>
            </w:r>
          </w:p>
        </w:tc>
        <w:tc>
          <w:tcPr>
            <w:tcW w:w="938" w:type="pct"/>
            <w:tcBorders>
              <w:tl2br w:val="nil"/>
              <w:tr2bl w:val="nil"/>
            </w:tcBorders>
            <w:vAlign w:val="center"/>
          </w:tcPr>
          <w:p>
            <w:pPr>
              <w:widowControl/>
              <w:ind w:left="-63" w:leftChars="-30" w:right="-63" w:rightChars="-30"/>
              <w:jc w:val="center"/>
              <w:rPr>
                <w:kern w:val="0"/>
                <w:szCs w:val="21"/>
              </w:rPr>
            </w:pPr>
            <w:r>
              <w:rPr>
                <w:rFonts w:hint="eastAsia"/>
                <w:kern w:val="0"/>
                <w:szCs w:val="21"/>
              </w:rPr>
              <w:t>856.0</w:t>
            </w:r>
          </w:p>
        </w:tc>
        <w:tc>
          <w:tcPr>
            <w:tcW w:w="1043" w:type="pct"/>
            <w:tcBorders>
              <w:tl2br w:val="nil"/>
              <w:tr2bl w:val="nil"/>
            </w:tcBorders>
            <w:vAlign w:val="center"/>
          </w:tcPr>
          <w:p>
            <w:pPr>
              <w:widowControl/>
              <w:ind w:left="-63" w:leftChars="-30" w:right="-63" w:rightChars="-30"/>
              <w:jc w:val="center"/>
              <w:rPr>
                <w:kern w:val="0"/>
                <w:szCs w:val="21"/>
              </w:rPr>
            </w:pPr>
            <w:r>
              <w:rPr>
                <w:rFonts w:hint="eastAsia"/>
                <w:kern w:val="0"/>
                <w:szCs w:val="21"/>
              </w:rPr>
              <w:t>0.1023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39" w:hRule="atLeast"/>
          <w:jc w:val="center"/>
        </w:trPr>
        <w:tc>
          <w:tcPr>
            <w:tcW w:w="412" w:type="pct"/>
            <w:tcBorders>
              <w:tl2br w:val="nil"/>
              <w:tr2bl w:val="nil"/>
            </w:tcBorders>
            <w:vAlign w:val="center"/>
          </w:tcPr>
          <w:p>
            <w:pPr>
              <w:widowControl/>
              <w:ind w:left="-63" w:leftChars="-30" w:right="-63" w:rightChars="-30"/>
              <w:jc w:val="center"/>
              <w:rPr>
                <w:kern w:val="0"/>
                <w:szCs w:val="21"/>
              </w:rPr>
            </w:pPr>
            <w:r>
              <w:rPr>
                <w:kern w:val="0"/>
                <w:szCs w:val="21"/>
              </w:rPr>
              <w:t>4</w:t>
            </w:r>
          </w:p>
        </w:tc>
        <w:tc>
          <w:tcPr>
            <w:tcW w:w="2606" w:type="pct"/>
            <w:tcBorders>
              <w:tl2br w:val="nil"/>
              <w:tr2bl w:val="nil"/>
            </w:tcBorders>
            <w:vAlign w:val="center"/>
          </w:tcPr>
          <w:p>
            <w:pPr>
              <w:widowControl/>
              <w:ind w:left="-63" w:leftChars="-30" w:right="-63" w:rightChars="-30"/>
              <w:jc w:val="center"/>
              <w:rPr>
                <w:kern w:val="0"/>
                <w:szCs w:val="21"/>
              </w:rPr>
            </w:pPr>
            <w:r>
              <w:rPr>
                <w:kern w:val="0"/>
                <w:szCs w:val="21"/>
              </w:rPr>
              <w:t>距水磨沟变电站南偏东边界5米处</w:t>
            </w:r>
          </w:p>
        </w:tc>
        <w:tc>
          <w:tcPr>
            <w:tcW w:w="938" w:type="pct"/>
            <w:tcBorders>
              <w:tl2br w:val="nil"/>
              <w:tr2bl w:val="nil"/>
            </w:tcBorders>
            <w:vAlign w:val="center"/>
          </w:tcPr>
          <w:p>
            <w:pPr>
              <w:widowControl/>
              <w:ind w:left="-63" w:leftChars="-30" w:right="-63" w:rightChars="-30"/>
              <w:jc w:val="center"/>
              <w:rPr>
                <w:kern w:val="0"/>
                <w:szCs w:val="21"/>
              </w:rPr>
            </w:pPr>
            <w:r>
              <w:rPr>
                <w:rFonts w:hint="eastAsia"/>
                <w:kern w:val="0"/>
                <w:szCs w:val="21"/>
              </w:rPr>
              <w:t>713.0</w:t>
            </w:r>
          </w:p>
        </w:tc>
        <w:tc>
          <w:tcPr>
            <w:tcW w:w="1043" w:type="pct"/>
            <w:tcBorders>
              <w:tl2br w:val="nil"/>
              <w:tr2bl w:val="nil"/>
            </w:tcBorders>
            <w:vAlign w:val="center"/>
          </w:tcPr>
          <w:p>
            <w:pPr>
              <w:widowControl/>
              <w:ind w:left="-63" w:leftChars="-30" w:right="-63" w:rightChars="-30"/>
              <w:jc w:val="center"/>
              <w:rPr>
                <w:kern w:val="0"/>
                <w:szCs w:val="21"/>
              </w:rPr>
            </w:pPr>
            <w:r>
              <w:rPr>
                <w:rFonts w:hint="eastAsia"/>
                <w:kern w:val="0"/>
                <w:szCs w:val="21"/>
              </w:rPr>
              <w:t>0.1273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39" w:hRule="atLeast"/>
          <w:jc w:val="center"/>
        </w:trPr>
        <w:tc>
          <w:tcPr>
            <w:tcW w:w="412" w:type="pct"/>
            <w:tcBorders>
              <w:tl2br w:val="nil"/>
              <w:tr2bl w:val="nil"/>
            </w:tcBorders>
            <w:vAlign w:val="center"/>
          </w:tcPr>
          <w:p>
            <w:pPr>
              <w:widowControl/>
              <w:ind w:left="-63" w:leftChars="-30" w:right="-63" w:rightChars="-30"/>
              <w:jc w:val="center"/>
              <w:rPr>
                <w:kern w:val="0"/>
                <w:szCs w:val="21"/>
              </w:rPr>
            </w:pPr>
            <w:r>
              <w:rPr>
                <w:kern w:val="0"/>
                <w:szCs w:val="21"/>
              </w:rPr>
              <w:t>5</w:t>
            </w:r>
          </w:p>
        </w:tc>
        <w:tc>
          <w:tcPr>
            <w:tcW w:w="2606" w:type="pct"/>
            <w:tcBorders>
              <w:tl2br w:val="nil"/>
              <w:tr2bl w:val="nil"/>
            </w:tcBorders>
            <w:vAlign w:val="center"/>
          </w:tcPr>
          <w:p>
            <w:pPr>
              <w:widowControl/>
              <w:ind w:left="-63" w:leftChars="-30" w:right="-63" w:rightChars="-30"/>
              <w:jc w:val="center"/>
              <w:rPr>
                <w:kern w:val="0"/>
                <w:szCs w:val="21"/>
              </w:rPr>
            </w:pPr>
            <w:r>
              <w:rPr>
                <w:kern w:val="0"/>
                <w:szCs w:val="21"/>
              </w:rPr>
              <w:t>距水磨沟变电站</w:t>
            </w:r>
            <w:r>
              <w:rPr>
                <w:rFonts w:hint="eastAsia"/>
                <w:kern w:val="0"/>
                <w:szCs w:val="21"/>
              </w:rPr>
              <w:t>东</w:t>
            </w:r>
            <w:r>
              <w:rPr>
                <w:kern w:val="0"/>
                <w:szCs w:val="21"/>
              </w:rPr>
              <w:t>偏</w:t>
            </w:r>
            <w:r>
              <w:rPr>
                <w:rFonts w:hint="eastAsia"/>
                <w:kern w:val="0"/>
                <w:szCs w:val="21"/>
              </w:rPr>
              <w:t>南</w:t>
            </w:r>
            <w:r>
              <w:rPr>
                <w:kern w:val="0"/>
                <w:szCs w:val="21"/>
              </w:rPr>
              <w:t>边界5米处</w:t>
            </w:r>
          </w:p>
        </w:tc>
        <w:tc>
          <w:tcPr>
            <w:tcW w:w="938" w:type="pct"/>
            <w:tcBorders>
              <w:tl2br w:val="nil"/>
              <w:tr2bl w:val="nil"/>
            </w:tcBorders>
            <w:vAlign w:val="center"/>
          </w:tcPr>
          <w:p>
            <w:pPr>
              <w:widowControl/>
              <w:ind w:left="-63" w:leftChars="-30" w:right="-63" w:rightChars="-30"/>
              <w:jc w:val="center"/>
              <w:rPr>
                <w:kern w:val="0"/>
                <w:szCs w:val="21"/>
              </w:rPr>
            </w:pPr>
            <w:r>
              <w:rPr>
                <w:rFonts w:hint="eastAsia"/>
                <w:kern w:val="0"/>
                <w:szCs w:val="21"/>
              </w:rPr>
              <w:t>199.4</w:t>
            </w:r>
          </w:p>
        </w:tc>
        <w:tc>
          <w:tcPr>
            <w:tcW w:w="1043" w:type="pct"/>
            <w:tcBorders>
              <w:tl2br w:val="nil"/>
              <w:tr2bl w:val="nil"/>
            </w:tcBorders>
            <w:vAlign w:val="center"/>
          </w:tcPr>
          <w:p>
            <w:pPr>
              <w:widowControl/>
              <w:ind w:left="-63" w:leftChars="-30" w:right="-63" w:rightChars="-30"/>
              <w:jc w:val="center"/>
              <w:rPr>
                <w:kern w:val="0"/>
                <w:szCs w:val="21"/>
              </w:rPr>
            </w:pPr>
            <w:r>
              <w:rPr>
                <w:rFonts w:hint="eastAsia"/>
                <w:kern w:val="0"/>
                <w:szCs w:val="21"/>
              </w:rPr>
              <w:t>0.0426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39" w:hRule="atLeast"/>
          <w:jc w:val="center"/>
        </w:trPr>
        <w:tc>
          <w:tcPr>
            <w:tcW w:w="412" w:type="pct"/>
            <w:tcBorders>
              <w:tl2br w:val="nil"/>
              <w:tr2bl w:val="nil"/>
            </w:tcBorders>
            <w:vAlign w:val="center"/>
          </w:tcPr>
          <w:p>
            <w:pPr>
              <w:widowControl/>
              <w:ind w:left="-63" w:leftChars="-30" w:right="-63" w:rightChars="-30"/>
              <w:jc w:val="center"/>
              <w:rPr>
                <w:kern w:val="0"/>
                <w:szCs w:val="21"/>
              </w:rPr>
            </w:pPr>
            <w:r>
              <w:rPr>
                <w:kern w:val="0"/>
                <w:szCs w:val="21"/>
              </w:rPr>
              <w:t>6</w:t>
            </w:r>
          </w:p>
        </w:tc>
        <w:tc>
          <w:tcPr>
            <w:tcW w:w="2606" w:type="pct"/>
            <w:tcBorders>
              <w:tl2br w:val="nil"/>
              <w:tr2bl w:val="nil"/>
            </w:tcBorders>
            <w:vAlign w:val="center"/>
          </w:tcPr>
          <w:p>
            <w:pPr>
              <w:widowControl/>
              <w:ind w:left="-63" w:leftChars="-30" w:right="-63" w:rightChars="-30"/>
              <w:jc w:val="center"/>
              <w:rPr>
                <w:kern w:val="0"/>
                <w:szCs w:val="21"/>
              </w:rPr>
            </w:pPr>
            <w:r>
              <w:rPr>
                <w:kern w:val="0"/>
                <w:szCs w:val="21"/>
              </w:rPr>
              <w:t>距水磨沟变电站</w:t>
            </w:r>
            <w:r>
              <w:rPr>
                <w:rFonts w:hint="eastAsia"/>
                <w:kern w:val="0"/>
                <w:szCs w:val="21"/>
              </w:rPr>
              <w:t>东</w:t>
            </w:r>
            <w:r>
              <w:rPr>
                <w:kern w:val="0"/>
                <w:szCs w:val="21"/>
              </w:rPr>
              <w:t>偏北边界5米处</w:t>
            </w:r>
          </w:p>
        </w:tc>
        <w:tc>
          <w:tcPr>
            <w:tcW w:w="938" w:type="pct"/>
            <w:tcBorders>
              <w:tl2br w:val="nil"/>
              <w:tr2bl w:val="nil"/>
            </w:tcBorders>
            <w:vAlign w:val="center"/>
          </w:tcPr>
          <w:p>
            <w:pPr>
              <w:widowControl/>
              <w:ind w:left="-63" w:leftChars="-30" w:right="-63" w:rightChars="-30"/>
              <w:jc w:val="center"/>
              <w:rPr>
                <w:kern w:val="0"/>
                <w:szCs w:val="21"/>
              </w:rPr>
            </w:pPr>
            <w:r>
              <w:rPr>
                <w:rFonts w:hint="eastAsia"/>
                <w:kern w:val="0"/>
                <w:szCs w:val="21"/>
              </w:rPr>
              <w:t>130.4</w:t>
            </w:r>
          </w:p>
        </w:tc>
        <w:tc>
          <w:tcPr>
            <w:tcW w:w="1043" w:type="pct"/>
            <w:tcBorders>
              <w:tl2br w:val="nil"/>
              <w:tr2bl w:val="nil"/>
            </w:tcBorders>
            <w:vAlign w:val="center"/>
          </w:tcPr>
          <w:p>
            <w:pPr>
              <w:widowControl/>
              <w:ind w:left="-63" w:leftChars="-30" w:right="-63" w:rightChars="-30"/>
              <w:jc w:val="center"/>
              <w:rPr>
                <w:kern w:val="0"/>
                <w:szCs w:val="21"/>
              </w:rPr>
            </w:pPr>
            <w:r>
              <w:rPr>
                <w:rFonts w:hint="eastAsia"/>
                <w:kern w:val="0"/>
                <w:szCs w:val="21"/>
              </w:rPr>
              <w:t>0.0576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39" w:hRule="atLeast"/>
          <w:jc w:val="center"/>
        </w:trPr>
        <w:tc>
          <w:tcPr>
            <w:tcW w:w="412" w:type="pct"/>
            <w:tcBorders>
              <w:tl2br w:val="nil"/>
              <w:tr2bl w:val="nil"/>
            </w:tcBorders>
            <w:vAlign w:val="center"/>
          </w:tcPr>
          <w:p>
            <w:pPr>
              <w:widowControl/>
              <w:ind w:left="-63" w:leftChars="-30" w:right="-63" w:rightChars="-30"/>
              <w:jc w:val="center"/>
              <w:rPr>
                <w:kern w:val="0"/>
                <w:szCs w:val="21"/>
              </w:rPr>
            </w:pPr>
            <w:r>
              <w:rPr>
                <w:kern w:val="0"/>
                <w:szCs w:val="21"/>
              </w:rPr>
              <w:t>7</w:t>
            </w:r>
          </w:p>
        </w:tc>
        <w:tc>
          <w:tcPr>
            <w:tcW w:w="2606" w:type="pct"/>
            <w:tcBorders>
              <w:tl2br w:val="nil"/>
              <w:tr2bl w:val="nil"/>
            </w:tcBorders>
            <w:vAlign w:val="center"/>
          </w:tcPr>
          <w:p>
            <w:pPr>
              <w:widowControl/>
              <w:ind w:left="-63" w:leftChars="-30" w:right="-63" w:rightChars="-30"/>
              <w:jc w:val="center"/>
              <w:rPr>
                <w:kern w:val="0"/>
                <w:szCs w:val="21"/>
              </w:rPr>
            </w:pPr>
            <w:r>
              <w:rPr>
                <w:kern w:val="0"/>
                <w:szCs w:val="21"/>
              </w:rPr>
              <w:t>距水磨沟变电站</w:t>
            </w:r>
            <w:r>
              <w:rPr>
                <w:rFonts w:hint="eastAsia"/>
                <w:kern w:val="0"/>
                <w:szCs w:val="21"/>
              </w:rPr>
              <w:t>北</w:t>
            </w:r>
            <w:r>
              <w:rPr>
                <w:kern w:val="0"/>
                <w:szCs w:val="21"/>
              </w:rPr>
              <w:t>偏</w:t>
            </w:r>
            <w:r>
              <w:rPr>
                <w:rFonts w:hint="eastAsia"/>
                <w:kern w:val="0"/>
                <w:szCs w:val="21"/>
              </w:rPr>
              <w:t>东</w:t>
            </w:r>
            <w:r>
              <w:rPr>
                <w:kern w:val="0"/>
                <w:szCs w:val="21"/>
              </w:rPr>
              <w:t>边界5米处</w:t>
            </w:r>
          </w:p>
        </w:tc>
        <w:tc>
          <w:tcPr>
            <w:tcW w:w="938" w:type="pct"/>
            <w:tcBorders>
              <w:tl2br w:val="nil"/>
              <w:tr2bl w:val="nil"/>
            </w:tcBorders>
            <w:vAlign w:val="center"/>
          </w:tcPr>
          <w:p>
            <w:pPr>
              <w:widowControl/>
              <w:ind w:left="-63" w:leftChars="-30" w:right="-63" w:rightChars="-30"/>
              <w:jc w:val="center"/>
              <w:rPr>
                <w:kern w:val="0"/>
                <w:szCs w:val="21"/>
              </w:rPr>
            </w:pPr>
            <w:r>
              <w:rPr>
                <w:rFonts w:hint="eastAsia"/>
                <w:kern w:val="0"/>
                <w:szCs w:val="21"/>
              </w:rPr>
              <w:t>95.08</w:t>
            </w:r>
          </w:p>
        </w:tc>
        <w:tc>
          <w:tcPr>
            <w:tcW w:w="1043" w:type="pct"/>
            <w:tcBorders>
              <w:tl2br w:val="nil"/>
              <w:tr2bl w:val="nil"/>
            </w:tcBorders>
            <w:vAlign w:val="center"/>
          </w:tcPr>
          <w:p>
            <w:pPr>
              <w:widowControl/>
              <w:ind w:left="-63" w:leftChars="-30" w:right="-63" w:rightChars="-30"/>
              <w:jc w:val="center"/>
              <w:rPr>
                <w:kern w:val="0"/>
                <w:szCs w:val="21"/>
              </w:rPr>
            </w:pPr>
            <w:r>
              <w:rPr>
                <w:rFonts w:hint="eastAsia"/>
                <w:kern w:val="0"/>
                <w:szCs w:val="21"/>
              </w:rPr>
              <w:t>0.0449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39" w:hRule="atLeast"/>
          <w:jc w:val="center"/>
        </w:trPr>
        <w:tc>
          <w:tcPr>
            <w:tcW w:w="412" w:type="pct"/>
            <w:tcBorders>
              <w:tl2br w:val="nil"/>
              <w:tr2bl w:val="nil"/>
            </w:tcBorders>
            <w:vAlign w:val="center"/>
          </w:tcPr>
          <w:p>
            <w:pPr>
              <w:widowControl/>
              <w:ind w:left="-63" w:leftChars="-30" w:right="-63" w:rightChars="-30"/>
              <w:jc w:val="center"/>
              <w:rPr>
                <w:kern w:val="0"/>
                <w:szCs w:val="21"/>
              </w:rPr>
            </w:pPr>
            <w:r>
              <w:rPr>
                <w:kern w:val="0"/>
                <w:szCs w:val="21"/>
              </w:rPr>
              <w:t>8</w:t>
            </w:r>
          </w:p>
        </w:tc>
        <w:tc>
          <w:tcPr>
            <w:tcW w:w="2606" w:type="pct"/>
            <w:tcBorders>
              <w:tl2br w:val="nil"/>
              <w:tr2bl w:val="nil"/>
            </w:tcBorders>
            <w:vAlign w:val="center"/>
          </w:tcPr>
          <w:p>
            <w:pPr>
              <w:widowControl/>
              <w:ind w:left="-63" w:leftChars="-30" w:right="-63" w:rightChars="-30"/>
              <w:jc w:val="center"/>
              <w:rPr>
                <w:kern w:val="0"/>
                <w:szCs w:val="21"/>
              </w:rPr>
            </w:pPr>
            <w:r>
              <w:rPr>
                <w:kern w:val="0"/>
                <w:szCs w:val="21"/>
              </w:rPr>
              <w:t>距水磨沟变电站</w:t>
            </w:r>
            <w:r>
              <w:rPr>
                <w:rFonts w:hint="eastAsia"/>
                <w:kern w:val="0"/>
                <w:szCs w:val="21"/>
              </w:rPr>
              <w:t>北</w:t>
            </w:r>
            <w:r>
              <w:rPr>
                <w:kern w:val="0"/>
                <w:szCs w:val="21"/>
              </w:rPr>
              <w:t>偏</w:t>
            </w:r>
            <w:r>
              <w:rPr>
                <w:rFonts w:hint="eastAsia"/>
                <w:kern w:val="0"/>
                <w:szCs w:val="21"/>
              </w:rPr>
              <w:t>西</w:t>
            </w:r>
            <w:r>
              <w:rPr>
                <w:kern w:val="0"/>
                <w:szCs w:val="21"/>
              </w:rPr>
              <w:t>边界5米处</w:t>
            </w:r>
          </w:p>
        </w:tc>
        <w:tc>
          <w:tcPr>
            <w:tcW w:w="938" w:type="pct"/>
            <w:tcBorders>
              <w:tl2br w:val="nil"/>
              <w:tr2bl w:val="nil"/>
            </w:tcBorders>
            <w:vAlign w:val="center"/>
          </w:tcPr>
          <w:p>
            <w:pPr>
              <w:widowControl/>
              <w:ind w:left="-63" w:leftChars="-30" w:right="-63" w:rightChars="-30"/>
              <w:jc w:val="center"/>
              <w:rPr>
                <w:kern w:val="0"/>
                <w:szCs w:val="21"/>
              </w:rPr>
            </w:pPr>
            <w:r>
              <w:rPr>
                <w:rFonts w:hint="eastAsia"/>
                <w:kern w:val="0"/>
                <w:szCs w:val="21"/>
              </w:rPr>
              <w:t>83.56</w:t>
            </w:r>
          </w:p>
        </w:tc>
        <w:tc>
          <w:tcPr>
            <w:tcW w:w="1043" w:type="pct"/>
            <w:tcBorders>
              <w:tl2br w:val="nil"/>
              <w:tr2bl w:val="nil"/>
            </w:tcBorders>
            <w:vAlign w:val="center"/>
          </w:tcPr>
          <w:p>
            <w:pPr>
              <w:widowControl/>
              <w:ind w:left="-63" w:leftChars="-30" w:right="-63" w:rightChars="-30"/>
              <w:jc w:val="center"/>
              <w:rPr>
                <w:kern w:val="0"/>
                <w:szCs w:val="21"/>
              </w:rPr>
            </w:pPr>
            <w:r>
              <w:rPr>
                <w:rFonts w:hint="eastAsia"/>
                <w:kern w:val="0"/>
                <w:szCs w:val="21"/>
              </w:rPr>
              <w:t>0.0311</w:t>
            </w:r>
          </w:p>
        </w:tc>
      </w:tr>
    </w:tbl>
    <w:p>
      <w:pPr>
        <w:spacing w:line="360" w:lineRule="auto"/>
        <w:ind w:firstLine="480" w:firstLineChars="200"/>
        <w:rPr>
          <w:color w:val="000000"/>
          <w:sz w:val="24"/>
        </w:rPr>
      </w:pPr>
      <w:r>
        <w:rPr>
          <w:rFonts w:hint="eastAsia"/>
          <w:color w:val="000000"/>
          <w:sz w:val="24"/>
        </w:rPr>
        <w:t>（8）类比监测结果分析</w:t>
      </w:r>
    </w:p>
    <w:p>
      <w:pPr>
        <w:spacing w:line="360" w:lineRule="auto"/>
        <w:ind w:firstLine="480" w:firstLineChars="200"/>
        <w:rPr>
          <w:color w:val="000000"/>
          <w:sz w:val="24"/>
        </w:rPr>
      </w:pPr>
      <w:r>
        <w:rPr>
          <w:rFonts w:hint="eastAsia"/>
          <w:color w:val="000000"/>
          <w:sz w:val="24"/>
        </w:rPr>
        <w:t>根据电磁环境质量监测结果，水磨沟110kV变电站厂界工频电场强度在83.56V/m～856.0V/m之间；工频磁感应强度在0.0311μT～0.2402μT之间，工频电场及工频磁场强度均分别满足4000V/m、100μT的标准限值。</w:t>
      </w:r>
    </w:p>
    <w:p>
      <w:pPr>
        <w:keepNext/>
        <w:keepLines/>
        <w:numPr>
          <w:ilvl w:val="2"/>
          <w:numId w:val="28"/>
        </w:numPr>
        <w:spacing w:line="360" w:lineRule="auto"/>
        <w:outlineLvl w:val="2"/>
        <w:rPr>
          <w:rFonts w:cs="ˎ̥"/>
          <w:b/>
          <w:bCs/>
          <w:color w:val="000000"/>
          <w:sz w:val="24"/>
          <w:szCs w:val="32"/>
        </w:rPr>
      </w:pPr>
      <w:bookmarkStart w:id="852" w:name="_Toc30077"/>
      <w:r>
        <w:rPr>
          <w:rFonts w:hint="eastAsia" w:cs="ˎ̥"/>
          <w:b/>
          <w:bCs/>
          <w:color w:val="000000"/>
          <w:sz w:val="24"/>
          <w:szCs w:val="32"/>
        </w:rPr>
        <w:t>类比分析结论</w:t>
      </w:r>
      <w:bookmarkEnd w:id="852"/>
    </w:p>
    <w:p>
      <w:pPr>
        <w:spacing w:line="360" w:lineRule="auto"/>
        <w:ind w:firstLine="480" w:firstLineChars="200"/>
        <w:rPr>
          <w:color w:val="000000"/>
          <w:sz w:val="24"/>
        </w:rPr>
      </w:pPr>
      <w:r>
        <w:rPr>
          <w:rFonts w:hint="eastAsia"/>
          <w:color w:val="000000"/>
          <w:sz w:val="24"/>
        </w:rPr>
        <w:t>由前述的类比可行性分析可知，水磨沟110kV变电站运行期产生的工频电场、工频磁场水平能够反映本工程东环110kV变电站本期投运后产生的电磁环境水平。</w:t>
      </w:r>
    </w:p>
    <w:p>
      <w:pPr>
        <w:spacing w:line="360" w:lineRule="auto"/>
        <w:ind w:firstLine="480" w:firstLineChars="200"/>
        <w:rPr>
          <w:color w:val="000000"/>
          <w:sz w:val="24"/>
        </w:rPr>
      </w:pPr>
      <w:r>
        <w:rPr>
          <w:rFonts w:hint="eastAsia"/>
          <w:color w:val="000000"/>
          <w:sz w:val="24"/>
        </w:rPr>
        <w:t>由类比监测结果可知，类比对象水磨沟110kV变电站厂界的工频电场、工频磁场能够满足相应环境标准的限值要求。因此可以预测，本工程东环110kV变电站本期投运后厂界的工频电场、工频磁场同样能够满足4000V/m和100μT的公众曝露限值要求。</w:t>
      </w:r>
    </w:p>
    <w:bookmarkEnd w:id="843"/>
    <w:p>
      <w:pPr>
        <w:keepNext/>
        <w:keepLines/>
        <w:numPr>
          <w:ilvl w:val="1"/>
          <w:numId w:val="28"/>
        </w:numPr>
        <w:adjustRightInd w:val="0"/>
        <w:spacing w:line="360" w:lineRule="auto"/>
        <w:outlineLvl w:val="1"/>
        <w:rPr>
          <w:b/>
          <w:bCs/>
          <w:color w:val="000000"/>
          <w:sz w:val="28"/>
          <w:szCs w:val="32"/>
        </w:rPr>
      </w:pPr>
      <w:bookmarkStart w:id="853" w:name="_Toc14784"/>
      <w:r>
        <w:rPr>
          <w:rFonts w:hint="eastAsia"/>
          <w:b/>
          <w:bCs/>
          <w:color w:val="000000"/>
          <w:sz w:val="28"/>
          <w:szCs w:val="32"/>
        </w:rPr>
        <w:t>新建1</w:t>
      </w:r>
      <w:r>
        <w:rPr>
          <w:b/>
          <w:bCs/>
          <w:color w:val="000000"/>
          <w:sz w:val="28"/>
          <w:szCs w:val="32"/>
        </w:rPr>
        <w:t>10kV</w:t>
      </w:r>
      <w:r>
        <w:rPr>
          <w:rFonts w:hint="eastAsia"/>
          <w:b/>
          <w:bCs/>
          <w:color w:val="000000"/>
          <w:sz w:val="28"/>
          <w:szCs w:val="32"/>
        </w:rPr>
        <w:t>输电线路电磁环境影响预测与评价</w:t>
      </w:r>
      <w:bookmarkEnd w:id="853"/>
    </w:p>
    <w:p>
      <w:pPr>
        <w:keepNext/>
        <w:keepLines/>
        <w:numPr>
          <w:ilvl w:val="2"/>
          <w:numId w:val="28"/>
        </w:numPr>
        <w:spacing w:line="360" w:lineRule="auto"/>
        <w:outlineLvl w:val="2"/>
        <w:rPr>
          <w:rFonts w:cs="ˎ̥"/>
          <w:b/>
          <w:bCs/>
          <w:color w:val="000000"/>
          <w:sz w:val="24"/>
          <w:szCs w:val="32"/>
        </w:rPr>
      </w:pPr>
      <w:bookmarkStart w:id="854" w:name="_Toc14723"/>
      <w:bookmarkStart w:id="855" w:name="_Toc24647697"/>
      <w:bookmarkStart w:id="856" w:name="_Toc68794565"/>
      <w:bookmarkStart w:id="857" w:name="_Toc383540738"/>
      <w:r>
        <w:rPr>
          <w:rFonts w:hint="eastAsia" w:cs="ˎ̥"/>
          <w:b/>
          <w:bCs/>
          <w:color w:val="000000"/>
          <w:sz w:val="24"/>
          <w:szCs w:val="32"/>
        </w:rPr>
        <w:t>评价方法</w:t>
      </w:r>
      <w:bookmarkEnd w:id="854"/>
    </w:p>
    <w:p>
      <w:pPr>
        <w:spacing w:line="360" w:lineRule="auto"/>
        <w:ind w:firstLine="482"/>
        <w:rPr>
          <w:color w:val="000000"/>
          <w:sz w:val="24"/>
          <w:szCs w:val="22"/>
        </w:rPr>
      </w:pPr>
      <w:r>
        <w:rPr>
          <w:rFonts w:hint="eastAsia"/>
          <w:color w:val="000000"/>
          <w:sz w:val="24"/>
          <w:szCs w:val="22"/>
        </w:rPr>
        <w:t>本工程新建架空线路电磁环境影响采用模式预测的方法来分析与评价工程投运后产生的电磁环境影响。</w:t>
      </w:r>
    </w:p>
    <w:bookmarkEnd w:id="855"/>
    <w:bookmarkEnd w:id="856"/>
    <w:p>
      <w:pPr>
        <w:keepNext/>
        <w:keepLines/>
        <w:numPr>
          <w:ilvl w:val="2"/>
          <w:numId w:val="28"/>
        </w:numPr>
        <w:spacing w:line="360" w:lineRule="auto"/>
        <w:outlineLvl w:val="2"/>
        <w:rPr>
          <w:rFonts w:cs="ˎ̥"/>
          <w:b/>
          <w:bCs/>
          <w:color w:val="000000"/>
          <w:sz w:val="24"/>
          <w:szCs w:val="32"/>
        </w:rPr>
      </w:pPr>
      <w:bookmarkStart w:id="858" w:name="_Toc25924"/>
      <w:r>
        <w:rPr>
          <w:rFonts w:hint="eastAsia" w:cs="ˎ̥"/>
          <w:b/>
          <w:bCs/>
          <w:color w:val="000000"/>
          <w:sz w:val="24"/>
          <w:szCs w:val="32"/>
        </w:rPr>
        <w:t>预测模式</w:t>
      </w:r>
      <w:bookmarkEnd w:id="858"/>
    </w:p>
    <w:bookmarkEnd w:id="857"/>
    <w:p>
      <w:pPr>
        <w:spacing w:line="360" w:lineRule="auto"/>
        <w:ind w:firstLine="480" w:firstLineChars="200"/>
        <w:jc w:val="left"/>
        <w:rPr>
          <w:color w:val="000000"/>
          <w:sz w:val="24"/>
          <w:szCs w:val="20"/>
        </w:rPr>
      </w:pPr>
      <w:r>
        <w:rPr>
          <w:rFonts w:hint="eastAsia"/>
          <w:color w:val="000000"/>
          <w:sz w:val="24"/>
          <w:szCs w:val="20"/>
        </w:rPr>
        <w:t>本工程输电线路的工频电场强度和工频磁感应强度影响预测根据《环境影响评价技术导则</w:t>
      </w:r>
      <w:r>
        <w:rPr>
          <w:color w:val="000000"/>
          <w:sz w:val="24"/>
          <w:szCs w:val="20"/>
        </w:rPr>
        <w:t xml:space="preserve">  </w:t>
      </w:r>
      <w:r>
        <w:rPr>
          <w:rFonts w:hint="eastAsia"/>
          <w:color w:val="000000"/>
          <w:sz w:val="24"/>
          <w:szCs w:val="20"/>
        </w:rPr>
        <w:t>输变电》（</w:t>
      </w:r>
      <w:r>
        <w:rPr>
          <w:color w:val="000000"/>
          <w:sz w:val="24"/>
          <w:szCs w:val="20"/>
        </w:rPr>
        <w:t>HJ24-2020</w:t>
      </w:r>
      <w:r>
        <w:rPr>
          <w:rFonts w:hint="eastAsia"/>
          <w:color w:val="000000"/>
          <w:sz w:val="24"/>
          <w:szCs w:val="20"/>
        </w:rPr>
        <w:t>）附录</w:t>
      </w:r>
      <w:r>
        <w:rPr>
          <w:color w:val="000000"/>
          <w:sz w:val="24"/>
          <w:szCs w:val="20"/>
        </w:rPr>
        <w:t>C</w:t>
      </w:r>
      <w:r>
        <w:rPr>
          <w:rFonts w:hint="eastAsia"/>
          <w:color w:val="000000"/>
          <w:sz w:val="24"/>
          <w:szCs w:val="20"/>
        </w:rPr>
        <w:t>、</w:t>
      </w:r>
      <w:r>
        <w:rPr>
          <w:color w:val="000000"/>
          <w:sz w:val="24"/>
          <w:szCs w:val="20"/>
        </w:rPr>
        <w:t>D</w:t>
      </w:r>
      <w:r>
        <w:rPr>
          <w:rFonts w:hint="eastAsia"/>
          <w:color w:val="000000"/>
          <w:sz w:val="24"/>
          <w:szCs w:val="20"/>
        </w:rPr>
        <w:t>推荐的计算模式进行。</w:t>
      </w:r>
    </w:p>
    <w:p>
      <w:pPr>
        <w:spacing w:line="360" w:lineRule="auto"/>
        <w:ind w:firstLine="600" w:firstLineChars="250"/>
        <w:jc w:val="left"/>
        <w:rPr>
          <w:color w:val="000000"/>
          <w:sz w:val="24"/>
          <w:szCs w:val="20"/>
        </w:rPr>
      </w:pPr>
      <w:r>
        <w:rPr>
          <w:rFonts w:hint="eastAsia"/>
          <w:color w:val="000000"/>
          <w:sz w:val="24"/>
          <w:szCs w:val="20"/>
        </w:rPr>
        <w:t>（</w:t>
      </w:r>
      <w:r>
        <w:rPr>
          <w:color w:val="000000"/>
          <w:sz w:val="24"/>
          <w:szCs w:val="20"/>
        </w:rPr>
        <w:t>1</w:t>
      </w:r>
      <w:r>
        <w:rPr>
          <w:rFonts w:hint="eastAsia"/>
          <w:color w:val="000000"/>
          <w:sz w:val="24"/>
          <w:szCs w:val="20"/>
        </w:rPr>
        <w:t>）高压交流架空输电线路下空间工频电场强度的计算（附录</w:t>
      </w:r>
      <w:r>
        <w:rPr>
          <w:color w:val="000000"/>
          <w:sz w:val="24"/>
          <w:szCs w:val="20"/>
        </w:rPr>
        <w:t>C</w:t>
      </w:r>
      <w:r>
        <w:rPr>
          <w:rFonts w:hint="eastAsia"/>
          <w:color w:val="000000"/>
          <w:sz w:val="24"/>
          <w:szCs w:val="20"/>
        </w:rPr>
        <w:t>）</w:t>
      </w:r>
    </w:p>
    <w:p>
      <w:pPr>
        <w:spacing w:line="360" w:lineRule="auto"/>
        <w:ind w:firstLine="600" w:firstLineChars="250"/>
        <w:jc w:val="left"/>
        <w:rPr>
          <w:color w:val="000000"/>
          <w:sz w:val="24"/>
          <w:szCs w:val="20"/>
        </w:rPr>
      </w:pPr>
      <w:r>
        <w:rPr>
          <w:rFonts w:hint="eastAsia" w:ascii="宋体" w:hAnsi="宋体" w:cs="宋体"/>
          <w:color w:val="000000"/>
          <w:sz w:val="24"/>
          <w:szCs w:val="20"/>
          <w:lang w:eastAsia="ja-JP"/>
        </w:rPr>
        <w:t>①</w:t>
      </w:r>
      <w:r>
        <w:rPr>
          <w:rFonts w:ascii="宋体" w:hAnsi="宋体" w:cs="宋体"/>
          <w:color w:val="000000"/>
          <w:sz w:val="24"/>
          <w:szCs w:val="20"/>
        </w:rPr>
        <w:t xml:space="preserve"> </w:t>
      </w:r>
      <w:r>
        <w:rPr>
          <w:rFonts w:hint="eastAsia"/>
          <w:color w:val="000000"/>
          <w:sz w:val="24"/>
          <w:szCs w:val="20"/>
        </w:rPr>
        <w:t>单位长度导线上等效电荷的计算</w:t>
      </w:r>
    </w:p>
    <w:p>
      <w:pPr>
        <w:spacing w:line="360" w:lineRule="auto"/>
        <w:ind w:firstLine="480" w:firstLineChars="200"/>
        <w:jc w:val="left"/>
        <w:rPr>
          <w:color w:val="000000"/>
          <w:sz w:val="24"/>
          <w:szCs w:val="20"/>
        </w:rPr>
      </w:pPr>
      <w:r>
        <w:rPr>
          <w:rFonts w:hint="eastAsia"/>
          <w:color w:val="000000"/>
          <w:sz w:val="24"/>
          <w:szCs w:val="20"/>
        </w:rPr>
        <w:t>高压送电线上的等效电荷是线电荷，由于高压送电线半径</w:t>
      </w:r>
      <w:r>
        <w:rPr>
          <w:i/>
          <w:color w:val="000000"/>
          <w:sz w:val="24"/>
          <w:szCs w:val="20"/>
        </w:rPr>
        <w:t>r</w:t>
      </w:r>
      <w:r>
        <w:rPr>
          <w:rFonts w:hint="eastAsia"/>
          <w:color w:val="000000"/>
          <w:sz w:val="24"/>
          <w:szCs w:val="20"/>
        </w:rPr>
        <w:t>远小于架设高度</w:t>
      </w:r>
      <w:r>
        <w:rPr>
          <w:i/>
          <w:color w:val="000000"/>
          <w:sz w:val="24"/>
          <w:szCs w:val="20"/>
        </w:rPr>
        <w:t>h</w:t>
      </w:r>
      <w:r>
        <w:rPr>
          <w:rFonts w:hint="eastAsia"/>
          <w:color w:val="000000"/>
          <w:sz w:val="24"/>
          <w:szCs w:val="20"/>
        </w:rPr>
        <w:t>，因此等效电荷的位置可以认为是在输电导线的几何中心。</w:t>
      </w:r>
    </w:p>
    <w:p>
      <w:pPr>
        <w:spacing w:line="360" w:lineRule="auto"/>
        <w:ind w:firstLine="480" w:firstLineChars="200"/>
        <w:jc w:val="left"/>
        <w:rPr>
          <w:color w:val="000000"/>
          <w:sz w:val="24"/>
          <w:szCs w:val="20"/>
        </w:rPr>
      </w:pPr>
      <w:r>
        <w:rPr>
          <w:rFonts w:hint="eastAsia"/>
          <w:color w:val="000000"/>
          <w:sz w:val="24"/>
          <w:szCs w:val="20"/>
        </w:rPr>
        <w:t>设输电线路为无限长并且平行于地面，地面可视为良导体，利用镜像法计算输电线上的等效电荷。</w:t>
      </w:r>
    </w:p>
    <w:p>
      <w:pPr>
        <w:spacing w:line="360" w:lineRule="auto"/>
        <w:ind w:firstLine="480" w:firstLineChars="200"/>
        <w:jc w:val="left"/>
        <w:rPr>
          <w:color w:val="000000"/>
          <w:sz w:val="24"/>
          <w:szCs w:val="20"/>
        </w:rPr>
      </w:pPr>
      <w:r>
        <w:rPr>
          <w:rFonts w:hint="eastAsia"/>
          <w:color w:val="000000"/>
          <w:sz w:val="24"/>
          <w:szCs w:val="20"/>
        </w:rPr>
        <w:t>多导线线路中导线上的等效电荷由下列矩阵方程计算：</w:t>
      </w:r>
    </w:p>
    <w:p>
      <w:pPr>
        <w:spacing w:line="360" w:lineRule="auto"/>
        <w:jc w:val="center"/>
        <w:rPr>
          <w:color w:val="000000"/>
          <w:sz w:val="24"/>
          <w:szCs w:val="20"/>
        </w:rPr>
      </w:pPr>
      <w:r>
        <w:rPr>
          <w:color w:val="000000"/>
          <w:position w:val="-68"/>
          <w:sz w:val="24"/>
          <w:szCs w:val="20"/>
        </w:rPr>
        <w:object>
          <v:shape id="_x0000_i1057" o:spt="75" type="#_x0000_t75" style="height:72pt;width:174.75pt;" o:ole="t" filled="f" o:preferrelative="t" stroked="f" coordsize="21600,21600">
            <v:path/>
            <v:fill on="f" focussize="0,0"/>
            <v:stroke on="f" joinstyle="miter"/>
            <v:imagedata r:id="rId87" o:title=""/>
            <o:lock v:ext="edit" aspectratio="t"/>
            <w10:wrap type="none"/>
            <w10:anchorlock/>
          </v:shape>
          <o:OLEObject Type="Embed" ProgID="Equation.DSMT4" ShapeID="_x0000_i1057" DrawAspect="Content" ObjectID="_1468075757" r:id="rId86">
            <o:LockedField>false</o:LockedField>
          </o:OLEObject>
        </w:object>
      </w:r>
    </w:p>
    <w:p>
      <w:pPr>
        <w:spacing w:line="360" w:lineRule="auto"/>
        <w:ind w:firstLine="1200" w:firstLineChars="500"/>
        <w:jc w:val="left"/>
        <w:rPr>
          <w:color w:val="000000"/>
          <w:sz w:val="24"/>
          <w:szCs w:val="20"/>
        </w:rPr>
      </w:pPr>
      <w:r>
        <w:rPr>
          <w:rFonts w:hint="eastAsia"/>
          <w:color w:val="000000"/>
          <w:sz w:val="24"/>
          <w:szCs w:val="20"/>
        </w:rPr>
        <w:t>式中：</w:t>
      </w:r>
      <w:r>
        <w:rPr>
          <w:color w:val="000000"/>
          <w:position w:val="-6"/>
          <w:sz w:val="24"/>
          <w:szCs w:val="20"/>
        </w:rPr>
        <w:object>
          <v:shape id="_x0000_i1058" o:spt="75" type="#_x0000_t75" style="height:15pt;width:15pt;" o:ole="t" filled="f" o:preferrelative="t" stroked="f" coordsize="21600,21600">
            <v:path/>
            <v:fill on="f" focussize="0,0"/>
            <v:stroke on="f" joinstyle="miter"/>
            <v:imagedata r:id="rId89" o:title=""/>
            <o:lock v:ext="edit" aspectratio="t"/>
            <w10:wrap type="none"/>
            <w10:anchorlock/>
          </v:shape>
          <o:OLEObject Type="Embed" ProgID="Equation.DSMT4" ShapeID="_x0000_i1058" DrawAspect="Content" ObjectID="_1468075758" r:id="rId88">
            <o:LockedField>false</o:LockedField>
          </o:OLEObject>
        </w:object>
      </w:r>
      <w:r>
        <w:rPr>
          <w:rFonts w:hint="eastAsia"/>
          <w:color w:val="000000"/>
          <w:sz w:val="24"/>
          <w:szCs w:val="20"/>
        </w:rPr>
        <w:t>—各导线对地电压的单列矩阵；</w:t>
      </w:r>
    </w:p>
    <w:p>
      <w:pPr>
        <w:spacing w:line="360" w:lineRule="auto"/>
        <w:ind w:firstLine="1200" w:firstLineChars="500"/>
        <w:jc w:val="left"/>
        <w:rPr>
          <w:color w:val="000000"/>
          <w:sz w:val="24"/>
          <w:szCs w:val="20"/>
        </w:rPr>
      </w:pPr>
      <w:r>
        <w:rPr>
          <w:color w:val="000000"/>
          <w:sz w:val="24"/>
          <w:szCs w:val="20"/>
        </w:rPr>
        <w:t xml:space="preserve">      </w:t>
      </w:r>
      <w:r>
        <w:rPr>
          <w:color w:val="000000"/>
          <w:position w:val="-10"/>
          <w:sz w:val="24"/>
          <w:szCs w:val="20"/>
        </w:rPr>
        <w:object>
          <v:shape id="_x0000_i1059" o:spt="75" type="#_x0000_t75" style="height:15pt;width:15pt;" o:ole="t" filled="f" o:preferrelative="t" stroked="f" coordsize="21600,21600">
            <v:path/>
            <v:fill on="f" focussize="0,0"/>
            <v:stroke on="f" joinstyle="miter"/>
            <v:imagedata r:id="rId91" o:title=""/>
            <o:lock v:ext="edit" aspectratio="t"/>
            <w10:wrap type="none"/>
            <w10:anchorlock/>
          </v:shape>
          <o:OLEObject Type="Embed" ProgID="Equation.DSMT4" ShapeID="_x0000_i1059" DrawAspect="Content" ObjectID="_1468075759" r:id="rId90">
            <o:LockedField>false</o:LockedField>
          </o:OLEObject>
        </w:object>
      </w:r>
      <w:r>
        <w:rPr>
          <w:rFonts w:hint="eastAsia"/>
          <w:color w:val="000000"/>
          <w:sz w:val="24"/>
          <w:szCs w:val="20"/>
        </w:rPr>
        <w:t>—各导线上等效电荷的单列矩阵；</w:t>
      </w:r>
    </w:p>
    <w:p>
      <w:pPr>
        <w:spacing w:line="360" w:lineRule="auto"/>
        <w:ind w:firstLine="1200" w:firstLineChars="500"/>
        <w:jc w:val="left"/>
        <w:rPr>
          <w:color w:val="000000"/>
          <w:sz w:val="24"/>
          <w:szCs w:val="20"/>
        </w:rPr>
      </w:pPr>
      <w:r>
        <w:rPr>
          <w:color w:val="000000"/>
          <w:sz w:val="24"/>
          <w:szCs w:val="20"/>
        </w:rPr>
        <w:t xml:space="preserve">      </w:t>
      </w:r>
      <w:r>
        <w:rPr>
          <w:color w:val="000000"/>
          <w:position w:val="-6"/>
          <w:sz w:val="24"/>
          <w:szCs w:val="20"/>
        </w:rPr>
        <w:object>
          <v:shape id="_x0000_i1060" o:spt="75" type="#_x0000_t75" style="height:15pt;width:15pt;" o:ole="t" filled="f" o:preferrelative="t" stroked="f" coordsize="21600,21600">
            <v:path/>
            <v:fill on="f" focussize="0,0"/>
            <v:stroke on="f" joinstyle="miter"/>
            <v:imagedata r:id="rId93" o:title=""/>
            <o:lock v:ext="edit" aspectratio="t"/>
            <w10:wrap type="none"/>
            <w10:anchorlock/>
          </v:shape>
          <o:OLEObject Type="Embed" ProgID="Equation.DSMT4" ShapeID="_x0000_i1060" DrawAspect="Content" ObjectID="_1468075760" r:id="rId92">
            <o:LockedField>false</o:LockedField>
          </o:OLEObject>
        </w:object>
      </w:r>
      <w:r>
        <w:rPr>
          <w:rFonts w:hint="eastAsia"/>
          <w:color w:val="000000"/>
          <w:sz w:val="24"/>
          <w:szCs w:val="20"/>
        </w:rPr>
        <w:t>—各导线的电位系数组成的</w:t>
      </w:r>
      <w:r>
        <w:rPr>
          <w:color w:val="000000"/>
          <w:position w:val="-6"/>
          <w:sz w:val="24"/>
          <w:szCs w:val="20"/>
        </w:rPr>
        <w:object>
          <v:shape id="_x0000_i1061" o:spt="75" type="#_x0000_t75" style="height:13.5pt;width:15pt;" o:ole="t" filled="f" o:preferrelative="t" stroked="f" coordsize="21600,21600">
            <v:path/>
            <v:fill on="f" focussize="0,0"/>
            <v:stroke on="f" joinstyle="miter"/>
            <v:imagedata r:id="rId95" o:title=""/>
            <o:lock v:ext="edit" aspectratio="t"/>
            <w10:wrap type="none"/>
            <w10:anchorlock/>
          </v:shape>
          <o:OLEObject Type="Embed" ProgID="Equation.DSMT4" ShapeID="_x0000_i1061" DrawAspect="Content" ObjectID="_1468075761" r:id="rId94">
            <o:LockedField>false</o:LockedField>
          </o:OLEObject>
        </w:object>
      </w:r>
      <w:r>
        <w:rPr>
          <w:rFonts w:hint="eastAsia"/>
          <w:color w:val="000000"/>
          <w:sz w:val="24"/>
          <w:szCs w:val="20"/>
        </w:rPr>
        <w:t>阶方阵（</w:t>
      </w:r>
      <w:r>
        <w:rPr>
          <w:color w:val="000000"/>
          <w:position w:val="-6"/>
          <w:sz w:val="24"/>
          <w:szCs w:val="20"/>
        </w:rPr>
        <w:object>
          <v:shape id="_x0000_i1062" o:spt="75" type="#_x0000_t75" style="height:13.5pt;width:15pt;" o:ole="t" filled="f" o:preferrelative="t" stroked="f" coordsize="21600,21600">
            <v:path/>
            <v:fill on="f" focussize="0,0"/>
            <v:stroke on="f" joinstyle="miter"/>
            <v:imagedata r:id="rId97" o:title=""/>
            <o:lock v:ext="edit" aspectratio="t"/>
            <w10:wrap type="none"/>
            <w10:anchorlock/>
          </v:shape>
          <o:OLEObject Type="Embed" ProgID="Equation.DSMT4" ShapeID="_x0000_i1062" DrawAspect="Content" ObjectID="_1468075762" r:id="rId96">
            <o:LockedField>false</o:LockedField>
          </o:OLEObject>
        </w:object>
      </w:r>
      <w:r>
        <w:rPr>
          <w:rFonts w:hint="eastAsia"/>
          <w:color w:val="000000"/>
          <w:sz w:val="24"/>
          <w:szCs w:val="20"/>
        </w:rPr>
        <w:t>为导线数目）。</w:t>
      </w:r>
    </w:p>
    <w:p>
      <w:pPr>
        <w:spacing w:line="360" w:lineRule="auto"/>
        <w:ind w:firstLine="480" w:firstLineChars="200"/>
        <w:jc w:val="left"/>
        <w:rPr>
          <w:color w:val="000000"/>
          <w:sz w:val="24"/>
          <w:szCs w:val="20"/>
        </w:rPr>
      </w:pPr>
      <w:r>
        <w:rPr>
          <w:color w:val="000000"/>
          <w:position w:val="-10"/>
          <w:sz w:val="24"/>
          <w:szCs w:val="20"/>
        </w:rPr>
        <w:object>
          <v:shape id="_x0000_i1063" o:spt="75" type="#_x0000_t75" style="height:17.25pt;width:22.5pt;" o:ole="t" filled="f" o:preferrelative="t" stroked="f" coordsize="21600,21600">
            <v:path/>
            <v:fill on="f" focussize="0,0"/>
            <v:stroke on="f" joinstyle="miter"/>
            <v:imagedata r:id="rId99" o:title=""/>
            <o:lock v:ext="edit" aspectratio="t"/>
            <w10:wrap type="none"/>
            <w10:anchorlock/>
          </v:shape>
          <o:OLEObject Type="Embed" ProgID="Equation.DSMT4" ShapeID="_x0000_i1063" DrawAspect="Content" ObjectID="_1468075763" r:id="rId98">
            <o:LockedField>false</o:LockedField>
          </o:OLEObject>
        </w:object>
      </w:r>
      <w:r>
        <w:rPr>
          <w:rFonts w:hint="eastAsia"/>
          <w:color w:val="000000"/>
          <w:sz w:val="24"/>
          <w:szCs w:val="20"/>
        </w:rPr>
        <w:t>矩阵可由输电线的电压和相位确定，从环境保护考虑以额定电压的</w:t>
      </w:r>
      <w:r>
        <w:rPr>
          <w:color w:val="000000"/>
          <w:sz w:val="24"/>
          <w:szCs w:val="20"/>
        </w:rPr>
        <w:t>1.05</w:t>
      </w:r>
      <w:r>
        <w:rPr>
          <w:rFonts w:hint="eastAsia"/>
          <w:color w:val="000000"/>
          <w:sz w:val="24"/>
          <w:szCs w:val="20"/>
        </w:rPr>
        <w:t>倍作为计算电压。</w:t>
      </w:r>
    </w:p>
    <w:p>
      <w:pPr>
        <w:spacing w:line="360" w:lineRule="auto"/>
        <w:ind w:firstLine="480" w:firstLineChars="200"/>
        <w:jc w:val="left"/>
        <w:rPr>
          <w:color w:val="000000"/>
          <w:sz w:val="24"/>
          <w:szCs w:val="20"/>
        </w:rPr>
      </w:pPr>
      <w:r>
        <w:rPr>
          <w:color w:val="000000"/>
          <w:position w:val="-10"/>
          <w:sz w:val="24"/>
          <w:szCs w:val="20"/>
        </w:rPr>
        <w:object>
          <v:shape id="_x0000_i1064" o:spt="75" type="#_x0000_t75" style="height:17.25pt;width:21pt;" o:ole="t" filled="f" o:preferrelative="t" stroked="f" coordsize="21600,21600">
            <v:path/>
            <v:fill on="f" focussize="0,0"/>
            <v:stroke on="f" joinstyle="miter"/>
            <v:imagedata r:id="rId101" o:title=""/>
            <o:lock v:ext="edit" aspectratio="t"/>
            <w10:wrap type="none"/>
            <w10:anchorlock/>
          </v:shape>
          <o:OLEObject Type="Embed" ProgID="Equation.DSMT4" ShapeID="_x0000_i1064" DrawAspect="Content" ObjectID="_1468075764" r:id="rId100">
            <o:LockedField>false</o:LockedField>
          </o:OLEObject>
        </w:object>
      </w:r>
      <w:r>
        <w:rPr>
          <w:rFonts w:hint="eastAsia"/>
          <w:color w:val="000000"/>
          <w:sz w:val="24"/>
          <w:szCs w:val="20"/>
        </w:rPr>
        <w:t>矩阵由镜像原理求得。地面为电位等于零的平面，地面的感应电荷可由对应地面导线的镜像电荷代替，用</w:t>
      </w:r>
      <w:r>
        <w:rPr>
          <w:i/>
          <w:color w:val="000000"/>
          <w:sz w:val="24"/>
          <w:szCs w:val="20"/>
        </w:rPr>
        <w:t>i</w:t>
      </w:r>
      <w:r>
        <w:rPr>
          <w:color w:val="000000"/>
          <w:sz w:val="24"/>
          <w:szCs w:val="20"/>
        </w:rPr>
        <w:t xml:space="preserve">, </w:t>
      </w:r>
      <w:r>
        <w:rPr>
          <w:i/>
          <w:color w:val="000000"/>
          <w:sz w:val="24"/>
          <w:szCs w:val="20"/>
        </w:rPr>
        <w:t>j</w:t>
      </w:r>
      <w:r>
        <w:rPr>
          <w:color w:val="000000"/>
          <w:sz w:val="24"/>
          <w:szCs w:val="20"/>
        </w:rPr>
        <w:t xml:space="preserve">, ... </w:t>
      </w:r>
      <w:r>
        <w:rPr>
          <w:rFonts w:hint="eastAsia"/>
          <w:color w:val="000000"/>
          <w:sz w:val="24"/>
          <w:szCs w:val="20"/>
        </w:rPr>
        <w:t>表示相互平行的实际导线，用</w:t>
      </w:r>
      <w:r>
        <w:rPr>
          <w:i/>
          <w:color w:val="000000"/>
          <w:sz w:val="24"/>
          <w:szCs w:val="20"/>
        </w:rPr>
        <w:t>i</w:t>
      </w:r>
      <w:r>
        <w:rPr>
          <w:rFonts w:hint="eastAsia"/>
          <w:color w:val="000000"/>
          <w:sz w:val="24"/>
          <w:szCs w:val="20"/>
        </w:rPr>
        <w:t>′,</w:t>
      </w:r>
      <w:r>
        <w:rPr>
          <w:color w:val="000000"/>
          <w:sz w:val="24"/>
          <w:szCs w:val="20"/>
        </w:rPr>
        <w:t xml:space="preserve"> </w:t>
      </w:r>
      <w:r>
        <w:rPr>
          <w:rFonts w:hint="eastAsia"/>
          <w:color w:val="000000"/>
          <w:sz w:val="24"/>
          <w:szCs w:val="20"/>
        </w:rPr>
        <w:t>j′</w:t>
      </w:r>
      <w:r>
        <w:rPr>
          <w:color w:val="000000"/>
          <w:sz w:val="24"/>
          <w:szCs w:val="20"/>
        </w:rPr>
        <w:t>, ...</w:t>
      </w:r>
      <w:r>
        <w:rPr>
          <w:rFonts w:hint="eastAsia"/>
          <w:color w:val="000000"/>
          <w:sz w:val="24"/>
          <w:szCs w:val="20"/>
        </w:rPr>
        <w:t>表示它们的镜像，电位系数可写为：</w:t>
      </w:r>
    </w:p>
    <w:p>
      <w:pPr>
        <w:spacing w:line="360" w:lineRule="auto"/>
        <w:jc w:val="center"/>
        <w:rPr>
          <w:color w:val="000000"/>
          <w:sz w:val="24"/>
          <w:szCs w:val="20"/>
        </w:rPr>
      </w:pPr>
      <w:r>
        <w:rPr>
          <w:color w:val="000000"/>
          <w:position w:val="-30"/>
          <w:sz w:val="24"/>
          <w:szCs w:val="20"/>
        </w:rPr>
        <w:object>
          <v:shape id="_x0000_i1065" o:spt="75" type="#_x0000_t75" style="height:29.25pt;width:79.5pt;" o:ole="t" filled="f" o:preferrelative="t" stroked="f" coordsize="21600,21600">
            <v:path/>
            <v:fill on="f" focussize="0,0"/>
            <v:stroke on="f" joinstyle="miter"/>
            <v:imagedata r:id="rId103" o:title=""/>
            <o:lock v:ext="edit" aspectratio="t"/>
            <w10:wrap type="none"/>
            <w10:anchorlock/>
          </v:shape>
          <o:OLEObject Type="Embed" ProgID="Equation.DSMT4" ShapeID="_x0000_i1065" DrawAspect="Content" ObjectID="_1468075765" r:id="rId102">
            <o:LockedField>false</o:LockedField>
          </o:OLEObject>
        </w:object>
      </w:r>
    </w:p>
    <w:p>
      <w:pPr>
        <w:spacing w:line="360" w:lineRule="auto"/>
        <w:ind w:firstLine="480" w:firstLineChars="200"/>
        <w:jc w:val="left"/>
        <w:rPr>
          <w:color w:val="000000"/>
          <w:sz w:val="24"/>
          <w:szCs w:val="20"/>
        </w:rPr>
      </w:pPr>
      <w:r>
        <w:rPr>
          <w:rFonts w:hint="eastAsia"/>
          <w:color w:val="000000"/>
          <w:sz w:val="24"/>
          <w:szCs w:val="20"/>
        </w:rPr>
        <w:t>式中：</w:t>
      </w:r>
      <w:r>
        <w:rPr>
          <w:color w:val="000000"/>
          <w:position w:val="-12"/>
          <w:sz w:val="24"/>
          <w:szCs w:val="20"/>
        </w:rPr>
        <w:object>
          <v:shape id="_x0000_i1066" o:spt="75" type="#_x0000_t75" style="height:18.75pt;width:15pt;" o:ole="t" filled="f" o:preferrelative="t" stroked="f" coordsize="21600,21600">
            <v:path/>
            <v:fill on="f" focussize="0,0"/>
            <v:stroke on="f" joinstyle="miter"/>
            <v:imagedata r:id="rId105" o:title=""/>
            <o:lock v:ext="edit" aspectratio="t"/>
            <w10:wrap type="none"/>
            <w10:anchorlock/>
          </v:shape>
          <o:OLEObject Type="Embed" ProgID="Equation.DSMT4" ShapeID="_x0000_i1066" DrawAspect="Content" ObjectID="_1468075766" r:id="rId104">
            <o:LockedField>false</o:LockedField>
          </o:OLEObject>
        </w:object>
      </w:r>
      <w:r>
        <w:rPr>
          <w:rFonts w:hint="eastAsia"/>
          <w:color w:val="000000"/>
          <w:sz w:val="24"/>
          <w:szCs w:val="20"/>
        </w:rPr>
        <w:t>—真空介电常数，</w:t>
      </w:r>
      <w:r>
        <w:rPr>
          <w:color w:val="000000"/>
          <w:position w:val="-24"/>
          <w:sz w:val="24"/>
          <w:szCs w:val="20"/>
        </w:rPr>
        <w:object>
          <v:shape id="_x0000_i1067" o:spt="75" type="#_x0000_t75" style="height:29.25pt;width:102.75pt;" o:ole="t" filled="f" o:preferrelative="t" stroked="f" coordsize="21600,21600">
            <v:path/>
            <v:fill on="f" focussize="0,0"/>
            <v:stroke on="f" joinstyle="miter"/>
            <v:imagedata r:id="rId107" o:title=""/>
            <o:lock v:ext="edit" aspectratio="t"/>
            <w10:wrap type="none"/>
            <w10:anchorlock/>
          </v:shape>
          <o:OLEObject Type="Embed" ProgID="Equation.DSMT4" ShapeID="_x0000_i1067" DrawAspect="Content" ObjectID="_1468075767" r:id="rId106">
            <o:LockedField>false</o:LockedField>
          </o:OLEObject>
        </w:object>
      </w:r>
      <w:r>
        <w:rPr>
          <w:rFonts w:hint="eastAsia"/>
          <w:color w:val="000000"/>
          <w:sz w:val="24"/>
          <w:szCs w:val="20"/>
        </w:rPr>
        <w:t>；</w:t>
      </w:r>
    </w:p>
    <w:p>
      <w:pPr>
        <w:spacing w:line="360" w:lineRule="auto"/>
        <w:ind w:firstLine="1200" w:firstLineChars="500"/>
        <w:jc w:val="left"/>
        <w:rPr>
          <w:color w:val="000000"/>
          <w:sz w:val="24"/>
          <w:szCs w:val="20"/>
        </w:rPr>
      </w:pPr>
      <w:r>
        <w:rPr>
          <w:color w:val="000000"/>
          <w:position w:val="-12"/>
          <w:sz w:val="24"/>
          <w:szCs w:val="20"/>
        </w:rPr>
        <w:object>
          <v:shape id="_x0000_i1068" o:spt="75" type="#_x0000_t75" style="height:18.75pt;width:15pt;" o:ole="t" filled="f" o:preferrelative="t" stroked="f" coordsize="21600,21600">
            <v:path/>
            <v:fill on="f" focussize="0,0"/>
            <v:stroke on="f" joinstyle="miter"/>
            <v:imagedata r:id="rId109" o:title=""/>
            <o:lock v:ext="edit" aspectratio="t"/>
            <w10:wrap type="none"/>
            <w10:anchorlock/>
          </v:shape>
          <o:OLEObject Type="Embed" ProgID="Equation.DSMT4" ShapeID="_x0000_i1068" DrawAspect="Content" ObjectID="_1468075768" r:id="rId108">
            <o:LockedField>false</o:LockedField>
          </o:OLEObject>
        </w:object>
      </w:r>
      <w:r>
        <w:rPr>
          <w:rFonts w:hint="eastAsia"/>
          <w:color w:val="000000"/>
          <w:sz w:val="24"/>
          <w:szCs w:val="20"/>
        </w:rPr>
        <w:t>—输电导线半径，对于分裂导线可用等效单根导线半径代入，</w:t>
      </w:r>
      <w:r>
        <w:rPr>
          <w:color w:val="000000"/>
          <w:position w:val="-12"/>
          <w:sz w:val="24"/>
          <w:szCs w:val="20"/>
        </w:rPr>
        <w:object>
          <v:shape id="_x0000_i1069" o:spt="75" type="#_x0000_t75" style="height:18.75pt;width:15pt;" o:ole="t" filled="f" o:preferrelative="t" stroked="f" coordsize="21600,21600">
            <v:path/>
            <v:fill on="f" focussize="0,0"/>
            <v:stroke on="f" joinstyle="miter"/>
            <v:imagedata r:id="rId111" o:title=""/>
            <o:lock v:ext="edit" aspectratio="t"/>
            <w10:wrap type="none"/>
            <w10:anchorlock/>
          </v:shape>
          <o:OLEObject Type="Embed" ProgID="Equation.DSMT4" ShapeID="_x0000_i1069" DrawAspect="Content" ObjectID="_1468075769" r:id="rId110">
            <o:LockedField>false</o:LockedField>
          </o:OLEObject>
        </w:object>
      </w:r>
      <w:r>
        <w:rPr>
          <w:rFonts w:hint="eastAsia"/>
          <w:color w:val="000000"/>
          <w:sz w:val="24"/>
          <w:szCs w:val="20"/>
        </w:rPr>
        <w:t>的计算式为：</w:t>
      </w:r>
    </w:p>
    <w:p>
      <w:pPr>
        <w:spacing w:line="360" w:lineRule="auto"/>
        <w:jc w:val="center"/>
        <w:rPr>
          <w:color w:val="000000"/>
          <w:sz w:val="24"/>
          <w:szCs w:val="20"/>
        </w:rPr>
      </w:pPr>
      <w:r>
        <w:rPr>
          <w:color w:val="000000"/>
          <w:position w:val="-26"/>
          <w:sz w:val="24"/>
          <w:szCs w:val="20"/>
        </w:rPr>
        <w:object>
          <v:shape id="_x0000_i1070" o:spt="75" type="#_x0000_t75" style="height:37.5pt;width:64.5pt;" o:ole="t" filled="f" o:preferrelative="t" stroked="f" coordsize="21600,21600">
            <v:path/>
            <v:fill on="f" focussize="0,0"/>
            <v:stroke on="f" joinstyle="miter"/>
            <v:imagedata r:id="rId113" o:title=""/>
            <o:lock v:ext="edit" aspectratio="t"/>
            <w10:wrap type="none"/>
            <w10:anchorlock/>
          </v:shape>
          <o:OLEObject Type="Embed" ProgID="Equation.DSMT4" ShapeID="_x0000_i1070" DrawAspect="Content" ObjectID="_1468075770" r:id="rId112">
            <o:LockedField>false</o:LockedField>
          </o:OLEObject>
        </w:object>
      </w:r>
    </w:p>
    <w:p>
      <w:pPr>
        <w:spacing w:line="360" w:lineRule="auto"/>
        <w:ind w:firstLine="480" w:firstLineChars="200"/>
        <w:jc w:val="left"/>
        <w:rPr>
          <w:color w:val="000000"/>
          <w:sz w:val="24"/>
          <w:szCs w:val="20"/>
        </w:rPr>
      </w:pPr>
      <w:r>
        <w:rPr>
          <w:rFonts w:hint="eastAsia"/>
          <w:color w:val="000000"/>
          <w:sz w:val="24"/>
          <w:szCs w:val="20"/>
        </w:rPr>
        <w:t>式中：</w:t>
      </w:r>
      <w:r>
        <w:rPr>
          <w:color w:val="000000"/>
          <w:position w:val="-4"/>
          <w:sz w:val="24"/>
          <w:szCs w:val="20"/>
        </w:rPr>
        <w:object>
          <v:shape id="_x0000_i1071" o:spt="75" type="#_x0000_t75" style="height:15pt;width:12.75pt;" o:ole="t" filled="f" o:preferrelative="t" stroked="f" coordsize="21600,21600">
            <v:path/>
            <v:fill on="f" focussize="0,0"/>
            <v:stroke on="f" joinstyle="miter"/>
            <v:imagedata r:id="rId115" o:title=""/>
            <o:lock v:ext="edit" aspectratio="t"/>
            <w10:wrap type="none"/>
            <w10:anchorlock/>
          </v:shape>
          <o:OLEObject Type="Embed" ProgID="Equation.DSMT4" ShapeID="_x0000_i1071" DrawAspect="Content" ObjectID="_1468075771" r:id="rId114">
            <o:LockedField>false</o:LockedField>
          </o:OLEObject>
        </w:object>
      </w:r>
      <w:r>
        <w:rPr>
          <w:rFonts w:hint="eastAsia"/>
          <w:color w:val="000000"/>
          <w:sz w:val="24"/>
          <w:szCs w:val="20"/>
        </w:rPr>
        <w:t>—分裂导线半径，</w:t>
      </w:r>
      <w:r>
        <w:rPr>
          <w:color w:val="000000"/>
          <w:sz w:val="24"/>
          <w:szCs w:val="20"/>
        </w:rPr>
        <w:t>m</w:t>
      </w:r>
      <w:r>
        <w:rPr>
          <w:rFonts w:hint="eastAsia"/>
          <w:color w:val="000000"/>
          <w:sz w:val="24"/>
          <w:szCs w:val="20"/>
        </w:rPr>
        <w:t>；</w:t>
      </w:r>
    </w:p>
    <w:p>
      <w:pPr>
        <w:spacing w:line="360" w:lineRule="auto"/>
        <w:ind w:firstLine="1200" w:firstLineChars="500"/>
        <w:jc w:val="left"/>
        <w:rPr>
          <w:color w:val="000000"/>
          <w:sz w:val="24"/>
          <w:szCs w:val="20"/>
        </w:rPr>
      </w:pPr>
      <w:r>
        <w:rPr>
          <w:color w:val="000000"/>
          <w:position w:val="-6"/>
          <w:sz w:val="24"/>
          <w:szCs w:val="20"/>
        </w:rPr>
        <w:object>
          <v:shape id="_x0000_i1072" o:spt="75" type="#_x0000_t75" style="height:12.75pt;width:12.75pt;" o:ole="t" filled="f" o:preferrelative="t" stroked="f" coordsize="21600,21600">
            <v:path/>
            <v:fill on="f" focussize="0,0"/>
            <v:stroke on="f" joinstyle="miter"/>
            <v:imagedata r:id="rId117" o:title=""/>
            <o:lock v:ext="edit" aspectratio="t"/>
            <w10:wrap type="none"/>
            <w10:anchorlock/>
          </v:shape>
          <o:OLEObject Type="Embed" ProgID="Equation.DSMT4" ShapeID="_x0000_i1072" DrawAspect="Content" ObjectID="_1468075772" r:id="rId116">
            <o:LockedField>false</o:LockedField>
          </o:OLEObject>
        </w:object>
      </w:r>
      <w:r>
        <w:rPr>
          <w:rFonts w:hint="eastAsia"/>
          <w:color w:val="000000"/>
          <w:sz w:val="24"/>
          <w:szCs w:val="20"/>
        </w:rPr>
        <w:t>—次导线根数；</w:t>
      </w:r>
    </w:p>
    <w:p>
      <w:pPr>
        <w:spacing w:line="360" w:lineRule="auto"/>
        <w:ind w:firstLine="1200" w:firstLineChars="500"/>
        <w:jc w:val="left"/>
        <w:rPr>
          <w:color w:val="000000"/>
          <w:sz w:val="24"/>
          <w:szCs w:val="20"/>
        </w:rPr>
      </w:pPr>
      <w:r>
        <w:rPr>
          <w:color w:val="000000"/>
          <w:position w:val="-4"/>
          <w:sz w:val="24"/>
          <w:szCs w:val="20"/>
        </w:rPr>
        <w:object>
          <v:shape id="_x0000_i1073" o:spt="75" type="#_x0000_t75" style="height:12.75pt;width:7.5pt;" o:ole="t" filled="f" o:preferrelative="t" stroked="f" coordsize="21600,21600">
            <v:path/>
            <v:fill on="f" focussize="0,0"/>
            <v:stroke on="f" joinstyle="miter"/>
            <v:imagedata r:id="rId119" o:title=""/>
            <o:lock v:ext="edit" aspectratio="t"/>
            <w10:wrap type="none"/>
            <w10:anchorlock/>
          </v:shape>
          <o:OLEObject Type="Embed" ProgID="Equation.DSMT4" ShapeID="_x0000_i1073" DrawAspect="Content" ObjectID="_1468075773" r:id="rId118">
            <o:LockedField>false</o:LockedField>
          </o:OLEObject>
        </w:object>
      </w:r>
      <w:r>
        <w:rPr>
          <w:rFonts w:hint="eastAsia"/>
          <w:color w:val="000000"/>
          <w:sz w:val="24"/>
          <w:szCs w:val="20"/>
        </w:rPr>
        <w:t>—次导线半径，</w:t>
      </w:r>
      <w:r>
        <w:rPr>
          <w:color w:val="000000"/>
          <w:sz w:val="24"/>
          <w:szCs w:val="20"/>
        </w:rPr>
        <w:t>m</w:t>
      </w:r>
      <w:r>
        <w:rPr>
          <w:rFonts w:hint="eastAsia"/>
          <w:color w:val="000000"/>
          <w:sz w:val="24"/>
          <w:szCs w:val="20"/>
        </w:rPr>
        <w:t>。</w:t>
      </w:r>
    </w:p>
    <w:p>
      <w:pPr>
        <w:spacing w:line="360" w:lineRule="auto"/>
        <w:ind w:firstLine="480" w:firstLineChars="200"/>
        <w:jc w:val="left"/>
        <w:rPr>
          <w:color w:val="000000"/>
          <w:sz w:val="24"/>
          <w:szCs w:val="20"/>
        </w:rPr>
      </w:pPr>
      <w:r>
        <w:rPr>
          <w:rFonts w:hint="eastAsia"/>
          <w:color w:val="000000"/>
          <w:sz w:val="24"/>
          <w:szCs w:val="20"/>
        </w:rPr>
        <w:t>由</w:t>
      </w:r>
      <w:r>
        <w:rPr>
          <w:color w:val="000000"/>
          <w:position w:val="-10"/>
          <w:sz w:val="24"/>
          <w:szCs w:val="20"/>
        </w:rPr>
        <w:object>
          <v:shape id="_x0000_i1074" o:spt="75" type="#_x0000_t75" style="height:17.25pt;width:22.5pt;" o:ole="t" filled="f" o:preferrelative="t" stroked="f" coordsize="21600,21600">
            <v:path/>
            <v:fill on="f" focussize="0,0"/>
            <v:stroke on="f" joinstyle="miter"/>
            <v:imagedata r:id="rId99" o:title=""/>
            <o:lock v:ext="edit" aspectratio="t"/>
            <w10:wrap type="none"/>
            <w10:anchorlock/>
          </v:shape>
          <o:OLEObject Type="Embed" ProgID="Equation.DSMT4" ShapeID="_x0000_i1074" DrawAspect="Content" ObjectID="_1468075774" r:id="rId120">
            <o:LockedField>false</o:LockedField>
          </o:OLEObject>
        </w:object>
      </w:r>
      <w:r>
        <w:rPr>
          <w:rFonts w:hint="eastAsia"/>
          <w:color w:val="000000"/>
          <w:sz w:val="24"/>
          <w:szCs w:val="20"/>
        </w:rPr>
        <w:t>矩阵和</w:t>
      </w:r>
      <w:r>
        <w:rPr>
          <w:color w:val="000000"/>
          <w:position w:val="-10"/>
          <w:sz w:val="24"/>
          <w:szCs w:val="20"/>
        </w:rPr>
        <w:object>
          <v:shape id="_x0000_i1075" o:spt="75" type="#_x0000_t75" style="height:17.25pt;width:18.75pt;" o:ole="t" filled="f" o:preferrelative="t" stroked="f" coordsize="21600,21600">
            <v:path/>
            <v:fill on="f" focussize="0,0"/>
            <v:stroke on="f" joinstyle="miter"/>
            <v:imagedata r:id="rId101" o:title=""/>
            <o:lock v:ext="edit" aspectratio="t"/>
            <w10:wrap type="none"/>
            <w10:anchorlock/>
          </v:shape>
          <o:OLEObject Type="Embed" ProgID="Equation.DSMT4" ShapeID="_x0000_i1075" DrawAspect="Content" ObjectID="_1468075775" r:id="rId121">
            <o:LockedField>false</o:LockedField>
          </o:OLEObject>
        </w:object>
      </w:r>
      <w:r>
        <w:rPr>
          <w:rFonts w:hint="eastAsia"/>
          <w:color w:val="000000"/>
          <w:sz w:val="24"/>
          <w:szCs w:val="20"/>
        </w:rPr>
        <w:t>矩阵，可解出</w:t>
      </w:r>
      <w:r>
        <w:rPr>
          <w:color w:val="000000"/>
          <w:position w:val="-10"/>
          <w:sz w:val="24"/>
          <w:szCs w:val="20"/>
        </w:rPr>
        <w:object>
          <v:shape id="_x0000_i1076" o:spt="75" type="#_x0000_t75" style="height:17.25pt;width:18.75pt;" o:ole="t" filled="f" o:preferrelative="t" stroked="f" coordsize="21600,21600">
            <v:path/>
            <v:fill on="f" focussize="0,0"/>
            <v:stroke on="f" joinstyle="miter"/>
            <v:imagedata r:id="rId123" o:title=""/>
            <o:lock v:ext="edit" aspectratio="t"/>
            <w10:wrap type="none"/>
            <w10:anchorlock/>
          </v:shape>
          <o:OLEObject Type="Embed" ProgID="Equation.DSMT4" ShapeID="_x0000_i1076" DrawAspect="Content" ObjectID="_1468075776" r:id="rId122">
            <o:LockedField>false</o:LockedField>
          </o:OLEObject>
        </w:object>
      </w:r>
      <w:r>
        <w:rPr>
          <w:rFonts w:hint="eastAsia"/>
          <w:color w:val="000000"/>
          <w:sz w:val="24"/>
          <w:szCs w:val="20"/>
        </w:rPr>
        <w:t>矩阵。</w:t>
      </w:r>
    </w:p>
    <w:p>
      <w:pPr>
        <w:spacing w:line="360" w:lineRule="auto"/>
        <w:ind w:firstLine="480" w:firstLineChars="200"/>
        <w:jc w:val="left"/>
        <w:rPr>
          <w:color w:val="000000"/>
          <w:sz w:val="24"/>
          <w:szCs w:val="20"/>
        </w:rPr>
      </w:pPr>
      <w:r>
        <w:rPr>
          <w:rFonts w:hint="eastAsia"/>
          <w:color w:val="000000"/>
          <w:sz w:val="24"/>
          <w:szCs w:val="20"/>
        </w:rPr>
        <w:t>对于三相交流线路，由于电压为时间向量，计算各相导线的电压时要用复数表示：</w:t>
      </w:r>
    </w:p>
    <w:p>
      <w:pPr>
        <w:spacing w:line="360" w:lineRule="auto"/>
        <w:jc w:val="center"/>
        <w:rPr>
          <w:color w:val="000000"/>
          <w:sz w:val="24"/>
          <w:szCs w:val="20"/>
        </w:rPr>
      </w:pPr>
      <w:r>
        <w:rPr>
          <w:color w:val="000000"/>
          <w:position w:val="-12"/>
          <w:sz w:val="24"/>
          <w:szCs w:val="20"/>
        </w:rPr>
        <w:object>
          <v:shape id="_x0000_i1077" o:spt="75" type="#_x0000_t75" style="height:18.75pt;width:72pt;" o:ole="t" filled="f" o:preferrelative="t" stroked="f" coordsize="21600,21600">
            <v:path/>
            <v:fill on="f" focussize="0,0"/>
            <v:stroke on="f" joinstyle="miter"/>
            <v:imagedata r:id="rId125" o:title=""/>
            <o:lock v:ext="edit" aspectratio="t"/>
            <w10:wrap type="none"/>
            <w10:anchorlock/>
          </v:shape>
          <o:OLEObject Type="Embed" ProgID="Equation.DSMT4" ShapeID="_x0000_i1077" DrawAspect="Content" ObjectID="_1468075777" r:id="rId124">
            <o:LockedField>false</o:LockedField>
          </o:OLEObject>
        </w:object>
      </w:r>
    </w:p>
    <w:p>
      <w:pPr>
        <w:spacing w:line="360" w:lineRule="auto"/>
        <w:ind w:firstLine="480" w:firstLineChars="200"/>
        <w:jc w:val="left"/>
        <w:rPr>
          <w:color w:val="000000"/>
          <w:sz w:val="24"/>
          <w:szCs w:val="20"/>
        </w:rPr>
      </w:pPr>
      <w:r>
        <w:rPr>
          <w:rFonts w:hint="eastAsia"/>
          <w:color w:val="000000"/>
          <w:sz w:val="24"/>
          <w:szCs w:val="20"/>
        </w:rPr>
        <w:t>相应地电荷也是复数量：</w:t>
      </w:r>
    </w:p>
    <w:p>
      <w:pPr>
        <w:spacing w:line="360" w:lineRule="auto"/>
        <w:jc w:val="center"/>
        <w:rPr>
          <w:color w:val="000000"/>
          <w:sz w:val="24"/>
          <w:szCs w:val="20"/>
        </w:rPr>
      </w:pPr>
      <w:r>
        <w:rPr>
          <w:color w:val="000000"/>
          <w:position w:val="-12"/>
          <w:sz w:val="24"/>
          <w:szCs w:val="20"/>
        </w:rPr>
        <w:object>
          <v:shape id="_x0000_i1078" o:spt="75" type="#_x0000_t75" style="height:21pt;width:72pt;" o:ole="t" filled="f" o:preferrelative="t" stroked="f" coordsize="21600,21600">
            <v:path/>
            <v:fill on="f" focussize="0,0"/>
            <v:stroke on="f" joinstyle="miter"/>
            <v:imagedata r:id="rId127" o:title=""/>
            <o:lock v:ext="edit" aspectratio="t"/>
            <w10:wrap type="none"/>
            <w10:anchorlock/>
          </v:shape>
          <o:OLEObject Type="Embed" ProgID="Equation.DSMT4" ShapeID="_x0000_i1078" DrawAspect="Content" ObjectID="_1468075778" r:id="rId126">
            <o:LockedField>false</o:LockedField>
          </o:OLEObject>
        </w:object>
      </w:r>
    </w:p>
    <w:p>
      <w:pPr>
        <w:spacing w:line="360" w:lineRule="auto"/>
        <w:ind w:firstLine="480" w:firstLineChars="200"/>
        <w:jc w:val="left"/>
        <w:rPr>
          <w:color w:val="000000"/>
          <w:sz w:val="24"/>
          <w:szCs w:val="20"/>
        </w:rPr>
      </w:pPr>
      <w:r>
        <w:rPr>
          <w:rFonts w:hint="eastAsia"/>
          <w:color w:val="000000"/>
          <w:sz w:val="24"/>
          <w:szCs w:val="20"/>
        </w:rPr>
        <w:t>式（</w:t>
      </w:r>
      <w:r>
        <w:rPr>
          <w:color w:val="000000"/>
          <w:sz w:val="24"/>
          <w:szCs w:val="20"/>
        </w:rPr>
        <w:t>B1</w:t>
      </w:r>
      <w:r>
        <w:rPr>
          <w:rFonts w:hint="eastAsia"/>
          <w:color w:val="000000"/>
          <w:sz w:val="24"/>
          <w:szCs w:val="20"/>
        </w:rPr>
        <w:t>）矩阵关系即分别表示了复数量的实数和虚数两部分：</w:t>
      </w:r>
    </w:p>
    <w:p>
      <w:pPr>
        <w:spacing w:line="360" w:lineRule="auto"/>
        <w:jc w:val="center"/>
        <w:rPr>
          <w:color w:val="000000"/>
          <w:sz w:val="24"/>
          <w:szCs w:val="20"/>
        </w:rPr>
      </w:pPr>
      <w:r>
        <w:rPr>
          <w:color w:val="000000"/>
          <w:position w:val="-12"/>
          <w:sz w:val="24"/>
          <w:szCs w:val="20"/>
        </w:rPr>
        <w:object>
          <v:shape id="_x0000_i1079" o:spt="75" type="#_x0000_t75" style="height:18.75pt;width:74.25pt;" o:ole="t" filled="f" o:preferrelative="t" stroked="f" coordsize="21600,21600">
            <v:path/>
            <v:fill on="f" focussize="0,0"/>
            <v:stroke on="f" joinstyle="miter"/>
            <v:imagedata r:id="rId129" o:title=""/>
            <o:lock v:ext="edit" aspectratio="t"/>
            <w10:wrap type="none"/>
            <w10:anchorlock/>
          </v:shape>
          <o:OLEObject Type="Embed" ProgID="Equation.DSMT4" ShapeID="_x0000_i1079" DrawAspect="Content" ObjectID="_1468075779" r:id="rId128">
            <o:LockedField>false</o:LockedField>
          </o:OLEObject>
        </w:object>
      </w:r>
    </w:p>
    <w:p>
      <w:pPr>
        <w:spacing w:line="360" w:lineRule="auto"/>
        <w:jc w:val="center"/>
        <w:rPr>
          <w:color w:val="000000"/>
          <w:sz w:val="24"/>
          <w:szCs w:val="20"/>
        </w:rPr>
      </w:pPr>
      <w:r>
        <w:rPr>
          <w:color w:val="000000"/>
          <w:position w:val="-12"/>
          <w:sz w:val="24"/>
          <w:szCs w:val="20"/>
        </w:rPr>
        <w:object>
          <v:shape id="_x0000_i1080" o:spt="75" type="#_x0000_t75" style="height:18.75pt;width:66pt;" o:ole="t" filled="f" o:preferrelative="t" stroked="f" coordsize="21600,21600">
            <v:path/>
            <v:fill on="f" focussize="0,0"/>
            <v:stroke on="f" joinstyle="miter"/>
            <v:imagedata r:id="rId131" o:title=""/>
            <o:lock v:ext="edit" aspectratio="t"/>
            <w10:wrap type="none"/>
            <w10:anchorlock/>
          </v:shape>
          <o:OLEObject Type="Embed" ProgID="Equation.DSMT4" ShapeID="_x0000_i1080" DrawAspect="Content" ObjectID="_1468075780" r:id="rId130">
            <o:LockedField>false</o:LockedField>
          </o:OLEObject>
        </w:object>
      </w:r>
    </w:p>
    <w:p>
      <w:pPr>
        <w:spacing w:line="360" w:lineRule="auto"/>
        <w:ind w:firstLine="480" w:firstLineChars="200"/>
        <w:jc w:val="left"/>
        <w:rPr>
          <w:color w:val="000000"/>
          <w:sz w:val="24"/>
          <w:szCs w:val="20"/>
        </w:rPr>
      </w:pPr>
      <w:r>
        <w:rPr>
          <w:rFonts w:hint="eastAsia"/>
          <w:color w:val="000000"/>
          <w:sz w:val="24"/>
          <w:szCs w:val="20"/>
        </w:rPr>
        <w:t>②</w:t>
      </w:r>
      <w:r>
        <w:rPr>
          <w:color w:val="000000"/>
          <w:sz w:val="24"/>
          <w:szCs w:val="20"/>
        </w:rPr>
        <w:t xml:space="preserve"> </w:t>
      </w:r>
      <w:r>
        <w:rPr>
          <w:rFonts w:hint="eastAsia"/>
          <w:color w:val="000000"/>
          <w:sz w:val="24"/>
          <w:szCs w:val="20"/>
        </w:rPr>
        <w:t>计算由等效电荷产生的电场</w:t>
      </w:r>
    </w:p>
    <w:p>
      <w:pPr>
        <w:spacing w:line="360" w:lineRule="auto"/>
        <w:ind w:firstLine="480" w:firstLineChars="200"/>
        <w:jc w:val="left"/>
        <w:rPr>
          <w:color w:val="000000"/>
          <w:sz w:val="24"/>
          <w:szCs w:val="20"/>
        </w:rPr>
      </w:pPr>
      <w:r>
        <w:rPr>
          <w:rFonts w:hint="eastAsia"/>
          <w:color w:val="000000"/>
          <w:sz w:val="24"/>
          <w:szCs w:val="20"/>
        </w:rPr>
        <w:t>为计算地面电场强度的最大值，通常取最大弧垂时导线的最小对地高度。</w:t>
      </w:r>
    </w:p>
    <w:p>
      <w:pPr>
        <w:spacing w:line="360" w:lineRule="auto"/>
        <w:ind w:firstLine="480" w:firstLineChars="200"/>
        <w:jc w:val="left"/>
        <w:rPr>
          <w:color w:val="000000"/>
          <w:sz w:val="24"/>
          <w:szCs w:val="20"/>
        </w:rPr>
      </w:pPr>
      <w:r>
        <w:rPr>
          <w:rFonts w:hint="eastAsia"/>
          <w:color w:val="000000"/>
          <w:sz w:val="24"/>
          <w:szCs w:val="20"/>
        </w:rPr>
        <w:t>当各导线单位长度的等效电荷量求出后，空间任意一点的电场强度可根据叠加原理计算得出，在（</w:t>
      </w:r>
      <w:r>
        <w:rPr>
          <w:i/>
          <w:color w:val="000000"/>
          <w:sz w:val="24"/>
          <w:szCs w:val="20"/>
        </w:rPr>
        <w:t>x</w:t>
      </w:r>
      <w:r>
        <w:rPr>
          <w:rFonts w:hint="eastAsia"/>
          <w:color w:val="000000"/>
          <w:sz w:val="24"/>
          <w:szCs w:val="20"/>
        </w:rPr>
        <w:t>，</w:t>
      </w:r>
      <w:r>
        <w:rPr>
          <w:i/>
          <w:color w:val="000000"/>
          <w:sz w:val="24"/>
          <w:szCs w:val="20"/>
        </w:rPr>
        <w:t>y</w:t>
      </w:r>
      <w:r>
        <w:rPr>
          <w:rFonts w:hint="eastAsia"/>
          <w:color w:val="000000"/>
          <w:sz w:val="24"/>
          <w:szCs w:val="20"/>
        </w:rPr>
        <w:t>）点的电场强度分量</w:t>
      </w:r>
      <w:r>
        <w:rPr>
          <w:i/>
          <w:color w:val="000000"/>
          <w:sz w:val="24"/>
          <w:szCs w:val="20"/>
        </w:rPr>
        <w:t>E</w:t>
      </w:r>
      <w:r>
        <w:rPr>
          <w:i/>
          <w:color w:val="000000"/>
          <w:sz w:val="24"/>
          <w:szCs w:val="20"/>
          <w:vertAlign w:val="subscript"/>
        </w:rPr>
        <w:t>x</w:t>
      </w:r>
      <w:r>
        <w:rPr>
          <w:rFonts w:hint="eastAsia"/>
          <w:color w:val="000000"/>
          <w:sz w:val="24"/>
          <w:szCs w:val="20"/>
        </w:rPr>
        <w:t>和</w:t>
      </w:r>
      <w:r>
        <w:rPr>
          <w:i/>
          <w:color w:val="000000"/>
          <w:sz w:val="24"/>
          <w:szCs w:val="20"/>
        </w:rPr>
        <w:t>E</w:t>
      </w:r>
      <w:r>
        <w:rPr>
          <w:i/>
          <w:color w:val="000000"/>
          <w:sz w:val="24"/>
          <w:szCs w:val="20"/>
          <w:vertAlign w:val="subscript"/>
        </w:rPr>
        <w:t>y</w:t>
      </w:r>
      <w:r>
        <w:rPr>
          <w:rFonts w:hint="eastAsia"/>
          <w:color w:val="000000"/>
          <w:sz w:val="24"/>
          <w:szCs w:val="20"/>
        </w:rPr>
        <w:t>可表示为：</w:t>
      </w:r>
    </w:p>
    <w:p>
      <w:pPr>
        <w:spacing w:line="360" w:lineRule="auto"/>
        <w:jc w:val="center"/>
        <w:rPr>
          <w:color w:val="000000"/>
          <w:sz w:val="24"/>
          <w:szCs w:val="20"/>
        </w:rPr>
      </w:pPr>
      <w:r>
        <w:rPr>
          <w:color w:val="000000"/>
          <w:position w:val="-32"/>
          <w:sz w:val="24"/>
          <w:szCs w:val="20"/>
        </w:rPr>
        <w:object>
          <v:shape id="_x0000_i1081" o:spt="75" type="#_x0000_t75" style="height:37.5pt;width:161.25pt;" o:ole="t" filled="f" o:preferrelative="t" stroked="f" coordsize="21600,21600">
            <v:path/>
            <v:fill on="f" focussize="0,0"/>
            <v:stroke on="f" joinstyle="miter"/>
            <v:imagedata r:id="rId133" o:title=""/>
            <o:lock v:ext="edit" aspectratio="t"/>
            <w10:wrap type="none"/>
            <w10:anchorlock/>
          </v:shape>
          <o:OLEObject Type="Embed" ProgID="Equation.DSMT4" ShapeID="_x0000_i1081" DrawAspect="Content" ObjectID="_1468075781" r:id="rId132">
            <o:LockedField>false</o:LockedField>
          </o:OLEObject>
        </w:object>
      </w:r>
    </w:p>
    <w:p>
      <w:pPr>
        <w:spacing w:line="360" w:lineRule="auto"/>
        <w:jc w:val="center"/>
        <w:rPr>
          <w:color w:val="000000"/>
          <w:sz w:val="24"/>
          <w:szCs w:val="20"/>
        </w:rPr>
      </w:pPr>
      <w:r>
        <w:rPr>
          <w:color w:val="000000"/>
          <w:position w:val="-32"/>
          <w:sz w:val="24"/>
          <w:szCs w:val="20"/>
        </w:rPr>
        <w:object>
          <v:shape id="_x0000_i1082" o:spt="75" type="#_x0000_t75" style="height:37.5pt;width:165pt;" o:ole="t" filled="f" o:preferrelative="t" stroked="f" coordsize="21600,21600">
            <v:path/>
            <v:fill on="f" focussize="0,0"/>
            <v:stroke on="f" joinstyle="miter"/>
            <v:imagedata r:id="rId135" o:title=""/>
            <o:lock v:ext="edit" aspectratio="t"/>
            <w10:wrap type="none"/>
            <w10:anchorlock/>
          </v:shape>
          <o:OLEObject Type="Embed" ProgID="Equation.DSMT4" ShapeID="_x0000_i1082" DrawAspect="Content" ObjectID="_1468075782" r:id="rId134">
            <o:LockedField>false</o:LockedField>
          </o:OLEObject>
        </w:object>
      </w:r>
    </w:p>
    <w:p>
      <w:pPr>
        <w:spacing w:line="360" w:lineRule="auto"/>
        <w:ind w:firstLine="480" w:firstLineChars="200"/>
        <w:jc w:val="left"/>
        <w:rPr>
          <w:color w:val="000000"/>
          <w:sz w:val="24"/>
          <w:szCs w:val="20"/>
        </w:rPr>
      </w:pPr>
      <w:r>
        <w:rPr>
          <w:rFonts w:hint="eastAsia"/>
          <w:color w:val="000000"/>
          <w:sz w:val="24"/>
          <w:szCs w:val="20"/>
        </w:rPr>
        <w:t>式中：</w:t>
      </w:r>
      <w:r>
        <w:rPr>
          <w:color w:val="000000"/>
          <w:position w:val="-12"/>
          <w:sz w:val="24"/>
          <w:szCs w:val="20"/>
        </w:rPr>
        <w:object>
          <v:shape id="_x0000_i1083" o:spt="75" type="#_x0000_t75" style="height:18.75pt;width:12.75pt;" o:ole="t" filled="f" o:preferrelative="t" stroked="f" coordsize="21600,21600">
            <v:path/>
            <v:fill on="f" focussize="0,0"/>
            <v:stroke on="f" joinstyle="miter"/>
            <v:imagedata r:id="rId137" o:title=""/>
            <o:lock v:ext="edit" aspectratio="t"/>
            <w10:wrap type="none"/>
            <w10:anchorlock/>
          </v:shape>
          <o:OLEObject Type="Embed" ProgID="Equation.DSMT4" ShapeID="_x0000_i1083" DrawAspect="Content" ObjectID="_1468075783" r:id="rId136">
            <o:LockedField>false</o:LockedField>
          </o:OLEObject>
        </w:object>
      </w:r>
      <w:r>
        <w:rPr>
          <w:rFonts w:hint="eastAsia"/>
          <w:color w:val="000000"/>
          <w:sz w:val="24"/>
          <w:szCs w:val="20"/>
        </w:rPr>
        <w:t>、</w:t>
      </w:r>
      <w:r>
        <w:rPr>
          <w:color w:val="000000"/>
          <w:position w:val="-12"/>
          <w:sz w:val="24"/>
          <w:szCs w:val="20"/>
        </w:rPr>
        <w:object>
          <v:shape id="_x0000_i1084" o:spt="75" type="#_x0000_t75" style="height:18.75pt;width:12.75pt;" o:ole="t" filled="f" o:preferrelative="t" stroked="f" coordsize="21600,21600">
            <v:path/>
            <v:fill on="f" focussize="0,0"/>
            <v:stroke on="f" joinstyle="miter"/>
            <v:imagedata r:id="rId139" o:title=""/>
            <o:lock v:ext="edit" aspectratio="t"/>
            <w10:wrap type="none"/>
            <w10:anchorlock/>
          </v:shape>
          <o:OLEObject Type="Embed" ProgID="Equation.DSMT4" ShapeID="_x0000_i1084" DrawAspect="Content" ObjectID="_1468075784" r:id="rId138">
            <o:LockedField>false</o:LockedField>
          </o:OLEObject>
        </w:object>
      </w:r>
      <w:r>
        <w:rPr>
          <w:rFonts w:hint="eastAsia"/>
          <w:color w:val="000000"/>
          <w:sz w:val="24"/>
          <w:szCs w:val="20"/>
        </w:rPr>
        <w:t>—导线</w:t>
      </w:r>
      <w:r>
        <w:rPr>
          <w:i/>
          <w:color w:val="000000"/>
          <w:sz w:val="24"/>
          <w:szCs w:val="20"/>
        </w:rPr>
        <w:t>i</w:t>
      </w:r>
      <w:r>
        <w:rPr>
          <w:rFonts w:hint="eastAsia"/>
          <w:color w:val="000000"/>
          <w:sz w:val="24"/>
          <w:szCs w:val="20"/>
        </w:rPr>
        <w:t>的坐标（</w:t>
      </w:r>
      <w:r>
        <w:rPr>
          <w:i/>
          <w:color w:val="000000"/>
          <w:sz w:val="24"/>
          <w:szCs w:val="20"/>
        </w:rPr>
        <w:t>i</w:t>
      </w:r>
      <w:r>
        <w:rPr>
          <w:color w:val="000000"/>
          <w:sz w:val="24"/>
          <w:szCs w:val="20"/>
        </w:rPr>
        <w:t>=1</w:t>
      </w:r>
      <w:r>
        <w:rPr>
          <w:rFonts w:hint="eastAsia"/>
          <w:color w:val="000000"/>
          <w:sz w:val="24"/>
          <w:szCs w:val="20"/>
        </w:rPr>
        <w:t>、</w:t>
      </w:r>
      <w:r>
        <w:rPr>
          <w:color w:val="000000"/>
          <w:sz w:val="24"/>
          <w:szCs w:val="20"/>
        </w:rPr>
        <w:t>2</w:t>
      </w:r>
      <w:r>
        <w:rPr>
          <w:rFonts w:hint="eastAsia"/>
          <w:color w:val="000000"/>
          <w:sz w:val="24"/>
          <w:szCs w:val="20"/>
        </w:rPr>
        <w:t>、…</w:t>
      </w:r>
      <w:r>
        <w:rPr>
          <w:i/>
          <w:color w:val="000000"/>
          <w:sz w:val="24"/>
          <w:szCs w:val="20"/>
        </w:rPr>
        <w:t>m</w:t>
      </w:r>
      <w:r>
        <w:rPr>
          <w:rFonts w:hint="eastAsia"/>
          <w:color w:val="000000"/>
          <w:sz w:val="24"/>
          <w:szCs w:val="20"/>
        </w:rPr>
        <w:t>）；</w:t>
      </w:r>
    </w:p>
    <w:p>
      <w:pPr>
        <w:spacing w:line="360" w:lineRule="auto"/>
        <w:ind w:firstLine="1200" w:firstLineChars="500"/>
        <w:jc w:val="left"/>
        <w:rPr>
          <w:color w:val="000000"/>
          <w:sz w:val="24"/>
          <w:szCs w:val="20"/>
        </w:rPr>
      </w:pPr>
      <w:r>
        <w:rPr>
          <w:color w:val="000000"/>
          <w:sz w:val="24"/>
          <w:szCs w:val="20"/>
        </w:rPr>
        <w:t xml:space="preserve">     </w:t>
      </w:r>
      <w:r>
        <w:rPr>
          <w:i/>
          <w:color w:val="000000"/>
          <w:sz w:val="24"/>
          <w:szCs w:val="20"/>
        </w:rPr>
        <w:t>m</w:t>
      </w:r>
      <w:r>
        <w:rPr>
          <w:rFonts w:hint="eastAsia"/>
          <w:color w:val="000000"/>
          <w:sz w:val="24"/>
          <w:szCs w:val="20"/>
        </w:rPr>
        <w:t>—导线数目；</w:t>
      </w:r>
    </w:p>
    <w:p>
      <w:pPr>
        <w:spacing w:line="360" w:lineRule="auto"/>
        <w:ind w:firstLine="1200" w:firstLineChars="500"/>
        <w:jc w:val="left"/>
        <w:rPr>
          <w:color w:val="000000"/>
          <w:sz w:val="24"/>
          <w:szCs w:val="20"/>
        </w:rPr>
      </w:pPr>
      <w:r>
        <w:rPr>
          <w:color w:val="000000"/>
          <w:position w:val="-12"/>
          <w:sz w:val="24"/>
          <w:szCs w:val="20"/>
        </w:rPr>
        <w:object>
          <v:shape id="_x0000_i1085" o:spt="75" type="#_x0000_t75" style="height:18.75pt;width:12.75pt;" o:ole="t" filled="f" o:preferrelative="t" stroked="f" coordsize="21600,21600">
            <v:path/>
            <v:fill on="f" focussize="0,0"/>
            <v:stroke on="f" joinstyle="miter"/>
            <v:imagedata r:id="rId141" o:title=""/>
            <o:lock v:ext="edit" aspectratio="t"/>
            <w10:wrap type="none"/>
            <w10:anchorlock/>
          </v:shape>
          <o:OLEObject Type="Embed" ProgID="Equation.DSMT4" ShapeID="_x0000_i1085" DrawAspect="Content" ObjectID="_1468075785" r:id="rId140">
            <o:LockedField>false</o:LockedField>
          </o:OLEObject>
        </w:object>
      </w:r>
      <w:r>
        <w:rPr>
          <w:rFonts w:hint="eastAsia"/>
          <w:color w:val="000000"/>
          <w:sz w:val="24"/>
          <w:szCs w:val="20"/>
        </w:rPr>
        <w:t>、</w:t>
      </w:r>
      <w:r>
        <w:rPr>
          <w:color w:val="000000"/>
          <w:position w:val="-12"/>
          <w:sz w:val="24"/>
          <w:szCs w:val="20"/>
        </w:rPr>
        <w:object>
          <v:shape id="_x0000_i1086" o:spt="75" type="#_x0000_t75" style="height:18.75pt;width:15pt;" o:ole="t" filled="f" o:preferrelative="t" stroked="f" coordsize="21600,21600">
            <v:path/>
            <v:fill on="f" focussize="0,0"/>
            <v:stroke on="f" joinstyle="miter"/>
            <v:imagedata r:id="rId143" o:title=""/>
            <o:lock v:ext="edit" aspectratio="t"/>
            <w10:wrap type="none"/>
            <w10:anchorlock/>
          </v:shape>
          <o:OLEObject Type="Embed" ProgID="Equation.DSMT4" ShapeID="_x0000_i1086" DrawAspect="Content" ObjectID="_1468075786" r:id="rId142">
            <o:LockedField>false</o:LockedField>
          </o:OLEObject>
        </w:object>
      </w:r>
      <w:r>
        <w:rPr>
          <w:rFonts w:hint="eastAsia"/>
          <w:color w:val="000000"/>
          <w:sz w:val="24"/>
          <w:szCs w:val="20"/>
        </w:rPr>
        <w:t>—分别为导线</w:t>
      </w:r>
      <w:r>
        <w:rPr>
          <w:i/>
          <w:color w:val="000000"/>
          <w:sz w:val="24"/>
          <w:szCs w:val="20"/>
        </w:rPr>
        <w:t>i</w:t>
      </w:r>
      <w:r>
        <w:rPr>
          <w:rFonts w:hint="eastAsia"/>
          <w:color w:val="000000"/>
          <w:sz w:val="24"/>
          <w:szCs w:val="20"/>
        </w:rPr>
        <w:t>及其镜像至计算点的距离，</w:t>
      </w:r>
      <w:r>
        <w:rPr>
          <w:color w:val="000000"/>
          <w:sz w:val="24"/>
          <w:szCs w:val="20"/>
        </w:rPr>
        <w:t>m</w:t>
      </w:r>
      <w:r>
        <w:rPr>
          <w:rFonts w:hint="eastAsia"/>
          <w:color w:val="000000"/>
          <w:sz w:val="24"/>
          <w:szCs w:val="20"/>
        </w:rPr>
        <w:t>。</w:t>
      </w:r>
    </w:p>
    <w:p>
      <w:pPr>
        <w:spacing w:line="360" w:lineRule="auto"/>
        <w:ind w:firstLine="480" w:firstLineChars="200"/>
        <w:jc w:val="left"/>
        <w:rPr>
          <w:color w:val="000000"/>
          <w:sz w:val="24"/>
          <w:szCs w:val="20"/>
        </w:rPr>
      </w:pPr>
      <w:r>
        <w:rPr>
          <w:rFonts w:hint="eastAsia"/>
          <w:color w:val="000000"/>
          <w:sz w:val="24"/>
          <w:szCs w:val="20"/>
        </w:rPr>
        <w:t>对于三相交流线路，可求得电荷计算空间任一点电场强度的水平和垂直分量为：</w:t>
      </w:r>
    </w:p>
    <w:p>
      <w:pPr>
        <w:spacing w:line="360" w:lineRule="auto"/>
        <w:jc w:val="center"/>
        <w:rPr>
          <w:color w:val="000000"/>
          <w:sz w:val="24"/>
          <w:szCs w:val="20"/>
        </w:rPr>
      </w:pPr>
      <w:r>
        <w:rPr>
          <w:color w:val="000000"/>
          <w:position w:val="-28"/>
          <w:sz w:val="24"/>
          <w:szCs w:val="20"/>
        </w:rPr>
        <w:object>
          <v:shape id="_x0000_i1087" o:spt="75" type="#_x0000_t75" style="height:30.75pt;width:166.5pt;" o:ole="t" filled="f" o:preferrelative="t" stroked="f" coordsize="21600,21600">
            <v:path/>
            <v:fill on="f" focussize="0,0"/>
            <v:stroke on="f" joinstyle="miter"/>
            <v:imagedata r:id="rId145" o:title=""/>
            <o:lock v:ext="edit" aspectratio="t"/>
            <w10:wrap type="none"/>
            <w10:anchorlock/>
          </v:shape>
          <o:OLEObject Type="Embed" ProgID="Equation.DSMT4" ShapeID="_x0000_i1087" DrawAspect="Content" ObjectID="_1468075787" r:id="rId144">
            <o:LockedField>false</o:LockedField>
          </o:OLEObject>
        </w:object>
      </w:r>
    </w:p>
    <w:p>
      <w:pPr>
        <w:spacing w:line="360" w:lineRule="auto"/>
        <w:jc w:val="center"/>
        <w:rPr>
          <w:color w:val="000000"/>
          <w:sz w:val="24"/>
          <w:szCs w:val="20"/>
        </w:rPr>
      </w:pPr>
      <w:r>
        <w:rPr>
          <w:color w:val="000000"/>
          <w:position w:val="-28"/>
          <w:sz w:val="24"/>
          <w:szCs w:val="20"/>
        </w:rPr>
        <w:object>
          <v:shape id="_x0000_i1088" o:spt="75" type="#_x0000_t75" style="height:30.75pt;width:171.75pt;" o:ole="t" filled="f" o:preferrelative="t" stroked="f" coordsize="21600,21600">
            <v:path/>
            <v:fill on="f" focussize="0,0"/>
            <v:stroke on="f" joinstyle="miter"/>
            <v:imagedata r:id="rId147" o:title=""/>
            <o:lock v:ext="edit" aspectratio="t"/>
            <w10:wrap type="none"/>
            <w10:anchorlock/>
          </v:shape>
          <o:OLEObject Type="Embed" ProgID="Equation.DSMT4" ShapeID="_x0000_i1088" DrawAspect="Content" ObjectID="_1468075788" r:id="rId146">
            <o:LockedField>false</o:LockedField>
          </o:OLEObject>
        </w:object>
      </w:r>
    </w:p>
    <w:p>
      <w:pPr>
        <w:spacing w:line="360" w:lineRule="auto"/>
        <w:ind w:firstLine="480" w:firstLineChars="200"/>
        <w:jc w:val="left"/>
        <w:rPr>
          <w:color w:val="000000"/>
          <w:sz w:val="24"/>
          <w:szCs w:val="20"/>
        </w:rPr>
      </w:pPr>
      <w:r>
        <w:rPr>
          <w:rFonts w:hint="eastAsia"/>
          <w:color w:val="000000"/>
          <w:sz w:val="24"/>
          <w:szCs w:val="20"/>
        </w:rPr>
        <w:t>式中：</w:t>
      </w:r>
      <w:r>
        <w:rPr>
          <w:color w:val="000000"/>
          <w:position w:val="-12"/>
          <w:sz w:val="24"/>
          <w:szCs w:val="20"/>
        </w:rPr>
        <w:object>
          <v:shape id="_x0000_i1089" o:spt="75" type="#_x0000_t75" style="height:18.75pt;width:18.75pt;" o:ole="t" filled="f" o:preferrelative="t" stroked="f" coordsize="21600,21600">
            <v:path/>
            <v:fill on="f" focussize="0,0"/>
            <v:stroke on="f" joinstyle="miter"/>
            <v:imagedata r:id="rId149" o:title=""/>
            <o:lock v:ext="edit" aspectratio="t"/>
            <w10:wrap type="none"/>
            <w10:anchorlock/>
          </v:shape>
          <o:OLEObject Type="Embed" ProgID="Equation.DSMT4" ShapeID="_x0000_i1089" DrawAspect="Content" ObjectID="_1468075789" r:id="rId148">
            <o:LockedField>false</o:LockedField>
          </o:OLEObject>
        </w:object>
      </w:r>
      <w:r>
        <w:rPr>
          <w:rFonts w:hint="eastAsia"/>
          <w:color w:val="000000"/>
          <w:sz w:val="24"/>
          <w:szCs w:val="20"/>
        </w:rPr>
        <w:t>—由各导线的实部电荷在该点产生场强的水平分量；</w:t>
      </w:r>
    </w:p>
    <w:p>
      <w:pPr>
        <w:spacing w:line="360" w:lineRule="auto"/>
        <w:ind w:firstLine="1200" w:firstLineChars="500"/>
        <w:jc w:val="left"/>
        <w:rPr>
          <w:color w:val="000000"/>
          <w:sz w:val="24"/>
          <w:szCs w:val="20"/>
        </w:rPr>
      </w:pPr>
      <w:r>
        <w:rPr>
          <w:color w:val="000000"/>
          <w:position w:val="-12"/>
          <w:sz w:val="24"/>
          <w:szCs w:val="20"/>
        </w:rPr>
        <w:object>
          <v:shape id="_x0000_i1090" o:spt="75" type="#_x0000_t75" style="height:18.75pt;width:18.75pt;" o:ole="t" filled="f" o:preferrelative="t" stroked="f" coordsize="21600,21600">
            <v:path/>
            <v:fill on="f" focussize="0,0"/>
            <v:stroke on="f" joinstyle="miter"/>
            <v:imagedata r:id="rId151" o:title=""/>
            <o:lock v:ext="edit" aspectratio="t"/>
            <w10:wrap type="none"/>
            <w10:anchorlock/>
          </v:shape>
          <o:OLEObject Type="Embed" ProgID="Equation.DSMT4" ShapeID="_x0000_i1090" DrawAspect="Content" ObjectID="_1468075790" r:id="rId150">
            <o:LockedField>false</o:LockedField>
          </o:OLEObject>
        </w:object>
      </w:r>
      <w:r>
        <w:rPr>
          <w:rFonts w:hint="eastAsia"/>
          <w:color w:val="000000"/>
          <w:sz w:val="24"/>
          <w:szCs w:val="20"/>
        </w:rPr>
        <w:t>—由各导线的虚部电荷在该点产生场强的水平分量；</w:t>
      </w:r>
    </w:p>
    <w:p>
      <w:pPr>
        <w:spacing w:line="360" w:lineRule="auto"/>
        <w:ind w:firstLine="1200" w:firstLineChars="500"/>
        <w:jc w:val="left"/>
        <w:rPr>
          <w:color w:val="000000"/>
          <w:sz w:val="24"/>
          <w:szCs w:val="20"/>
        </w:rPr>
      </w:pPr>
      <w:r>
        <w:rPr>
          <w:color w:val="000000"/>
          <w:position w:val="-14"/>
          <w:sz w:val="24"/>
          <w:szCs w:val="20"/>
        </w:rPr>
        <w:object>
          <v:shape id="_x0000_i1091" o:spt="75" type="#_x0000_t75" style="height:18.75pt;width:22.5pt;" o:ole="t" filled="f" o:preferrelative="t" stroked="f" coordsize="21600,21600">
            <v:path/>
            <v:fill on="f" focussize="0,0"/>
            <v:stroke on="f" joinstyle="miter"/>
            <v:imagedata r:id="rId153" o:title=""/>
            <o:lock v:ext="edit" aspectratio="t"/>
            <w10:wrap type="none"/>
            <w10:anchorlock/>
          </v:shape>
          <o:OLEObject Type="Embed" ProgID="Equation.DSMT4" ShapeID="_x0000_i1091" DrawAspect="Content" ObjectID="_1468075791" r:id="rId152">
            <o:LockedField>false</o:LockedField>
          </o:OLEObject>
        </w:object>
      </w:r>
      <w:r>
        <w:rPr>
          <w:rFonts w:hint="eastAsia"/>
          <w:color w:val="000000"/>
          <w:sz w:val="24"/>
          <w:szCs w:val="20"/>
        </w:rPr>
        <w:t>—由各导线的实部电荷在该点产生场强的垂直分量；</w:t>
      </w:r>
    </w:p>
    <w:p>
      <w:pPr>
        <w:spacing w:line="360" w:lineRule="auto"/>
        <w:ind w:firstLine="1200" w:firstLineChars="500"/>
        <w:jc w:val="left"/>
        <w:rPr>
          <w:color w:val="000000"/>
          <w:sz w:val="24"/>
          <w:szCs w:val="20"/>
        </w:rPr>
      </w:pPr>
      <w:r>
        <w:rPr>
          <w:color w:val="000000"/>
          <w:position w:val="-14"/>
          <w:sz w:val="24"/>
          <w:szCs w:val="20"/>
        </w:rPr>
        <w:object>
          <v:shape id="_x0000_i1092" o:spt="75" type="#_x0000_t75" style="height:18.75pt;width:18.75pt;" o:ole="t" filled="f" o:preferrelative="t" stroked="f" coordsize="21600,21600">
            <v:path/>
            <v:fill on="f" focussize="0,0"/>
            <v:stroke on="f" joinstyle="miter"/>
            <v:imagedata r:id="rId155" o:title=""/>
            <o:lock v:ext="edit" aspectratio="t"/>
            <w10:wrap type="none"/>
            <w10:anchorlock/>
          </v:shape>
          <o:OLEObject Type="Embed" ProgID="Equation.DSMT4" ShapeID="_x0000_i1092" DrawAspect="Content" ObjectID="_1468075792" r:id="rId154">
            <o:LockedField>false</o:LockedField>
          </o:OLEObject>
        </w:object>
      </w:r>
      <w:r>
        <w:rPr>
          <w:rFonts w:hint="eastAsia"/>
          <w:color w:val="000000"/>
          <w:sz w:val="24"/>
          <w:szCs w:val="20"/>
        </w:rPr>
        <w:t>—由各导线的虚部电荷在该点产生场强的垂直分量。</w:t>
      </w:r>
    </w:p>
    <w:p>
      <w:pPr>
        <w:spacing w:line="360" w:lineRule="auto"/>
        <w:ind w:firstLine="480" w:firstLineChars="200"/>
        <w:jc w:val="left"/>
        <w:rPr>
          <w:color w:val="000000"/>
          <w:sz w:val="24"/>
          <w:szCs w:val="20"/>
        </w:rPr>
      </w:pPr>
      <w:r>
        <w:rPr>
          <w:rFonts w:hint="eastAsia"/>
          <w:color w:val="000000"/>
          <w:sz w:val="24"/>
          <w:szCs w:val="20"/>
        </w:rPr>
        <w:t>该点的合成的电场强度则为：</w:t>
      </w:r>
    </w:p>
    <w:p>
      <w:pPr>
        <w:spacing w:line="360" w:lineRule="auto"/>
        <w:jc w:val="center"/>
        <w:rPr>
          <w:color w:val="000000"/>
          <w:sz w:val="24"/>
          <w:szCs w:val="20"/>
        </w:rPr>
      </w:pPr>
      <w:r>
        <w:rPr>
          <w:color w:val="000000"/>
          <w:position w:val="-14"/>
          <w:sz w:val="24"/>
          <w:szCs w:val="20"/>
        </w:rPr>
        <w:object>
          <v:shape id="_x0000_i1093" o:spt="75" type="#_x0000_t75" style="height:22.5pt;width:214.5pt;" o:ole="t" filled="f" o:preferrelative="t" stroked="f" coordsize="21600,21600">
            <v:path/>
            <v:fill on="f" focussize="0,0"/>
            <v:stroke on="f" joinstyle="miter"/>
            <v:imagedata r:id="rId157" o:title=""/>
            <o:lock v:ext="edit" aspectratio="t"/>
            <w10:wrap type="none"/>
            <w10:anchorlock/>
          </v:shape>
          <o:OLEObject Type="Embed" ProgID="Equation.DSMT4" ShapeID="_x0000_i1093" DrawAspect="Content" ObjectID="_1468075793" r:id="rId156">
            <o:LockedField>false</o:LockedField>
          </o:OLEObject>
        </w:object>
      </w:r>
    </w:p>
    <w:p>
      <w:pPr>
        <w:spacing w:line="360" w:lineRule="auto"/>
        <w:ind w:firstLine="480" w:firstLineChars="200"/>
        <w:jc w:val="left"/>
        <w:rPr>
          <w:color w:val="000000"/>
          <w:sz w:val="24"/>
          <w:szCs w:val="20"/>
        </w:rPr>
      </w:pPr>
      <w:r>
        <w:rPr>
          <w:rFonts w:hint="eastAsia"/>
          <w:color w:val="000000"/>
          <w:sz w:val="24"/>
          <w:szCs w:val="20"/>
        </w:rPr>
        <w:t>式中：</w:t>
      </w:r>
    </w:p>
    <w:p>
      <w:pPr>
        <w:spacing w:line="360" w:lineRule="auto"/>
        <w:jc w:val="center"/>
        <w:rPr>
          <w:color w:val="000000"/>
          <w:sz w:val="24"/>
          <w:szCs w:val="20"/>
        </w:rPr>
      </w:pPr>
      <w:r>
        <w:rPr>
          <w:color w:val="000000"/>
          <w:position w:val="-14"/>
          <w:sz w:val="24"/>
          <w:szCs w:val="20"/>
        </w:rPr>
        <w:object>
          <v:shape id="_x0000_i1094" o:spt="75" type="#_x0000_t75" style="height:24.75pt;width:90pt;" o:ole="t" filled="f" o:preferrelative="t" stroked="f" coordsize="21600,21600">
            <v:path/>
            <v:fill on="f" focussize="0,0"/>
            <v:stroke on="f" joinstyle="miter"/>
            <v:imagedata r:id="rId159" o:title=""/>
            <o:lock v:ext="edit" aspectratio="t"/>
            <w10:wrap type="none"/>
            <w10:anchorlock/>
          </v:shape>
          <o:OLEObject Type="Embed" ProgID="Equation.DSMT4" ShapeID="_x0000_i1094" DrawAspect="Content" ObjectID="_1468075794" r:id="rId158">
            <o:LockedField>false</o:LockedField>
          </o:OLEObject>
        </w:object>
      </w:r>
    </w:p>
    <w:p>
      <w:pPr>
        <w:spacing w:line="360" w:lineRule="auto"/>
        <w:jc w:val="center"/>
        <w:rPr>
          <w:color w:val="000000"/>
          <w:sz w:val="24"/>
          <w:szCs w:val="20"/>
        </w:rPr>
      </w:pPr>
      <w:r>
        <w:rPr>
          <w:color w:val="000000"/>
          <w:position w:val="-16"/>
          <w:sz w:val="24"/>
          <w:szCs w:val="20"/>
        </w:rPr>
        <w:object>
          <v:shape id="_x0000_i1095" o:spt="75" type="#_x0000_t75" style="height:24.75pt;width:87pt;" o:ole="t" filled="f" o:preferrelative="t" stroked="f" coordsize="21600,21600">
            <v:path/>
            <v:fill on="f" focussize="0,0"/>
            <v:stroke on="f" joinstyle="miter"/>
            <v:imagedata r:id="rId161" o:title=""/>
            <o:lock v:ext="edit" aspectratio="t"/>
            <w10:wrap type="none"/>
            <w10:anchorlock/>
          </v:shape>
          <o:OLEObject Type="Embed" ProgID="Equation.DSMT4" ShapeID="_x0000_i1095" DrawAspect="Content" ObjectID="_1468075795" r:id="rId160">
            <o:LockedField>false</o:LockedField>
          </o:OLEObject>
        </w:object>
      </w:r>
    </w:p>
    <w:p>
      <w:pPr>
        <w:spacing w:line="360" w:lineRule="auto"/>
        <w:ind w:firstLine="480" w:firstLineChars="200"/>
        <w:jc w:val="left"/>
        <w:rPr>
          <w:color w:val="000000"/>
          <w:sz w:val="24"/>
          <w:szCs w:val="20"/>
        </w:rPr>
      </w:pPr>
      <w:r>
        <w:rPr>
          <w:rFonts w:hint="eastAsia"/>
          <w:color w:val="000000"/>
          <w:sz w:val="24"/>
          <w:szCs w:val="20"/>
        </w:rPr>
        <w:t>在地面处（</w:t>
      </w:r>
      <w:r>
        <w:rPr>
          <w:i/>
          <w:color w:val="000000"/>
          <w:sz w:val="24"/>
          <w:szCs w:val="20"/>
        </w:rPr>
        <w:t>y</w:t>
      </w:r>
      <w:r>
        <w:rPr>
          <w:color w:val="000000"/>
          <w:sz w:val="24"/>
          <w:szCs w:val="20"/>
        </w:rPr>
        <w:t>=0</w:t>
      </w:r>
      <w:r>
        <w:rPr>
          <w:rFonts w:hint="eastAsia"/>
          <w:color w:val="000000"/>
          <w:sz w:val="24"/>
          <w:szCs w:val="20"/>
        </w:rPr>
        <w:t>）电场强度的水平分量</w:t>
      </w:r>
    </w:p>
    <w:p>
      <w:pPr>
        <w:spacing w:line="360" w:lineRule="auto"/>
        <w:jc w:val="center"/>
        <w:rPr>
          <w:color w:val="000000"/>
          <w:sz w:val="24"/>
          <w:szCs w:val="20"/>
        </w:rPr>
      </w:pPr>
      <w:r>
        <w:rPr>
          <w:color w:val="000000"/>
          <w:position w:val="-12"/>
          <w:sz w:val="24"/>
          <w:szCs w:val="20"/>
        </w:rPr>
        <w:object>
          <v:shape id="_x0000_i1096" o:spt="75" type="#_x0000_t75" style="height:18.75pt;width:30pt;" o:ole="t" filled="f" o:preferrelative="t" stroked="f" coordsize="21600,21600">
            <v:path/>
            <v:fill on="f" focussize="0,0"/>
            <v:stroke on="f" joinstyle="miter"/>
            <v:imagedata r:id="rId163" o:title=""/>
            <o:lock v:ext="edit" aspectratio="t"/>
            <w10:wrap type="none"/>
            <w10:anchorlock/>
          </v:shape>
          <o:OLEObject Type="Embed" ProgID="Equation.DSMT4" ShapeID="_x0000_i1096" DrawAspect="Content" ObjectID="_1468075796" r:id="rId162">
            <o:LockedField>false</o:LockedField>
          </o:OLEObject>
        </w:object>
      </w:r>
    </w:p>
    <w:p>
      <w:pPr>
        <w:spacing w:line="360" w:lineRule="auto"/>
        <w:ind w:firstLine="600" w:firstLineChars="250"/>
        <w:jc w:val="left"/>
        <w:rPr>
          <w:color w:val="000000"/>
          <w:sz w:val="24"/>
          <w:szCs w:val="20"/>
        </w:rPr>
      </w:pPr>
      <w:r>
        <w:rPr>
          <w:rFonts w:hint="eastAsia"/>
          <w:color w:val="000000"/>
          <w:sz w:val="24"/>
          <w:szCs w:val="20"/>
        </w:rPr>
        <w:t>（</w:t>
      </w:r>
      <w:r>
        <w:rPr>
          <w:color w:val="000000"/>
          <w:sz w:val="24"/>
          <w:szCs w:val="20"/>
        </w:rPr>
        <w:t>2</w:t>
      </w:r>
      <w:r>
        <w:rPr>
          <w:rFonts w:hint="eastAsia"/>
          <w:color w:val="000000"/>
          <w:sz w:val="24"/>
          <w:szCs w:val="20"/>
        </w:rPr>
        <w:t>）高压交流架空输电线路下空间磁感应强度的计算（附录</w:t>
      </w:r>
      <w:r>
        <w:rPr>
          <w:color w:val="000000"/>
          <w:sz w:val="24"/>
          <w:szCs w:val="20"/>
        </w:rPr>
        <w:t>D</w:t>
      </w:r>
      <w:r>
        <w:rPr>
          <w:rFonts w:hint="eastAsia"/>
          <w:color w:val="000000"/>
          <w:sz w:val="24"/>
          <w:szCs w:val="20"/>
        </w:rPr>
        <w:t>）</w:t>
      </w:r>
    </w:p>
    <w:p>
      <w:pPr>
        <w:spacing w:line="360" w:lineRule="auto"/>
        <w:ind w:firstLine="480" w:firstLineChars="200"/>
        <w:jc w:val="left"/>
        <w:rPr>
          <w:color w:val="000000"/>
          <w:sz w:val="24"/>
          <w:szCs w:val="20"/>
        </w:rPr>
      </w:pPr>
      <w:r>
        <w:rPr>
          <w:rFonts w:hint="eastAsia"/>
          <w:color w:val="000000"/>
          <w:sz w:val="24"/>
          <w:szCs w:val="20"/>
        </w:rPr>
        <w:t>由于工频情况下电磁性能具有准静态特性，线路的磁场仅由电流产生。应用安培定律，将计算结果按矢量叠加，可得出导线周围的磁场强度。</w:t>
      </w:r>
    </w:p>
    <w:p>
      <w:pPr>
        <w:spacing w:line="360" w:lineRule="auto"/>
        <w:ind w:firstLine="480" w:firstLineChars="200"/>
        <w:jc w:val="left"/>
        <w:rPr>
          <w:color w:val="000000"/>
          <w:sz w:val="24"/>
          <w:szCs w:val="20"/>
        </w:rPr>
      </w:pPr>
      <w:r>
        <w:rPr>
          <w:rFonts w:hint="eastAsia"/>
          <w:color w:val="000000"/>
          <w:sz w:val="24"/>
          <w:szCs w:val="20"/>
        </w:rPr>
        <w:t>和电场强度计算不同的是关于镜像导线的考虑，与导线所处高度相比这些镜像导线位于地下很深的距离</w:t>
      </w:r>
      <w:r>
        <w:rPr>
          <w:i/>
          <w:color w:val="000000"/>
          <w:sz w:val="24"/>
          <w:szCs w:val="20"/>
        </w:rPr>
        <w:t>d</w:t>
      </w:r>
      <w:r>
        <w:rPr>
          <w:rFonts w:hint="eastAsia"/>
          <w:color w:val="000000"/>
          <w:sz w:val="24"/>
          <w:szCs w:val="20"/>
        </w:rPr>
        <w:t>：</w:t>
      </w:r>
    </w:p>
    <w:p>
      <w:pPr>
        <w:spacing w:line="360" w:lineRule="auto"/>
        <w:jc w:val="center"/>
        <w:rPr>
          <w:color w:val="000000"/>
          <w:sz w:val="24"/>
          <w:szCs w:val="20"/>
        </w:rPr>
      </w:pPr>
      <w:r>
        <w:rPr>
          <w:color w:val="000000"/>
          <w:position w:val="-30"/>
          <w:sz w:val="24"/>
          <w:szCs w:val="20"/>
        </w:rPr>
        <w:object>
          <v:shape id="_x0000_i1097" o:spt="75" type="#_x0000_t75" style="height:37.5pt;width:63pt;" o:ole="t" filled="f" o:preferrelative="t" stroked="f" coordsize="21600,21600">
            <v:path/>
            <v:fill on="f" focussize="0,0"/>
            <v:stroke on="f" joinstyle="miter"/>
            <v:imagedata r:id="rId165" o:title=""/>
            <o:lock v:ext="edit" aspectratio="t"/>
            <w10:wrap type="none"/>
            <w10:anchorlock/>
          </v:shape>
          <o:OLEObject Type="Embed" ProgID="Equation.DSMT4" ShapeID="_x0000_i1097" DrawAspect="Content" ObjectID="_1468075797" r:id="rId164">
            <o:LockedField>false</o:LockedField>
          </o:OLEObject>
        </w:object>
      </w:r>
      <w:r>
        <w:rPr>
          <w:rFonts w:hint="eastAsia"/>
          <w:color w:val="000000"/>
          <w:sz w:val="24"/>
          <w:szCs w:val="20"/>
        </w:rPr>
        <w:t>（</w:t>
      </w:r>
      <w:r>
        <w:rPr>
          <w:color w:val="000000"/>
          <w:sz w:val="24"/>
          <w:szCs w:val="20"/>
        </w:rPr>
        <w:t>m</w:t>
      </w:r>
      <w:r>
        <w:rPr>
          <w:rFonts w:hint="eastAsia"/>
          <w:color w:val="000000"/>
          <w:sz w:val="24"/>
          <w:szCs w:val="20"/>
        </w:rPr>
        <w:t>）</w:t>
      </w:r>
    </w:p>
    <w:p>
      <w:pPr>
        <w:spacing w:line="360" w:lineRule="auto"/>
        <w:ind w:firstLine="480"/>
        <w:rPr>
          <w:color w:val="000000"/>
          <w:sz w:val="24"/>
          <w:szCs w:val="20"/>
        </w:rPr>
      </w:pPr>
      <w:r>
        <w:rPr>
          <w:rFonts w:hint="eastAsia"/>
          <w:color w:val="000000"/>
          <w:sz w:val="24"/>
          <w:szCs w:val="20"/>
        </w:rPr>
        <w:t>式中：</w:t>
      </w:r>
      <w:r>
        <w:rPr>
          <w:color w:val="000000"/>
          <w:position w:val="-10"/>
          <w:sz w:val="24"/>
          <w:szCs w:val="20"/>
        </w:rPr>
        <w:object>
          <v:shape id="_x0000_i1098" o:spt="75" type="#_x0000_t75" style="height:15pt;width:12.75pt;" o:ole="t" filled="f" o:preferrelative="t" stroked="f" coordsize="21600,21600">
            <v:path/>
            <v:fill on="f" focussize="0,0"/>
            <v:stroke on="f" joinstyle="miter"/>
            <v:imagedata r:id="rId167" o:title=""/>
            <o:lock v:ext="edit" aspectratio="t"/>
            <w10:wrap type="none"/>
            <w10:anchorlock/>
          </v:shape>
          <o:OLEObject Type="Embed" ProgID="Equation.DSMT4" ShapeID="_x0000_i1098" DrawAspect="Content" ObjectID="_1468075798" r:id="rId166">
            <o:LockedField>false</o:LockedField>
          </o:OLEObject>
        </w:object>
      </w:r>
      <w:r>
        <w:rPr>
          <w:color w:val="000000"/>
          <w:sz w:val="24"/>
          <w:szCs w:val="20"/>
        </w:rPr>
        <w:t>—</w:t>
      </w:r>
      <w:r>
        <w:rPr>
          <w:rFonts w:hint="eastAsia"/>
          <w:color w:val="000000"/>
          <w:sz w:val="24"/>
          <w:szCs w:val="20"/>
        </w:rPr>
        <w:t>大地电阻率，</w:t>
      </w:r>
      <w:r>
        <w:rPr>
          <w:color w:val="000000"/>
          <w:position w:val="-6"/>
          <w:sz w:val="24"/>
          <w:szCs w:val="20"/>
        </w:rPr>
        <w:object>
          <v:shape id="_x0000_i1099" o:spt="75" type="#_x0000_t75" style="height:15pt;width:30pt;" o:ole="t" filled="f" o:preferrelative="t" stroked="f" coordsize="21600,21600">
            <v:path/>
            <v:fill on="f" focussize="0,0"/>
            <v:stroke on="f" joinstyle="miter"/>
            <v:imagedata r:id="rId169" o:title=""/>
            <o:lock v:ext="edit" aspectratio="t"/>
            <w10:wrap type="none"/>
            <w10:anchorlock/>
          </v:shape>
          <o:OLEObject Type="Embed" ProgID="Equation.DSMT4" ShapeID="_x0000_i1099" DrawAspect="Content" ObjectID="_1468075799" r:id="rId168">
            <o:LockedField>false</o:LockedField>
          </o:OLEObject>
        </w:object>
      </w:r>
      <w:r>
        <w:rPr>
          <w:rFonts w:hint="eastAsia"/>
          <w:color w:val="000000"/>
          <w:sz w:val="24"/>
          <w:szCs w:val="20"/>
        </w:rPr>
        <w:t>；</w:t>
      </w:r>
      <w:r>
        <w:rPr>
          <w:color w:val="000000"/>
          <w:position w:val="-10"/>
          <w:sz w:val="24"/>
          <w:szCs w:val="20"/>
        </w:rPr>
        <w:object>
          <v:shape id="_x0000_i1100" o:spt="75" type="#_x0000_t75" style="height:17.25pt;width:12.75pt;" o:ole="t" filled="f" o:preferrelative="t" stroked="f" coordsize="21600,21600">
            <v:path/>
            <v:fill on="f" focussize="0,0"/>
            <v:stroke on="f" joinstyle="miter"/>
            <v:imagedata r:id="rId171" o:title=""/>
            <o:lock v:ext="edit" aspectratio="t"/>
            <w10:wrap type="none"/>
            <w10:anchorlock/>
          </v:shape>
          <o:OLEObject Type="Embed" ProgID="Equation.DSMT4" ShapeID="_x0000_i1100" DrawAspect="Content" ObjectID="_1468075800" r:id="rId170">
            <o:LockedField>false</o:LockedField>
          </o:OLEObject>
        </w:object>
      </w:r>
      <w:r>
        <w:rPr>
          <w:color w:val="000000"/>
          <w:sz w:val="24"/>
          <w:szCs w:val="20"/>
        </w:rPr>
        <w:t>—</w:t>
      </w:r>
      <w:r>
        <w:rPr>
          <w:rFonts w:hint="eastAsia"/>
          <w:color w:val="000000"/>
          <w:sz w:val="24"/>
          <w:szCs w:val="20"/>
        </w:rPr>
        <w:t>频率，</w:t>
      </w:r>
      <w:r>
        <w:rPr>
          <w:color w:val="000000"/>
          <w:sz w:val="24"/>
          <w:szCs w:val="20"/>
        </w:rPr>
        <w:t>Hz</w:t>
      </w:r>
      <w:r>
        <w:rPr>
          <w:rFonts w:hint="eastAsia"/>
          <w:color w:val="000000"/>
          <w:sz w:val="24"/>
          <w:szCs w:val="20"/>
        </w:rPr>
        <w:t>。</w:t>
      </w:r>
    </w:p>
    <w:p>
      <w:pPr>
        <w:spacing w:line="360" w:lineRule="auto"/>
        <w:ind w:firstLine="480"/>
        <w:rPr>
          <w:color w:val="000000"/>
          <w:sz w:val="24"/>
          <w:szCs w:val="20"/>
        </w:rPr>
      </w:pPr>
      <w:r>
        <w:rPr>
          <w:rFonts w:hint="eastAsia"/>
          <w:color w:val="000000"/>
          <w:sz w:val="24"/>
          <w:szCs w:val="20"/>
        </w:rPr>
        <w:t>在很多情况下，只考虑处于空间的实际导线，忽略它的镜像进行计算，其结果已足够符合实际。如</w:t>
      </w:r>
      <w:r>
        <w:rPr>
          <w:color w:val="000000"/>
          <w:sz w:val="24"/>
          <w:szCs w:val="20"/>
        </w:rPr>
        <w:fldChar w:fldCharType="begin"/>
      </w:r>
      <w:r>
        <w:rPr>
          <w:color w:val="000000"/>
          <w:sz w:val="24"/>
          <w:szCs w:val="20"/>
        </w:rPr>
        <w:instrText xml:space="preserve"> REF _Ref55825720 \h  \* MERGEFORMAT </w:instrText>
      </w:r>
      <w:r>
        <w:rPr>
          <w:color w:val="000000"/>
          <w:sz w:val="24"/>
          <w:szCs w:val="20"/>
        </w:rPr>
        <w:fldChar w:fldCharType="separate"/>
      </w:r>
      <w:r>
        <w:rPr>
          <w:rFonts w:hint="eastAsia"/>
          <w:color w:val="000000"/>
          <w:sz w:val="24"/>
          <w:szCs w:val="20"/>
        </w:rPr>
        <w:t>图</w:t>
      </w:r>
      <w:r>
        <w:rPr>
          <w:color w:val="000000"/>
          <w:sz w:val="24"/>
          <w:szCs w:val="20"/>
        </w:rPr>
        <w:t xml:space="preserve"> 7</w:t>
      </w:r>
      <w:r>
        <w:rPr>
          <w:color w:val="000000"/>
          <w:sz w:val="24"/>
          <w:szCs w:val="20"/>
        </w:rPr>
        <w:fldChar w:fldCharType="end"/>
      </w:r>
      <w:r>
        <w:rPr>
          <w:rFonts w:hint="eastAsia"/>
          <w:color w:val="000000"/>
          <w:sz w:val="24"/>
          <w:szCs w:val="20"/>
        </w:rPr>
        <w:t>，不考虑导线</w:t>
      </w:r>
      <w:r>
        <w:rPr>
          <w:color w:val="000000"/>
          <w:sz w:val="24"/>
          <w:szCs w:val="20"/>
        </w:rPr>
        <w:t>i</w:t>
      </w:r>
      <w:r>
        <w:rPr>
          <w:rFonts w:hint="eastAsia"/>
          <w:color w:val="000000"/>
          <w:sz w:val="24"/>
          <w:szCs w:val="20"/>
        </w:rPr>
        <w:t>的镜像时，可计算在</w:t>
      </w:r>
      <w:r>
        <w:rPr>
          <w:color w:val="000000"/>
          <w:sz w:val="24"/>
          <w:szCs w:val="20"/>
        </w:rPr>
        <w:t>A</w:t>
      </w:r>
      <w:r>
        <w:rPr>
          <w:rFonts w:hint="eastAsia"/>
          <w:color w:val="000000"/>
          <w:sz w:val="24"/>
          <w:szCs w:val="20"/>
        </w:rPr>
        <w:t>点其产生的磁场强度：</w:t>
      </w:r>
    </w:p>
    <w:p>
      <w:pPr>
        <w:spacing w:line="360" w:lineRule="auto"/>
        <w:jc w:val="center"/>
        <w:rPr>
          <w:color w:val="000000"/>
          <w:sz w:val="24"/>
          <w:szCs w:val="20"/>
        </w:rPr>
      </w:pPr>
      <w:r>
        <w:rPr>
          <w:color w:val="000000"/>
          <w:position w:val="-30"/>
          <w:sz w:val="24"/>
          <w:szCs w:val="20"/>
        </w:rPr>
        <w:object>
          <v:shape id="_x0000_i1101" o:spt="75" type="#_x0000_t75" style="height:30pt;width:84pt;" o:ole="t" filled="f" o:preferrelative="t" stroked="f" coordsize="21600,21600">
            <v:path/>
            <v:fill on="f" focussize="0,0"/>
            <v:stroke on="f" joinstyle="miter"/>
            <v:imagedata r:id="rId173" o:title=""/>
            <o:lock v:ext="edit" aspectratio="t"/>
            <w10:wrap type="none"/>
            <w10:anchorlock/>
          </v:shape>
          <o:OLEObject Type="Embed" ProgID="Equation.DSMT4" ShapeID="_x0000_i1101" DrawAspect="Content" ObjectID="_1468075801" r:id="rId172">
            <o:LockedField>false</o:LockedField>
          </o:OLEObject>
        </w:object>
      </w:r>
      <w:r>
        <w:rPr>
          <w:rFonts w:hint="eastAsia"/>
          <w:color w:val="000000"/>
          <w:sz w:val="24"/>
          <w:szCs w:val="20"/>
        </w:rPr>
        <w:t>（</w:t>
      </w:r>
      <w:r>
        <w:rPr>
          <w:color w:val="000000"/>
          <w:sz w:val="24"/>
          <w:szCs w:val="20"/>
        </w:rPr>
        <w:t>A/m</w:t>
      </w:r>
      <w:r>
        <w:rPr>
          <w:rFonts w:hint="eastAsia"/>
          <w:color w:val="000000"/>
          <w:sz w:val="24"/>
          <w:szCs w:val="20"/>
        </w:rPr>
        <w:t>）</w:t>
      </w:r>
    </w:p>
    <w:p>
      <w:pPr>
        <w:spacing w:line="360" w:lineRule="auto"/>
        <w:ind w:firstLine="480"/>
        <w:rPr>
          <w:color w:val="000000"/>
          <w:sz w:val="24"/>
          <w:szCs w:val="20"/>
        </w:rPr>
      </w:pPr>
      <w:r>
        <w:rPr>
          <w:rFonts w:hint="eastAsia"/>
          <w:color w:val="000000"/>
          <w:sz w:val="24"/>
          <w:szCs w:val="20"/>
        </w:rPr>
        <w:t>式中：</w:t>
      </w:r>
      <w:r>
        <w:rPr>
          <w:color w:val="000000"/>
          <w:position w:val="-4"/>
          <w:sz w:val="24"/>
          <w:szCs w:val="20"/>
        </w:rPr>
        <w:object>
          <v:shape id="_x0000_i1102" o:spt="75" type="#_x0000_t75" style="height:15pt;width:12.75pt;" o:ole="t" filled="f" o:preferrelative="t" stroked="f" coordsize="21600,21600">
            <v:path/>
            <v:fill on="f" focussize="0,0"/>
            <v:stroke on="f" joinstyle="miter"/>
            <v:imagedata r:id="rId175" o:title=""/>
            <o:lock v:ext="edit" aspectratio="t"/>
            <w10:wrap type="none"/>
            <w10:anchorlock/>
          </v:shape>
          <o:OLEObject Type="Embed" ProgID="Equation.DSMT4" ShapeID="_x0000_i1102" DrawAspect="Content" ObjectID="_1468075802" r:id="rId174">
            <o:LockedField>false</o:LockedField>
          </o:OLEObject>
        </w:object>
      </w:r>
      <w:r>
        <w:rPr>
          <w:color w:val="000000"/>
          <w:sz w:val="24"/>
          <w:szCs w:val="20"/>
        </w:rPr>
        <w:t>—</w:t>
      </w:r>
      <w:r>
        <w:rPr>
          <w:rFonts w:hint="eastAsia"/>
          <w:color w:val="000000"/>
          <w:sz w:val="24"/>
          <w:szCs w:val="20"/>
        </w:rPr>
        <w:t>导线</w:t>
      </w:r>
      <w:r>
        <w:rPr>
          <w:i/>
          <w:color w:val="000000"/>
          <w:sz w:val="24"/>
          <w:szCs w:val="20"/>
        </w:rPr>
        <w:t>i</w:t>
      </w:r>
      <w:r>
        <w:rPr>
          <w:rFonts w:hint="eastAsia"/>
          <w:color w:val="000000"/>
          <w:sz w:val="24"/>
          <w:szCs w:val="20"/>
        </w:rPr>
        <w:t>中的电流值，</w:t>
      </w:r>
      <w:r>
        <w:rPr>
          <w:color w:val="000000"/>
          <w:sz w:val="24"/>
          <w:szCs w:val="20"/>
        </w:rPr>
        <w:t>A</w:t>
      </w:r>
      <w:r>
        <w:rPr>
          <w:rFonts w:hint="eastAsia"/>
          <w:color w:val="000000"/>
          <w:sz w:val="24"/>
          <w:szCs w:val="20"/>
        </w:rPr>
        <w:t>；</w:t>
      </w:r>
      <w:r>
        <w:rPr>
          <w:color w:val="000000"/>
          <w:position w:val="-6"/>
          <w:sz w:val="24"/>
          <w:szCs w:val="20"/>
        </w:rPr>
        <w:object>
          <v:shape id="_x0000_i1103" o:spt="75" type="#_x0000_t75" style="height:15pt;width:12.75pt;" o:ole="t" filled="f" o:preferrelative="t" stroked="f" coordsize="21600,21600">
            <v:path/>
            <v:fill on="f" focussize="0,0"/>
            <v:stroke on="f" joinstyle="miter"/>
            <v:imagedata r:id="rId177" o:title=""/>
            <o:lock v:ext="edit" aspectratio="t"/>
            <w10:wrap type="none"/>
            <w10:anchorlock/>
          </v:shape>
          <o:OLEObject Type="Embed" ProgID="Equation.DSMT4" ShapeID="_x0000_i1103" DrawAspect="Content" ObjectID="_1468075803" r:id="rId176">
            <o:LockedField>false</o:LockedField>
          </o:OLEObject>
        </w:object>
      </w:r>
      <w:r>
        <w:rPr>
          <w:color w:val="000000"/>
          <w:sz w:val="24"/>
          <w:szCs w:val="20"/>
        </w:rPr>
        <w:t>—</w:t>
      </w:r>
      <w:r>
        <w:rPr>
          <w:rFonts w:hint="eastAsia"/>
          <w:color w:val="000000"/>
          <w:sz w:val="24"/>
          <w:szCs w:val="20"/>
        </w:rPr>
        <w:t>导线与预测点的高差，</w:t>
      </w:r>
      <w:r>
        <w:rPr>
          <w:color w:val="000000"/>
          <w:sz w:val="24"/>
          <w:szCs w:val="20"/>
        </w:rPr>
        <w:t>m</w:t>
      </w:r>
      <w:r>
        <w:rPr>
          <w:rFonts w:hint="eastAsia"/>
          <w:color w:val="000000"/>
          <w:sz w:val="24"/>
          <w:szCs w:val="20"/>
        </w:rPr>
        <w:t>；</w:t>
      </w:r>
      <w:r>
        <w:rPr>
          <w:color w:val="000000"/>
          <w:position w:val="-4"/>
          <w:sz w:val="24"/>
          <w:szCs w:val="20"/>
        </w:rPr>
        <w:object>
          <v:shape id="_x0000_i1104" o:spt="75" type="#_x0000_t75" style="height:15pt;width:12.75pt;" o:ole="t" filled="f" o:preferrelative="t" stroked="f" coordsize="21600,21600">
            <v:path/>
            <v:fill on="f" focussize="0,0"/>
            <v:stroke on="f" joinstyle="miter"/>
            <v:imagedata r:id="rId179" o:title=""/>
            <o:lock v:ext="edit" aspectratio="t"/>
            <w10:wrap type="none"/>
            <w10:anchorlock/>
          </v:shape>
          <o:OLEObject Type="Embed" ProgID="Equation.DSMT4" ShapeID="_x0000_i1104" DrawAspect="Content" ObjectID="_1468075804" r:id="rId178">
            <o:LockedField>false</o:LockedField>
          </o:OLEObject>
        </w:object>
      </w:r>
      <w:r>
        <w:rPr>
          <w:color w:val="000000"/>
          <w:sz w:val="24"/>
          <w:szCs w:val="20"/>
        </w:rPr>
        <w:t>—</w:t>
      </w:r>
      <w:r>
        <w:rPr>
          <w:rFonts w:hint="eastAsia"/>
          <w:color w:val="000000"/>
          <w:sz w:val="24"/>
          <w:szCs w:val="20"/>
        </w:rPr>
        <w:t>导线与预测点水平距离，</w:t>
      </w:r>
      <w:r>
        <w:rPr>
          <w:color w:val="000000"/>
          <w:sz w:val="24"/>
          <w:szCs w:val="20"/>
        </w:rPr>
        <w:t>m</w:t>
      </w:r>
      <w:r>
        <w:rPr>
          <w:rFonts w:hint="eastAsia"/>
          <w:color w:val="000000"/>
          <w:sz w:val="24"/>
          <w:szCs w:val="20"/>
        </w:rPr>
        <w:t>。</w:t>
      </w:r>
    </w:p>
    <w:p>
      <w:pPr>
        <w:spacing w:line="360" w:lineRule="auto"/>
        <w:ind w:firstLine="480"/>
        <w:rPr>
          <w:color w:val="000000"/>
          <w:sz w:val="24"/>
          <w:szCs w:val="20"/>
        </w:rPr>
      </w:pPr>
      <w:r>
        <w:rPr>
          <w:rFonts w:hint="eastAsia"/>
          <w:color w:val="000000"/>
          <w:sz w:val="24"/>
          <w:szCs w:val="20"/>
        </w:rPr>
        <w:t>对于三相线路，由相位不同形成的磁场强度水平和垂直分量都应分别考虑电流间的相角，按相位矢量来合成。合成的旋转矢量在空间的轨迹是一个椭圆。</w:t>
      </w:r>
    </w:p>
    <w:p>
      <w:pPr>
        <w:keepNext/>
        <w:spacing w:line="360" w:lineRule="auto"/>
        <w:jc w:val="center"/>
        <w:rPr>
          <w:color w:val="000000"/>
          <w:sz w:val="24"/>
          <w:szCs w:val="20"/>
        </w:rPr>
      </w:pPr>
      <w:r>
        <w:rPr>
          <w:rFonts w:eastAsiaTheme="minorEastAsia"/>
          <w:color w:val="000000" w:themeColor="text1"/>
          <w14:textFill>
            <w14:solidFill>
              <w14:schemeClr w14:val="tx1"/>
            </w14:solidFill>
          </w14:textFill>
        </w:rPr>
        <w:drawing>
          <wp:inline distT="0" distB="0" distL="0" distR="0">
            <wp:extent cx="2585720" cy="2080260"/>
            <wp:effectExtent l="0" t="0" r="508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2585720" cy="2080260"/>
                    </a:xfrm>
                    <a:prstGeom prst="rect">
                      <a:avLst/>
                    </a:prstGeom>
                  </pic:spPr>
                </pic:pic>
              </a:graphicData>
            </a:graphic>
          </wp:inline>
        </w:drawing>
      </w:r>
    </w:p>
    <w:p>
      <w:pPr>
        <w:adjustRightInd w:val="0"/>
        <w:snapToGrid w:val="0"/>
        <w:jc w:val="center"/>
        <w:rPr>
          <w:rFonts w:eastAsia="黑体"/>
          <w:bCs/>
          <w:color w:val="000000"/>
          <w:szCs w:val="21"/>
        </w:rPr>
      </w:pPr>
      <w:bookmarkStart w:id="859" w:name="_Ref55825720"/>
      <w:r>
        <w:rPr>
          <w:rFonts w:hint="eastAsia" w:eastAsia="黑体"/>
          <w:bCs/>
          <w:color w:val="000000"/>
          <w:szCs w:val="21"/>
        </w:rPr>
        <w:t>图</w:t>
      </w:r>
      <w:r>
        <w:rPr>
          <w:rFonts w:eastAsia="黑体"/>
          <w:bCs/>
          <w:color w:val="000000"/>
          <w:szCs w:val="21"/>
        </w:rPr>
        <w:t xml:space="preserve"> </w:t>
      </w:r>
      <w:r>
        <w:rPr>
          <w:rFonts w:eastAsia="黑体"/>
          <w:bCs/>
          <w:color w:val="000000"/>
          <w:szCs w:val="21"/>
        </w:rPr>
        <w:fldChar w:fldCharType="begin"/>
      </w:r>
      <w:r>
        <w:rPr>
          <w:rFonts w:eastAsia="黑体"/>
          <w:bCs/>
          <w:color w:val="000000"/>
          <w:szCs w:val="21"/>
        </w:rPr>
        <w:instrText xml:space="preserve"> SEQ </w:instrText>
      </w:r>
      <w:r>
        <w:rPr>
          <w:rFonts w:hint="eastAsia" w:eastAsia="黑体"/>
          <w:bCs/>
          <w:color w:val="000000"/>
          <w:szCs w:val="21"/>
        </w:rPr>
        <w:instrText xml:space="preserve">图</w:instrText>
      </w:r>
      <w:r>
        <w:rPr>
          <w:rFonts w:eastAsia="黑体"/>
          <w:bCs/>
          <w:color w:val="000000"/>
          <w:szCs w:val="21"/>
        </w:rPr>
        <w:instrText xml:space="preserve"> \* ARABIC </w:instrText>
      </w:r>
      <w:r>
        <w:rPr>
          <w:rFonts w:eastAsia="黑体"/>
          <w:bCs/>
          <w:color w:val="000000"/>
          <w:szCs w:val="21"/>
        </w:rPr>
        <w:fldChar w:fldCharType="separate"/>
      </w:r>
      <w:r>
        <w:rPr>
          <w:rFonts w:eastAsia="黑体"/>
          <w:bCs/>
          <w:color w:val="000000"/>
          <w:szCs w:val="21"/>
        </w:rPr>
        <w:t>7</w:t>
      </w:r>
      <w:r>
        <w:rPr>
          <w:rFonts w:eastAsia="黑体"/>
          <w:bCs/>
          <w:color w:val="000000"/>
          <w:szCs w:val="21"/>
        </w:rPr>
        <w:fldChar w:fldCharType="end"/>
      </w:r>
      <w:bookmarkEnd w:id="859"/>
      <w:r>
        <w:rPr>
          <w:rFonts w:eastAsia="黑体"/>
          <w:bCs/>
          <w:color w:val="000000"/>
          <w:szCs w:val="21"/>
        </w:rPr>
        <w:t xml:space="preserve">     </w:t>
      </w:r>
      <w:r>
        <w:rPr>
          <w:rFonts w:hint="eastAsia" w:eastAsia="黑体"/>
          <w:bCs/>
          <w:color w:val="000000"/>
          <w:szCs w:val="21"/>
        </w:rPr>
        <w:t>磁场向量图</w:t>
      </w:r>
    </w:p>
    <w:p>
      <w:pPr>
        <w:keepNext/>
        <w:keepLines/>
        <w:numPr>
          <w:ilvl w:val="2"/>
          <w:numId w:val="28"/>
        </w:numPr>
        <w:spacing w:line="360" w:lineRule="auto"/>
        <w:outlineLvl w:val="2"/>
        <w:rPr>
          <w:rFonts w:cs="ˎ̥"/>
          <w:b/>
          <w:bCs/>
          <w:color w:val="000000"/>
          <w:sz w:val="24"/>
          <w:szCs w:val="32"/>
        </w:rPr>
      </w:pPr>
      <w:bookmarkStart w:id="860" w:name="_Toc28370"/>
      <w:r>
        <w:rPr>
          <w:rFonts w:hint="eastAsia" w:cs="ˎ̥"/>
          <w:b/>
          <w:bCs/>
          <w:color w:val="000000"/>
          <w:sz w:val="24"/>
          <w:szCs w:val="32"/>
        </w:rPr>
        <w:t>预测内容及参数选取</w:t>
      </w:r>
      <w:bookmarkEnd w:id="860"/>
    </w:p>
    <w:p>
      <w:pPr>
        <w:spacing w:line="360" w:lineRule="auto"/>
        <w:ind w:firstLine="480" w:firstLineChars="200"/>
        <w:rPr>
          <w:color w:val="000000"/>
          <w:sz w:val="24"/>
          <w:szCs w:val="20"/>
        </w:rPr>
      </w:pPr>
      <w:bookmarkStart w:id="861" w:name="_Ref132618000"/>
      <w:r>
        <w:rPr>
          <w:rFonts w:hint="eastAsia"/>
          <w:color w:val="000000"/>
          <w:sz w:val="24"/>
          <w:szCs w:val="20"/>
        </w:rPr>
        <w:t>（</w:t>
      </w:r>
      <w:r>
        <w:rPr>
          <w:color w:val="000000"/>
          <w:sz w:val="24"/>
          <w:szCs w:val="20"/>
        </w:rPr>
        <w:t>1</w:t>
      </w:r>
      <w:r>
        <w:rPr>
          <w:rFonts w:hint="eastAsia"/>
          <w:color w:val="000000"/>
          <w:sz w:val="24"/>
          <w:szCs w:val="20"/>
        </w:rPr>
        <w:t>）预测内容</w:t>
      </w:r>
    </w:p>
    <w:p>
      <w:pPr>
        <w:spacing w:line="360" w:lineRule="auto"/>
        <w:ind w:firstLine="482"/>
        <w:rPr>
          <w:sz w:val="24"/>
        </w:rPr>
      </w:pPr>
      <w:r>
        <w:rPr>
          <w:rFonts w:hint="eastAsia"/>
          <w:sz w:val="24"/>
        </w:rPr>
        <w:t>预测本工程新建110kV线路</w:t>
      </w:r>
      <w:r>
        <w:rPr>
          <w:sz w:val="24"/>
        </w:rPr>
        <w:t>工频电场强度、工频磁感应强度</w:t>
      </w:r>
      <w:r>
        <w:rPr>
          <w:rFonts w:hint="eastAsia"/>
          <w:sz w:val="24"/>
        </w:rPr>
        <w:t>影响程度及范围</w:t>
      </w:r>
      <w:r>
        <w:rPr>
          <w:rFonts w:hint="eastAsia"/>
          <w:color w:val="000000" w:themeColor="text1"/>
          <w:sz w:val="24"/>
          <w14:textFill>
            <w14:solidFill>
              <w14:schemeClr w14:val="tx1"/>
            </w14:solidFill>
          </w14:textFill>
        </w:rPr>
        <w:t>。本工程预测内容包括新建1</w:t>
      </w:r>
      <w:r>
        <w:rPr>
          <w:color w:val="000000" w:themeColor="text1"/>
          <w:sz w:val="24"/>
          <w14:textFill>
            <w14:solidFill>
              <w14:schemeClr w14:val="tx1"/>
            </w14:solidFill>
          </w14:textFill>
        </w:rPr>
        <w:t>10</w:t>
      </w:r>
      <w:r>
        <w:rPr>
          <w:rFonts w:hint="eastAsia"/>
          <w:color w:val="000000"/>
          <w:sz w:val="24"/>
        </w:rPr>
        <w:t>kV单</w:t>
      </w:r>
      <w:r>
        <w:rPr>
          <w:rFonts w:hint="eastAsia"/>
          <w:sz w:val="24"/>
        </w:rPr>
        <w:t>回线路、新建</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10</w:t>
      </w:r>
      <w:r>
        <w:rPr>
          <w:rFonts w:hint="eastAsia"/>
          <w:color w:val="000000"/>
          <w:sz w:val="24"/>
        </w:rPr>
        <w:t>kV</w:t>
      </w:r>
      <w:r>
        <w:rPr>
          <w:rFonts w:hint="eastAsia"/>
          <w:sz w:val="24"/>
        </w:rPr>
        <w:t>双回线路和新建</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10</w:t>
      </w:r>
      <w:r>
        <w:rPr>
          <w:rFonts w:hint="eastAsia"/>
          <w:color w:val="000000"/>
          <w:sz w:val="24"/>
        </w:rPr>
        <w:t>kV</w:t>
      </w:r>
      <w:r>
        <w:rPr>
          <w:rFonts w:hint="eastAsia"/>
          <w:sz w:val="24"/>
        </w:rPr>
        <w:t>双回线路（本期单边挂线）。</w:t>
      </w:r>
    </w:p>
    <w:p>
      <w:pPr>
        <w:pStyle w:val="11"/>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）预测参数</w:t>
      </w:r>
    </w:p>
    <w:p>
      <w:pPr>
        <w:pStyle w:val="11"/>
        <w:rPr>
          <w:color w:val="000000" w:themeColor="text1"/>
          <w14:textFill>
            <w14:solidFill>
              <w14:schemeClr w14:val="tx1"/>
            </w14:solidFill>
          </w14:textFill>
        </w:rPr>
      </w:pPr>
      <w:r>
        <w:rPr>
          <w:rFonts w:hint="eastAsia"/>
          <w:color w:val="000000" w:themeColor="text1"/>
          <w14:textFill>
            <w14:solidFill>
              <w14:schemeClr w14:val="tx1"/>
            </w14:solidFill>
          </w14:textFill>
        </w:rPr>
        <w:t>①杆塔类型</w:t>
      </w:r>
    </w:p>
    <w:p>
      <w:pPr>
        <w:pStyle w:val="11"/>
        <w:rPr>
          <w:color w:val="000000" w:themeColor="text1"/>
          <w14:textFill>
            <w14:solidFill>
              <w14:schemeClr w14:val="tx1"/>
            </w14:solidFill>
          </w14:textFill>
        </w:rPr>
      </w:pPr>
      <w:r>
        <w:rPr>
          <w:rFonts w:hint="eastAsia" w:ascii="宋体" w:hAnsi="宋体" w:cs="黑体"/>
          <w:color w:val="000000" w:themeColor="text1"/>
          <w:kern w:val="0"/>
          <w:szCs w:val="28"/>
          <w:lang w:bidi="ar"/>
          <w14:textFill>
            <w14:solidFill>
              <w14:schemeClr w14:val="tx1"/>
            </w14:solidFill>
          </w14:textFill>
        </w:rPr>
        <w:t>由于转角塔使用数量相对较少且档距之间的相间距会随转角度数的增大而减小，不具备典型性和统一性。因此</w:t>
      </w:r>
      <w:r>
        <w:rPr>
          <w:rFonts w:hint="eastAsia"/>
          <w:color w:val="000000" w:themeColor="text1"/>
          <w14:textFill>
            <w14:solidFill>
              <w14:schemeClr w14:val="tx1"/>
            </w14:solidFill>
          </w14:textFill>
        </w:rPr>
        <w:t>本环评按保守原则选用杆塔类型中横担最宽、电磁环境影响最大的直线塔为代表进行预测：即新建11</w:t>
      </w:r>
      <w:r>
        <w:rPr>
          <w:color w:val="000000" w:themeColor="text1"/>
          <w14:textFill>
            <w14:solidFill>
              <w14:schemeClr w14:val="tx1"/>
            </w14:solidFill>
          </w14:textFill>
        </w:rPr>
        <w:t>0</w:t>
      </w:r>
      <w:r>
        <w:rPr>
          <w:rFonts w:hint="eastAsia"/>
          <w:color w:val="000000"/>
        </w:rPr>
        <w:t>kV单</w:t>
      </w:r>
      <w:r>
        <w:rPr>
          <w:rFonts w:hint="eastAsia"/>
        </w:rPr>
        <w:t>回线路</w:t>
      </w:r>
      <w:r>
        <w:rPr>
          <w:rFonts w:hint="eastAsia"/>
          <w:color w:val="000000" w:themeColor="text1"/>
          <w14:textFill>
            <w14:solidFill>
              <w14:schemeClr w14:val="tx1"/>
            </w14:solidFill>
          </w14:textFill>
        </w:rPr>
        <w:t>选用</w:t>
      </w:r>
      <w:r>
        <w:rPr>
          <w:color w:val="000000" w:themeColor="text1"/>
          <w14:textFill>
            <w14:solidFill>
              <w14:schemeClr w14:val="tx1"/>
            </w14:solidFill>
          </w14:textFill>
        </w:rPr>
        <w:t>NR110-35-ZB3</w:t>
      </w:r>
      <w:r>
        <w:rPr>
          <w:rFonts w:hint="eastAsia"/>
          <w:color w:val="000000" w:themeColor="text1"/>
          <w14:textFill>
            <w14:solidFill>
              <w14:schemeClr w14:val="tx1"/>
            </w14:solidFill>
          </w14:textFill>
        </w:rPr>
        <w:t>塔型</w:t>
      </w:r>
      <w:r>
        <w:rPr>
          <w:shd w:val="clear" w:color="auto" w:fill="FFFFFF"/>
        </w:rPr>
        <w:t>，</w:t>
      </w:r>
      <w:r>
        <w:rPr>
          <w:rFonts w:hint="eastAsia"/>
          <w:shd w:val="clear" w:color="auto" w:fill="FFFFFF"/>
        </w:rPr>
        <w:t>该塔型导线水平</w:t>
      </w:r>
      <w:r>
        <w:rPr>
          <w:shd w:val="clear" w:color="auto" w:fill="FFFFFF"/>
        </w:rPr>
        <w:t>排列</w:t>
      </w:r>
      <w:r>
        <w:rPr>
          <w:rFonts w:hint="eastAsia"/>
          <w:color w:val="000000" w:themeColor="text1"/>
          <w14:textFill>
            <w14:solidFill>
              <w14:schemeClr w14:val="tx1"/>
            </w14:solidFill>
          </w14:textFill>
        </w:rPr>
        <w:t>；11</w:t>
      </w:r>
      <w:r>
        <w:rPr>
          <w:color w:val="000000" w:themeColor="text1"/>
          <w14:textFill>
            <w14:solidFill>
              <w14:schemeClr w14:val="tx1"/>
            </w14:solidFill>
          </w14:textFill>
        </w:rPr>
        <w:t>0</w:t>
      </w:r>
      <w:r>
        <w:rPr>
          <w:rFonts w:hint="eastAsia"/>
          <w:color w:val="000000"/>
        </w:rPr>
        <w:t>kV</w:t>
      </w:r>
      <w:r>
        <w:rPr>
          <w:color w:val="000000"/>
          <w:lang w:bidi="ar"/>
        </w:rPr>
        <w:t>同塔双回挂线和同塔双回挂线</w:t>
      </w:r>
      <w:r>
        <w:rPr>
          <w:rFonts w:hint="eastAsia"/>
        </w:rPr>
        <w:t>（本期单边挂线）</w:t>
      </w:r>
      <w:r>
        <w:rPr>
          <w:color w:val="000000"/>
          <w:lang w:bidi="ar"/>
        </w:rPr>
        <w:t>评价范围内均无电磁环境敏感目标</w:t>
      </w:r>
      <w:r>
        <w:rPr>
          <w:rFonts w:hint="eastAsia"/>
          <w:color w:val="000000"/>
          <w:lang w:bidi="ar"/>
        </w:rPr>
        <w:t>，</w:t>
      </w:r>
      <w:r>
        <w:rPr>
          <w:color w:val="000000"/>
          <w:lang w:bidi="ar"/>
        </w:rPr>
        <w:t>本环评按保守原则选用</w:t>
      </w:r>
      <w:r>
        <w:rPr>
          <w:rFonts w:hint="eastAsia"/>
          <w:color w:val="000000" w:themeColor="text1"/>
          <w14:textFill>
            <w14:solidFill>
              <w14:schemeClr w14:val="tx1"/>
            </w14:solidFill>
          </w14:textFill>
        </w:rPr>
        <w:t>11</w:t>
      </w:r>
      <w:r>
        <w:rPr>
          <w:color w:val="000000" w:themeColor="text1"/>
          <w14:textFill>
            <w14:solidFill>
              <w14:schemeClr w14:val="tx1"/>
            </w14:solidFill>
          </w14:textFill>
        </w:rPr>
        <w:t>0</w:t>
      </w:r>
      <w:r>
        <w:rPr>
          <w:rFonts w:hint="eastAsia"/>
          <w:color w:val="000000"/>
        </w:rPr>
        <w:t>kV</w:t>
      </w:r>
      <w:r>
        <w:rPr>
          <w:color w:val="000000"/>
          <w:lang w:bidi="ar"/>
        </w:rPr>
        <w:t>同塔双回挂线为代表的进行预测</w:t>
      </w:r>
      <w:r>
        <w:rPr>
          <w:rFonts w:hint="eastAsia"/>
          <w:color w:val="000000"/>
          <w:lang w:bidi="ar"/>
        </w:rPr>
        <w:t>，</w:t>
      </w:r>
      <w:r>
        <w:rPr>
          <w:color w:val="000000"/>
          <w:lang w:bidi="ar"/>
        </w:rPr>
        <w:t>选用</w:t>
      </w:r>
      <w:r>
        <w:rPr>
          <w:color w:val="000000" w:themeColor="text1"/>
          <w14:textFill>
            <w14:solidFill>
              <w14:schemeClr w14:val="tx1"/>
            </w14:solidFill>
          </w14:textFill>
        </w:rPr>
        <w:t>NR110-35-SFT</w:t>
      </w:r>
      <w:r>
        <w:rPr>
          <w:rFonts w:hint="eastAsia"/>
          <w:color w:val="000000" w:themeColor="text1"/>
          <w14:textFill>
            <w14:solidFill>
              <w14:schemeClr w14:val="tx1"/>
            </w14:solidFill>
          </w14:textFill>
        </w:rPr>
        <w:t>塔型</w:t>
      </w:r>
      <w:r>
        <w:rPr>
          <w:rFonts w:hint="eastAsia"/>
        </w:rPr>
        <w:t>进行预测</w:t>
      </w:r>
      <w:r>
        <w:rPr>
          <w:shd w:val="clear" w:color="auto" w:fill="FFFFFF"/>
        </w:rPr>
        <w:t>，</w:t>
      </w:r>
      <w:r>
        <w:rPr>
          <w:rFonts w:hint="eastAsia"/>
          <w:shd w:val="clear" w:color="auto" w:fill="FFFFFF"/>
        </w:rPr>
        <w:t>该塔型导线</w:t>
      </w:r>
      <w:bookmarkStart w:id="862" w:name="OLE_LINK2"/>
      <w:bookmarkStart w:id="863" w:name="OLE_LINK6"/>
      <w:r>
        <w:rPr>
          <w:rFonts w:hint="eastAsia"/>
          <w:shd w:val="clear" w:color="auto" w:fill="FFFFFF"/>
        </w:rPr>
        <w:t>伞</w:t>
      </w:r>
      <w:bookmarkEnd w:id="862"/>
      <w:bookmarkEnd w:id="863"/>
      <w:r>
        <w:rPr>
          <w:rFonts w:hint="eastAsia"/>
          <w:shd w:val="clear" w:color="auto" w:fill="FFFFFF"/>
        </w:rPr>
        <w:t>型</w:t>
      </w:r>
      <w:r>
        <w:rPr>
          <w:shd w:val="clear" w:color="auto" w:fill="FFFFFF"/>
        </w:rPr>
        <w:t>排列</w:t>
      </w:r>
      <w:r>
        <w:rPr>
          <w:rFonts w:hint="eastAsia"/>
          <w:color w:val="000000" w:themeColor="text1"/>
          <w14:textFill>
            <w14:solidFill>
              <w14:schemeClr w14:val="tx1"/>
            </w14:solidFill>
          </w14:textFill>
        </w:rPr>
        <w:t>。</w:t>
      </w:r>
    </w:p>
    <w:p>
      <w:pPr>
        <w:pStyle w:val="11"/>
        <w:rPr>
          <w:color w:val="000000" w:themeColor="text1"/>
          <w14:textFill>
            <w14:solidFill>
              <w14:schemeClr w14:val="tx1"/>
            </w14:solidFill>
          </w14:textFill>
        </w:rPr>
      </w:pPr>
      <w:r>
        <w:rPr>
          <w:rFonts w:hint="eastAsia"/>
          <w:color w:val="000000" w:themeColor="text1"/>
          <w14:textFill>
            <w14:solidFill>
              <w14:schemeClr w14:val="tx1"/>
            </w14:solidFill>
          </w14:textFill>
        </w:rPr>
        <w:t>②导线型号</w:t>
      </w:r>
    </w:p>
    <w:p>
      <w:pPr>
        <w:pStyle w:val="11"/>
        <w:rPr>
          <w:color w:val="000000" w:themeColor="text1"/>
          <w14:textFill>
            <w14:solidFill>
              <w14:schemeClr w14:val="tx1"/>
            </w14:solidFill>
          </w14:textFill>
        </w:rPr>
      </w:pPr>
      <w:r>
        <w:rPr>
          <w:rFonts w:hint="eastAsia"/>
          <w:color w:val="000000" w:themeColor="text1"/>
          <w14:textFill>
            <w14:solidFill>
              <w14:schemeClr w14:val="tx1"/>
            </w14:solidFill>
          </w14:textFill>
        </w:rPr>
        <w:t>根据设计资料，本工程新建11</w:t>
      </w:r>
      <w:r>
        <w:rPr>
          <w:rStyle w:val="69"/>
          <w:rFonts w:ascii="Times New Roman" w:eastAsia="宋体" w:cs="Times New Roman"/>
          <w:sz w:val="24"/>
        </w:rPr>
        <w:t>0kV</w:t>
      </w:r>
      <w:r>
        <w:rPr>
          <w:rStyle w:val="91"/>
          <w:rFonts w:ascii="Times New Roman" w:eastAsia="宋体" w:cs="Times New Roman"/>
          <w:sz w:val="24"/>
        </w:rPr>
        <w:t>线路均采用</w:t>
      </w:r>
      <w:r>
        <w:rPr>
          <w:rStyle w:val="69"/>
          <w:rFonts w:ascii="Times New Roman" w:eastAsia="宋体" w:cs="Times New Roman"/>
          <w:sz w:val="24"/>
        </w:rPr>
        <w:t>JL3/G1A-</w:t>
      </w:r>
      <w:r>
        <w:rPr>
          <w:rStyle w:val="69"/>
          <w:rFonts w:hint="eastAsia" w:ascii="Times New Roman" w:eastAsia="宋体" w:cs="Times New Roman"/>
          <w:sz w:val="24"/>
        </w:rPr>
        <w:t>240</w:t>
      </w:r>
      <w:r>
        <w:rPr>
          <w:rStyle w:val="69"/>
          <w:rFonts w:ascii="Times New Roman" w:eastAsia="宋体" w:cs="Times New Roman"/>
          <w:sz w:val="24"/>
        </w:rPr>
        <w:t>/</w:t>
      </w:r>
      <w:r>
        <w:rPr>
          <w:rStyle w:val="69"/>
          <w:rFonts w:hint="eastAsia" w:ascii="Times New Roman" w:eastAsia="宋体" w:cs="Times New Roman"/>
          <w:sz w:val="24"/>
        </w:rPr>
        <w:t>30</w:t>
      </w:r>
      <w:r>
        <w:rPr>
          <w:rStyle w:val="91"/>
          <w:rFonts w:ascii="Times New Roman" w:eastAsia="宋体" w:cs="Times New Roman"/>
          <w:sz w:val="24"/>
        </w:rPr>
        <w:t>钢芯铝绞线，</w:t>
      </w:r>
      <w:r>
        <w:rPr>
          <w:rStyle w:val="91"/>
          <w:rFonts w:hint="eastAsia" w:ascii="Times New Roman" w:eastAsia="宋体" w:cs="Times New Roman"/>
          <w:sz w:val="24"/>
        </w:rPr>
        <w:t>因此</w:t>
      </w:r>
      <w:r>
        <w:rPr>
          <w:rStyle w:val="91"/>
          <w:rFonts w:ascii="Times New Roman" w:eastAsia="宋体" w:cs="Times New Roman"/>
          <w:sz w:val="24"/>
        </w:rPr>
        <w:t>本环评</w:t>
      </w:r>
      <w:r>
        <w:rPr>
          <w:color w:val="000000" w:themeColor="text1"/>
          <w14:textFill>
            <w14:solidFill>
              <w14:schemeClr w14:val="tx1"/>
            </w14:solidFill>
          </w14:textFill>
        </w:rPr>
        <w:t>选择</w:t>
      </w:r>
      <w:r>
        <w:t>JL3/G1A-</w:t>
      </w:r>
      <w:r>
        <w:rPr>
          <w:rFonts w:hint="eastAsia"/>
        </w:rPr>
        <w:t>240</w:t>
      </w:r>
      <w:r>
        <w:t>/</w:t>
      </w:r>
      <w:r>
        <w:rPr>
          <w:rFonts w:hint="eastAsia"/>
        </w:rPr>
        <w:t>30型钢芯高导电率铝绞线导线进行预测，</w:t>
      </w:r>
      <w:r>
        <w:rPr>
          <w:snapToGrid w:val="0"/>
          <w:color w:val="000000"/>
          <w:kern w:val="0"/>
          <w:szCs w:val="24"/>
        </w:rPr>
        <w:t>导线电流为662A</w:t>
      </w:r>
      <w:r>
        <w:rPr>
          <w:rFonts w:hint="eastAsia"/>
          <w:color w:val="000000" w:themeColor="text1"/>
          <w14:textFill>
            <w14:solidFill>
              <w14:schemeClr w14:val="tx1"/>
            </w14:solidFill>
          </w14:textFill>
        </w:rPr>
        <w:t>。</w:t>
      </w:r>
    </w:p>
    <w:p>
      <w:pPr>
        <w:pStyle w:val="11"/>
        <w:rPr>
          <w:color w:val="000000" w:themeColor="text1"/>
          <w14:textFill>
            <w14:solidFill>
              <w14:schemeClr w14:val="tx1"/>
            </w14:solidFill>
          </w14:textFill>
        </w:rPr>
      </w:pPr>
      <w:r>
        <w:rPr>
          <w:rFonts w:hint="eastAsia"/>
          <w:color w:val="000000" w:themeColor="text1"/>
          <w14:textFill>
            <w14:solidFill>
              <w14:schemeClr w14:val="tx1"/>
            </w14:solidFill>
          </w14:textFill>
        </w:rPr>
        <w:t>（3）预测方案</w:t>
      </w:r>
    </w:p>
    <w:p>
      <w:pPr>
        <w:pStyle w:val="11"/>
        <w:rPr>
          <w:color w:val="000000" w:themeColor="text1"/>
          <w14:textFill>
            <w14:solidFill>
              <w14:schemeClr w14:val="tx1"/>
            </w14:solidFill>
          </w14:textFill>
        </w:rPr>
      </w:pPr>
      <w:r>
        <w:rPr>
          <w:rFonts w:hint="eastAsia"/>
          <w:color w:val="000000" w:themeColor="text1"/>
          <w14:textFill>
            <w14:solidFill>
              <w14:schemeClr w14:val="tx1"/>
            </w14:solidFill>
          </w14:textFill>
        </w:rPr>
        <w:t>根据本工程可研设计资料，本工程新建11</w:t>
      </w:r>
      <w:r>
        <w:rPr>
          <w:color w:val="000000" w:themeColor="text1"/>
          <w14:textFill>
            <w14:solidFill>
              <w14:schemeClr w14:val="tx1"/>
            </w14:solidFill>
          </w14:textFill>
        </w:rPr>
        <w:t>0kV</w:t>
      </w:r>
      <w:r>
        <w:rPr>
          <w:rFonts w:hint="eastAsia"/>
          <w:color w:val="000000" w:themeColor="text1"/>
          <w14:textFill>
            <w14:solidFill>
              <w14:schemeClr w14:val="tx1"/>
            </w14:solidFill>
          </w14:textFill>
        </w:rPr>
        <w:t>线路经过非居民区最小对地高度不低于</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m，经过居民区最小对地高度不低于7m。</w:t>
      </w:r>
      <w:r>
        <w:rPr>
          <w:color w:val="000000" w:themeColor="text1"/>
          <w14:textFill>
            <w14:solidFill>
              <w14:schemeClr w14:val="tx1"/>
            </w14:solidFill>
          </w14:textFill>
        </w:rPr>
        <w:t>本工</w:t>
      </w:r>
      <w:r>
        <w:rPr>
          <w:rFonts w:hint="eastAsia"/>
          <w:color w:val="000000" w:themeColor="text1"/>
          <w14:textFill>
            <w14:solidFill>
              <w14:schemeClr w14:val="tx1"/>
            </w14:solidFill>
          </w14:textFill>
        </w:rPr>
        <w:t>程新建1</w:t>
      </w:r>
      <w:r>
        <w:rPr>
          <w:color w:val="000000" w:themeColor="text1"/>
          <w14:textFill>
            <w14:solidFill>
              <w14:schemeClr w14:val="tx1"/>
            </w14:solidFill>
          </w14:textFill>
        </w:rPr>
        <w:t>10kV单回线路评价范围内涉及</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处电磁环境敏感目标（一层平顶），本工</w:t>
      </w:r>
      <w:r>
        <w:rPr>
          <w:rFonts w:hint="eastAsia"/>
          <w:color w:val="000000" w:themeColor="text1"/>
          <w14:textFill>
            <w14:solidFill>
              <w14:schemeClr w14:val="tx1"/>
            </w14:solidFill>
          </w14:textFill>
        </w:rPr>
        <w:t>程新建11</w:t>
      </w:r>
      <w:r>
        <w:rPr>
          <w:color w:val="000000" w:themeColor="text1"/>
          <w14:textFill>
            <w14:solidFill>
              <w14:schemeClr w14:val="tx1"/>
            </w14:solidFill>
          </w14:textFill>
        </w:rPr>
        <w:t>0</w:t>
      </w:r>
      <w:r>
        <w:rPr>
          <w:rFonts w:hint="eastAsia"/>
          <w:color w:val="000000"/>
        </w:rPr>
        <w:t>kV</w:t>
      </w:r>
      <w:r>
        <w:rPr>
          <w:color w:val="000000"/>
          <w:lang w:bidi="ar"/>
        </w:rPr>
        <w:t>同塔双回挂线和同塔双回挂线</w:t>
      </w:r>
      <w:r>
        <w:rPr>
          <w:rFonts w:hint="eastAsia"/>
        </w:rPr>
        <w:t>（本期单边挂线）均</w:t>
      </w:r>
      <w:r>
        <w:rPr>
          <w:color w:val="000000" w:themeColor="text1"/>
          <w14:textFill>
            <w14:solidFill>
              <w14:schemeClr w14:val="tx1"/>
            </w14:solidFill>
          </w14:textFill>
        </w:rPr>
        <w:t>仅在</w:t>
      </w:r>
      <w:r>
        <w:rPr>
          <w:rFonts w:hint="eastAsia"/>
          <w:color w:val="000000" w:themeColor="text1"/>
          <w14:textFill>
            <w14:solidFill>
              <w14:schemeClr w14:val="tx1"/>
            </w14:solidFill>
          </w14:textFill>
        </w:rPr>
        <w:t>变电站</w:t>
      </w:r>
      <w:r>
        <w:rPr>
          <w:color w:val="000000" w:themeColor="text1"/>
          <w14:textFill>
            <w14:solidFill>
              <w14:schemeClr w14:val="tx1"/>
            </w14:solidFill>
          </w14:textFill>
        </w:rPr>
        <w:t>出线端采用</w:t>
      </w:r>
      <w:r>
        <w:rPr>
          <w:rFonts w:hint="eastAsia"/>
          <w:color w:val="000000" w:themeColor="text1"/>
          <w14:textFill>
            <w14:solidFill>
              <w14:schemeClr w14:val="tx1"/>
            </w14:solidFill>
          </w14:textFill>
        </w:rPr>
        <w:t>双回路</w:t>
      </w:r>
      <w:r>
        <w:rPr>
          <w:color w:val="000000" w:themeColor="text1"/>
          <w14:textFill>
            <w14:solidFill>
              <w14:schemeClr w14:val="tx1"/>
            </w14:solidFill>
          </w14:textFill>
        </w:rPr>
        <w:t>终端塔</w:t>
      </w:r>
      <w:r>
        <w:rPr>
          <w:rFonts w:hint="eastAsia"/>
          <w:color w:val="000000" w:themeColor="text1"/>
          <w14:textFill>
            <w14:solidFill>
              <w14:schemeClr w14:val="tx1"/>
            </w14:solidFill>
          </w14:textFill>
        </w:rPr>
        <w:t>挂线</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线路</w:t>
      </w:r>
      <w:r>
        <w:rPr>
          <w:color w:val="000000" w:themeColor="text1"/>
          <w14:textFill>
            <w14:solidFill>
              <w14:schemeClr w14:val="tx1"/>
            </w14:solidFill>
          </w14:textFill>
        </w:rPr>
        <w:t>较短</w:t>
      </w:r>
      <w:r>
        <w:rPr>
          <w:rFonts w:hint="eastAsia"/>
          <w:color w:val="000000" w:themeColor="text1"/>
          <w14:textFill>
            <w14:solidFill>
              <w14:schemeClr w14:val="tx1"/>
            </w14:solidFill>
          </w14:textFill>
        </w:rPr>
        <w:t>且</w:t>
      </w:r>
      <w:r>
        <w:rPr>
          <w:color w:val="000000" w:themeColor="text1"/>
          <w14:textFill>
            <w14:solidFill>
              <w14:schemeClr w14:val="tx1"/>
            </w14:solidFill>
          </w14:textFill>
        </w:rPr>
        <w:t>无电磁环境</w:t>
      </w:r>
      <w:r>
        <w:rPr>
          <w:rFonts w:hint="eastAsia"/>
          <w:color w:val="000000" w:themeColor="text1"/>
          <w14:textFill>
            <w14:solidFill>
              <w14:schemeClr w14:val="tx1"/>
            </w14:solidFill>
          </w14:textFill>
        </w:rPr>
        <w:t>敏感目标</w:t>
      </w:r>
      <w:r>
        <w:rPr>
          <w:color w:val="000000" w:themeColor="text1"/>
          <w14:textFill>
            <w14:solidFill>
              <w14:schemeClr w14:val="tx1"/>
            </w14:solidFill>
          </w14:textFill>
        </w:rPr>
        <w:t>，因此</w:t>
      </w:r>
      <w:r>
        <w:rPr>
          <w:rFonts w:hint="eastAsia"/>
          <w:color w:val="000000" w:themeColor="text1"/>
          <w14:textFill>
            <w14:solidFill>
              <w14:schemeClr w14:val="tx1"/>
            </w14:solidFill>
          </w14:textFill>
        </w:rPr>
        <w:t>本环评仅</w:t>
      </w:r>
      <w:r>
        <w:rPr>
          <w:color w:val="000000" w:themeColor="text1"/>
          <w14:textFill>
            <w14:solidFill>
              <w14:schemeClr w14:val="tx1"/>
            </w14:solidFill>
          </w14:textFill>
        </w:rPr>
        <w:t>对110kV</w:t>
      </w:r>
      <w:r>
        <w:rPr>
          <w:rFonts w:hint="eastAsia"/>
          <w:color w:val="000000" w:themeColor="text1"/>
          <w14:textFill>
            <w14:solidFill>
              <w14:schemeClr w14:val="tx1"/>
            </w14:solidFill>
          </w14:textFill>
        </w:rPr>
        <w:t>双回线路经过非居民区展开预测。</w:t>
      </w:r>
    </w:p>
    <w:p>
      <w:pPr>
        <w:pStyle w:val="11"/>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线路经过非居民区，输电线路预测导线对地高度</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m，距离地面1.5m处的电磁环境。</w:t>
      </w:r>
    </w:p>
    <w:p>
      <w:pPr>
        <w:pStyle w:val="11"/>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线路经过居民区，输电线路预测导线对地高度7m，距离地面1.5m、4</w:t>
      </w:r>
      <w:r>
        <w:rPr>
          <w:color w:val="000000" w:themeColor="text1"/>
          <w14:textFill>
            <w14:solidFill>
              <w14:schemeClr w14:val="tx1"/>
            </w14:solidFill>
          </w14:textFill>
        </w:rPr>
        <w:t>.5m</w:t>
      </w:r>
      <w:r>
        <w:rPr>
          <w:rFonts w:hint="eastAsia"/>
          <w:color w:val="000000" w:themeColor="text1"/>
          <w14:textFill>
            <w14:solidFill>
              <w14:schemeClr w14:val="tx1"/>
            </w14:solidFill>
          </w14:textFill>
        </w:rPr>
        <w:t>处的电磁环境。</w:t>
      </w:r>
    </w:p>
    <w:p>
      <w:pPr>
        <w:spacing w:line="360" w:lineRule="auto"/>
        <w:ind w:firstLine="480" w:firstLineChars="200"/>
        <w:rPr>
          <w:color w:val="000000"/>
          <w:sz w:val="24"/>
          <w:szCs w:val="20"/>
        </w:rPr>
      </w:pPr>
      <w:r>
        <w:rPr>
          <w:color w:val="000000"/>
          <w:sz w:val="24"/>
          <w:szCs w:val="20"/>
        </w:rPr>
        <w:t>相关预测参数及预测计算</w:t>
      </w:r>
      <w:r>
        <w:rPr>
          <w:color w:val="000000" w:themeColor="text1"/>
          <w:sz w:val="24"/>
          <w:szCs w:val="20"/>
          <w14:textFill>
            <w14:solidFill>
              <w14:schemeClr w14:val="tx1"/>
            </w14:solidFill>
          </w14:textFill>
        </w:rPr>
        <w:t>方案</w:t>
      </w:r>
      <w:r>
        <w:rPr>
          <w:rFonts w:hint="eastAsia"/>
          <w:color w:val="000000" w:themeColor="text1"/>
          <w:sz w:val="24"/>
          <w:szCs w:val="20"/>
          <w14:textFill>
            <w14:solidFill>
              <w14:schemeClr w14:val="tx1"/>
            </w14:solidFill>
          </w14:textFill>
        </w:rPr>
        <w:t>详见</w:t>
      </w:r>
      <w:r>
        <w:rPr>
          <w:rFonts w:hint="eastAsia"/>
          <w:color w:val="000000" w:themeColor="text1"/>
          <w:sz w:val="24"/>
          <w:szCs w:val="20"/>
          <w14:textFill>
            <w14:solidFill>
              <w14:schemeClr w14:val="tx1"/>
            </w14:solidFill>
          </w14:textFill>
        </w:rPr>
        <w:fldChar w:fldCharType="begin"/>
      </w:r>
      <w:r>
        <w:rPr>
          <w:rFonts w:hint="eastAsia"/>
          <w:color w:val="000000" w:themeColor="text1"/>
          <w:sz w:val="24"/>
          <w:szCs w:val="20"/>
          <w14:textFill>
            <w14:solidFill>
              <w14:schemeClr w14:val="tx1"/>
            </w14:solidFill>
          </w14:textFill>
        </w:rPr>
        <w:instrText xml:space="preserve"> REF _Ref11861 \h </w:instrText>
      </w:r>
      <w:r>
        <w:rPr>
          <w:color w:val="000000" w:themeColor="text1"/>
          <w:sz w:val="24"/>
          <w:szCs w:val="20"/>
          <w14:textFill>
            <w14:solidFill>
              <w14:schemeClr w14:val="tx1"/>
            </w14:solidFill>
          </w14:textFill>
        </w:rPr>
        <w:instrText xml:space="preserve"> \* MERGEFORMAT </w:instrText>
      </w:r>
      <w:r>
        <w:rPr>
          <w:rFonts w:hint="eastAsia"/>
          <w:color w:val="000000" w:themeColor="text1"/>
          <w:sz w:val="24"/>
          <w:szCs w:val="20"/>
          <w14:textFill>
            <w14:solidFill>
              <w14:schemeClr w14:val="tx1"/>
            </w14:solidFill>
          </w14:textFill>
        </w:rPr>
        <w:fldChar w:fldCharType="separate"/>
      </w:r>
      <w:r>
        <w:rPr>
          <w:color w:val="000000" w:themeColor="text1"/>
          <w:sz w:val="24"/>
          <w:szCs w:val="20"/>
          <w14:textFill>
            <w14:solidFill>
              <w14:schemeClr w14:val="tx1"/>
            </w14:solidFill>
          </w14:textFill>
        </w:rPr>
        <w:t>表 35</w:t>
      </w:r>
      <w:r>
        <w:rPr>
          <w:rFonts w:hint="eastAsia"/>
          <w:color w:val="000000" w:themeColor="text1"/>
          <w:sz w:val="24"/>
          <w:szCs w:val="20"/>
          <w14:textFill>
            <w14:solidFill>
              <w14:schemeClr w14:val="tx1"/>
            </w14:solidFill>
          </w14:textFill>
        </w:rPr>
        <w:fldChar w:fldCharType="end"/>
      </w:r>
      <w:r>
        <w:rPr>
          <w:rFonts w:hint="eastAsia"/>
          <w:color w:val="000000" w:themeColor="text1"/>
          <w:sz w:val="24"/>
          <w:szCs w:val="20"/>
          <w14:textFill>
            <w14:solidFill>
              <w14:schemeClr w14:val="tx1"/>
            </w14:solidFill>
          </w14:textFill>
        </w:rPr>
        <w:t>。</w:t>
      </w:r>
    </w:p>
    <w:bookmarkEnd w:id="861"/>
    <w:p>
      <w:pPr>
        <w:adjustRightInd w:val="0"/>
        <w:snapToGrid w:val="0"/>
        <w:rPr>
          <w:rFonts w:eastAsia="黑体"/>
          <w:b/>
          <w:bCs/>
          <w:color w:val="000000"/>
          <w:szCs w:val="20"/>
        </w:rPr>
      </w:pPr>
      <w:bookmarkStart w:id="864" w:name="_Ref11861"/>
      <w:r>
        <w:rPr>
          <w:bCs/>
        </w:rPr>
        <w:t xml:space="preserve">表 </w:t>
      </w:r>
      <w:r>
        <w:rPr>
          <w:bCs/>
        </w:rPr>
        <w:fldChar w:fldCharType="begin"/>
      </w:r>
      <w:r>
        <w:rPr>
          <w:bCs/>
        </w:rPr>
        <w:instrText xml:space="preserve"> SEQ 表 \* ARABIC </w:instrText>
      </w:r>
      <w:r>
        <w:rPr>
          <w:bCs/>
        </w:rPr>
        <w:fldChar w:fldCharType="separate"/>
      </w:r>
      <w:r>
        <w:rPr>
          <w:bCs/>
        </w:rPr>
        <w:t>35</w:t>
      </w:r>
      <w:r>
        <w:rPr>
          <w:bCs/>
        </w:rPr>
        <w:fldChar w:fldCharType="end"/>
      </w:r>
      <w:bookmarkEnd w:id="864"/>
      <w:r>
        <w:rPr>
          <w:bCs/>
        </w:rPr>
        <w:t xml:space="preserve"> </w:t>
      </w:r>
      <w:r>
        <w:rPr>
          <w:rFonts w:eastAsia="黑体"/>
          <w:bCs/>
          <w:color w:val="000000"/>
          <w:szCs w:val="20"/>
        </w:rPr>
        <w:t xml:space="preserve">                          本工程线路预测参数及方案</w:t>
      </w:r>
    </w:p>
    <w:tbl>
      <w:tblPr>
        <w:tblStyle w:val="43"/>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72"/>
        <w:gridCol w:w="1045"/>
        <w:gridCol w:w="3889"/>
        <w:gridCol w:w="34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32" w:type="pct"/>
            <w:gridSpan w:val="2"/>
            <w:vAlign w:val="center"/>
          </w:tcPr>
          <w:p>
            <w:pPr>
              <w:jc w:val="center"/>
              <w:rPr>
                <w:b/>
                <w:color w:val="000000"/>
                <w:szCs w:val="21"/>
              </w:rPr>
            </w:pPr>
            <w:r>
              <w:rPr>
                <w:rFonts w:hint="eastAsia"/>
                <w:b/>
                <w:color w:val="000000"/>
                <w:szCs w:val="21"/>
              </w:rPr>
              <w:t>线路回路数</w:t>
            </w:r>
          </w:p>
        </w:tc>
        <w:tc>
          <w:tcPr>
            <w:tcW w:w="2095" w:type="pct"/>
            <w:tcBorders>
              <w:left w:val="single" w:color="auto" w:sz="4" w:space="0"/>
              <w:right w:val="single" w:color="auto" w:sz="4" w:space="0"/>
            </w:tcBorders>
            <w:vAlign w:val="center"/>
          </w:tcPr>
          <w:p>
            <w:pPr>
              <w:jc w:val="center"/>
              <w:rPr>
                <w:b/>
                <w:color w:val="000000"/>
                <w:szCs w:val="21"/>
              </w:rPr>
            </w:pPr>
            <w:r>
              <w:rPr>
                <w:rFonts w:hint="eastAsia"/>
                <w:b/>
                <w:color w:val="000000"/>
                <w:szCs w:val="21"/>
              </w:rPr>
              <w:t>11</w:t>
            </w:r>
            <w:r>
              <w:rPr>
                <w:b/>
                <w:color w:val="000000"/>
                <w:szCs w:val="21"/>
              </w:rPr>
              <w:t>0kV</w:t>
            </w:r>
            <w:r>
              <w:rPr>
                <w:rFonts w:hint="eastAsia"/>
                <w:b/>
                <w:color w:val="000000"/>
                <w:szCs w:val="21"/>
              </w:rPr>
              <w:t>单回线路架设段</w:t>
            </w:r>
          </w:p>
        </w:tc>
        <w:tc>
          <w:tcPr>
            <w:tcW w:w="1873" w:type="pct"/>
            <w:tcBorders>
              <w:left w:val="single" w:color="auto" w:sz="4" w:space="0"/>
              <w:right w:val="single" w:color="auto" w:sz="4" w:space="0"/>
            </w:tcBorders>
            <w:vAlign w:val="center"/>
          </w:tcPr>
          <w:p>
            <w:pPr>
              <w:jc w:val="center"/>
              <w:rPr>
                <w:b/>
                <w:color w:val="000000"/>
                <w:szCs w:val="21"/>
              </w:rPr>
            </w:pPr>
            <w:r>
              <w:rPr>
                <w:rFonts w:hint="eastAsia"/>
                <w:b/>
                <w:color w:val="000000"/>
                <w:szCs w:val="21"/>
              </w:rPr>
              <w:t>110kV同塔双回线路架设段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32" w:type="pct"/>
            <w:gridSpan w:val="2"/>
            <w:vAlign w:val="center"/>
          </w:tcPr>
          <w:p>
            <w:pPr>
              <w:jc w:val="center"/>
              <w:rPr>
                <w:bCs/>
                <w:color w:val="000000"/>
                <w:szCs w:val="21"/>
              </w:rPr>
            </w:pPr>
            <w:r>
              <w:rPr>
                <w:rFonts w:hint="eastAsia"/>
                <w:bCs/>
                <w:color w:val="000000"/>
                <w:szCs w:val="21"/>
              </w:rPr>
              <w:t>杆塔型式</w:t>
            </w:r>
          </w:p>
        </w:tc>
        <w:tc>
          <w:tcPr>
            <w:tcW w:w="2095" w:type="pct"/>
            <w:tcBorders>
              <w:left w:val="single" w:color="auto" w:sz="4" w:space="0"/>
              <w:right w:val="single" w:color="auto" w:sz="4" w:space="0"/>
            </w:tcBorders>
            <w:vAlign w:val="center"/>
          </w:tcPr>
          <w:p>
            <w:pPr>
              <w:jc w:val="center"/>
              <w:rPr>
                <w:color w:val="000000"/>
                <w:szCs w:val="21"/>
              </w:rPr>
            </w:pPr>
            <w:r>
              <w:rPr>
                <w:color w:val="000000"/>
                <w:szCs w:val="21"/>
              </w:rPr>
              <w:t>NR110-35-ZB3</w:t>
            </w:r>
            <w:r>
              <w:rPr>
                <w:rFonts w:hint="eastAsia"/>
                <w:color w:val="000000"/>
                <w:szCs w:val="21"/>
              </w:rPr>
              <w:t>型</w:t>
            </w:r>
          </w:p>
        </w:tc>
        <w:tc>
          <w:tcPr>
            <w:tcW w:w="1873" w:type="pct"/>
            <w:tcBorders>
              <w:left w:val="single" w:color="auto" w:sz="4" w:space="0"/>
              <w:right w:val="single" w:color="auto" w:sz="4" w:space="0"/>
            </w:tcBorders>
            <w:vAlign w:val="center"/>
          </w:tcPr>
          <w:p>
            <w:pPr>
              <w:jc w:val="center"/>
              <w:rPr>
                <w:color w:val="000000"/>
                <w:szCs w:val="21"/>
              </w:rPr>
            </w:pPr>
            <w:r>
              <w:rPr>
                <w:color w:val="000000"/>
                <w:szCs w:val="21"/>
              </w:rPr>
              <w:t>NR110-35-SFT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32" w:type="pct"/>
            <w:gridSpan w:val="2"/>
            <w:vAlign w:val="center"/>
          </w:tcPr>
          <w:p>
            <w:pPr>
              <w:jc w:val="center"/>
              <w:rPr>
                <w:bCs/>
                <w:color w:val="000000"/>
                <w:szCs w:val="21"/>
              </w:rPr>
            </w:pPr>
            <w:r>
              <w:rPr>
                <w:rFonts w:hint="eastAsia"/>
                <w:bCs/>
                <w:color w:val="000000"/>
                <w:szCs w:val="21"/>
              </w:rPr>
              <w:t>导线类型</w:t>
            </w:r>
          </w:p>
        </w:tc>
        <w:tc>
          <w:tcPr>
            <w:tcW w:w="3968" w:type="pct"/>
            <w:gridSpan w:val="2"/>
            <w:tcBorders>
              <w:left w:val="single" w:color="auto" w:sz="4" w:space="0"/>
              <w:right w:val="single" w:color="auto" w:sz="4" w:space="0"/>
            </w:tcBorders>
            <w:vAlign w:val="center"/>
          </w:tcPr>
          <w:p>
            <w:pPr>
              <w:jc w:val="center"/>
              <w:rPr>
                <w:rFonts w:cs="ˎ̥"/>
                <w:color w:val="000000"/>
                <w:szCs w:val="21"/>
              </w:rPr>
            </w:pPr>
            <w:r>
              <w:rPr>
                <w:rFonts w:hint="eastAsia" w:cs="ˎ̥"/>
                <w:color w:val="000000"/>
                <w:szCs w:val="21"/>
              </w:rPr>
              <w:t>JL3/G1A-240/30型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32" w:type="pct"/>
            <w:gridSpan w:val="2"/>
            <w:vAlign w:val="center"/>
          </w:tcPr>
          <w:p>
            <w:pPr>
              <w:jc w:val="center"/>
              <w:rPr>
                <w:bCs/>
                <w:color w:val="000000"/>
                <w:szCs w:val="21"/>
              </w:rPr>
            </w:pPr>
            <w:r>
              <w:rPr>
                <w:rFonts w:hint="eastAsia"/>
                <w:bCs/>
                <w:color w:val="000000"/>
                <w:szCs w:val="21"/>
              </w:rPr>
              <w:t>导线半径（</w:t>
            </w:r>
            <w:r>
              <w:rPr>
                <w:bCs/>
                <w:color w:val="000000"/>
                <w:szCs w:val="21"/>
              </w:rPr>
              <w:t>m</w:t>
            </w:r>
            <w:r>
              <w:rPr>
                <w:rFonts w:hint="eastAsia"/>
                <w:bCs/>
                <w:color w:val="000000"/>
                <w:szCs w:val="21"/>
              </w:rPr>
              <w:t>）</w:t>
            </w:r>
          </w:p>
        </w:tc>
        <w:tc>
          <w:tcPr>
            <w:tcW w:w="3968" w:type="pct"/>
            <w:gridSpan w:val="2"/>
            <w:tcBorders>
              <w:left w:val="single" w:color="auto" w:sz="4" w:space="0"/>
              <w:right w:val="single" w:color="auto" w:sz="4" w:space="0"/>
            </w:tcBorders>
            <w:vAlign w:val="center"/>
          </w:tcPr>
          <w:p>
            <w:pPr>
              <w:jc w:val="center"/>
              <w:rPr>
                <w:color w:val="000000"/>
                <w:szCs w:val="21"/>
              </w:rPr>
            </w:pPr>
            <w:r>
              <w:rPr>
                <w:rFonts w:hint="eastAsia"/>
                <w:color w:val="000000"/>
                <w:szCs w:val="21"/>
              </w:rPr>
              <w:t>0.0108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32" w:type="pct"/>
            <w:gridSpan w:val="2"/>
            <w:vAlign w:val="center"/>
          </w:tcPr>
          <w:p>
            <w:pPr>
              <w:jc w:val="center"/>
              <w:rPr>
                <w:bCs/>
                <w:color w:val="000000"/>
                <w:szCs w:val="21"/>
              </w:rPr>
            </w:pPr>
            <w:r>
              <w:rPr>
                <w:rFonts w:hint="eastAsia"/>
                <w:bCs/>
                <w:color w:val="000000"/>
                <w:szCs w:val="21"/>
              </w:rPr>
              <w:t>允许载流量（</w:t>
            </w:r>
            <w:r>
              <w:rPr>
                <w:bCs/>
                <w:color w:val="000000"/>
                <w:szCs w:val="21"/>
              </w:rPr>
              <w:t>A</w:t>
            </w:r>
            <w:r>
              <w:rPr>
                <w:rFonts w:hint="eastAsia"/>
                <w:bCs/>
                <w:color w:val="000000"/>
                <w:szCs w:val="21"/>
              </w:rPr>
              <w:t>）</w:t>
            </w:r>
          </w:p>
        </w:tc>
        <w:tc>
          <w:tcPr>
            <w:tcW w:w="3968" w:type="pct"/>
            <w:gridSpan w:val="2"/>
            <w:tcBorders>
              <w:left w:val="single" w:color="auto" w:sz="4" w:space="0"/>
              <w:right w:val="single" w:color="auto" w:sz="4" w:space="0"/>
            </w:tcBorders>
            <w:vAlign w:val="center"/>
          </w:tcPr>
          <w:p>
            <w:pPr>
              <w:jc w:val="center"/>
              <w:rPr>
                <w:color w:val="000000"/>
                <w:szCs w:val="21"/>
              </w:rPr>
            </w:pPr>
            <w:r>
              <w:rPr>
                <w:color w:val="000000"/>
                <w:szCs w:val="21"/>
              </w:rPr>
              <w:t>662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32" w:type="pct"/>
            <w:gridSpan w:val="2"/>
            <w:vAlign w:val="center"/>
          </w:tcPr>
          <w:p>
            <w:pPr>
              <w:jc w:val="center"/>
              <w:rPr>
                <w:bCs/>
                <w:color w:val="000000"/>
                <w:szCs w:val="21"/>
              </w:rPr>
            </w:pPr>
            <w:r>
              <w:rPr>
                <w:rFonts w:hint="eastAsia"/>
                <w:bCs/>
                <w:color w:val="000000"/>
                <w:szCs w:val="21"/>
              </w:rPr>
              <w:t>分裂数</w:t>
            </w:r>
          </w:p>
        </w:tc>
        <w:tc>
          <w:tcPr>
            <w:tcW w:w="3968" w:type="pct"/>
            <w:gridSpan w:val="2"/>
            <w:tcBorders>
              <w:left w:val="single" w:color="auto" w:sz="4" w:space="0"/>
              <w:right w:val="single" w:color="auto" w:sz="4" w:space="0"/>
            </w:tcBorders>
            <w:vAlign w:val="center"/>
          </w:tcPr>
          <w:p>
            <w:pPr>
              <w:jc w:val="center"/>
              <w:rPr>
                <w:color w:val="000000"/>
                <w:szCs w:val="21"/>
              </w:rPr>
            </w:pPr>
            <w:r>
              <w:rPr>
                <w:rFonts w:hint="eastAsia"/>
                <w:color w:val="000000"/>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32" w:type="pct"/>
            <w:gridSpan w:val="2"/>
            <w:vAlign w:val="center"/>
          </w:tcPr>
          <w:p>
            <w:pPr>
              <w:jc w:val="center"/>
              <w:rPr>
                <w:bCs/>
                <w:color w:val="000000"/>
                <w:szCs w:val="21"/>
              </w:rPr>
            </w:pPr>
            <w:r>
              <w:rPr>
                <w:rFonts w:hint="eastAsia"/>
                <w:bCs/>
                <w:color w:val="000000"/>
                <w:szCs w:val="21"/>
              </w:rPr>
              <w:t>分裂间距</w:t>
            </w:r>
          </w:p>
        </w:tc>
        <w:tc>
          <w:tcPr>
            <w:tcW w:w="3968" w:type="pct"/>
            <w:gridSpan w:val="2"/>
            <w:tcBorders>
              <w:left w:val="single" w:color="auto" w:sz="4" w:space="0"/>
              <w:right w:val="single" w:color="auto" w:sz="4" w:space="0"/>
            </w:tcBorders>
            <w:vAlign w:val="center"/>
          </w:tcPr>
          <w:p>
            <w:pPr>
              <w:jc w:val="center"/>
              <w:rPr>
                <w:color w:val="000000"/>
                <w:szCs w:val="21"/>
              </w:rPr>
            </w:pPr>
            <w:r>
              <w:rPr>
                <w:rFonts w:hint="eastAsia"/>
                <w:color w:val="000000"/>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32" w:type="pct"/>
            <w:gridSpan w:val="2"/>
            <w:vAlign w:val="center"/>
          </w:tcPr>
          <w:p>
            <w:pPr>
              <w:jc w:val="center"/>
              <w:rPr>
                <w:bCs/>
                <w:color w:val="000000"/>
                <w:szCs w:val="21"/>
              </w:rPr>
            </w:pPr>
            <w:r>
              <w:rPr>
                <w:rFonts w:hint="eastAsia"/>
                <w:szCs w:val="21"/>
              </w:rPr>
              <w:t>导线排列方式</w:t>
            </w:r>
          </w:p>
        </w:tc>
        <w:tc>
          <w:tcPr>
            <w:tcW w:w="2095" w:type="pct"/>
            <w:tcBorders>
              <w:left w:val="single" w:color="auto" w:sz="4" w:space="0"/>
              <w:right w:val="single" w:color="auto" w:sz="4" w:space="0"/>
            </w:tcBorders>
            <w:vAlign w:val="center"/>
          </w:tcPr>
          <w:p>
            <w:pPr>
              <w:pStyle w:val="11"/>
              <w:spacing w:line="240" w:lineRule="auto"/>
              <w:ind w:firstLine="0" w:firstLineChars="0"/>
              <w:jc w:val="center"/>
              <w:rPr>
                <w:sz w:val="21"/>
                <w:szCs w:val="21"/>
              </w:rPr>
            </w:pPr>
            <w:r>
              <w:rPr>
                <w:rFonts w:hint="eastAsia"/>
                <w:sz w:val="21"/>
                <w:szCs w:val="21"/>
              </w:rPr>
              <w:t>水平排列</w:t>
            </w:r>
          </w:p>
        </w:tc>
        <w:tc>
          <w:tcPr>
            <w:tcW w:w="1873" w:type="pct"/>
            <w:tcBorders>
              <w:left w:val="single" w:color="auto" w:sz="4" w:space="0"/>
              <w:right w:val="single" w:color="auto" w:sz="4" w:space="0"/>
            </w:tcBorders>
            <w:vAlign w:val="center"/>
          </w:tcPr>
          <w:p>
            <w:pPr>
              <w:pStyle w:val="11"/>
              <w:spacing w:line="240" w:lineRule="auto"/>
              <w:ind w:firstLine="0" w:firstLineChars="0"/>
              <w:jc w:val="center"/>
              <w:rPr>
                <w:sz w:val="21"/>
                <w:szCs w:val="21"/>
              </w:rPr>
            </w:pPr>
            <w:r>
              <w:rPr>
                <w:rFonts w:hint="eastAsia"/>
                <w:sz w:val="21"/>
                <w:szCs w:val="21"/>
              </w:rPr>
              <w:t>伞型排列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80" w:hRule="atLeast"/>
          <w:jc w:val="center"/>
        </w:trPr>
        <w:tc>
          <w:tcPr>
            <w:tcW w:w="469" w:type="pct"/>
            <w:vMerge w:val="restart"/>
            <w:vAlign w:val="center"/>
          </w:tcPr>
          <w:p>
            <w:pPr>
              <w:rPr>
                <w:bCs/>
                <w:color w:val="000000"/>
                <w:szCs w:val="21"/>
              </w:rPr>
            </w:pPr>
            <w:r>
              <w:rPr>
                <w:rFonts w:hint="eastAsia"/>
                <w:bCs/>
                <w:color w:val="000000"/>
                <w:szCs w:val="21"/>
              </w:rPr>
              <w:t>导线间距（</w:t>
            </w:r>
            <w:r>
              <w:rPr>
                <w:bCs/>
                <w:color w:val="000000"/>
                <w:szCs w:val="21"/>
              </w:rPr>
              <w:t>m</w:t>
            </w:r>
            <w:r>
              <w:rPr>
                <w:rFonts w:hint="eastAsia"/>
                <w:bCs/>
                <w:color w:val="000000"/>
                <w:szCs w:val="21"/>
              </w:rPr>
              <w:t>）</w:t>
            </w:r>
          </w:p>
        </w:tc>
        <w:tc>
          <w:tcPr>
            <w:tcW w:w="563" w:type="pct"/>
            <w:vAlign w:val="center"/>
          </w:tcPr>
          <w:p>
            <w:pPr>
              <w:jc w:val="center"/>
              <w:rPr>
                <w:bCs/>
                <w:color w:val="000000"/>
                <w:szCs w:val="21"/>
              </w:rPr>
            </w:pPr>
            <w:r>
              <w:rPr>
                <w:rFonts w:hint="eastAsia"/>
                <w:bCs/>
                <w:color w:val="000000"/>
                <w:szCs w:val="21"/>
              </w:rPr>
              <w:t>水平</w:t>
            </w:r>
          </w:p>
        </w:tc>
        <w:tc>
          <w:tcPr>
            <w:tcW w:w="2095" w:type="pct"/>
            <w:tcBorders>
              <w:left w:val="single" w:color="auto" w:sz="4" w:space="0"/>
              <w:right w:val="single" w:color="auto" w:sz="4" w:space="0"/>
            </w:tcBorders>
            <w:vAlign w:val="center"/>
          </w:tcPr>
          <w:p>
            <w:pPr>
              <w:jc w:val="center"/>
              <w:rPr>
                <w:color w:val="000000"/>
                <w:szCs w:val="21"/>
              </w:rPr>
            </w:pPr>
            <w:r>
              <w:rPr>
                <w:color w:val="000000"/>
                <w:szCs w:val="21"/>
              </w:rPr>
              <w:t>6.25/6.25</w:t>
            </w:r>
          </w:p>
        </w:tc>
        <w:tc>
          <w:tcPr>
            <w:tcW w:w="1873" w:type="pct"/>
            <w:tcBorders>
              <w:left w:val="single" w:color="auto" w:sz="4" w:space="0"/>
              <w:right w:val="single" w:color="auto" w:sz="4" w:space="0"/>
            </w:tcBorders>
            <w:vAlign w:val="center"/>
          </w:tcPr>
          <w:p>
            <w:pPr>
              <w:pStyle w:val="68"/>
              <w:spacing w:before="31" w:after="31" w:line="240" w:lineRule="auto"/>
              <w:rPr>
                <w:rFonts w:ascii="Times New Roman"/>
                <w:szCs w:val="21"/>
              </w:rPr>
            </w:pPr>
            <w:r>
              <w:rPr>
                <w:rFonts w:hint="eastAsia" w:ascii="Times New Roman"/>
              </w:rPr>
              <w:t>上：</w:t>
            </w:r>
            <w:r>
              <w:rPr>
                <w:rFonts w:ascii="Times New Roman"/>
              </w:rPr>
              <w:t xml:space="preserve">4.0  </w:t>
            </w:r>
            <w:r>
              <w:rPr>
                <w:rFonts w:hint="eastAsia" w:ascii="Times New Roman"/>
              </w:rPr>
              <w:t>上：</w:t>
            </w:r>
            <w:r>
              <w:rPr>
                <w:rFonts w:ascii="Times New Roman"/>
              </w:rPr>
              <w:t>4.0</w:t>
            </w:r>
          </w:p>
          <w:p>
            <w:pPr>
              <w:pStyle w:val="68"/>
              <w:spacing w:before="31" w:after="31" w:line="240" w:lineRule="auto"/>
              <w:rPr>
                <w:rFonts w:ascii="Times New Roman"/>
              </w:rPr>
            </w:pPr>
            <w:r>
              <w:rPr>
                <w:rFonts w:hint="eastAsia" w:ascii="Times New Roman"/>
              </w:rPr>
              <w:t>中：</w:t>
            </w:r>
            <w:r>
              <w:rPr>
                <w:rFonts w:ascii="Times New Roman"/>
              </w:rPr>
              <w:t xml:space="preserve">4.5  </w:t>
            </w:r>
            <w:r>
              <w:rPr>
                <w:rFonts w:hint="eastAsia" w:ascii="Times New Roman"/>
              </w:rPr>
              <w:t>中：</w:t>
            </w:r>
            <w:r>
              <w:rPr>
                <w:rFonts w:ascii="Times New Roman"/>
              </w:rPr>
              <w:t>4.5</w:t>
            </w:r>
          </w:p>
          <w:p>
            <w:pPr>
              <w:jc w:val="center"/>
              <w:rPr>
                <w:color w:val="000000"/>
                <w:szCs w:val="21"/>
              </w:rPr>
            </w:pPr>
            <w:r>
              <w:rPr>
                <w:rFonts w:hint="eastAsia"/>
              </w:rPr>
              <w:t>下：</w:t>
            </w:r>
            <w:r>
              <w:t xml:space="preserve">5.0  </w:t>
            </w:r>
            <w:r>
              <w:rPr>
                <w:rFonts w:hint="eastAsia"/>
              </w:rPr>
              <w:t>下：</w:t>
            </w:r>
            <w:r>
              <w:t>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69" w:type="pct"/>
            <w:vMerge w:val="continue"/>
            <w:vAlign w:val="center"/>
          </w:tcPr>
          <w:p>
            <w:pPr>
              <w:jc w:val="center"/>
              <w:rPr>
                <w:bCs/>
                <w:color w:val="000000"/>
                <w:szCs w:val="21"/>
              </w:rPr>
            </w:pPr>
          </w:p>
        </w:tc>
        <w:tc>
          <w:tcPr>
            <w:tcW w:w="563" w:type="pct"/>
            <w:vAlign w:val="center"/>
          </w:tcPr>
          <w:p>
            <w:pPr>
              <w:jc w:val="center"/>
              <w:rPr>
                <w:bCs/>
                <w:color w:val="000000"/>
                <w:szCs w:val="21"/>
              </w:rPr>
            </w:pPr>
            <w:r>
              <w:rPr>
                <w:rFonts w:hint="eastAsia"/>
                <w:bCs/>
                <w:color w:val="000000"/>
                <w:szCs w:val="21"/>
              </w:rPr>
              <w:t>垂直</w:t>
            </w:r>
          </w:p>
        </w:tc>
        <w:tc>
          <w:tcPr>
            <w:tcW w:w="2095" w:type="pct"/>
            <w:tcBorders>
              <w:left w:val="single" w:color="auto" w:sz="4" w:space="0"/>
              <w:right w:val="single" w:color="auto" w:sz="4" w:space="0"/>
            </w:tcBorders>
            <w:vAlign w:val="center"/>
          </w:tcPr>
          <w:p>
            <w:pPr>
              <w:jc w:val="center"/>
              <w:rPr>
                <w:color w:val="000000"/>
                <w:szCs w:val="21"/>
              </w:rPr>
            </w:pPr>
            <w:r>
              <w:rPr>
                <w:rFonts w:hint="eastAsia"/>
                <w:color w:val="000000"/>
                <w:szCs w:val="21"/>
              </w:rPr>
              <w:t>0</w:t>
            </w:r>
          </w:p>
        </w:tc>
        <w:tc>
          <w:tcPr>
            <w:tcW w:w="1873" w:type="pct"/>
            <w:tcBorders>
              <w:left w:val="single" w:color="auto" w:sz="4" w:space="0"/>
              <w:right w:val="single" w:color="auto" w:sz="4" w:space="0"/>
            </w:tcBorders>
            <w:vAlign w:val="center"/>
          </w:tcPr>
          <w:p>
            <w:pPr>
              <w:pStyle w:val="68"/>
              <w:spacing w:before="31" w:after="31" w:line="240" w:lineRule="auto"/>
              <w:rPr>
                <w:rFonts w:ascii="Times New Roman"/>
                <w:szCs w:val="21"/>
              </w:rPr>
            </w:pPr>
            <w:r>
              <w:rPr>
                <w:rFonts w:hint="eastAsia" w:ascii="Times New Roman"/>
              </w:rPr>
              <w:t>上：</w:t>
            </w:r>
            <w:r>
              <w:rPr>
                <w:rFonts w:ascii="Times New Roman"/>
              </w:rPr>
              <w:t>7.0</w:t>
            </w:r>
          </w:p>
          <w:p>
            <w:pPr>
              <w:jc w:val="center"/>
              <w:rPr>
                <w:color w:val="000000"/>
                <w:szCs w:val="21"/>
              </w:rPr>
            </w:pPr>
            <w:r>
              <w:rPr>
                <w:rFonts w:hint="eastAsia"/>
              </w:rPr>
              <w:t>下：</w:t>
            </w:r>
            <w:r>
              <w:t>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5000" w:type="pct"/>
            <w:gridSpan w:val="4"/>
            <w:tcBorders>
              <w:right w:val="single" w:color="auto" w:sz="4" w:space="0"/>
            </w:tcBorders>
            <w:vAlign w:val="center"/>
          </w:tcPr>
          <w:p>
            <w:pPr>
              <w:jc w:val="left"/>
              <w:rPr>
                <w:bCs/>
                <w:color w:val="000000"/>
                <w:szCs w:val="21"/>
              </w:rPr>
            </w:pPr>
            <w:r>
              <w:rPr>
                <w:rFonts w:hint="eastAsia"/>
                <w:bCs/>
                <w:color w:val="000000"/>
                <w:szCs w:val="21"/>
              </w:rPr>
              <w:t>一、底层导线对地最小距离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1" w:hRule="atLeast"/>
          <w:jc w:val="center"/>
        </w:trPr>
        <w:tc>
          <w:tcPr>
            <w:tcW w:w="1032" w:type="pct"/>
            <w:gridSpan w:val="2"/>
            <w:vAlign w:val="center"/>
          </w:tcPr>
          <w:p>
            <w:pPr>
              <w:jc w:val="center"/>
              <w:rPr>
                <w:bCs/>
                <w:color w:val="000000"/>
                <w:szCs w:val="21"/>
              </w:rPr>
            </w:pPr>
            <w:r>
              <w:rPr>
                <w:rFonts w:hint="eastAsia"/>
                <w:bCs/>
                <w:color w:val="000000"/>
                <w:szCs w:val="21"/>
              </w:rPr>
              <w:t>非居民区（</w:t>
            </w:r>
            <w:r>
              <w:rPr>
                <w:bCs/>
                <w:color w:val="000000"/>
                <w:szCs w:val="21"/>
              </w:rPr>
              <w:t>m</w:t>
            </w:r>
            <w:r>
              <w:rPr>
                <w:rFonts w:hint="eastAsia"/>
                <w:bCs/>
                <w:color w:val="000000"/>
                <w:szCs w:val="21"/>
              </w:rPr>
              <w:t>）</w:t>
            </w:r>
          </w:p>
        </w:tc>
        <w:tc>
          <w:tcPr>
            <w:tcW w:w="3968" w:type="pct"/>
            <w:gridSpan w:val="2"/>
            <w:tcBorders>
              <w:left w:val="single" w:color="auto" w:sz="4" w:space="0"/>
              <w:right w:val="single" w:color="auto" w:sz="4" w:space="0"/>
            </w:tcBorders>
            <w:vAlign w:val="center"/>
          </w:tcPr>
          <w:p>
            <w:pPr>
              <w:jc w:val="center"/>
              <w:rPr>
                <w:color w:val="000000"/>
                <w:szCs w:val="21"/>
              </w:rPr>
            </w:pPr>
            <w:r>
              <w:rPr>
                <w:rFonts w:hint="eastAsia"/>
                <w:color w:val="000000"/>
                <w:szCs w:val="21"/>
              </w:rPr>
              <w:t>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72" w:hRule="atLeast"/>
          <w:jc w:val="center"/>
        </w:trPr>
        <w:tc>
          <w:tcPr>
            <w:tcW w:w="1032" w:type="pct"/>
            <w:gridSpan w:val="2"/>
            <w:vAlign w:val="center"/>
          </w:tcPr>
          <w:p>
            <w:pPr>
              <w:jc w:val="center"/>
              <w:rPr>
                <w:bCs/>
                <w:color w:val="000000"/>
                <w:szCs w:val="21"/>
              </w:rPr>
            </w:pPr>
            <w:r>
              <w:rPr>
                <w:rFonts w:hint="eastAsia"/>
                <w:bCs/>
                <w:color w:val="000000"/>
                <w:szCs w:val="21"/>
              </w:rPr>
              <w:t>居民区（m）</w:t>
            </w:r>
          </w:p>
        </w:tc>
        <w:tc>
          <w:tcPr>
            <w:tcW w:w="3968" w:type="pct"/>
            <w:gridSpan w:val="2"/>
            <w:tcBorders>
              <w:left w:val="single" w:color="auto" w:sz="4" w:space="0"/>
              <w:right w:val="single" w:color="auto" w:sz="4" w:space="0"/>
            </w:tcBorders>
            <w:vAlign w:val="center"/>
          </w:tcPr>
          <w:p>
            <w:pPr>
              <w:jc w:val="center"/>
              <w:rPr>
                <w:color w:val="000000"/>
                <w:szCs w:val="21"/>
              </w:rPr>
            </w:pPr>
            <w:r>
              <w:rPr>
                <w:rFonts w:hint="eastAsia"/>
                <w:color w:val="000000"/>
                <w:szCs w:val="21"/>
              </w:rPr>
              <w:t>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83" w:hRule="atLeast"/>
          <w:jc w:val="center"/>
        </w:trPr>
        <w:tc>
          <w:tcPr>
            <w:tcW w:w="5000" w:type="pct"/>
            <w:gridSpan w:val="4"/>
            <w:tcBorders>
              <w:right w:val="single" w:color="auto" w:sz="4" w:space="0"/>
            </w:tcBorders>
            <w:vAlign w:val="center"/>
          </w:tcPr>
          <w:p>
            <w:pPr>
              <w:jc w:val="left"/>
              <w:rPr>
                <w:bCs/>
                <w:color w:val="000000"/>
                <w:szCs w:val="21"/>
              </w:rPr>
            </w:pPr>
            <w:r>
              <w:rPr>
                <w:rFonts w:hint="eastAsia"/>
                <w:bCs/>
                <w:color w:val="000000"/>
                <w:szCs w:val="21"/>
              </w:rPr>
              <w:t>二、预测点位对地高度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4" w:hRule="atLeast"/>
          <w:jc w:val="center"/>
        </w:trPr>
        <w:tc>
          <w:tcPr>
            <w:tcW w:w="1032" w:type="pct"/>
            <w:gridSpan w:val="2"/>
            <w:vAlign w:val="center"/>
          </w:tcPr>
          <w:p>
            <w:pPr>
              <w:jc w:val="center"/>
              <w:rPr>
                <w:bCs/>
                <w:color w:val="000000"/>
                <w:szCs w:val="21"/>
              </w:rPr>
            </w:pPr>
            <w:r>
              <w:rPr>
                <w:rFonts w:hint="eastAsia"/>
                <w:bCs/>
                <w:color w:val="000000"/>
                <w:szCs w:val="21"/>
              </w:rPr>
              <w:t>非居民区（</w:t>
            </w:r>
            <w:r>
              <w:rPr>
                <w:bCs/>
                <w:color w:val="000000"/>
                <w:szCs w:val="21"/>
              </w:rPr>
              <w:t>m</w:t>
            </w:r>
            <w:r>
              <w:rPr>
                <w:rFonts w:hint="eastAsia"/>
                <w:bCs/>
                <w:color w:val="000000"/>
                <w:szCs w:val="21"/>
              </w:rPr>
              <w:t>）</w:t>
            </w:r>
          </w:p>
        </w:tc>
        <w:tc>
          <w:tcPr>
            <w:tcW w:w="3968" w:type="pct"/>
            <w:gridSpan w:val="2"/>
            <w:tcBorders>
              <w:left w:val="single" w:color="auto" w:sz="4" w:space="0"/>
              <w:right w:val="single" w:color="auto" w:sz="4" w:space="0"/>
            </w:tcBorders>
            <w:vAlign w:val="center"/>
          </w:tcPr>
          <w:p>
            <w:pPr>
              <w:jc w:val="center"/>
              <w:rPr>
                <w:color w:val="000000"/>
                <w:szCs w:val="21"/>
              </w:rPr>
            </w:pPr>
            <w:r>
              <w:rPr>
                <w:rFonts w:hint="eastAsia"/>
                <w:color w:val="000000"/>
                <w:szCs w:val="21"/>
              </w:rPr>
              <w:t>1</w:t>
            </w:r>
            <w:r>
              <w:rPr>
                <w:color w:val="000000"/>
                <w:szCs w:val="21"/>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72" w:hRule="atLeast"/>
          <w:jc w:val="center"/>
        </w:trPr>
        <w:tc>
          <w:tcPr>
            <w:tcW w:w="1032" w:type="pct"/>
            <w:gridSpan w:val="2"/>
            <w:vAlign w:val="center"/>
          </w:tcPr>
          <w:p>
            <w:pPr>
              <w:jc w:val="center"/>
              <w:rPr>
                <w:bCs/>
                <w:color w:val="000000"/>
                <w:szCs w:val="21"/>
              </w:rPr>
            </w:pPr>
            <w:r>
              <w:rPr>
                <w:rFonts w:hint="eastAsia"/>
                <w:bCs/>
                <w:color w:val="000000"/>
                <w:szCs w:val="21"/>
              </w:rPr>
              <w:t>居民区（m）</w:t>
            </w:r>
          </w:p>
        </w:tc>
        <w:tc>
          <w:tcPr>
            <w:tcW w:w="2095" w:type="pct"/>
            <w:tcBorders>
              <w:left w:val="single" w:color="auto" w:sz="4" w:space="0"/>
              <w:right w:val="single" w:color="auto" w:sz="4" w:space="0"/>
            </w:tcBorders>
            <w:vAlign w:val="center"/>
          </w:tcPr>
          <w:p>
            <w:pPr>
              <w:jc w:val="center"/>
              <w:rPr>
                <w:color w:val="000000"/>
                <w:szCs w:val="21"/>
              </w:rPr>
            </w:pPr>
            <w:r>
              <w:rPr>
                <w:rFonts w:hint="eastAsia"/>
                <w:color w:val="000000"/>
                <w:szCs w:val="21"/>
              </w:rPr>
              <w:t>1.5、4</w:t>
            </w:r>
            <w:r>
              <w:rPr>
                <w:color w:val="000000"/>
                <w:szCs w:val="21"/>
              </w:rPr>
              <w:t>.5</w:t>
            </w:r>
          </w:p>
        </w:tc>
        <w:tc>
          <w:tcPr>
            <w:tcW w:w="1873" w:type="pct"/>
            <w:tcBorders>
              <w:left w:val="single" w:color="auto" w:sz="4" w:space="0"/>
              <w:right w:val="single" w:color="auto" w:sz="4" w:space="0"/>
            </w:tcBorders>
            <w:vAlign w:val="center"/>
          </w:tcPr>
          <w:p>
            <w:pPr>
              <w:jc w:val="center"/>
              <w:rPr>
                <w:color w:val="000000"/>
                <w:szCs w:val="21"/>
              </w:rPr>
            </w:pPr>
            <w:r>
              <w:rPr>
                <w:rFonts w:hint="eastAsia"/>
                <w:color w:val="000000"/>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 w:hRule="atLeast"/>
          <w:jc w:val="center"/>
        </w:trPr>
        <w:tc>
          <w:tcPr>
            <w:tcW w:w="1032" w:type="pct"/>
            <w:gridSpan w:val="2"/>
            <w:vAlign w:val="center"/>
          </w:tcPr>
          <w:p>
            <w:pPr>
              <w:jc w:val="center"/>
              <w:rPr>
                <w:b/>
                <w:color w:val="000000"/>
                <w:szCs w:val="21"/>
              </w:rPr>
            </w:pPr>
            <w:r>
              <w:rPr>
                <w:rFonts w:hint="eastAsia"/>
                <w:bCs/>
                <w:color w:val="000000"/>
                <w:szCs w:val="21"/>
              </w:rPr>
              <w:t>预测杆塔示意图</w:t>
            </w:r>
          </w:p>
        </w:tc>
        <w:tc>
          <w:tcPr>
            <w:tcW w:w="2095" w:type="pct"/>
            <w:tcBorders>
              <w:left w:val="single" w:color="auto" w:sz="4" w:space="0"/>
              <w:right w:val="single" w:color="auto" w:sz="4" w:space="0"/>
            </w:tcBorders>
            <w:vAlign w:val="center"/>
          </w:tcPr>
          <w:p>
            <w:pPr>
              <w:jc w:val="center"/>
              <w:rPr>
                <w:rFonts w:cs="ˎ̥"/>
                <w:szCs w:val="21"/>
              </w:rPr>
            </w:pPr>
            <w:r>
              <w:drawing>
                <wp:inline distT="0" distB="0" distL="0" distR="0">
                  <wp:extent cx="2360930" cy="2066925"/>
                  <wp:effectExtent l="0" t="0" r="1270" b="9525"/>
                  <wp:docPr id="660600658" name="图片 66060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00658" name="图片 660600658"/>
                          <pic:cNvPicPr>
                            <a:picLocks noChangeAspect="1"/>
                          </pic:cNvPicPr>
                        </pic:nvPicPr>
                        <pic:blipFill>
                          <a:blip r:embed="rId181"/>
                          <a:stretch>
                            <a:fillRect/>
                          </a:stretch>
                        </pic:blipFill>
                        <pic:spPr>
                          <a:xfrm>
                            <a:off x="0" y="0"/>
                            <a:ext cx="2360930" cy="2066925"/>
                          </a:xfrm>
                          <a:prstGeom prst="rect">
                            <a:avLst/>
                          </a:prstGeom>
                        </pic:spPr>
                      </pic:pic>
                    </a:graphicData>
                  </a:graphic>
                </wp:inline>
              </w:drawing>
            </w:r>
          </w:p>
        </w:tc>
        <w:tc>
          <w:tcPr>
            <w:tcW w:w="1873" w:type="pct"/>
            <w:tcBorders>
              <w:left w:val="single" w:color="auto" w:sz="4" w:space="0"/>
              <w:right w:val="single" w:color="auto" w:sz="4" w:space="0"/>
            </w:tcBorders>
            <w:vAlign w:val="center"/>
          </w:tcPr>
          <w:p>
            <w:pPr>
              <w:jc w:val="center"/>
              <w:rPr>
                <w:rFonts w:cs="ˎ̥"/>
                <w:szCs w:val="21"/>
              </w:rPr>
            </w:pPr>
            <w:r>
              <w:drawing>
                <wp:inline distT="0" distB="0" distL="0" distR="0">
                  <wp:extent cx="1767840" cy="3347720"/>
                  <wp:effectExtent l="0" t="0" r="381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2"/>
                          <a:srcRect t="3974" b="8002"/>
                          <a:stretch>
                            <a:fillRect/>
                          </a:stretch>
                        </pic:blipFill>
                        <pic:spPr>
                          <a:xfrm>
                            <a:off x="0" y="0"/>
                            <a:ext cx="1768036" cy="3348000"/>
                          </a:xfrm>
                          <a:prstGeom prst="rect">
                            <a:avLst/>
                          </a:prstGeom>
                          <a:ln>
                            <a:noFill/>
                          </a:ln>
                        </pic:spPr>
                      </pic:pic>
                    </a:graphicData>
                  </a:graphic>
                </wp:inline>
              </w:drawing>
            </w:r>
          </w:p>
        </w:tc>
      </w:tr>
    </w:tbl>
    <w:p>
      <w:pPr>
        <w:keepNext/>
        <w:keepLines/>
        <w:numPr>
          <w:ilvl w:val="2"/>
          <w:numId w:val="28"/>
        </w:numPr>
        <w:spacing w:line="360" w:lineRule="auto"/>
        <w:outlineLvl w:val="2"/>
        <w:rPr>
          <w:rFonts w:cs="ˎ̥"/>
          <w:b/>
          <w:bCs/>
          <w:color w:val="000000"/>
          <w:sz w:val="24"/>
          <w:szCs w:val="32"/>
        </w:rPr>
      </w:pPr>
      <w:bookmarkStart w:id="865" w:name="_Toc16872"/>
      <w:r>
        <w:rPr>
          <w:rFonts w:hint="eastAsia" w:cs="ˎ̥"/>
          <w:b/>
          <w:bCs/>
          <w:color w:val="000000"/>
          <w:sz w:val="24"/>
          <w:szCs w:val="32"/>
        </w:rPr>
        <w:t>预测结果</w:t>
      </w:r>
      <w:bookmarkEnd w:id="865"/>
    </w:p>
    <w:p>
      <w:pPr>
        <w:spacing w:line="360" w:lineRule="auto"/>
        <w:ind w:firstLine="480" w:firstLineChars="200"/>
        <w:rPr>
          <w:color w:val="000000"/>
          <w:sz w:val="24"/>
          <w:szCs w:val="20"/>
        </w:rPr>
      </w:pPr>
      <w:r>
        <w:rPr>
          <w:rFonts w:hint="eastAsia"/>
          <w:color w:val="000000"/>
          <w:sz w:val="24"/>
          <w:szCs w:val="20"/>
        </w:rPr>
        <w:t>（1）1</w:t>
      </w:r>
      <w:r>
        <w:rPr>
          <w:color w:val="000000"/>
          <w:sz w:val="24"/>
          <w:szCs w:val="20"/>
        </w:rPr>
        <w:t>10kV</w:t>
      </w:r>
      <w:r>
        <w:rPr>
          <w:rFonts w:hint="eastAsia"/>
          <w:color w:val="000000"/>
          <w:sz w:val="24"/>
          <w:szCs w:val="20"/>
        </w:rPr>
        <w:t>单回线路架设段</w:t>
      </w:r>
    </w:p>
    <w:p>
      <w:pPr>
        <w:spacing w:line="360" w:lineRule="auto"/>
        <w:ind w:firstLine="480" w:firstLineChars="200"/>
        <w:rPr>
          <w:color w:val="000000"/>
          <w:sz w:val="24"/>
          <w:szCs w:val="20"/>
        </w:rPr>
      </w:pPr>
      <w:r>
        <w:rPr>
          <w:rFonts w:hint="eastAsia"/>
          <w:color w:val="000000"/>
          <w:sz w:val="24"/>
          <w:szCs w:val="20"/>
        </w:rPr>
        <w:t>1</w:t>
      </w:r>
      <w:r>
        <w:rPr>
          <w:color w:val="000000"/>
          <w:sz w:val="24"/>
          <w:szCs w:val="20"/>
        </w:rPr>
        <w:t>10kV</w:t>
      </w:r>
      <w:r>
        <w:rPr>
          <w:rFonts w:hint="eastAsia"/>
          <w:color w:val="000000"/>
          <w:sz w:val="24"/>
          <w:szCs w:val="20"/>
        </w:rPr>
        <w:t>单回线路架设段</w:t>
      </w:r>
      <w:r>
        <w:rPr>
          <w:rFonts w:hint="eastAsia"/>
          <w:color w:val="000000"/>
          <w:sz w:val="24"/>
        </w:rPr>
        <w:t>最</w:t>
      </w:r>
      <w:r>
        <w:rPr>
          <w:rFonts w:hint="eastAsia"/>
          <w:color w:val="000000" w:themeColor="text1"/>
          <w:sz w:val="24"/>
          <w:szCs w:val="20"/>
          <w14:textFill>
            <w14:solidFill>
              <w14:schemeClr w14:val="tx1"/>
            </w14:solidFill>
          </w14:textFill>
        </w:rPr>
        <w:t>低线高下的工频电场及工频磁场预测计算见</w:t>
      </w:r>
      <w:r>
        <w:rPr>
          <w:rFonts w:hint="eastAsia"/>
          <w:color w:val="000000" w:themeColor="text1"/>
          <w:sz w:val="24"/>
          <w:szCs w:val="20"/>
          <w14:textFill>
            <w14:solidFill>
              <w14:schemeClr w14:val="tx1"/>
            </w14:solidFill>
          </w14:textFill>
        </w:rPr>
        <w:fldChar w:fldCharType="begin"/>
      </w:r>
      <w:r>
        <w:rPr>
          <w:rFonts w:hint="eastAsia"/>
          <w:color w:val="000000" w:themeColor="text1"/>
          <w:sz w:val="24"/>
          <w:szCs w:val="20"/>
          <w14:textFill>
            <w14:solidFill>
              <w14:schemeClr w14:val="tx1"/>
            </w14:solidFill>
          </w14:textFill>
        </w:rPr>
        <w:instrText xml:space="preserve"> REF _Ref11962 \h </w:instrText>
      </w:r>
      <w:r>
        <w:rPr>
          <w:color w:val="000000" w:themeColor="text1"/>
          <w:sz w:val="24"/>
          <w:szCs w:val="20"/>
          <w14:textFill>
            <w14:solidFill>
              <w14:schemeClr w14:val="tx1"/>
            </w14:solidFill>
          </w14:textFill>
        </w:rPr>
        <w:instrText xml:space="preserve"> \* MERGEFORMAT </w:instrText>
      </w:r>
      <w:r>
        <w:rPr>
          <w:rFonts w:hint="eastAsia"/>
          <w:color w:val="000000" w:themeColor="text1"/>
          <w:sz w:val="24"/>
          <w:szCs w:val="20"/>
          <w14:textFill>
            <w14:solidFill>
              <w14:schemeClr w14:val="tx1"/>
            </w14:solidFill>
          </w14:textFill>
        </w:rPr>
        <w:fldChar w:fldCharType="separate"/>
      </w:r>
      <w:r>
        <w:rPr>
          <w:rFonts w:hint="eastAsia"/>
          <w:color w:val="000000" w:themeColor="text1"/>
          <w:sz w:val="24"/>
          <w:szCs w:val="20"/>
          <w14:textFill>
            <w14:solidFill>
              <w14:schemeClr w14:val="tx1"/>
            </w14:solidFill>
          </w14:textFill>
        </w:rPr>
        <w:t xml:space="preserve">表 </w:t>
      </w:r>
      <w:r>
        <w:rPr>
          <w:color w:val="000000" w:themeColor="text1"/>
          <w:sz w:val="24"/>
          <w:szCs w:val="20"/>
          <w14:textFill>
            <w14:solidFill>
              <w14:schemeClr w14:val="tx1"/>
            </w14:solidFill>
          </w14:textFill>
        </w:rPr>
        <w:t>36</w:t>
      </w:r>
      <w:r>
        <w:rPr>
          <w:rFonts w:hint="eastAsia"/>
          <w:color w:val="000000" w:themeColor="text1"/>
          <w:sz w:val="24"/>
          <w:szCs w:val="20"/>
          <w14:textFill>
            <w14:solidFill>
              <w14:schemeClr w14:val="tx1"/>
            </w14:solidFill>
          </w14:textFill>
        </w:rPr>
        <w:fldChar w:fldCharType="end"/>
      </w:r>
      <w:r>
        <w:rPr>
          <w:rFonts w:hint="eastAsia"/>
          <w:color w:val="000000" w:themeColor="text1"/>
          <w:sz w:val="24"/>
          <w:szCs w:val="20"/>
          <w14:textFill>
            <w14:solidFill>
              <w14:schemeClr w14:val="tx1"/>
            </w14:solidFill>
          </w14:textFill>
        </w:rPr>
        <w:t>，相应变化趋势及空间分布图见</w:t>
      </w:r>
      <w:r>
        <w:rPr>
          <w:rFonts w:hint="eastAsia"/>
          <w:color w:val="000000" w:themeColor="text1"/>
          <w:sz w:val="24"/>
          <w:szCs w:val="20"/>
          <w14:textFill>
            <w14:solidFill>
              <w14:schemeClr w14:val="tx1"/>
            </w14:solidFill>
          </w14:textFill>
        </w:rPr>
        <w:fldChar w:fldCharType="begin"/>
      </w:r>
      <w:r>
        <w:rPr>
          <w:rFonts w:hint="eastAsia"/>
          <w:color w:val="000000" w:themeColor="text1"/>
          <w:sz w:val="24"/>
          <w:szCs w:val="20"/>
          <w14:textFill>
            <w14:solidFill>
              <w14:schemeClr w14:val="tx1"/>
            </w14:solidFill>
          </w14:textFill>
        </w:rPr>
        <w:instrText xml:space="preserve"> REF _Ref14898 \h </w:instrText>
      </w:r>
      <w:r>
        <w:rPr>
          <w:color w:val="000000" w:themeColor="text1"/>
          <w:sz w:val="24"/>
          <w:szCs w:val="20"/>
          <w14:textFill>
            <w14:solidFill>
              <w14:schemeClr w14:val="tx1"/>
            </w14:solidFill>
          </w14:textFill>
        </w:rPr>
        <w:instrText xml:space="preserve"> \* MERGEFORMAT </w:instrText>
      </w:r>
      <w:r>
        <w:rPr>
          <w:rFonts w:hint="eastAsia"/>
          <w:color w:val="000000" w:themeColor="text1"/>
          <w:sz w:val="24"/>
          <w:szCs w:val="20"/>
          <w14:textFill>
            <w14:solidFill>
              <w14:schemeClr w14:val="tx1"/>
            </w14:solidFill>
          </w14:textFill>
        </w:rPr>
        <w:fldChar w:fldCharType="separate"/>
      </w:r>
      <w:r>
        <w:rPr>
          <w:rFonts w:hint="eastAsia"/>
          <w:color w:val="000000" w:themeColor="text1"/>
          <w:sz w:val="24"/>
          <w:szCs w:val="20"/>
          <w14:textFill>
            <w14:solidFill>
              <w14:schemeClr w14:val="tx1"/>
            </w14:solidFill>
          </w14:textFill>
        </w:rPr>
        <w:t>图</w:t>
      </w:r>
      <w:r>
        <w:rPr>
          <w:color w:val="000000" w:themeColor="text1"/>
          <w:sz w:val="24"/>
          <w:szCs w:val="20"/>
          <w14:textFill>
            <w14:solidFill>
              <w14:schemeClr w14:val="tx1"/>
            </w14:solidFill>
          </w14:textFill>
        </w:rPr>
        <w:t>8</w:t>
      </w:r>
      <w:r>
        <w:rPr>
          <w:rFonts w:hint="eastAsia"/>
          <w:color w:val="000000" w:themeColor="text1"/>
          <w:sz w:val="24"/>
          <w:szCs w:val="20"/>
          <w14:textFill>
            <w14:solidFill>
              <w14:schemeClr w14:val="tx1"/>
            </w14:solidFill>
          </w14:textFill>
        </w:rPr>
        <w:fldChar w:fldCharType="end"/>
      </w:r>
      <w:r>
        <w:rPr>
          <w:rFonts w:hint="eastAsia"/>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fldChar w:fldCharType="begin"/>
      </w:r>
      <w:r>
        <w:rPr>
          <w:rFonts w:hint="eastAsia"/>
          <w:color w:val="000000" w:themeColor="text1"/>
          <w:sz w:val="24"/>
          <w:szCs w:val="20"/>
          <w14:textFill>
            <w14:solidFill>
              <w14:schemeClr w14:val="tx1"/>
            </w14:solidFill>
          </w14:textFill>
        </w:rPr>
        <w:instrText xml:space="preserve"> REF _Ref15915 \h </w:instrText>
      </w:r>
      <w:r>
        <w:rPr>
          <w:color w:val="000000" w:themeColor="text1"/>
          <w:sz w:val="24"/>
          <w:szCs w:val="20"/>
          <w14:textFill>
            <w14:solidFill>
              <w14:schemeClr w14:val="tx1"/>
            </w14:solidFill>
          </w14:textFill>
        </w:rPr>
        <w:instrText xml:space="preserve"> \* MERGEFORMAT </w:instrText>
      </w:r>
      <w:r>
        <w:rPr>
          <w:rFonts w:hint="eastAsia"/>
          <w:color w:val="000000" w:themeColor="text1"/>
          <w:sz w:val="24"/>
          <w:szCs w:val="20"/>
          <w14:textFill>
            <w14:solidFill>
              <w14:schemeClr w14:val="tx1"/>
            </w14:solidFill>
          </w14:textFill>
        </w:rPr>
        <w:fldChar w:fldCharType="separate"/>
      </w:r>
      <w:r>
        <w:rPr>
          <w:rFonts w:hint="eastAsia"/>
          <w:color w:val="000000" w:themeColor="text1"/>
          <w:sz w:val="24"/>
          <w:szCs w:val="20"/>
          <w14:textFill>
            <w14:solidFill>
              <w14:schemeClr w14:val="tx1"/>
            </w14:solidFill>
          </w14:textFill>
        </w:rPr>
        <w:t>图</w:t>
      </w:r>
      <w:r>
        <w:rPr>
          <w:color w:val="000000" w:themeColor="text1"/>
          <w:sz w:val="24"/>
          <w:szCs w:val="20"/>
          <w14:textFill>
            <w14:solidFill>
              <w14:schemeClr w14:val="tx1"/>
            </w14:solidFill>
          </w14:textFill>
        </w:rPr>
        <w:t>11</w:t>
      </w:r>
      <w:r>
        <w:rPr>
          <w:rFonts w:hint="eastAsia"/>
          <w:color w:val="000000" w:themeColor="text1"/>
          <w:sz w:val="24"/>
          <w:szCs w:val="20"/>
          <w14:textFill>
            <w14:solidFill>
              <w14:schemeClr w14:val="tx1"/>
            </w14:solidFill>
          </w14:textFill>
        </w:rPr>
        <w:fldChar w:fldCharType="end"/>
      </w:r>
      <w:r>
        <w:rPr>
          <w:rFonts w:hint="eastAsia"/>
          <w:color w:val="000000" w:themeColor="text1"/>
          <w:sz w:val="24"/>
          <w:szCs w:val="20"/>
          <w14:textFill>
            <w14:solidFill>
              <w14:schemeClr w14:val="tx1"/>
            </w14:solidFill>
          </w14:textFill>
        </w:rPr>
        <w:t>。</w:t>
      </w:r>
    </w:p>
    <w:p>
      <w:pPr>
        <w:adjustRightInd w:val="0"/>
        <w:snapToGrid w:val="0"/>
        <w:jc w:val="left"/>
        <w:rPr>
          <w:rFonts w:hint="eastAsia" w:ascii="黑体" w:hAnsi="黑体" w:eastAsia="黑体" w:cs="黑体"/>
          <w:bCs/>
          <w:color w:val="000000"/>
          <w:szCs w:val="20"/>
        </w:rPr>
      </w:pPr>
      <w:bookmarkStart w:id="866" w:name="_Ref11962"/>
      <w:r>
        <w:rPr>
          <w:rFonts w:hint="eastAsia" w:ascii="黑体" w:hAnsi="黑体" w:eastAsia="黑体" w:cs="黑体"/>
          <w:bCs/>
        </w:rPr>
        <w:t xml:space="preserve">表 </w:t>
      </w:r>
      <w:r>
        <w:rPr>
          <w:rFonts w:hint="eastAsia" w:ascii="黑体" w:hAnsi="黑体" w:eastAsia="黑体" w:cs="黑体"/>
          <w:bCs/>
        </w:rPr>
        <w:fldChar w:fldCharType="begin"/>
      </w:r>
      <w:r>
        <w:rPr>
          <w:rFonts w:hint="eastAsia" w:ascii="黑体" w:hAnsi="黑体" w:eastAsia="黑体" w:cs="黑体"/>
          <w:bCs/>
        </w:rPr>
        <w:instrText xml:space="preserve"> SEQ 表 \* ARABIC </w:instrText>
      </w:r>
      <w:r>
        <w:rPr>
          <w:rFonts w:hint="eastAsia" w:ascii="黑体" w:hAnsi="黑体" w:eastAsia="黑体" w:cs="黑体"/>
          <w:bCs/>
        </w:rPr>
        <w:fldChar w:fldCharType="separate"/>
      </w:r>
      <w:r>
        <w:rPr>
          <w:rFonts w:ascii="黑体" w:hAnsi="黑体" w:eastAsia="黑体" w:cs="黑体"/>
          <w:bCs/>
        </w:rPr>
        <w:t>36</w:t>
      </w:r>
      <w:r>
        <w:rPr>
          <w:rFonts w:hint="eastAsia" w:ascii="黑体" w:hAnsi="黑体" w:eastAsia="黑体" w:cs="黑体"/>
          <w:bCs/>
        </w:rPr>
        <w:fldChar w:fldCharType="end"/>
      </w:r>
      <w:bookmarkEnd w:id="866"/>
      <w:r>
        <w:rPr>
          <w:rFonts w:hint="eastAsia" w:ascii="黑体" w:hAnsi="黑体" w:eastAsia="黑体" w:cs="黑体"/>
          <w:bCs/>
        </w:rPr>
        <w:t xml:space="preserve"> </w:t>
      </w:r>
      <w:r>
        <w:rPr>
          <w:rFonts w:hint="eastAsia" w:ascii="黑体" w:hAnsi="黑体" w:eastAsia="黑体" w:cs="黑体"/>
          <w:bCs/>
          <w:color w:val="000000"/>
          <w:szCs w:val="21"/>
        </w:rPr>
        <w:t xml:space="preserve">            </w:t>
      </w:r>
      <w:r>
        <w:rPr>
          <w:rFonts w:hint="eastAsia" w:ascii="黑体" w:hAnsi="黑体" w:eastAsia="黑体" w:cs="黑体"/>
          <w:bCs/>
          <w:color w:val="000000"/>
          <w:szCs w:val="20"/>
        </w:rPr>
        <w:t>110kV单回线路工频电场强度、工频磁感应强度预测结果</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1180"/>
        <w:gridCol w:w="1289"/>
        <w:gridCol w:w="1162"/>
        <w:gridCol w:w="1161"/>
        <w:gridCol w:w="1162"/>
        <w:gridCol w:w="1159"/>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0" w:type="pct"/>
            <w:gridSpan w:val="2"/>
            <w:tcBorders>
              <w:tl2br w:val="single" w:color="auto" w:sz="4" w:space="0"/>
            </w:tcBorders>
          </w:tcPr>
          <w:p>
            <w:pPr>
              <w:widowControl/>
              <w:jc w:val="right"/>
              <w:rPr>
                <w:b/>
                <w:bCs/>
                <w:color w:val="000000"/>
                <w:kern w:val="0"/>
                <w:szCs w:val="21"/>
              </w:rPr>
            </w:pPr>
            <w:r>
              <w:rPr>
                <w:rFonts w:hint="eastAsia"/>
                <w:b/>
                <w:bCs/>
                <w:color w:val="000000"/>
                <w:kern w:val="0"/>
                <w:szCs w:val="21"/>
              </w:rPr>
              <w:t>项目</w:t>
            </w:r>
          </w:p>
          <w:p>
            <w:pPr>
              <w:pStyle w:val="2"/>
              <w:spacing w:after="0"/>
              <w:ind w:left="0" w:leftChars="0" w:firstLine="0"/>
            </w:pPr>
            <w:r>
              <w:rPr>
                <w:rFonts w:hint="eastAsia"/>
                <w:color w:val="000000"/>
                <w:szCs w:val="21"/>
              </w:rPr>
              <w:t>与线路关系</w:t>
            </w:r>
          </w:p>
        </w:tc>
        <w:tc>
          <w:tcPr>
            <w:tcW w:w="1945" w:type="pct"/>
            <w:gridSpan w:val="3"/>
            <w:vAlign w:val="center"/>
          </w:tcPr>
          <w:p>
            <w:pPr>
              <w:widowControl/>
              <w:jc w:val="center"/>
              <w:rPr>
                <w:b/>
                <w:bCs/>
                <w:color w:val="000000"/>
                <w:kern w:val="0"/>
                <w:szCs w:val="21"/>
              </w:rPr>
            </w:pPr>
            <w:r>
              <w:rPr>
                <w:rFonts w:hint="eastAsia"/>
                <w:b/>
                <w:bCs/>
                <w:color w:val="000000"/>
                <w:kern w:val="0"/>
                <w:szCs w:val="21"/>
              </w:rPr>
              <w:t>工频电场强度（</w:t>
            </w:r>
            <w:r>
              <w:rPr>
                <w:rFonts w:cs="ˎ̥"/>
                <w:b/>
                <w:bCs/>
                <w:color w:val="000000"/>
                <w:szCs w:val="21"/>
              </w:rPr>
              <w:t>kV</w:t>
            </w:r>
            <w:r>
              <w:rPr>
                <w:rFonts w:hint="eastAsia" w:cs="ˎ̥"/>
                <w:b/>
                <w:bCs/>
                <w:color w:val="000000"/>
                <w:szCs w:val="21"/>
              </w:rPr>
              <w:t>/m)</w:t>
            </w:r>
          </w:p>
        </w:tc>
        <w:tc>
          <w:tcPr>
            <w:tcW w:w="1874" w:type="pct"/>
            <w:gridSpan w:val="3"/>
            <w:vAlign w:val="center"/>
          </w:tcPr>
          <w:p>
            <w:pPr>
              <w:widowControl/>
              <w:jc w:val="center"/>
              <w:rPr>
                <w:b/>
                <w:bCs/>
                <w:color w:val="000000"/>
                <w:kern w:val="0"/>
                <w:szCs w:val="21"/>
              </w:rPr>
            </w:pPr>
            <w:r>
              <w:rPr>
                <w:rFonts w:hint="eastAsia"/>
                <w:b/>
                <w:bCs/>
                <w:color w:val="000000"/>
                <w:kern w:val="0"/>
                <w:szCs w:val="21"/>
              </w:rPr>
              <w:t>工频磁感应强度（</w:t>
            </w:r>
            <w:r>
              <w:rPr>
                <w:rFonts w:hint="eastAsia"/>
                <w:color w:val="000000"/>
                <w:szCs w:val="21"/>
              </w:rPr>
              <w:t>µT）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Merge w:val="restart"/>
            <w:vAlign w:val="center"/>
          </w:tcPr>
          <w:p>
            <w:pPr>
              <w:widowControl/>
              <w:jc w:val="center"/>
              <w:rPr>
                <w:b/>
                <w:bCs/>
                <w:color w:val="000000"/>
                <w:kern w:val="0"/>
                <w:szCs w:val="21"/>
              </w:rPr>
            </w:pPr>
            <w:r>
              <w:rPr>
                <w:rFonts w:hint="eastAsia"/>
                <w:b/>
                <w:bCs/>
                <w:color w:val="000000"/>
                <w:kern w:val="0"/>
                <w:szCs w:val="21"/>
              </w:rPr>
              <w:t>距线路中心的距离</w:t>
            </w:r>
            <w:r>
              <w:rPr>
                <w:b/>
                <w:bCs/>
                <w:color w:val="000000"/>
                <w:kern w:val="0"/>
                <w:szCs w:val="21"/>
              </w:rPr>
              <w:t>(m)</w:t>
            </w:r>
          </w:p>
        </w:tc>
        <w:tc>
          <w:tcPr>
            <w:tcW w:w="635" w:type="pct"/>
            <w:vMerge w:val="restart"/>
            <w:vAlign w:val="center"/>
          </w:tcPr>
          <w:p>
            <w:pPr>
              <w:widowControl/>
              <w:jc w:val="center"/>
              <w:rPr>
                <w:b/>
                <w:bCs/>
                <w:color w:val="000000"/>
                <w:kern w:val="0"/>
                <w:szCs w:val="21"/>
              </w:rPr>
            </w:pPr>
            <w:r>
              <w:rPr>
                <w:rFonts w:hint="eastAsia"/>
                <w:b/>
                <w:bCs/>
                <w:color w:val="000000"/>
                <w:kern w:val="0"/>
                <w:szCs w:val="21"/>
              </w:rPr>
              <w:t>距边导线距离</w:t>
            </w:r>
            <w:r>
              <w:rPr>
                <w:b/>
                <w:bCs/>
                <w:color w:val="000000"/>
                <w:kern w:val="0"/>
                <w:szCs w:val="21"/>
              </w:rPr>
              <w:t>(m)</w:t>
            </w:r>
          </w:p>
        </w:tc>
        <w:tc>
          <w:tcPr>
            <w:tcW w:w="694" w:type="pct"/>
            <w:vAlign w:val="center"/>
          </w:tcPr>
          <w:p>
            <w:pPr>
              <w:widowControl/>
              <w:jc w:val="center"/>
              <w:rPr>
                <w:b/>
                <w:bCs/>
                <w:color w:val="000000"/>
                <w:kern w:val="0"/>
                <w:szCs w:val="21"/>
              </w:rPr>
            </w:pPr>
            <w:r>
              <w:rPr>
                <w:rFonts w:hint="eastAsia"/>
                <w:color w:val="000000"/>
                <w:szCs w:val="21"/>
              </w:rPr>
              <w:t>导线对地</w:t>
            </w:r>
            <w:r>
              <w:rPr>
                <w:color w:val="000000"/>
                <w:szCs w:val="21"/>
              </w:rPr>
              <w:t>6m</w:t>
            </w:r>
          </w:p>
        </w:tc>
        <w:tc>
          <w:tcPr>
            <w:tcW w:w="1251" w:type="pct"/>
            <w:gridSpan w:val="2"/>
            <w:vAlign w:val="center"/>
          </w:tcPr>
          <w:p>
            <w:pPr>
              <w:widowControl/>
              <w:jc w:val="center"/>
              <w:rPr>
                <w:b/>
                <w:bCs/>
                <w:color w:val="000000"/>
                <w:kern w:val="0"/>
                <w:szCs w:val="21"/>
              </w:rPr>
            </w:pPr>
            <w:r>
              <w:rPr>
                <w:rFonts w:hint="eastAsia"/>
                <w:color w:val="000000"/>
                <w:szCs w:val="21"/>
              </w:rPr>
              <w:t>导线对地</w:t>
            </w:r>
            <w:r>
              <w:rPr>
                <w:color w:val="000000"/>
                <w:szCs w:val="21"/>
              </w:rPr>
              <w:t>7m</w:t>
            </w:r>
          </w:p>
        </w:tc>
        <w:tc>
          <w:tcPr>
            <w:tcW w:w="626" w:type="pct"/>
            <w:vAlign w:val="center"/>
          </w:tcPr>
          <w:p>
            <w:pPr>
              <w:widowControl/>
              <w:jc w:val="center"/>
              <w:rPr>
                <w:b/>
                <w:bCs/>
                <w:color w:val="000000"/>
                <w:kern w:val="0"/>
                <w:szCs w:val="21"/>
              </w:rPr>
            </w:pPr>
            <w:r>
              <w:rPr>
                <w:rFonts w:hint="eastAsia"/>
                <w:color w:val="000000"/>
                <w:szCs w:val="21"/>
              </w:rPr>
              <w:t>导线对地</w:t>
            </w:r>
            <w:r>
              <w:rPr>
                <w:color w:val="000000"/>
                <w:szCs w:val="21"/>
              </w:rPr>
              <w:t>6m</w:t>
            </w:r>
          </w:p>
        </w:tc>
        <w:tc>
          <w:tcPr>
            <w:tcW w:w="1248" w:type="pct"/>
            <w:gridSpan w:val="2"/>
            <w:vAlign w:val="center"/>
          </w:tcPr>
          <w:p>
            <w:pPr>
              <w:widowControl/>
              <w:jc w:val="center"/>
              <w:rPr>
                <w:b/>
                <w:bCs/>
                <w:color w:val="000000"/>
                <w:kern w:val="0"/>
                <w:szCs w:val="21"/>
              </w:rPr>
            </w:pPr>
            <w:r>
              <w:rPr>
                <w:rFonts w:hint="eastAsia"/>
                <w:color w:val="000000"/>
                <w:szCs w:val="21"/>
              </w:rPr>
              <w:t>导线对地</w:t>
            </w:r>
            <w:r>
              <w:rPr>
                <w:color w:val="000000"/>
                <w:szCs w:val="21"/>
              </w:rPr>
              <w:t>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Merge w:val="continue"/>
            <w:vAlign w:val="center"/>
          </w:tcPr>
          <w:p>
            <w:pPr>
              <w:widowControl/>
              <w:jc w:val="center"/>
              <w:rPr>
                <w:b/>
                <w:bCs/>
                <w:color w:val="000000"/>
                <w:kern w:val="0"/>
                <w:szCs w:val="21"/>
              </w:rPr>
            </w:pPr>
          </w:p>
        </w:tc>
        <w:tc>
          <w:tcPr>
            <w:tcW w:w="635" w:type="pct"/>
            <w:vMerge w:val="continue"/>
            <w:vAlign w:val="center"/>
          </w:tcPr>
          <w:p>
            <w:pPr>
              <w:widowControl/>
              <w:jc w:val="center"/>
              <w:rPr>
                <w:b/>
                <w:bCs/>
                <w:color w:val="000000"/>
                <w:kern w:val="0"/>
                <w:szCs w:val="21"/>
              </w:rPr>
            </w:pPr>
          </w:p>
        </w:tc>
        <w:tc>
          <w:tcPr>
            <w:tcW w:w="694" w:type="pct"/>
            <w:vAlign w:val="center"/>
          </w:tcPr>
          <w:p>
            <w:pPr>
              <w:widowControl/>
              <w:jc w:val="center"/>
              <w:rPr>
                <w:bCs/>
                <w:color w:val="000000"/>
                <w:kern w:val="0"/>
                <w:szCs w:val="21"/>
              </w:rPr>
            </w:pPr>
            <w:r>
              <w:rPr>
                <w:bCs/>
                <w:color w:val="000000"/>
                <w:kern w:val="0"/>
                <w:szCs w:val="21"/>
              </w:rPr>
              <w:t>地面</w:t>
            </w:r>
            <w:r>
              <w:rPr>
                <w:rFonts w:hint="eastAsia"/>
                <w:bCs/>
                <w:color w:val="000000"/>
                <w:kern w:val="0"/>
                <w:szCs w:val="21"/>
              </w:rPr>
              <w:t>1</w:t>
            </w:r>
            <w:r>
              <w:rPr>
                <w:bCs/>
                <w:color w:val="000000"/>
                <w:kern w:val="0"/>
                <w:szCs w:val="21"/>
              </w:rPr>
              <w:t>.5m</w:t>
            </w:r>
          </w:p>
        </w:tc>
        <w:tc>
          <w:tcPr>
            <w:tcW w:w="626" w:type="pct"/>
            <w:vAlign w:val="center"/>
          </w:tcPr>
          <w:p>
            <w:pPr>
              <w:widowControl/>
              <w:jc w:val="center"/>
              <w:rPr>
                <w:b/>
                <w:bCs/>
                <w:color w:val="000000"/>
                <w:kern w:val="0"/>
                <w:szCs w:val="21"/>
              </w:rPr>
            </w:pPr>
            <w:r>
              <w:rPr>
                <w:bCs/>
                <w:color w:val="000000"/>
                <w:kern w:val="0"/>
                <w:szCs w:val="21"/>
              </w:rPr>
              <w:t>地面</w:t>
            </w:r>
            <w:r>
              <w:rPr>
                <w:rFonts w:hint="eastAsia"/>
                <w:bCs/>
                <w:color w:val="000000"/>
                <w:kern w:val="0"/>
                <w:szCs w:val="21"/>
              </w:rPr>
              <w:t>1</w:t>
            </w:r>
            <w:r>
              <w:rPr>
                <w:bCs/>
                <w:color w:val="000000"/>
                <w:kern w:val="0"/>
                <w:szCs w:val="21"/>
              </w:rPr>
              <w:t>.5m</w:t>
            </w:r>
          </w:p>
        </w:tc>
        <w:tc>
          <w:tcPr>
            <w:tcW w:w="625" w:type="pct"/>
            <w:vAlign w:val="center"/>
          </w:tcPr>
          <w:p>
            <w:pPr>
              <w:widowControl/>
              <w:jc w:val="center"/>
              <w:rPr>
                <w:b/>
                <w:bCs/>
                <w:color w:val="000000"/>
                <w:kern w:val="0"/>
                <w:szCs w:val="21"/>
              </w:rPr>
            </w:pPr>
            <w:r>
              <w:rPr>
                <w:bCs/>
                <w:color w:val="000000"/>
                <w:kern w:val="0"/>
                <w:szCs w:val="21"/>
              </w:rPr>
              <w:t>地面4.5m</w:t>
            </w:r>
          </w:p>
        </w:tc>
        <w:tc>
          <w:tcPr>
            <w:tcW w:w="626" w:type="pct"/>
            <w:vAlign w:val="center"/>
          </w:tcPr>
          <w:p>
            <w:pPr>
              <w:widowControl/>
              <w:jc w:val="center"/>
              <w:rPr>
                <w:b/>
                <w:bCs/>
                <w:color w:val="000000"/>
                <w:kern w:val="0"/>
                <w:szCs w:val="21"/>
              </w:rPr>
            </w:pPr>
            <w:r>
              <w:rPr>
                <w:bCs/>
                <w:color w:val="000000"/>
                <w:kern w:val="0"/>
                <w:szCs w:val="21"/>
              </w:rPr>
              <w:t>地面</w:t>
            </w:r>
            <w:r>
              <w:rPr>
                <w:rFonts w:hint="eastAsia"/>
                <w:bCs/>
                <w:color w:val="000000"/>
                <w:kern w:val="0"/>
                <w:szCs w:val="21"/>
              </w:rPr>
              <w:t>1</w:t>
            </w:r>
            <w:r>
              <w:rPr>
                <w:bCs/>
                <w:color w:val="000000"/>
                <w:kern w:val="0"/>
                <w:szCs w:val="21"/>
              </w:rPr>
              <w:t>.5m</w:t>
            </w:r>
          </w:p>
        </w:tc>
        <w:tc>
          <w:tcPr>
            <w:tcW w:w="624" w:type="pct"/>
            <w:vAlign w:val="center"/>
          </w:tcPr>
          <w:p>
            <w:pPr>
              <w:widowControl/>
              <w:jc w:val="center"/>
              <w:rPr>
                <w:b/>
                <w:bCs/>
                <w:color w:val="000000"/>
                <w:kern w:val="0"/>
                <w:szCs w:val="21"/>
              </w:rPr>
            </w:pPr>
            <w:r>
              <w:rPr>
                <w:bCs/>
                <w:color w:val="000000"/>
                <w:kern w:val="0"/>
                <w:szCs w:val="21"/>
              </w:rPr>
              <w:t>地面</w:t>
            </w:r>
            <w:r>
              <w:rPr>
                <w:rFonts w:hint="eastAsia"/>
                <w:bCs/>
                <w:color w:val="000000"/>
                <w:kern w:val="0"/>
                <w:szCs w:val="21"/>
              </w:rPr>
              <w:t>1</w:t>
            </w:r>
            <w:r>
              <w:rPr>
                <w:bCs/>
                <w:color w:val="000000"/>
                <w:kern w:val="0"/>
                <w:szCs w:val="21"/>
              </w:rPr>
              <w:t>.5m</w:t>
            </w:r>
          </w:p>
        </w:tc>
        <w:tc>
          <w:tcPr>
            <w:tcW w:w="624" w:type="pct"/>
            <w:vAlign w:val="center"/>
          </w:tcPr>
          <w:p>
            <w:pPr>
              <w:widowControl/>
              <w:jc w:val="center"/>
              <w:rPr>
                <w:b/>
                <w:bCs/>
                <w:color w:val="000000"/>
                <w:kern w:val="0"/>
                <w:szCs w:val="21"/>
              </w:rPr>
            </w:pPr>
            <w:r>
              <w:rPr>
                <w:bCs/>
                <w:color w:val="000000"/>
                <w:kern w:val="0"/>
                <w:szCs w:val="21"/>
              </w:rPr>
              <w:t>地面4.5m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0</w:t>
            </w:r>
          </w:p>
        </w:tc>
        <w:tc>
          <w:tcPr>
            <w:tcW w:w="635" w:type="pct"/>
            <w:vMerge w:val="restart"/>
            <w:vAlign w:val="center"/>
          </w:tcPr>
          <w:p>
            <w:pPr>
              <w:widowControl/>
              <w:jc w:val="center"/>
              <w:rPr>
                <w:b/>
                <w:bCs/>
                <w:color w:val="000000"/>
                <w:kern w:val="0"/>
                <w:szCs w:val="21"/>
              </w:rPr>
            </w:pPr>
            <w:r>
              <w:rPr>
                <w:rFonts w:hint="eastAsia" w:cs="宋体"/>
                <w:color w:val="000000"/>
                <w:kern w:val="0"/>
                <w:szCs w:val="21"/>
                <w:lang w:bidi="ar"/>
              </w:rPr>
              <w:t>边导线内</w:t>
            </w:r>
          </w:p>
        </w:tc>
        <w:tc>
          <w:tcPr>
            <w:tcW w:w="694" w:type="pct"/>
            <w:vAlign w:val="bottom"/>
          </w:tcPr>
          <w:p>
            <w:pPr>
              <w:widowControl/>
              <w:jc w:val="center"/>
              <w:textAlignment w:val="center"/>
              <w:rPr>
                <w:rFonts w:cs="宋体"/>
                <w:color w:val="000000"/>
                <w:szCs w:val="21"/>
              </w:rPr>
            </w:pPr>
            <w:r>
              <w:rPr>
                <w:rFonts w:hint="eastAsia"/>
                <w:color w:val="000000"/>
                <w:sz w:val="22"/>
                <w:szCs w:val="22"/>
              </w:rPr>
              <w:t>2.18</w:t>
            </w:r>
          </w:p>
        </w:tc>
        <w:tc>
          <w:tcPr>
            <w:tcW w:w="626" w:type="pct"/>
            <w:vAlign w:val="bottom"/>
          </w:tcPr>
          <w:p>
            <w:pPr>
              <w:widowControl/>
              <w:jc w:val="center"/>
              <w:textAlignment w:val="center"/>
              <w:rPr>
                <w:rFonts w:cs="宋体"/>
                <w:color w:val="000000"/>
                <w:szCs w:val="21"/>
              </w:rPr>
            </w:pPr>
            <w:r>
              <w:rPr>
                <w:rFonts w:hint="eastAsia"/>
                <w:color w:val="000000"/>
                <w:szCs w:val="21"/>
              </w:rPr>
              <w:t>1.56</w:t>
            </w:r>
          </w:p>
        </w:tc>
        <w:tc>
          <w:tcPr>
            <w:tcW w:w="625" w:type="pct"/>
            <w:vAlign w:val="bottom"/>
          </w:tcPr>
          <w:p>
            <w:pPr>
              <w:widowControl/>
              <w:jc w:val="center"/>
              <w:textAlignment w:val="center"/>
              <w:rPr>
                <w:rFonts w:cs="宋体"/>
                <w:color w:val="000000"/>
                <w:szCs w:val="21"/>
              </w:rPr>
            </w:pPr>
            <w:r>
              <w:rPr>
                <w:color w:val="000000"/>
                <w:szCs w:val="21"/>
              </w:rPr>
              <w:t>/</w:t>
            </w:r>
          </w:p>
        </w:tc>
        <w:tc>
          <w:tcPr>
            <w:tcW w:w="626" w:type="pct"/>
            <w:vAlign w:val="bottom"/>
          </w:tcPr>
          <w:p>
            <w:pPr>
              <w:widowControl/>
              <w:jc w:val="center"/>
              <w:textAlignment w:val="center"/>
              <w:rPr>
                <w:rFonts w:cs="宋体"/>
                <w:b/>
                <w:color w:val="000000"/>
                <w:szCs w:val="21"/>
              </w:rPr>
            </w:pPr>
            <w:r>
              <w:rPr>
                <w:rFonts w:hint="eastAsia"/>
                <w:b/>
                <w:color w:val="000000"/>
                <w:sz w:val="22"/>
                <w:szCs w:val="22"/>
              </w:rPr>
              <w:t>29.10</w:t>
            </w:r>
          </w:p>
        </w:tc>
        <w:tc>
          <w:tcPr>
            <w:tcW w:w="624" w:type="pct"/>
            <w:vAlign w:val="bottom"/>
          </w:tcPr>
          <w:p>
            <w:pPr>
              <w:widowControl/>
              <w:jc w:val="center"/>
              <w:textAlignment w:val="center"/>
              <w:rPr>
                <w:rFonts w:cs="宋体"/>
                <w:b/>
                <w:bCs/>
                <w:color w:val="000000"/>
                <w:kern w:val="0"/>
                <w:szCs w:val="21"/>
                <w:lang w:bidi="ar"/>
              </w:rPr>
            </w:pPr>
            <w:r>
              <w:rPr>
                <w:rFonts w:hint="eastAsia"/>
                <w:color w:val="000000"/>
                <w:sz w:val="22"/>
                <w:szCs w:val="22"/>
              </w:rPr>
              <w:t>23.24</w:t>
            </w:r>
          </w:p>
        </w:tc>
        <w:tc>
          <w:tcPr>
            <w:tcW w:w="624" w:type="pct"/>
            <w:vAlign w:val="bottom"/>
          </w:tcPr>
          <w:p>
            <w:pPr>
              <w:widowControl/>
              <w:jc w:val="center"/>
              <w:textAlignment w:val="center"/>
              <w:rPr>
                <w:rFonts w:cs="宋体"/>
                <w:b/>
                <w:bCs/>
                <w:color w:val="000000"/>
                <w:kern w:val="0"/>
                <w:szCs w:val="21"/>
                <w:lang w:bidi="ar"/>
              </w:rPr>
            </w:pP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635" w:type="pct"/>
            <w:vMerge w:val="continue"/>
          </w:tcPr>
          <w:p>
            <w:pPr>
              <w:widowControl/>
              <w:jc w:val="center"/>
              <w:rPr>
                <w:b/>
                <w:bCs/>
                <w:color w:val="000000"/>
                <w:kern w:val="0"/>
                <w:szCs w:val="21"/>
              </w:rPr>
            </w:pPr>
          </w:p>
        </w:tc>
        <w:tc>
          <w:tcPr>
            <w:tcW w:w="694" w:type="pct"/>
            <w:vAlign w:val="bottom"/>
          </w:tcPr>
          <w:p>
            <w:pPr>
              <w:widowControl/>
              <w:jc w:val="center"/>
              <w:textAlignment w:val="center"/>
              <w:rPr>
                <w:rFonts w:cs="宋体"/>
                <w:color w:val="000000"/>
                <w:szCs w:val="21"/>
              </w:rPr>
            </w:pPr>
            <w:r>
              <w:rPr>
                <w:rFonts w:hint="eastAsia"/>
                <w:color w:val="000000"/>
                <w:sz w:val="22"/>
                <w:szCs w:val="22"/>
              </w:rPr>
              <w:t>2.11</w:t>
            </w:r>
          </w:p>
        </w:tc>
        <w:tc>
          <w:tcPr>
            <w:tcW w:w="626" w:type="pct"/>
            <w:vAlign w:val="bottom"/>
          </w:tcPr>
          <w:p>
            <w:pPr>
              <w:widowControl/>
              <w:jc w:val="center"/>
              <w:textAlignment w:val="center"/>
              <w:rPr>
                <w:rFonts w:cs="宋体"/>
                <w:color w:val="000000"/>
                <w:szCs w:val="21"/>
              </w:rPr>
            </w:pPr>
            <w:r>
              <w:rPr>
                <w:rFonts w:hint="eastAsia"/>
                <w:color w:val="000000"/>
                <w:szCs w:val="21"/>
              </w:rPr>
              <w:t>1.54</w:t>
            </w:r>
          </w:p>
        </w:tc>
        <w:tc>
          <w:tcPr>
            <w:tcW w:w="625" w:type="pct"/>
            <w:vAlign w:val="bottom"/>
          </w:tcPr>
          <w:p>
            <w:pPr>
              <w:widowControl/>
              <w:jc w:val="center"/>
              <w:textAlignment w:val="center"/>
              <w:rPr>
                <w:rFonts w:cs="宋体"/>
                <w:color w:val="000000"/>
                <w:szCs w:val="21"/>
              </w:rPr>
            </w:pPr>
            <w:r>
              <w:rPr>
                <w:color w:val="000000"/>
                <w:szCs w:val="21"/>
              </w:rPr>
              <w:t>/</w:t>
            </w:r>
          </w:p>
        </w:tc>
        <w:tc>
          <w:tcPr>
            <w:tcW w:w="626" w:type="pct"/>
            <w:vAlign w:val="bottom"/>
          </w:tcPr>
          <w:p>
            <w:pPr>
              <w:widowControl/>
              <w:jc w:val="center"/>
              <w:textAlignment w:val="center"/>
              <w:rPr>
                <w:rFonts w:cs="宋体"/>
                <w:color w:val="000000"/>
                <w:szCs w:val="21"/>
              </w:rPr>
            </w:pPr>
            <w:r>
              <w:rPr>
                <w:rFonts w:hint="eastAsia"/>
                <w:color w:val="000000"/>
                <w:sz w:val="22"/>
                <w:szCs w:val="22"/>
              </w:rPr>
              <w:t>28.98</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23.17</w:t>
            </w:r>
          </w:p>
        </w:tc>
        <w:tc>
          <w:tcPr>
            <w:tcW w:w="624" w:type="pct"/>
            <w:vAlign w:val="bottom"/>
          </w:tcPr>
          <w:p>
            <w:pPr>
              <w:widowControl/>
              <w:jc w:val="center"/>
              <w:textAlignment w:val="center"/>
              <w:rPr>
                <w:rFonts w:cs="宋体"/>
                <w:color w:val="000000"/>
                <w:kern w:val="0"/>
                <w:szCs w:val="21"/>
                <w:lang w:bidi="ar"/>
              </w:rPr>
            </w:pP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2</w:t>
            </w:r>
          </w:p>
        </w:tc>
        <w:tc>
          <w:tcPr>
            <w:tcW w:w="635" w:type="pct"/>
            <w:vMerge w:val="continue"/>
          </w:tcPr>
          <w:p>
            <w:pPr>
              <w:widowControl/>
              <w:jc w:val="center"/>
              <w:rPr>
                <w:b/>
                <w:bCs/>
                <w:color w:val="000000"/>
                <w:kern w:val="0"/>
                <w:szCs w:val="21"/>
              </w:rPr>
            </w:pPr>
          </w:p>
        </w:tc>
        <w:tc>
          <w:tcPr>
            <w:tcW w:w="694" w:type="pct"/>
            <w:vAlign w:val="bottom"/>
          </w:tcPr>
          <w:p>
            <w:pPr>
              <w:widowControl/>
              <w:jc w:val="center"/>
              <w:textAlignment w:val="center"/>
              <w:rPr>
                <w:rFonts w:cs="宋体"/>
                <w:color w:val="000000"/>
                <w:szCs w:val="21"/>
              </w:rPr>
            </w:pPr>
            <w:r>
              <w:rPr>
                <w:rFonts w:hint="eastAsia"/>
                <w:color w:val="000000"/>
                <w:sz w:val="22"/>
                <w:szCs w:val="22"/>
              </w:rPr>
              <w:t>1.99</w:t>
            </w:r>
          </w:p>
        </w:tc>
        <w:tc>
          <w:tcPr>
            <w:tcW w:w="626" w:type="pct"/>
            <w:vAlign w:val="bottom"/>
          </w:tcPr>
          <w:p>
            <w:pPr>
              <w:widowControl/>
              <w:jc w:val="center"/>
              <w:textAlignment w:val="center"/>
              <w:rPr>
                <w:rFonts w:cs="宋体"/>
                <w:color w:val="000000"/>
                <w:szCs w:val="21"/>
              </w:rPr>
            </w:pPr>
            <w:r>
              <w:rPr>
                <w:rFonts w:hint="eastAsia"/>
                <w:color w:val="000000"/>
                <w:szCs w:val="21"/>
              </w:rPr>
              <w:t>1.51</w:t>
            </w:r>
          </w:p>
        </w:tc>
        <w:tc>
          <w:tcPr>
            <w:tcW w:w="625" w:type="pct"/>
            <w:vAlign w:val="bottom"/>
          </w:tcPr>
          <w:p>
            <w:pPr>
              <w:widowControl/>
              <w:jc w:val="center"/>
              <w:textAlignment w:val="center"/>
              <w:rPr>
                <w:rFonts w:cs="宋体"/>
                <w:color w:val="000000"/>
                <w:szCs w:val="21"/>
              </w:rPr>
            </w:pPr>
            <w:r>
              <w:rPr>
                <w:color w:val="000000"/>
                <w:szCs w:val="21"/>
              </w:rPr>
              <w:t>/</w:t>
            </w:r>
          </w:p>
        </w:tc>
        <w:tc>
          <w:tcPr>
            <w:tcW w:w="626" w:type="pct"/>
            <w:vAlign w:val="bottom"/>
          </w:tcPr>
          <w:p>
            <w:pPr>
              <w:widowControl/>
              <w:jc w:val="center"/>
              <w:textAlignment w:val="center"/>
              <w:rPr>
                <w:rFonts w:cs="宋体"/>
                <w:color w:val="000000"/>
                <w:szCs w:val="21"/>
              </w:rPr>
            </w:pPr>
            <w:r>
              <w:rPr>
                <w:rFonts w:hint="eastAsia"/>
                <w:color w:val="000000"/>
                <w:sz w:val="22"/>
                <w:szCs w:val="22"/>
              </w:rPr>
              <w:t>28.70</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22.96</w:t>
            </w:r>
          </w:p>
        </w:tc>
        <w:tc>
          <w:tcPr>
            <w:tcW w:w="624" w:type="pct"/>
            <w:vAlign w:val="bottom"/>
          </w:tcPr>
          <w:p>
            <w:pPr>
              <w:widowControl/>
              <w:jc w:val="center"/>
              <w:textAlignment w:val="center"/>
              <w:rPr>
                <w:rFonts w:cs="宋体"/>
                <w:color w:val="000000"/>
                <w:kern w:val="0"/>
                <w:szCs w:val="21"/>
                <w:lang w:bidi="ar"/>
              </w:rPr>
            </w:pP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3</w:t>
            </w:r>
          </w:p>
        </w:tc>
        <w:tc>
          <w:tcPr>
            <w:tcW w:w="635" w:type="pct"/>
            <w:vMerge w:val="continue"/>
          </w:tcPr>
          <w:p>
            <w:pPr>
              <w:widowControl/>
              <w:jc w:val="center"/>
              <w:rPr>
                <w:b/>
                <w:bCs/>
                <w:color w:val="000000"/>
                <w:kern w:val="0"/>
                <w:szCs w:val="21"/>
              </w:rPr>
            </w:pPr>
          </w:p>
        </w:tc>
        <w:tc>
          <w:tcPr>
            <w:tcW w:w="694" w:type="pct"/>
            <w:vAlign w:val="bottom"/>
          </w:tcPr>
          <w:p>
            <w:pPr>
              <w:widowControl/>
              <w:jc w:val="center"/>
              <w:textAlignment w:val="center"/>
              <w:rPr>
                <w:rFonts w:cs="宋体"/>
                <w:color w:val="000000"/>
                <w:szCs w:val="21"/>
              </w:rPr>
            </w:pPr>
            <w:r>
              <w:rPr>
                <w:rFonts w:hint="eastAsia"/>
                <w:color w:val="000000"/>
                <w:sz w:val="22"/>
                <w:szCs w:val="22"/>
              </w:rPr>
              <w:t>1.97</w:t>
            </w:r>
          </w:p>
        </w:tc>
        <w:tc>
          <w:tcPr>
            <w:tcW w:w="626" w:type="pct"/>
            <w:vAlign w:val="bottom"/>
          </w:tcPr>
          <w:p>
            <w:pPr>
              <w:widowControl/>
              <w:jc w:val="center"/>
              <w:textAlignment w:val="center"/>
              <w:rPr>
                <w:rFonts w:cs="宋体"/>
                <w:color w:val="000000"/>
                <w:szCs w:val="21"/>
              </w:rPr>
            </w:pPr>
            <w:r>
              <w:rPr>
                <w:rFonts w:hint="eastAsia"/>
                <w:color w:val="000000"/>
                <w:szCs w:val="21"/>
              </w:rPr>
              <w:t>1.55</w:t>
            </w:r>
          </w:p>
        </w:tc>
        <w:tc>
          <w:tcPr>
            <w:tcW w:w="625" w:type="pct"/>
          </w:tcPr>
          <w:p>
            <w:pPr>
              <w:widowControl/>
              <w:jc w:val="center"/>
              <w:textAlignment w:val="center"/>
              <w:rPr>
                <w:rFonts w:cs="宋体"/>
                <w:color w:val="000000"/>
                <w:szCs w:val="21"/>
              </w:rPr>
            </w:pPr>
            <w:r>
              <w:rPr>
                <w:color w:val="000000"/>
                <w:szCs w:val="21"/>
              </w:rPr>
              <w:t>/</w:t>
            </w:r>
          </w:p>
        </w:tc>
        <w:tc>
          <w:tcPr>
            <w:tcW w:w="626" w:type="pct"/>
            <w:vAlign w:val="bottom"/>
          </w:tcPr>
          <w:p>
            <w:pPr>
              <w:widowControl/>
              <w:jc w:val="center"/>
              <w:textAlignment w:val="center"/>
              <w:rPr>
                <w:rFonts w:cs="宋体"/>
                <w:color w:val="000000"/>
                <w:szCs w:val="21"/>
              </w:rPr>
            </w:pPr>
            <w:r>
              <w:rPr>
                <w:rFonts w:hint="eastAsia"/>
                <w:color w:val="000000"/>
                <w:sz w:val="22"/>
                <w:szCs w:val="22"/>
              </w:rPr>
              <w:t>28.35</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22.60</w:t>
            </w:r>
          </w:p>
        </w:tc>
        <w:tc>
          <w:tcPr>
            <w:tcW w:w="624" w:type="pct"/>
          </w:tcPr>
          <w:p>
            <w:pPr>
              <w:widowControl/>
              <w:jc w:val="center"/>
              <w:textAlignment w:val="center"/>
              <w:rPr>
                <w:rFonts w:cs="宋体"/>
                <w:color w:val="000000"/>
                <w:kern w:val="0"/>
                <w:szCs w:val="21"/>
                <w:lang w:bidi="ar"/>
              </w:rPr>
            </w:pP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4</w:t>
            </w:r>
          </w:p>
        </w:tc>
        <w:tc>
          <w:tcPr>
            <w:tcW w:w="635" w:type="pct"/>
            <w:vMerge w:val="continue"/>
          </w:tcPr>
          <w:p>
            <w:pPr>
              <w:widowControl/>
              <w:jc w:val="center"/>
              <w:rPr>
                <w:b/>
                <w:bCs/>
                <w:color w:val="000000"/>
                <w:kern w:val="0"/>
                <w:szCs w:val="21"/>
              </w:rPr>
            </w:pPr>
          </w:p>
        </w:tc>
        <w:tc>
          <w:tcPr>
            <w:tcW w:w="694" w:type="pct"/>
            <w:vAlign w:val="bottom"/>
          </w:tcPr>
          <w:p>
            <w:pPr>
              <w:widowControl/>
              <w:jc w:val="center"/>
              <w:textAlignment w:val="center"/>
              <w:rPr>
                <w:rFonts w:cs="宋体"/>
                <w:color w:val="000000"/>
                <w:szCs w:val="21"/>
              </w:rPr>
            </w:pPr>
            <w:r>
              <w:rPr>
                <w:rFonts w:hint="eastAsia"/>
                <w:color w:val="000000"/>
                <w:sz w:val="22"/>
                <w:szCs w:val="22"/>
              </w:rPr>
              <w:t>2.15</w:t>
            </w:r>
          </w:p>
        </w:tc>
        <w:tc>
          <w:tcPr>
            <w:tcW w:w="626" w:type="pct"/>
            <w:vAlign w:val="bottom"/>
          </w:tcPr>
          <w:p>
            <w:pPr>
              <w:widowControl/>
              <w:jc w:val="center"/>
              <w:textAlignment w:val="center"/>
              <w:rPr>
                <w:rFonts w:cs="宋体"/>
                <w:color w:val="000000"/>
                <w:szCs w:val="21"/>
              </w:rPr>
            </w:pPr>
            <w:r>
              <w:rPr>
                <w:rFonts w:hint="eastAsia"/>
                <w:color w:val="000000"/>
                <w:szCs w:val="21"/>
              </w:rPr>
              <w:t>1.69</w:t>
            </w:r>
          </w:p>
        </w:tc>
        <w:tc>
          <w:tcPr>
            <w:tcW w:w="625" w:type="pct"/>
          </w:tcPr>
          <w:p>
            <w:pPr>
              <w:widowControl/>
              <w:jc w:val="center"/>
              <w:textAlignment w:val="center"/>
              <w:rPr>
                <w:rFonts w:cs="宋体"/>
                <w:color w:val="000000"/>
                <w:szCs w:val="21"/>
              </w:rPr>
            </w:pPr>
            <w:r>
              <w:rPr>
                <w:color w:val="000000"/>
                <w:szCs w:val="21"/>
              </w:rPr>
              <w:t>/</w:t>
            </w:r>
          </w:p>
        </w:tc>
        <w:tc>
          <w:tcPr>
            <w:tcW w:w="626" w:type="pct"/>
            <w:vAlign w:val="bottom"/>
          </w:tcPr>
          <w:p>
            <w:pPr>
              <w:widowControl/>
              <w:jc w:val="center"/>
              <w:textAlignment w:val="center"/>
              <w:rPr>
                <w:rFonts w:cs="宋体"/>
                <w:color w:val="000000"/>
                <w:szCs w:val="21"/>
              </w:rPr>
            </w:pPr>
            <w:r>
              <w:rPr>
                <w:rFonts w:hint="eastAsia"/>
                <w:color w:val="000000"/>
                <w:sz w:val="22"/>
                <w:szCs w:val="22"/>
              </w:rPr>
              <w:t>27.88</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22.05</w:t>
            </w:r>
          </w:p>
        </w:tc>
        <w:tc>
          <w:tcPr>
            <w:tcW w:w="624" w:type="pct"/>
          </w:tcPr>
          <w:p>
            <w:pPr>
              <w:widowControl/>
              <w:jc w:val="center"/>
              <w:textAlignment w:val="center"/>
              <w:rPr>
                <w:rFonts w:cs="宋体"/>
                <w:color w:val="000000"/>
                <w:kern w:val="0"/>
                <w:szCs w:val="21"/>
                <w:lang w:bidi="ar"/>
              </w:rPr>
            </w:pP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5</w:t>
            </w:r>
          </w:p>
        </w:tc>
        <w:tc>
          <w:tcPr>
            <w:tcW w:w="635" w:type="pct"/>
            <w:vMerge w:val="continue"/>
          </w:tcPr>
          <w:p>
            <w:pPr>
              <w:widowControl/>
              <w:jc w:val="center"/>
              <w:rPr>
                <w:b/>
                <w:bCs/>
                <w:color w:val="000000"/>
                <w:kern w:val="0"/>
                <w:szCs w:val="21"/>
              </w:rPr>
            </w:pPr>
          </w:p>
        </w:tc>
        <w:tc>
          <w:tcPr>
            <w:tcW w:w="694" w:type="pct"/>
            <w:vAlign w:val="bottom"/>
          </w:tcPr>
          <w:p>
            <w:pPr>
              <w:widowControl/>
              <w:jc w:val="center"/>
              <w:textAlignment w:val="center"/>
              <w:rPr>
                <w:rFonts w:cs="宋体"/>
                <w:color w:val="000000"/>
                <w:szCs w:val="21"/>
              </w:rPr>
            </w:pPr>
            <w:r>
              <w:rPr>
                <w:rFonts w:hint="eastAsia"/>
                <w:color w:val="000000"/>
                <w:sz w:val="22"/>
                <w:szCs w:val="22"/>
              </w:rPr>
              <w:t>2.43</w:t>
            </w:r>
          </w:p>
        </w:tc>
        <w:tc>
          <w:tcPr>
            <w:tcW w:w="626" w:type="pct"/>
            <w:vAlign w:val="bottom"/>
          </w:tcPr>
          <w:p>
            <w:pPr>
              <w:widowControl/>
              <w:jc w:val="center"/>
              <w:textAlignment w:val="center"/>
              <w:rPr>
                <w:rFonts w:cs="宋体"/>
                <w:color w:val="000000"/>
                <w:szCs w:val="21"/>
              </w:rPr>
            </w:pPr>
            <w:r>
              <w:rPr>
                <w:rFonts w:hint="eastAsia"/>
                <w:color w:val="000000"/>
                <w:szCs w:val="21"/>
              </w:rPr>
              <w:t>1.88</w:t>
            </w:r>
          </w:p>
        </w:tc>
        <w:tc>
          <w:tcPr>
            <w:tcW w:w="625" w:type="pct"/>
          </w:tcPr>
          <w:p>
            <w:pPr>
              <w:widowControl/>
              <w:jc w:val="center"/>
              <w:textAlignment w:val="center"/>
              <w:rPr>
                <w:rFonts w:cs="宋体"/>
                <w:color w:val="000000"/>
                <w:szCs w:val="21"/>
              </w:rPr>
            </w:pPr>
            <w:r>
              <w:rPr>
                <w:color w:val="000000"/>
                <w:szCs w:val="21"/>
              </w:rPr>
              <w:t>/</w:t>
            </w:r>
          </w:p>
        </w:tc>
        <w:tc>
          <w:tcPr>
            <w:tcW w:w="626" w:type="pct"/>
            <w:vAlign w:val="bottom"/>
          </w:tcPr>
          <w:p>
            <w:pPr>
              <w:widowControl/>
              <w:jc w:val="center"/>
              <w:textAlignment w:val="center"/>
              <w:rPr>
                <w:rFonts w:cs="宋体"/>
                <w:color w:val="000000"/>
                <w:szCs w:val="21"/>
              </w:rPr>
            </w:pPr>
            <w:r>
              <w:rPr>
                <w:rFonts w:hint="eastAsia"/>
                <w:color w:val="000000"/>
                <w:sz w:val="22"/>
                <w:szCs w:val="22"/>
              </w:rPr>
              <w:t>27.00</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21.19</w:t>
            </w:r>
          </w:p>
        </w:tc>
        <w:tc>
          <w:tcPr>
            <w:tcW w:w="624" w:type="pct"/>
          </w:tcPr>
          <w:p>
            <w:pPr>
              <w:widowControl/>
              <w:jc w:val="center"/>
              <w:textAlignment w:val="center"/>
              <w:rPr>
                <w:rFonts w:cs="宋体"/>
                <w:color w:val="000000"/>
                <w:kern w:val="0"/>
                <w:szCs w:val="21"/>
                <w:lang w:bidi="ar"/>
              </w:rPr>
            </w:pP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6</w:t>
            </w:r>
          </w:p>
        </w:tc>
        <w:tc>
          <w:tcPr>
            <w:tcW w:w="635" w:type="pct"/>
            <w:vMerge w:val="continue"/>
          </w:tcPr>
          <w:p>
            <w:pPr>
              <w:widowControl/>
              <w:jc w:val="center"/>
              <w:rPr>
                <w:b/>
                <w:bCs/>
                <w:color w:val="000000"/>
                <w:kern w:val="0"/>
                <w:szCs w:val="21"/>
              </w:rPr>
            </w:pPr>
          </w:p>
        </w:tc>
        <w:tc>
          <w:tcPr>
            <w:tcW w:w="694" w:type="pct"/>
            <w:vAlign w:val="bottom"/>
          </w:tcPr>
          <w:p>
            <w:pPr>
              <w:widowControl/>
              <w:jc w:val="center"/>
              <w:textAlignment w:val="center"/>
              <w:rPr>
                <w:rFonts w:cs="宋体"/>
                <w:color w:val="000000"/>
                <w:kern w:val="0"/>
                <w:szCs w:val="21"/>
                <w:lang w:bidi="ar"/>
              </w:rPr>
            </w:pPr>
            <w:r>
              <w:rPr>
                <w:rFonts w:hint="eastAsia"/>
                <w:color w:val="000000"/>
                <w:sz w:val="22"/>
                <w:szCs w:val="22"/>
              </w:rPr>
              <w:t>2.64</w:t>
            </w:r>
          </w:p>
        </w:tc>
        <w:tc>
          <w:tcPr>
            <w:tcW w:w="626" w:type="pct"/>
            <w:vAlign w:val="bottom"/>
          </w:tcPr>
          <w:p>
            <w:pPr>
              <w:widowControl/>
              <w:jc w:val="center"/>
              <w:textAlignment w:val="center"/>
              <w:rPr>
                <w:rFonts w:cs="宋体"/>
                <w:color w:val="000000"/>
                <w:kern w:val="0"/>
                <w:szCs w:val="21"/>
                <w:lang w:bidi="ar"/>
              </w:rPr>
            </w:pPr>
            <w:r>
              <w:rPr>
                <w:rFonts w:hint="eastAsia"/>
                <w:color w:val="000000"/>
                <w:szCs w:val="21"/>
              </w:rPr>
              <w:t>2.03</w:t>
            </w:r>
          </w:p>
        </w:tc>
        <w:tc>
          <w:tcPr>
            <w:tcW w:w="625" w:type="pct"/>
          </w:tcPr>
          <w:p>
            <w:pPr>
              <w:widowControl/>
              <w:jc w:val="center"/>
              <w:textAlignment w:val="center"/>
              <w:rPr>
                <w:rFonts w:cs="宋体"/>
                <w:color w:val="000000"/>
                <w:kern w:val="0"/>
                <w:szCs w:val="21"/>
                <w:lang w:bidi="ar"/>
              </w:rPr>
            </w:pPr>
            <w:r>
              <w:rPr>
                <w:color w:val="000000"/>
                <w:szCs w:val="21"/>
              </w:rPr>
              <w:t>/</w:t>
            </w:r>
          </w:p>
        </w:tc>
        <w:tc>
          <w:tcPr>
            <w:tcW w:w="626" w:type="pct"/>
            <w:vAlign w:val="bottom"/>
          </w:tcPr>
          <w:p>
            <w:pPr>
              <w:widowControl/>
              <w:jc w:val="center"/>
              <w:textAlignment w:val="center"/>
              <w:rPr>
                <w:rFonts w:cs="宋体"/>
                <w:color w:val="000000"/>
                <w:kern w:val="0"/>
                <w:szCs w:val="21"/>
                <w:lang w:bidi="ar"/>
              </w:rPr>
            </w:pPr>
            <w:r>
              <w:rPr>
                <w:rFonts w:hint="eastAsia"/>
                <w:color w:val="000000"/>
                <w:sz w:val="22"/>
                <w:szCs w:val="22"/>
              </w:rPr>
              <w:t>25.41</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19.93</w:t>
            </w:r>
          </w:p>
        </w:tc>
        <w:tc>
          <w:tcPr>
            <w:tcW w:w="624" w:type="pct"/>
          </w:tcPr>
          <w:p>
            <w:pPr>
              <w:widowControl/>
              <w:jc w:val="center"/>
              <w:textAlignment w:val="center"/>
              <w:rPr>
                <w:rFonts w:cs="宋体"/>
                <w:color w:val="000000"/>
                <w:kern w:val="0"/>
                <w:szCs w:val="21"/>
                <w:lang w:bidi="ar"/>
              </w:rPr>
            </w:pP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6.25</w:t>
            </w:r>
          </w:p>
        </w:tc>
        <w:tc>
          <w:tcPr>
            <w:tcW w:w="635" w:type="pct"/>
            <w:vAlign w:val="center"/>
          </w:tcPr>
          <w:p>
            <w:pPr>
              <w:widowControl/>
              <w:jc w:val="center"/>
              <w:textAlignment w:val="center"/>
              <w:rPr>
                <w:rFonts w:cs="宋体"/>
                <w:color w:val="000000"/>
                <w:szCs w:val="21"/>
              </w:rPr>
            </w:pPr>
            <w:r>
              <w:rPr>
                <w:rFonts w:hint="eastAsia" w:cs="宋体"/>
                <w:color w:val="000000"/>
                <w:kern w:val="0"/>
                <w:szCs w:val="21"/>
                <w:lang w:bidi="ar"/>
              </w:rPr>
              <w:t>边导线下</w:t>
            </w:r>
          </w:p>
        </w:tc>
        <w:tc>
          <w:tcPr>
            <w:tcW w:w="694" w:type="pct"/>
            <w:vAlign w:val="bottom"/>
          </w:tcPr>
          <w:p>
            <w:pPr>
              <w:widowControl/>
              <w:jc w:val="center"/>
              <w:textAlignment w:val="center"/>
              <w:rPr>
                <w:rFonts w:cs="宋体"/>
                <w:b/>
                <w:color w:val="000000"/>
                <w:szCs w:val="21"/>
              </w:rPr>
            </w:pPr>
            <w:r>
              <w:rPr>
                <w:rFonts w:hint="eastAsia"/>
                <w:b/>
                <w:color w:val="000000"/>
                <w:sz w:val="22"/>
                <w:szCs w:val="22"/>
              </w:rPr>
              <w:t>2.67</w:t>
            </w:r>
          </w:p>
        </w:tc>
        <w:tc>
          <w:tcPr>
            <w:tcW w:w="626" w:type="pct"/>
            <w:vAlign w:val="center"/>
          </w:tcPr>
          <w:p>
            <w:pPr>
              <w:widowControl/>
              <w:jc w:val="center"/>
              <w:textAlignment w:val="center"/>
              <w:rPr>
                <w:rFonts w:cs="宋体"/>
                <w:color w:val="000000"/>
                <w:szCs w:val="21"/>
              </w:rPr>
            </w:pPr>
            <w:r>
              <w:rPr>
                <w:rFonts w:hint="eastAsia"/>
                <w:color w:val="000000"/>
                <w:szCs w:val="21"/>
              </w:rPr>
              <w:t>2.05</w:t>
            </w:r>
          </w:p>
        </w:tc>
        <w:tc>
          <w:tcPr>
            <w:tcW w:w="625" w:type="pct"/>
            <w:vAlign w:val="center"/>
          </w:tcPr>
          <w:p>
            <w:pPr>
              <w:widowControl/>
              <w:jc w:val="center"/>
              <w:textAlignment w:val="center"/>
              <w:rPr>
                <w:rFonts w:cs="宋体"/>
                <w:color w:val="000000"/>
                <w:szCs w:val="21"/>
              </w:rPr>
            </w:pPr>
            <w:r>
              <w:rPr>
                <w:color w:val="000000"/>
                <w:szCs w:val="21"/>
              </w:rPr>
              <w:t>/</w:t>
            </w:r>
          </w:p>
        </w:tc>
        <w:tc>
          <w:tcPr>
            <w:tcW w:w="626" w:type="pct"/>
            <w:vAlign w:val="bottom"/>
          </w:tcPr>
          <w:p>
            <w:pPr>
              <w:widowControl/>
              <w:jc w:val="center"/>
              <w:textAlignment w:val="center"/>
              <w:rPr>
                <w:rFonts w:cs="宋体"/>
                <w:color w:val="000000"/>
                <w:szCs w:val="21"/>
              </w:rPr>
            </w:pPr>
            <w:r>
              <w:rPr>
                <w:rFonts w:hint="eastAsia"/>
                <w:color w:val="000000"/>
                <w:sz w:val="22"/>
                <w:szCs w:val="22"/>
              </w:rPr>
              <w:t>24.88</w:t>
            </w:r>
          </w:p>
        </w:tc>
        <w:tc>
          <w:tcPr>
            <w:tcW w:w="624" w:type="pct"/>
            <w:vAlign w:val="center"/>
          </w:tcPr>
          <w:p>
            <w:pPr>
              <w:widowControl/>
              <w:jc w:val="center"/>
              <w:textAlignment w:val="center"/>
              <w:rPr>
                <w:rFonts w:cs="宋体"/>
                <w:color w:val="000000"/>
                <w:kern w:val="0"/>
                <w:szCs w:val="21"/>
                <w:lang w:bidi="ar"/>
              </w:rPr>
            </w:pPr>
            <w:r>
              <w:rPr>
                <w:rFonts w:hint="eastAsia"/>
                <w:color w:val="000000"/>
                <w:sz w:val="22"/>
                <w:szCs w:val="22"/>
              </w:rPr>
              <w:t>19.54</w:t>
            </w:r>
          </w:p>
        </w:tc>
        <w:tc>
          <w:tcPr>
            <w:tcW w:w="624" w:type="pct"/>
            <w:vAlign w:val="center"/>
          </w:tcPr>
          <w:p>
            <w:pPr>
              <w:widowControl/>
              <w:jc w:val="center"/>
              <w:textAlignment w:val="center"/>
              <w:rPr>
                <w:rFonts w:cs="宋体"/>
                <w:color w:val="000000"/>
                <w:kern w:val="0"/>
                <w:szCs w:val="21"/>
                <w:lang w:bidi="ar"/>
              </w:rPr>
            </w:pP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7.25</w:t>
            </w:r>
          </w:p>
        </w:tc>
        <w:tc>
          <w:tcPr>
            <w:tcW w:w="635" w:type="pct"/>
            <w:vAlign w:val="center"/>
          </w:tcPr>
          <w:p>
            <w:pPr>
              <w:widowControl/>
              <w:jc w:val="center"/>
              <w:textAlignment w:val="center"/>
              <w:rPr>
                <w:rFonts w:cs="宋体"/>
                <w:color w:val="000000"/>
                <w:szCs w:val="21"/>
              </w:rPr>
            </w:pPr>
            <w:r>
              <w:rPr>
                <w:rFonts w:hint="eastAsia" w:cs="宋体"/>
                <w:color w:val="000000"/>
                <w:kern w:val="0"/>
                <w:szCs w:val="21"/>
                <w:lang w:bidi="ar"/>
              </w:rPr>
              <w:t>1m</w:t>
            </w:r>
          </w:p>
        </w:tc>
        <w:tc>
          <w:tcPr>
            <w:tcW w:w="694" w:type="pct"/>
            <w:vAlign w:val="bottom"/>
          </w:tcPr>
          <w:p>
            <w:pPr>
              <w:widowControl/>
              <w:jc w:val="center"/>
              <w:textAlignment w:val="center"/>
              <w:rPr>
                <w:rFonts w:cs="宋体"/>
                <w:color w:val="000000"/>
                <w:szCs w:val="21"/>
              </w:rPr>
            </w:pPr>
            <w:r>
              <w:rPr>
                <w:rFonts w:hint="eastAsia"/>
                <w:color w:val="000000"/>
                <w:sz w:val="22"/>
                <w:szCs w:val="22"/>
              </w:rPr>
              <w:t>2.64</w:t>
            </w:r>
          </w:p>
        </w:tc>
        <w:tc>
          <w:tcPr>
            <w:tcW w:w="626" w:type="pct"/>
            <w:vAlign w:val="bottom"/>
          </w:tcPr>
          <w:p>
            <w:pPr>
              <w:widowControl/>
              <w:jc w:val="center"/>
              <w:textAlignment w:val="center"/>
              <w:rPr>
                <w:rFonts w:cs="宋体"/>
                <w:color w:val="000000"/>
                <w:szCs w:val="21"/>
              </w:rPr>
            </w:pPr>
            <w:r>
              <w:rPr>
                <w:rFonts w:hint="eastAsia"/>
                <w:color w:val="000000"/>
                <w:szCs w:val="21"/>
              </w:rPr>
              <w:t>2.07</w:t>
            </w:r>
          </w:p>
        </w:tc>
        <w:tc>
          <w:tcPr>
            <w:tcW w:w="625" w:type="pct"/>
          </w:tcPr>
          <w:p>
            <w:pPr>
              <w:widowControl/>
              <w:jc w:val="center"/>
              <w:textAlignment w:val="center"/>
              <w:rPr>
                <w:rFonts w:cs="宋体"/>
                <w:b/>
                <w:bCs/>
                <w:color w:val="000000"/>
                <w:szCs w:val="21"/>
              </w:rPr>
            </w:pPr>
            <w:r>
              <w:rPr>
                <w:color w:val="000000"/>
                <w:szCs w:val="21"/>
              </w:rPr>
              <w:t>/</w:t>
            </w:r>
          </w:p>
        </w:tc>
        <w:tc>
          <w:tcPr>
            <w:tcW w:w="626" w:type="pct"/>
            <w:vAlign w:val="bottom"/>
          </w:tcPr>
          <w:p>
            <w:pPr>
              <w:widowControl/>
              <w:jc w:val="center"/>
              <w:textAlignment w:val="center"/>
              <w:rPr>
                <w:rFonts w:cs="宋体"/>
                <w:color w:val="000000"/>
                <w:szCs w:val="21"/>
              </w:rPr>
            </w:pPr>
            <w:r>
              <w:rPr>
                <w:rFonts w:hint="eastAsia"/>
                <w:color w:val="000000"/>
                <w:sz w:val="22"/>
                <w:szCs w:val="22"/>
              </w:rPr>
              <w:t>22.29</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17.78</w:t>
            </w:r>
          </w:p>
        </w:tc>
        <w:tc>
          <w:tcPr>
            <w:tcW w:w="624" w:type="pct"/>
          </w:tcPr>
          <w:p>
            <w:pPr>
              <w:widowControl/>
              <w:jc w:val="center"/>
              <w:textAlignment w:val="center"/>
              <w:rPr>
                <w:rFonts w:cs="宋体"/>
                <w:color w:val="000000"/>
                <w:kern w:val="0"/>
                <w:szCs w:val="21"/>
                <w:lang w:bidi="ar"/>
              </w:rPr>
            </w:pP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8.25</w:t>
            </w:r>
          </w:p>
        </w:tc>
        <w:tc>
          <w:tcPr>
            <w:tcW w:w="635" w:type="pct"/>
            <w:vAlign w:val="center"/>
          </w:tcPr>
          <w:p>
            <w:pPr>
              <w:widowControl/>
              <w:jc w:val="center"/>
              <w:textAlignment w:val="center"/>
              <w:rPr>
                <w:rFonts w:cs="宋体"/>
                <w:color w:val="000000"/>
                <w:szCs w:val="21"/>
              </w:rPr>
            </w:pPr>
            <w:r>
              <w:rPr>
                <w:rFonts w:hint="eastAsia" w:cs="宋体"/>
                <w:color w:val="000000"/>
                <w:kern w:val="0"/>
                <w:szCs w:val="21"/>
                <w:lang w:bidi="ar"/>
              </w:rPr>
              <w:t>2m</w:t>
            </w:r>
          </w:p>
        </w:tc>
        <w:tc>
          <w:tcPr>
            <w:tcW w:w="694" w:type="pct"/>
            <w:vAlign w:val="bottom"/>
          </w:tcPr>
          <w:p>
            <w:pPr>
              <w:widowControl/>
              <w:jc w:val="center"/>
              <w:textAlignment w:val="center"/>
              <w:rPr>
                <w:rFonts w:cs="宋体"/>
                <w:color w:val="000000"/>
                <w:szCs w:val="21"/>
              </w:rPr>
            </w:pPr>
            <w:r>
              <w:rPr>
                <w:rFonts w:hint="eastAsia"/>
                <w:color w:val="000000"/>
                <w:sz w:val="22"/>
                <w:szCs w:val="22"/>
              </w:rPr>
              <w:t>2.44</w:t>
            </w:r>
          </w:p>
        </w:tc>
        <w:tc>
          <w:tcPr>
            <w:tcW w:w="626" w:type="pct"/>
            <w:vAlign w:val="bottom"/>
          </w:tcPr>
          <w:p>
            <w:pPr>
              <w:widowControl/>
              <w:jc w:val="center"/>
              <w:textAlignment w:val="center"/>
              <w:rPr>
                <w:rFonts w:cs="宋体"/>
                <w:b/>
                <w:color w:val="000000"/>
                <w:szCs w:val="21"/>
              </w:rPr>
            </w:pPr>
            <w:r>
              <w:rPr>
                <w:rFonts w:hint="eastAsia"/>
                <w:b/>
                <w:color w:val="000000"/>
                <w:szCs w:val="21"/>
              </w:rPr>
              <w:t>1.97</w:t>
            </w:r>
          </w:p>
        </w:tc>
        <w:tc>
          <w:tcPr>
            <w:tcW w:w="625" w:type="pct"/>
            <w:vAlign w:val="bottom"/>
          </w:tcPr>
          <w:p>
            <w:pPr>
              <w:widowControl/>
              <w:jc w:val="center"/>
              <w:textAlignment w:val="center"/>
              <w:rPr>
                <w:rFonts w:cs="宋体"/>
                <w:b/>
                <w:color w:val="000000"/>
                <w:szCs w:val="21"/>
              </w:rPr>
            </w:pPr>
            <w:r>
              <w:rPr>
                <w:rFonts w:hint="eastAsia"/>
                <w:b/>
                <w:color w:val="000000"/>
                <w:szCs w:val="21"/>
              </w:rPr>
              <w:t>3.02</w:t>
            </w:r>
          </w:p>
        </w:tc>
        <w:tc>
          <w:tcPr>
            <w:tcW w:w="626" w:type="pct"/>
            <w:vAlign w:val="bottom"/>
          </w:tcPr>
          <w:p>
            <w:pPr>
              <w:widowControl/>
              <w:jc w:val="center"/>
              <w:textAlignment w:val="center"/>
              <w:rPr>
                <w:rFonts w:cs="宋体"/>
                <w:color w:val="000000"/>
                <w:szCs w:val="21"/>
              </w:rPr>
            </w:pPr>
            <w:r>
              <w:rPr>
                <w:rFonts w:hint="eastAsia"/>
                <w:color w:val="000000"/>
                <w:sz w:val="22"/>
                <w:szCs w:val="22"/>
              </w:rPr>
              <w:t>19.29</w:t>
            </w:r>
          </w:p>
        </w:tc>
        <w:tc>
          <w:tcPr>
            <w:tcW w:w="624" w:type="pct"/>
            <w:vAlign w:val="bottom"/>
          </w:tcPr>
          <w:p>
            <w:pPr>
              <w:widowControl/>
              <w:jc w:val="center"/>
              <w:textAlignment w:val="center"/>
              <w:rPr>
                <w:rFonts w:cs="宋体"/>
                <w:b/>
                <w:color w:val="000000"/>
                <w:kern w:val="0"/>
                <w:szCs w:val="21"/>
                <w:lang w:bidi="ar"/>
              </w:rPr>
            </w:pPr>
            <w:r>
              <w:rPr>
                <w:rFonts w:hint="eastAsia"/>
                <w:b/>
                <w:color w:val="000000"/>
                <w:sz w:val="22"/>
                <w:szCs w:val="22"/>
              </w:rPr>
              <w:t>15.79</w:t>
            </w:r>
          </w:p>
        </w:tc>
        <w:tc>
          <w:tcPr>
            <w:tcW w:w="624" w:type="pct"/>
            <w:vAlign w:val="bottom"/>
          </w:tcPr>
          <w:p>
            <w:pPr>
              <w:widowControl/>
              <w:jc w:val="center"/>
              <w:textAlignment w:val="center"/>
              <w:rPr>
                <w:rFonts w:cs="宋体"/>
                <w:b/>
                <w:color w:val="000000"/>
                <w:kern w:val="0"/>
                <w:szCs w:val="21"/>
                <w:lang w:bidi="ar"/>
              </w:rPr>
            </w:pPr>
            <w:r>
              <w:rPr>
                <w:rFonts w:hint="eastAsia"/>
                <w:b/>
                <w:color w:val="000000"/>
                <w:sz w:val="22"/>
                <w:szCs w:val="22"/>
              </w:rPr>
              <w:t>30.99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9.25</w:t>
            </w:r>
          </w:p>
        </w:tc>
        <w:tc>
          <w:tcPr>
            <w:tcW w:w="635" w:type="pct"/>
            <w:vAlign w:val="center"/>
          </w:tcPr>
          <w:p>
            <w:pPr>
              <w:widowControl/>
              <w:jc w:val="center"/>
              <w:textAlignment w:val="center"/>
              <w:rPr>
                <w:rFonts w:cs="宋体"/>
                <w:color w:val="000000"/>
                <w:szCs w:val="21"/>
              </w:rPr>
            </w:pPr>
            <w:r>
              <w:rPr>
                <w:rFonts w:hint="eastAsia" w:cs="宋体"/>
                <w:color w:val="000000"/>
                <w:kern w:val="0"/>
                <w:szCs w:val="21"/>
                <w:lang w:bidi="ar"/>
              </w:rPr>
              <w:t>3m</w:t>
            </w:r>
          </w:p>
        </w:tc>
        <w:tc>
          <w:tcPr>
            <w:tcW w:w="694" w:type="pct"/>
            <w:vAlign w:val="bottom"/>
          </w:tcPr>
          <w:p>
            <w:pPr>
              <w:widowControl/>
              <w:jc w:val="center"/>
              <w:textAlignment w:val="center"/>
              <w:rPr>
                <w:rFonts w:cs="宋体"/>
                <w:color w:val="000000"/>
                <w:szCs w:val="21"/>
              </w:rPr>
            </w:pPr>
            <w:r>
              <w:rPr>
                <w:rFonts w:hint="eastAsia"/>
                <w:color w:val="000000"/>
                <w:sz w:val="22"/>
                <w:szCs w:val="22"/>
              </w:rPr>
              <w:t>2.14</w:t>
            </w:r>
          </w:p>
        </w:tc>
        <w:tc>
          <w:tcPr>
            <w:tcW w:w="626" w:type="pct"/>
            <w:vAlign w:val="bottom"/>
          </w:tcPr>
          <w:p>
            <w:pPr>
              <w:widowControl/>
              <w:jc w:val="center"/>
              <w:textAlignment w:val="center"/>
              <w:rPr>
                <w:rFonts w:cs="宋体"/>
                <w:color w:val="000000"/>
                <w:szCs w:val="21"/>
              </w:rPr>
            </w:pPr>
            <w:r>
              <w:rPr>
                <w:rFonts w:hint="eastAsia"/>
                <w:color w:val="000000"/>
                <w:szCs w:val="21"/>
              </w:rPr>
              <w:t>1.80</w:t>
            </w:r>
          </w:p>
        </w:tc>
        <w:tc>
          <w:tcPr>
            <w:tcW w:w="625" w:type="pct"/>
            <w:vAlign w:val="bottom"/>
          </w:tcPr>
          <w:p>
            <w:pPr>
              <w:widowControl/>
              <w:jc w:val="center"/>
              <w:textAlignment w:val="center"/>
              <w:rPr>
                <w:rFonts w:cs="宋体"/>
                <w:color w:val="000000"/>
                <w:szCs w:val="21"/>
              </w:rPr>
            </w:pPr>
            <w:r>
              <w:rPr>
                <w:rFonts w:hint="eastAsia"/>
                <w:color w:val="000000"/>
                <w:szCs w:val="21"/>
              </w:rPr>
              <w:t>2.37</w:t>
            </w:r>
          </w:p>
        </w:tc>
        <w:tc>
          <w:tcPr>
            <w:tcW w:w="626" w:type="pct"/>
            <w:vAlign w:val="bottom"/>
          </w:tcPr>
          <w:p>
            <w:pPr>
              <w:widowControl/>
              <w:jc w:val="center"/>
              <w:textAlignment w:val="center"/>
              <w:rPr>
                <w:rFonts w:cs="宋体"/>
                <w:color w:val="000000"/>
                <w:szCs w:val="21"/>
              </w:rPr>
            </w:pPr>
            <w:r>
              <w:rPr>
                <w:rFonts w:hint="eastAsia"/>
                <w:color w:val="000000"/>
                <w:sz w:val="22"/>
                <w:szCs w:val="22"/>
              </w:rPr>
              <w:t>16.35</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13.78</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23.47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10.25</w:t>
            </w:r>
          </w:p>
        </w:tc>
        <w:tc>
          <w:tcPr>
            <w:tcW w:w="635" w:type="pct"/>
            <w:vAlign w:val="center"/>
          </w:tcPr>
          <w:p>
            <w:pPr>
              <w:widowControl/>
              <w:jc w:val="center"/>
              <w:textAlignment w:val="center"/>
              <w:rPr>
                <w:rFonts w:cs="宋体"/>
                <w:color w:val="000000"/>
                <w:szCs w:val="21"/>
              </w:rPr>
            </w:pPr>
            <w:r>
              <w:rPr>
                <w:rFonts w:hint="eastAsia" w:cs="宋体"/>
                <w:color w:val="000000"/>
                <w:kern w:val="0"/>
                <w:szCs w:val="21"/>
                <w:lang w:bidi="ar"/>
              </w:rPr>
              <w:t>4m</w:t>
            </w:r>
          </w:p>
        </w:tc>
        <w:tc>
          <w:tcPr>
            <w:tcW w:w="694" w:type="pct"/>
            <w:vAlign w:val="bottom"/>
          </w:tcPr>
          <w:p>
            <w:pPr>
              <w:widowControl/>
              <w:jc w:val="center"/>
              <w:textAlignment w:val="center"/>
              <w:rPr>
                <w:rFonts w:cs="宋体"/>
                <w:color w:val="000000"/>
                <w:szCs w:val="21"/>
              </w:rPr>
            </w:pPr>
            <w:r>
              <w:rPr>
                <w:rFonts w:hint="eastAsia"/>
                <w:color w:val="000000"/>
                <w:sz w:val="22"/>
                <w:szCs w:val="22"/>
              </w:rPr>
              <w:t>1.81</w:t>
            </w:r>
          </w:p>
        </w:tc>
        <w:tc>
          <w:tcPr>
            <w:tcW w:w="626" w:type="pct"/>
            <w:vAlign w:val="bottom"/>
          </w:tcPr>
          <w:p>
            <w:pPr>
              <w:widowControl/>
              <w:jc w:val="center"/>
              <w:textAlignment w:val="center"/>
              <w:rPr>
                <w:rFonts w:cs="宋体"/>
                <w:color w:val="000000"/>
                <w:szCs w:val="21"/>
              </w:rPr>
            </w:pPr>
            <w:r>
              <w:rPr>
                <w:rFonts w:hint="eastAsia"/>
                <w:color w:val="000000"/>
                <w:szCs w:val="21"/>
              </w:rPr>
              <w:t>1.59</w:t>
            </w:r>
          </w:p>
        </w:tc>
        <w:tc>
          <w:tcPr>
            <w:tcW w:w="625" w:type="pct"/>
            <w:vAlign w:val="bottom"/>
          </w:tcPr>
          <w:p>
            <w:pPr>
              <w:widowControl/>
              <w:jc w:val="center"/>
              <w:textAlignment w:val="center"/>
              <w:rPr>
                <w:rFonts w:cs="宋体"/>
                <w:color w:val="000000"/>
                <w:szCs w:val="21"/>
              </w:rPr>
            </w:pPr>
            <w:r>
              <w:rPr>
                <w:rFonts w:hint="eastAsia"/>
                <w:color w:val="000000"/>
                <w:szCs w:val="21"/>
              </w:rPr>
              <w:t>1.87</w:t>
            </w:r>
          </w:p>
        </w:tc>
        <w:tc>
          <w:tcPr>
            <w:tcW w:w="626" w:type="pct"/>
            <w:vAlign w:val="bottom"/>
          </w:tcPr>
          <w:p>
            <w:pPr>
              <w:widowControl/>
              <w:jc w:val="center"/>
              <w:textAlignment w:val="center"/>
              <w:rPr>
                <w:rFonts w:cs="宋体"/>
                <w:color w:val="000000"/>
                <w:szCs w:val="21"/>
              </w:rPr>
            </w:pPr>
            <w:r>
              <w:rPr>
                <w:rFonts w:hint="eastAsia"/>
                <w:color w:val="000000"/>
                <w:sz w:val="22"/>
                <w:szCs w:val="22"/>
              </w:rPr>
              <w:t>13.74</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11.92</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18.08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11.25</w:t>
            </w:r>
          </w:p>
        </w:tc>
        <w:tc>
          <w:tcPr>
            <w:tcW w:w="635" w:type="pct"/>
            <w:vAlign w:val="center"/>
          </w:tcPr>
          <w:p>
            <w:pPr>
              <w:widowControl/>
              <w:jc w:val="center"/>
              <w:textAlignment w:val="center"/>
              <w:rPr>
                <w:rFonts w:cs="宋体"/>
                <w:color w:val="000000"/>
                <w:szCs w:val="21"/>
              </w:rPr>
            </w:pPr>
            <w:r>
              <w:rPr>
                <w:rFonts w:hint="eastAsia" w:cs="宋体"/>
                <w:color w:val="000000"/>
                <w:kern w:val="0"/>
                <w:szCs w:val="21"/>
                <w:lang w:bidi="ar"/>
              </w:rPr>
              <w:t>5m</w:t>
            </w:r>
          </w:p>
        </w:tc>
        <w:tc>
          <w:tcPr>
            <w:tcW w:w="694" w:type="pct"/>
            <w:vAlign w:val="bottom"/>
          </w:tcPr>
          <w:p>
            <w:pPr>
              <w:widowControl/>
              <w:jc w:val="center"/>
              <w:textAlignment w:val="center"/>
              <w:rPr>
                <w:rFonts w:cs="宋体"/>
                <w:color w:val="000000"/>
                <w:szCs w:val="21"/>
              </w:rPr>
            </w:pPr>
            <w:r>
              <w:rPr>
                <w:rFonts w:hint="eastAsia"/>
                <w:color w:val="000000"/>
                <w:sz w:val="22"/>
                <w:szCs w:val="22"/>
              </w:rPr>
              <w:t>1.51</w:t>
            </w:r>
          </w:p>
        </w:tc>
        <w:tc>
          <w:tcPr>
            <w:tcW w:w="626" w:type="pct"/>
            <w:vAlign w:val="bottom"/>
          </w:tcPr>
          <w:p>
            <w:pPr>
              <w:widowControl/>
              <w:jc w:val="center"/>
              <w:textAlignment w:val="center"/>
              <w:rPr>
                <w:rFonts w:cs="宋体"/>
                <w:color w:val="000000"/>
                <w:szCs w:val="21"/>
              </w:rPr>
            </w:pPr>
            <w:r>
              <w:rPr>
                <w:rFonts w:hint="eastAsia"/>
                <w:color w:val="000000"/>
                <w:szCs w:val="21"/>
              </w:rPr>
              <w:t>1.37</w:t>
            </w:r>
          </w:p>
        </w:tc>
        <w:tc>
          <w:tcPr>
            <w:tcW w:w="625" w:type="pct"/>
            <w:vAlign w:val="bottom"/>
          </w:tcPr>
          <w:p>
            <w:pPr>
              <w:widowControl/>
              <w:jc w:val="center"/>
              <w:textAlignment w:val="center"/>
              <w:rPr>
                <w:rFonts w:cs="宋体"/>
                <w:color w:val="000000"/>
                <w:szCs w:val="21"/>
              </w:rPr>
            </w:pPr>
            <w:r>
              <w:rPr>
                <w:rFonts w:hint="eastAsia"/>
                <w:color w:val="000000"/>
                <w:szCs w:val="21"/>
              </w:rPr>
              <w:t>1.50</w:t>
            </w:r>
          </w:p>
        </w:tc>
        <w:tc>
          <w:tcPr>
            <w:tcW w:w="626" w:type="pct"/>
            <w:vAlign w:val="bottom"/>
          </w:tcPr>
          <w:p>
            <w:pPr>
              <w:widowControl/>
              <w:jc w:val="center"/>
              <w:textAlignment w:val="center"/>
              <w:rPr>
                <w:rFonts w:cs="宋体"/>
                <w:color w:val="000000"/>
                <w:szCs w:val="21"/>
              </w:rPr>
            </w:pPr>
            <w:r>
              <w:rPr>
                <w:rFonts w:hint="eastAsia"/>
                <w:color w:val="000000"/>
                <w:sz w:val="22"/>
                <w:szCs w:val="22"/>
              </w:rPr>
              <w:t>11.56</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10.28</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14.28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12.25</w:t>
            </w:r>
          </w:p>
        </w:tc>
        <w:tc>
          <w:tcPr>
            <w:tcW w:w="635" w:type="pct"/>
            <w:vAlign w:val="center"/>
          </w:tcPr>
          <w:p>
            <w:pPr>
              <w:widowControl/>
              <w:jc w:val="center"/>
              <w:textAlignment w:val="center"/>
              <w:rPr>
                <w:rFonts w:cs="宋体"/>
                <w:color w:val="000000"/>
                <w:szCs w:val="21"/>
              </w:rPr>
            </w:pPr>
            <w:r>
              <w:rPr>
                <w:rFonts w:hint="eastAsia" w:cs="宋体"/>
                <w:color w:val="000000"/>
                <w:kern w:val="0"/>
                <w:szCs w:val="21"/>
                <w:lang w:bidi="ar"/>
              </w:rPr>
              <w:t>6m</w:t>
            </w:r>
          </w:p>
        </w:tc>
        <w:tc>
          <w:tcPr>
            <w:tcW w:w="694" w:type="pct"/>
            <w:vAlign w:val="bottom"/>
          </w:tcPr>
          <w:p>
            <w:pPr>
              <w:widowControl/>
              <w:jc w:val="center"/>
              <w:textAlignment w:val="center"/>
              <w:rPr>
                <w:rFonts w:cs="宋体"/>
                <w:color w:val="000000"/>
                <w:szCs w:val="21"/>
              </w:rPr>
            </w:pPr>
            <w:r>
              <w:rPr>
                <w:rFonts w:hint="eastAsia"/>
                <w:color w:val="000000"/>
                <w:sz w:val="22"/>
                <w:szCs w:val="22"/>
              </w:rPr>
              <w:t>1.25</w:t>
            </w:r>
          </w:p>
        </w:tc>
        <w:tc>
          <w:tcPr>
            <w:tcW w:w="626" w:type="pct"/>
            <w:vAlign w:val="bottom"/>
          </w:tcPr>
          <w:p>
            <w:pPr>
              <w:widowControl/>
              <w:jc w:val="center"/>
              <w:textAlignment w:val="center"/>
              <w:rPr>
                <w:rFonts w:cs="宋体"/>
                <w:color w:val="000000"/>
                <w:szCs w:val="21"/>
              </w:rPr>
            </w:pPr>
            <w:r>
              <w:rPr>
                <w:rFonts w:hint="eastAsia"/>
                <w:color w:val="000000"/>
                <w:szCs w:val="21"/>
              </w:rPr>
              <w:t>1.18</w:t>
            </w:r>
          </w:p>
        </w:tc>
        <w:tc>
          <w:tcPr>
            <w:tcW w:w="625" w:type="pct"/>
            <w:vAlign w:val="bottom"/>
          </w:tcPr>
          <w:p>
            <w:pPr>
              <w:widowControl/>
              <w:jc w:val="center"/>
              <w:textAlignment w:val="center"/>
              <w:rPr>
                <w:rFonts w:cs="宋体"/>
                <w:color w:val="000000"/>
                <w:szCs w:val="21"/>
              </w:rPr>
            </w:pPr>
            <w:r>
              <w:rPr>
                <w:rFonts w:hint="eastAsia"/>
                <w:color w:val="000000"/>
                <w:szCs w:val="21"/>
              </w:rPr>
              <w:t>1.22</w:t>
            </w:r>
          </w:p>
        </w:tc>
        <w:tc>
          <w:tcPr>
            <w:tcW w:w="626" w:type="pct"/>
            <w:vAlign w:val="bottom"/>
          </w:tcPr>
          <w:p>
            <w:pPr>
              <w:widowControl/>
              <w:jc w:val="center"/>
              <w:textAlignment w:val="center"/>
              <w:rPr>
                <w:rFonts w:cs="宋体"/>
                <w:color w:val="000000"/>
                <w:szCs w:val="21"/>
              </w:rPr>
            </w:pPr>
            <w:r>
              <w:rPr>
                <w:rFonts w:hint="eastAsia"/>
                <w:color w:val="000000"/>
                <w:sz w:val="22"/>
                <w:szCs w:val="22"/>
              </w:rPr>
              <w:t>9.78</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8.88</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11.55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13.25</w:t>
            </w:r>
          </w:p>
        </w:tc>
        <w:tc>
          <w:tcPr>
            <w:tcW w:w="635" w:type="pct"/>
            <w:vAlign w:val="center"/>
          </w:tcPr>
          <w:p>
            <w:pPr>
              <w:widowControl/>
              <w:jc w:val="center"/>
              <w:textAlignment w:val="center"/>
              <w:rPr>
                <w:rFonts w:cs="宋体"/>
                <w:color w:val="000000"/>
                <w:szCs w:val="21"/>
              </w:rPr>
            </w:pPr>
            <w:r>
              <w:rPr>
                <w:rFonts w:hint="eastAsia" w:cs="宋体"/>
                <w:color w:val="000000"/>
                <w:kern w:val="0"/>
                <w:szCs w:val="21"/>
                <w:lang w:bidi="ar"/>
              </w:rPr>
              <w:t>7m</w:t>
            </w:r>
          </w:p>
        </w:tc>
        <w:tc>
          <w:tcPr>
            <w:tcW w:w="694" w:type="pct"/>
            <w:vAlign w:val="bottom"/>
          </w:tcPr>
          <w:p>
            <w:pPr>
              <w:widowControl/>
              <w:jc w:val="center"/>
              <w:textAlignment w:val="center"/>
              <w:rPr>
                <w:rFonts w:cs="宋体"/>
                <w:color w:val="000000"/>
                <w:szCs w:val="21"/>
              </w:rPr>
            </w:pPr>
            <w:r>
              <w:rPr>
                <w:rFonts w:hint="eastAsia"/>
                <w:color w:val="000000"/>
                <w:sz w:val="22"/>
                <w:szCs w:val="22"/>
              </w:rPr>
              <w:t>1.03</w:t>
            </w:r>
          </w:p>
        </w:tc>
        <w:tc>
          <w:tcPr>
            <w:tcW w:w="626" w:type="pct"/>
            <w:vAlign w:val="bottom"/>
          </w:tcPr>
          <w:p>
            <w:pPr>
              <w:widowControl/>
              <w:jc w:val="center"/>
              <w:textAlignment w:val="center"/>
              <w:rPr>
                <w:rFonts w:cs="宋体"/>
                <w:color w:val="000000"/>
                <w:szCs w:val="21"/>
              </w:rPr>
            </w:pPr>
            <w:r>
              <w:rPr>
                <w:rFonts w:hint="eastAsia"/>
                <w:color w:val="000000"/>
                <w:szCs w:val="21"/>
              </w:rPr>
              <w:t>1.00</w:t>
            </w:r>
          </w:p>
        </w:tc>
        <w:tc>
          <w:tcPr>
            <w:tcW w:w="625" w:type="pct"/>
            <w:vAlign w:val="bottom"/>
          </w:tcPr>
          <w:p>
            <w:pPr>
              <w:widowControl/>
              <w:jc w:val="center"/>
              <w:textAlignment w:val="center"/>
              <w:rPr>
                <w:rFonts w:cs="宋体"/>
                <w:color w:val="000000"/>
                <w:szCs w:val="21"/>
              </w:rPr>
            </w:pPr>
            <w:r>
              <w:rPr>
                <w:rFonts w:hint="eastAsia"/>
                <w:color w:val="000000"/>
                <w:szCs w:val="21"/>
              </w:rPr>
              <w:t>1.00</w:t>
            </w:r>
          </w:p>
        </w:tc>
        <w:tc>
          <w:tcPr>
            <w:tcW w:w="626" w:type="pct"/>
            <w:vAlign w:val="bottom"/>
          </w:tcPr>
          <w:p>
            <w:pPr>
              <w:widowControl/>
              <w:jc w:val="center"/>
              <w:textAlignment w:val="center"/>
              <w:rPr>
                <w:rFonts w:cs="宋体"/>
                <w:color w:val="000000"/>
                <w:szCs w:val="21"/>
              </w:rPr>
            </w:pPr>
            <w:r>
              <w:rPr>
                <w:rFonts w:hint="eastAsia"/>
                <w:color w:val="000000"/>
                <w:sz w:val="22"/>
                <w:szCs w:val="22"/>
              </w:rPr>
              <w:t>8.35</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7.70</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14.25</w:t>
            </w:r>
          </w:p>
        </w:tc>
        <w:tc>
          <w:tcPr>
            <w:tcW w:w="635" w:type="pct"/>
            <w:vAlign w:val="center"/>
          </w:tcPr>
          <w:p>
            <w:pPr>
              <w:widowControl/>
              <w:jc w:val="center"/>
              <w:textAlignment w:val="center"/>
              <w:rPr>
                <w:rFonts w:cs="宋体"/>
                <w:color w:val="000000"/>
                <w:szCs w:val="21"/>
              </w:rPr>
            </w:pPr>
            <w:r>
              <w:rPr>
                <w:rFonts w:hint="eastAsia" w:cs="宋体"/>
                <w:color w:val="000000"/>
                <w:kern w:val="0"/>
                <w:szCs w:val="21"/>
                <w:lang w:bidi="ar"/>
              </w:rPr>
              <w:t>8m</w:t>
            </w:r>
          </w:p>
        </w:tc>
        <w:tc>
          <w:tcPr>
            <w:tcW w:w="694" w:type="pct"/>
            <w:vAlign w:val="bottom"/>
          </w:tcPr>
          <w:p>
            <w:pPr>
              <w:widowControl/>
              <w:jc w:val="center"/>
              <w:textAlignment w:val="center"/>
              <w:rPr>
                <w:rFonts w:cs="宋体"/>
                <w:color w:val="000000"/>
                <w:szCs w:val="21"/>
              </w:rPr>
            </w:pPr>
            <w:r>
              <w:rPr>
                <w:rFonts w:hint="eastAsia"/>
                <w:color w:val="000000"/>
                <w:sz w:val="22"/>
                <w:szCs w:val="22"/>
              </w:rPr>
              <w:t>0.86</w:t>
            </w:r>
          </w:p>
        </w:tc>
        <w:tc>
          <w:tcPr>
            <w:tcW w:w="626" w:type="pct"/>
            <w:vAlign w:val="bottom"/>
          </w:tcPr>
          <w:p>
            <w:pPr>
              <w:widowControl/>
              <w:jc w:val="center"/>
              <w:textAlignment w:val="center"/>
              <w:rPr>
                <w:rFonts w:cs="宋体"/>
                <w:color w:val="000000"/>
                <w:szCs w:val="21"/>
              </w:rPr>
            </w:pPr>
            <w:r>
              <w:rPr>
                <w:rFonts w:hint="eastAsia"/>
                <w:color w:val="000000"/>
                <w:szCs w:val="21"/>
              </w:rPr>
              <w:t>0.85</w:t>
            </w:r>
          </w:p>
        </w:tc>
        <w:tc>
          <w:tcPr>
            <w:tcW w:w="625" w:type="pct"/>
            <w:vAlign w:val="bottom"/>
          </w:tcPr>
          <w:p>
            <w:pPr>
              <w:widowControl/>
              <w:jc w:val="center"/>
              <w:textAlignment w:val="center"/>
              <w:rPr>
                <w:rFonts w:cs="宋体"/>
                <w:color w:val="000000"/>
                <w:szCs w:val="21"/>
              </w:rPr>
            </w:pPr>
            <w:r>
              <w:rPr>
                <w:rFonts w:hint="eastAsia"/>
                <w:color w:val="000000"/>
                <w:szCs w:val="21"/>
              </w:rPr>
              <w:t>0.83</w:t>
            </w:r>
          </w:p>
        </w:tc>
        <w:tc>
          <w:tcPr>
            <w:tcW w:w="626" w:type="pct"/>
            <w:vAlign w:val="bottom"/>
          </w:tcPr>
          <w:p>
            <w:pPr>
              <w:widowControl/>
              <w:jc w:val="center"/>
              <w:textAlignment w:val="center"/>
              <w:rPr>
                <w:rFonts w:cs="宋体"/>
                <w:color w:val="000000"/>
                <w:szCs w:val="21"/>
              </w:rPr>
            </w:pPr>
            <w:r>
              <w:rPr>
                <w:rFonts w:hint="eastAsia"/>
                <w:color w:val="000000"/>
                <w:sz w:val="22"/>
                <w:szCs w:val="22"/>
              </w:rPr>
              <w:t>7.19</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6.72</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15.25</w:t>
            </w:r>
          </w:p>
        </w:tc>
        <w:tc>
          <w:tcPr>
            <w:tcW w:w="635" w:type="pct"/>
            <w:vAlign w:val="center"/>
          </w:tcPr>
          <w:p>
            <w:pPr>
              <w:widowControl/>
              <w:jc w:val="center"/>
              <w:textAlignment w:val="center"/>
              <w:rPr>
                <w:rFonts w:cs="宋体"/>
                <w:color w:val="000000"/>
                <w:szCs w:val="21"/>
              </w:rPr>
            </w:pPr>
            <w:r>
              <w:rPr>
                <w:rFonts w:hint="eastAsia" w:cs="宋体"/>
                <w:color w:val="000000"/>
                <w:kern w:val="0"/>
                <w:szCs w:val="21"/>
                <w:lang w:bidi="ar"/>
              </w:rPr>
              <w:t>9m</w:t>
            </w:r>
          </w:p>
        </w:tc>
        <w:tc>
          <w:tcPr>
            <w:tcW w:w="694" w:type="pct"/>
            <w:vAlign w:val="bottom"/>
          </w:tcPr>
          <w:p>
            <w:pPr>
              <w:widowControl/>
              <w:jc w:val="center"/>
              <w:textAlignment w:val="center"/>
              <w:rPr>
                <w:rFonts w:cs="宋体"/>
                <w:color w:val="000000"/>
                <w:szCs w:val="21"/>
              </w:rPr>
            </w:pPr>
            <w:r>
              <w:rPr>
                <w:rFonts w:hint="eastAsia"/>
                <w:color w:val="000000"/>
                <w:sz w:val="22"/>
                <w:szCs w:val="22"/>
              </w:rPr>
              <w:t>0.71</w:t>
            </w:r>
          </w:p>
        </w:tc>
        <w:tc>
          <w:tcPr>
            <w:tcW w:w="626" w:type="pct"/>
            <w:vAlign w:val="bottom"/>
          </w:tcPr>
          <w:p>
            <w:pPr>
              <w:widowControl/>
              <w:jc w:val="center"/>
              <w:textAlignment w:val="center"/>
              <w:rPr>
                <w:rFonts w:cs="宋体"/>
                <w:color w:val="000000"/>
                <w:szCs w:val="21"/>
              </w:rPr>
            </w:pPr>
            <w:r>
              <w:rPr>
                <w:rFonts w:hint="eastAsia"/>
                <w:color w:val="000000"/>
                <w:szCs w:val="21"/>
              </w:rPr>
              <w:t>0.72</w:t>
            </w:r>
          </w:p>
        </w:tc>
        <w:tc>
          <w:tcPr>
            <w:tcW w:w="625" w:type="pct"/>
            <w:vAlign w:val="bottom"/>
          </w:tcPr>
          <w:p>
            <w:pPr>
              <w:widowControl/>
              <w:jc w:val="center"/>
              <w:textAlignment w:val="center"/>
              <w:rPr>
                <w:rFonts w:cs="宋体"/>
                <w:color w:val="000000"/>
                <w:szCs w:val="21"/>
              </w:rPr>
            </w:pPr>
            <w:r>
              <w:rPr>
                <w:rFonts w:hint="eastAsia"/>
                <w:color w:val="000000"/>
                <w:szCs w:val="21"/>
              </w:rPr>
              <w:t>0.70</w:t>
            </w:r>
          </w:p>
        </w:tc>
        <w:tc>
          <w:tcPr>
            <w:tcW w:w="626" w:type="pct"/>
            <w:vAlign w:val="bottom"/>
          </w:tcPr>
          <w:p>
            <w:pPr>
              <w:widowControl/>
              <w:jc w:val="center"/>
              <w:textAlignment w:val="center"/>
              <w:rPr>
                <w:rFonts w:cs="宋体"/>
                <w:color w:val="000000"/>
                <w:szCs w:val="21"/>
              </w:rPr>
            </w:pPr>
            <w:r>
              <w:rPr>
                <w:rFonts w:hint="eastAsia"/>
                <w:color w:val="000000"/>
                <w:sz w:val="22"/>
                <w:szCs w:val="22"/>
              </w:rPr>
              <w:t>6.25</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5.89</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16.25</w:t>
            </w:r>
          </w:p>
        </w:tc>
        <w:tc>
          <w:tcPr>
            <w:tcW w:w="635" w:type="pct"/>
            <w:vAlign w:val="center"/>
          </w:tcPr>
          <w:p>
            <w:pPr>
              <w:widowControl/>
              <w:jc w:val="center"/>
              <w:textAlignment w:val="center"/>
              <w:rPr>
                <w:rFonts w:cs="宋体"/>
                <w:color w:val="000000"/>
                <w:szCs w:val="21"/>
              </w:rPr>
            </w:pPr>
            <w:r>
              <w:rPr>
                <w:rFonts w:hint="eastAsia" w:cs="宋体"/>
                <w:color w:val="000000"/>
                <w:kern w:val="0"/>
                <w:szCs w:val="21"/>
                <w:lang w:bidi="ar"/>
              </w:rPr>
              <w:t>10m</w:t>
            </w:r>
          </w:p>
        </w:tc>
        <w:tc>
          <w:tcPr>
            <w:tcW w:w="694" w:type="pct"/>
            <w:vAlign w:val="bottom"/>
          </w:tcPr>
          <w:p>
            <w:pPr>
              <w:widowControl/>
              <w:jc w:val="center"/>
              <w:textAlignment w:val="center"/>
              <w:rPr>
                <w:rFonts w:cs="宋体"/>
                <w:color w:val="000000"/>
                <w:szCs w:val="21"/>
              </w:rPr>
            </w:pPr>
            <w:r>
              <w:rPr>
                <w:rFonts w:hint="eastAsia"/>
                <w:color w:val="000000"/>
                <w:sz w:val="22"/>
                <w:szCs w:val="22"/>
              </w:rPr>
              <w:t>0.60</w:t>
            </w:r>
          </w:p>
        </w:tc>
        <w:tc>
          <w:tcPr>
            <w:tcW w:w="626" w:type="pct"/>
            <w:vAlign w:val="bottom"/>
          </w:tcPr>
          <w:p>
            <w:pPr>
              <w:widowControl/>
              <w:jc w:val="center"/>
              <w:textAlignment w:val="center"/>
              <w:rPr>
                <w:rFonts w:cs="宋体"/>
                <w:color w:val="000000"/>
                <w:szCs w:val="21"/>
              </w:rPr>
            </w:pPr>
            <w:r>
              <w:rPr>
                <w:rFonts w:hint="eastAsia"/>
                <w:color w:val="000000"/>
                <w:szCs w:val="21"/>
              </w:rPr>
              <w:t>0.62</w:t>
            </w:r>
          </w:p>
        </w:tc>
        <w:tc>
          <w:tcPr>
            <w:tcW w:w="625" w:type="pct"/>
            <w:vAlign w:val="bottom"/>
          </w:tcPr>
          <w:p>
            <w:pPr>
              <w:widowControl/>
              <w:jc w:val="center"/>
              <w:textAlignment w:val="center"/>
              <w:rPr>
                <w:rFonts w:cs="宋体"/>
                <w:color w:val="000000"/>
                <w:szCs w:val="21"/>
              </w:rPr>
            </w:pPr>
            <w:r>
              <w:rPr>
                <w:rFonts w:hint="eastAsia"/>
                <w:color w:val="000000"/>
                <w:szCs w:val="21"/>
              </w:rPr>
              <w:t>0.59</w:t>
            </w:r>
          </w:p>
        </w:tc>
        <w:tc>
          <w:tcPr>
            <w:tcW w:w="626" w:type="pct"/>
            <w:vAlign w:val="bottom"/>
          </w:tcPr>
          <w:p>
            <w:pPr>
              <w:widowControl/>
              <w:jc w:val="center"/>
              <w:textAlignment w:val="center"/>
              <w:rPr>
                <w:rFonts w:cs="宋体"/>
                <w:color w:val="000000"/>
                <w:szCs w:val="21"/>
              </w:rPr>
            </w:pPr>
            <w:r>
              <w:rPr>
                <w:rFonts w:hint="eastAsia"/>
                <w:color w:val="000000"/>
                <w:sz w:val="22"/>
                <w:szCs w:val="22"/>
              </w:rPr>
              <w:t>5.47</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5.21</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17.25</w:t>
            </w:r>
          </w:p>
        </w:tc>
        <w:tc>
          <w:tcPr>
            <w:tcW w:w="635" w:type="pct"/>
            <w:vAlign w:val="center"/>
          </w:tcPr>
          <w:p>
            <w:pPr>
              <w:widowControl/>
              <w:jc w:val="center"/>
              <w:textAlignment w:val="center"/>
              <w:rPr>
                <w:rFonts w:cs="宋体"/>
                <w:color w:val="000000"/>
                <w:szCs w:val="21"/>
              </w:rPr>
            </w:pPr>
            <w:r>
              <w:rPr>
                <w:rFonts w:hint="eastAsia" w:cs="宋体"/>
                <w:color w:val="000000"/>
                <w:kern w:val="0"/>
                <w:szCs w:val="21"/>
                <w:lang w:bidi="ar"/>
              </w:rPr>
              <w:t>11m</w:t>
            </w:r>
          </w:p>
        </w:tc>
        <w:tc>
          <w:tcPr>
            <w:tcW w:w="694" w:type="pct"/>
            <w:vAlign w:val="bottom"/>
          </w:tcPr>
          <w:p>
            <w:pPr>
              <w:widowControl/>
              <w:jc w:val="center"/>
              <w:textAlignment w:val="center"/>
              <w:rPr>
                <w:rFonts w:cs="宋体"/>
                <w:color w:val="000000"/>
                <w:szCs w:val="21"/>
              </w:rPr>
            </w:pPr>
            <w:r>
              <w:rPr>
                <w:rFonts w:hint="eastAsia"/>
                <w:color w:val="000000"/>
                <w:sz w:val="22"/>
                <w:szCs w:val="22"/>
              </w:rPr>
              <w:t>0.51</w:t>
            </w:r>
          </w:p>
        </w:tc>
        <w:tc>
          <w:tcPr>
            <w:tcW w:w="626" w:type="pct"/>
            <w:vAlign w:val="bottom"/>
          </w:tcPr>
          <w:p>
            <w:pPr>
              <w:widowControl/>
              <w:jc w:val="center"/>
              <w:textAlignment w:val="center"/>
              <w:rPr>
                <w:rFonts w:cs="宋体"/>
                <w:color w:val="000000"/>
                <w:szCs w:val="21"/>
              </w:rPr>
            </w:pPr>
            <w:r>
              <w:rPr>
                <w:rFonts w:hint="eastAsia"/>
                <w:color w:val="000000"/>
                <w:szCs w:val="21"/>
              </w:rPr>
              <w:t>0.53</w:t>
            </w:r>
          </w:p>
        </w:tc>
        <w:tc>
          <w:tcPr>
            <w:tcW w:w="625" w:type="pct"/>
            <w:vAlign w:val="bottom"/>
          </w:tcPr>
          <w:p>
            <w:pPr>
              <w:widowControl/>
              <w:jc w:val="center"/>
              <w:textAlignment w:val="center"/>
              <w:rPr>
                <w:rFonts w:cs="宋体"/>
                <w:color w:val="000000"/>
                <w:szCs w:val="21"/>
              </w:rPr>
            </w:pPr>
            <w:r>
              <w:rPr>
                <w:rFonts w:hint="eastAsia"/>
                <w:color w:val="000000"/>
                <w:szCs w:val="21"/>
              </w:rPr>
              <w:t>0.51</w:t>
            </w:r>
          </w:p>
        </w:tc>
        <w:tc>
          <w:tcPr>
            <w:tcW w:w="626" w:type="pct"/>
            <w:vAlign w:val="bottom"/>
          </w:tcPr>
          <w:p>
            <w:pPr>
              <w:widowControl/>
              <w:jc w:val="center"/>
              <w:textAlignment w:val="center"/>
              <w:rPr>
                <w:rFonts w:cs="宋体"/>
                <w:color w:val="000000"/>
                <w:szCs w:val="21"/>
              </w:rPr>
            </w:pPr>
            <w:r>
              <w:rPr>
                <w:rFonts w:hint="eastAsia"/>
                <w:color w:val="000000"/>
                <w:sz w:val="22"/>
                <w:szCs w:val="22"/>
              </w:rPr>
              <w:t>4.83</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4.63</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18.25</w:t>
            </w:r>
          </w:p>
        </w:tc>
        <w:tc>
          <w:tcPr>
            <w:tcW w:w="635" w:type="pct"/>
            <w:vAlign w:val="center"/>
          </w:tcPr>
          <w:p>
            <w:pPr>
              <w:widowControl/>
              <w:jc w:val="center"/>
              <w:textAlignment w:val="center"/>
              <w:rPr>
                <w:rFonts w:cs="宋体"/>
                <w:color w:val="000000"/>
                <w:szCs w:val="21"/>
              </w:rPr>
            </w:pPr>
            <w:r>
              <w:rPr>
                <w:rFonts w:hint="eastAsia" w:cs="宋体"/>
                <w:color w:val="000000"/>
                <w:kern w:val="0"/>
                <w:szCs w:val="21"/>
                <w:lang w:bidi="ar"/>
              </w:rPr>
              <w:t>12m</w:t>
            </w:r>
          </w:p>
        </w:tc>
        <w:tc>
          <w:tcPr>
            <w:tcW w:w="694" w:type="pct"/>
            <w:vAlign w:val="bottom"/>
          </w:tcPr>
          <w:p>
            <w:pPr>
              <w:widowControl/>
              <w:jc w:val="center"/>
              <w:textAlignment w:val="center"/>
              <w:rPr>
                <w:rFonts w:cs="宋体"/>
                <w:color w:val="000000"/>
                <w:szCs w:val="21"/>
              </w:rPr>
            </w:pPr>
            <w:r>
              <w:rPr>
                <w:rFonts w:hint="eastAsia"/>
                <w:color w:val="000000"/>
                <w:sz w:val="22"/>
                <w:szCs w:val="22"/>
              </w:rPr>
              <w:t>0.43</w:t>
            </w:r>
          </w:p>
        </w:tc>
        <w:tc>
          <w:tcPr>
            <w:tcW w:w="626" w:type="pct"/>
            <w:vAlign w:val="bottom"/>
          </w:tcPr>
          <w:p>
            <w:pPr>
              <w:widowControl/>
              <w:jc w:val="center"/>
              <w:textAlignment w:val="center"/>
              <w:rPr>
                <w:rFonts w:cs="宋体"/>
                <w:color w:val="000000"/>
                <w:szCs w:val="21"/>
              </w:rPr>
            </w:pPr>
            <w:r>
              <w:rPr>
                <w:rFonts w:hint="eastAsia"/>
                <w:color w:val="000000"/>
                <w:szCs w:val="21"/>
              </w:rPr>
              <w:t>0.46</w:t>
            </w:r>
          </w:p>
        </w:tc>
        <w:tc>
          <w:tcPr>
            <w:tcW w:w="625" w:type="pct"/>
            <w:vAlign w:val="bottom"/>
          </w:tcPr>
          <w:p>
            <w:pPr>
              <w:widowControl/>
              <w:jc w:val="center"/>
              <w:textAlignment w:val="center"/>
              <w:rPr>
                <w:rFonts w:cs="宋体"/>
                <w:color w:val="000000"/>
                <w:szCs w:val="21"/>
              </w:rPr>
            </w:pPr>
            <w:r>
              <w:rPr>
                <w:rFonts w:hint="eastAsia"/>
                <w:color w:val="000000"/>
                <w:szCs w:val="21"/>
              </w:rPr>
              <w:t>0.43</w:t>
            </w:r>
          </w:p>
        </w:tc>
        <w:tc>
          <w:tcPr>
            <w:tcW w:w="626" w:type="pct"/>
            <w:vAlign w:val="bottom"/>
          </w:tcPr>
          <w:p>
            <w:pPr>
              <w:widowControl/>
              <w:jc w:val="center"/>
              <w:textAlignment w:val="center"/>
              <w:rPr>
                <w:rFonts w:cs="宋体"/>
                <w:color w:val="000000"/>
                <w:szCs w:val="21"/>
              </w:rPr>
            </w:pPr>
            <w:r>
              <w:rPr>
                <w:rFonts w:hint="eastAsia"/>
                <w:color w:val="000000"/>
                <w:sz w:val="22"/>
                <w:szCs w:val="22"/>
              </w:rPr>
              <w:t>4.30</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4.14</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19.25</w:t>
            </w:r>
          </w:p>
        </w:tc>
        <w:tc>
          <w:tcPr>
            <w:tcW w:w="635" w:type="pct"/>
            <w:vAlign w:val="center"/>
          </w:tcPr>
          <w:p>
            <w:pPr>
              <w:widowControl/>
              <w:jc w:val="center"/>
              <w:textAlignment w:val="center"/>
              <w:rPr>
                <w:rFonts w:cs="宋体"/>
                <w:color w:val="000000"/>
                <w:szCs w:val="21"/>
              </w:rPr>
            </w:pPr>
            <w:r>
              <w:rPr>
                <w:rFonts w:hint="eastAsia" w:cs="宋体"/>
                <w:color w:val="000000"/>
                <w:kern w:val="0"/>
                <w:szCs w:val="21"/>
                <w:lang w:bidi="ar"/>
              </w:rPr>
              <w:t>13m</w:t>
            </w:r>
          </w:p>
        </w:tc>
        <w:tc>
          <w:tcPr>
            <w:tcW w:w="694" w:type="pct"/>
            <w:vAlign w:val="bottom"/>
          </w:tcPr>
          <w:p>
            <w:pPr>
              <w:widowControl/>
              <w:jc w:val="center"/>
              <w:textAlignment w:val="center"/>
              <w:rPr>
                <w:rFonts w:cs="宋体"/>
                <w:color w:val="000000"/>
                <w:szCs w:val="21"/>
              </w:rPr>
            </w:pPr>
            <w:r>
              <w:rPr>
                <w:rFonts w:hint="eastAsia"/>
                <w:color w:val="000000"/>
                <w:sz w:val="22"/>
                <w:szCs w:val="22"/>
              </w:rPr>
              <w:t>0.37</w:t>
            </w:r>
          </w:p>
        </w:tc>
        <w:tc>
          <w:tcPr>
            <w:tcW w:w="626" w:type="pct"/>
            <w:vAlign w:val="bottom"/>
          </w:tcPr>
          <w:p>
            <w:pPr>
              <w:widowControl/>
              <w:jc w:val="center"/>
              <w:textAlignment w:val="center"/>
              <w:rPr>
                <w:rFonts w:cs="宋体"/>
                <w:color w:val="000000"/>
                <w:szCs w:val="21"/>
              </w:rPr>
            </w:pPr>
            <w:r>
              <w:rPr>
                <w:rFonts w:hint="eastAsia"/>
                <w:color w:val="000000"/>
                <w:szCs w:val="21"/>
              </w:rPr>
              <w:t>0.39</w:t>
            </w:r>
          </w:p>
        </w:tc>
        <w:tc>
          <w:tcPr>
            <w:tcW w:w="625" w:type="pct"/>
            <w:vAlign w:val="bottom"/>
          </w:tcPr>
          <w:p>
            <w:pPr>
              <w:widowControl/>
              <w:jc w:val="center"/>
              <w:textAlignment w:val="center"/>
              <w:rPr>
                <w:rFonts w:cs="宋体"/>
                <w:color w:val="000000"/>
                <w:szCs w:val="21"/>
              </w:rPr>
            </w:pPr>
            <w:r>
              <w:rPr>
                <w:rFonts w:hint="eastAsia"/>
                <w:color w:val="000000"/>
                <w:szCs w:val="21"/>
              </w:rPr>
              <w:t>0.38</w:t>
            </w:r>
          </w:p>
        </w:tc>
        <w:tc>
          <w:tcPr>
            <w:tcW w:w="626" w:type="pct"/>
            <w:vAlign w:val="bottom"/>
          </w:tcPr>
          <w:p>
            <w:pPr>
              <w:widowControl/>
              <w:jc w:val="center"/>
              <w:textAlignment w:val="center"/>
              <w:rPr>
                <w:rFonts w:cs="宋体"/>
                <w:color w:val="000000"/>
                <w:szCs w:val="21"/>
              </w:rPr>
            </w:pPr>
            <w:r>
              <w:rPr>
                <w:rFonts w:hint="eastAsia"/>
                <w:color w:val="000000"/>
                <w:sz w:val="22"/>
                <w:szCs w:val="22"/>
              </w:rPr>
              <w:t>3.84</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3.72</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20.25</w:t>
            </w:r>
          </w:p>
        </w:tc>
        <w:tc>
          <w:tcPr>
            <w:tcW w:w="635" w:type="pct"/>
            <w:vAlign w:val="center"/>
          </w:tcPr>
          <w:p>
            <w:pPr>
              <w:widowControl/>
              <w:jc w:val="center"/>
              <w:textAlignment w:val="center"/>
              <w:rPr>
                <w:rFonts w:cs="宋体"/>
                <w:color w:val="000000"/>
                <w:szCs w:val="21"/>
              </w:rPr>
            </w:pPr>
            <w:r>
              <w:rPr>
                <w:rFonts w:hint="eastAsia" w:cs="宋体"/>
                <w:color w:val="000000"/>
                <w:kern w:val="0"/>
                <w:szCs w:val="21"/>
                <w:lang w:bidi="ar"/>
              </w:rPr>
              <w:t>14m</w:t>
            </w:r>
          </w:p>
        </w:tc>
        <w:tc>
          <w:tcPr>
            <w:tcW w:w="694" w:type="pct"/>
            <w:vAlign w:val="bottom"/>
          </w:tcPr>
          <w:p>
            <w:pPr>
              <w:widowControl/>
              <w:jc w:val="center"/>
              <w:textAlignment w:val="center"/>
              <w:rPr>
                <w:rFonts w:cs="宋体"/>
                <w:color w:val="000000"/>
                <w:szCs w:val="21"/>
              </w:rPr>
            </w:pPr>
            <w:r>
              <w:rPr>
                <w:rFonts w:hint="eastAsia"/>
                <w:color w:val="000000"/>
                <w:sz w:val="22"/>
                <w:szCs w:val="22"/>
              </w:rPr>
              <w:t>0.32</w:t>
            </w:r>
          </w:p>
        </w:tc>
        <w:tc>
          <w:tcPr>
            <w:tcW w:w="626" w:type="pct"/>
            <w:vAlign w:val="bottom"/>
          </w:tcPr>
          <w:p>
            <w:pPr>
              <w:widowControl/>
              <w:jc w:val="center"/>
              <w:textAlignment w:val="center"/>
              <w:rPr>
                <w:rFonts w:cs="宋体"/>
                <w:color w:val="000000"/>
                <w:szCs w:val="21"/>
              </w:rPr>
            </w:pPr>
            <w:r>
              <w:rPr>
                <w:rFonts w:hint="eastAsia"/>
                <w:color w:val="000000"/>
                <w:szCs w:val="21"/>
              </w:rPr>
              <w:t>0.34</w:t>
            </w:r>
          </w:p>
        </w:tc>
        <w:tc>
          <w:tcPr>
            <w:tcW w:w="625" w:type="pct"/>
            <w:vAlign w:val="bottom"/>
          </w:tcPr>
          <w:p>
            <w:pPr>
              <w:widowControl/>
              <w:jc w:val="center"/>
              <w:textAlignment w:val="center"/>
              <w:rPr>
                <w:rFonts w:cs="宋体"/>
                <w:color w:val="000000"/>
                <w:szCs w:val="21"/>
              </w:rPr>
            </w:pPr>
            <w:r>
              <w:rPr>
                <w:rFonts w:hint="eastAsia"/>
                <w:color w:val="000000"/>
                <w:szCs w:val="21"/>
              </w:rPr>
              <w:t>0.33</w:t>
            </w:r>
          </w:p>
        </w:tc>
        <w:tc>
          <w:tcPr>
            <w:tcW w:w="626" w:type="pct"/>
            <w:vAlign w:val="bottom"/>
          </w:tcPr>
          <w:p>
            <w:pPr>
              <w:widowControl/>
              <w:jc w:val="center"/>
              <w:textAlignment w:val="center"/>
              <w:rPr>
                <w:rFonts w:cs="宋体"/>
                <w:color w:val="000000"/>
                <w:szCs w:val="21"/>
              </w:rPr>
            </w:pPr>
            <w:r>
              <w:rPr>
                <w:rFonts w:hint="eastAsia"/>
                <w:color w:val="000000"/>
                <w:sz w:val="22"/>
                <w:szCs w:val="22"/>
              </w:rPr>
              <w:t>3.46</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3.36</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21.25</w:t>
            </w:r>
          </w:p>
        </w:tc>
        <w:tc>
          <w:tcPr>
            <w:tcW w:w="635" w:type="pct"/>
            <w:vAlign w:val="center"/>
          </w:tcPr>
          <w:p>
            <w:pPr>
              <w:widowControl/>
              <w:jc w:val="center"/>
              <w:textAlignment w:val="center"/>
              <w:rPr>
                <w:rFonts w:cs="宋体"/>
                <w:color w:val="000000"/>
                <w:szCs w:val="21"/>
              </w:rPr>
            </w:pPr>
            <w:r>
              <w:rPr>
                <w:rFonts w:hint="eastAsia" w:cs="宋体"/>
                <w:color w:val="000000"/>
                <w:kern w:val="0"/>
                <w:szCs w:val="21"/>
                <w:lang w:bidi="ar"/>
              </w:rPr>
              <w:t>15m</w:t>
            </w:r>
          </w:p>
        </w:tc>
        <w:tc>
          <w:tcPr>
            <w:tcW w:w="694" w:type="pct"/>
            <w:vAlign w:val="bottom"/>
          </w:tcPr>
          <w:p>
            <w:pPr>
              <w:widowControl/>
              <w:jc w:val="center"/>
              <w:textAlignment w:val="center"/>
              <w:rPr>
                <w:rFonts w:cs="宋体"/>
                <w:color w:val="000000"/>
                <w:szCs w:val="21"/>
              </w:rPr>
            </w:pPr>
            <w:r>
              <w:rPr>
                <w:rFonts w:hint="eastAsia"/>
                <w:color w:val="000000"/>
                <w:sz w:val="22"/>
                <w:szCs w:val="22"/>
              </w:rPr>
              <w:t>0.28</w:t>
            </w:r>
          </w:p>
        </w:tc>
        <w:tc>
          <w:tcPr>
            <w:tcW w:w="626" w:type="pct"/>
            <w:vAlign w:val="bottom"/>
          </w:tcPr>
          <w:p>
            <w:pPr>
              <w:widowControl/>
              <w:jc w:val="center"/>
              <w:textAlignment w:val="center"/>
              <w:rPr>
                <w:rFonts w:cs="宋体"/>
                <w:color w:val="000000"/>
                <w:szCs w:val="21"/>
              </w:rPr>
            </w:pPr>
            <w:r>
              <w:rPr>
                <w:rFonts w:hint="eastAsia"/>
                <w:color w:val="000000"/>
                <w:szCs w:val="21"/>
              </w:rPr>
              <w:t>0.30</w:t>
            </w:r>
          </w:p>
        </w:tc>
        <w:tc>
          <w:tcPr>
            <w:tcW w:w="625" w:type="pct"/>
            <w:vAlign w:val="bottom"/>
          </w:tcPr>
          <w:p>
            <w:pPr>
              <w:widowControl/>
              <w:jc w:val="center"/>
              <w:textAlignment w:val="center"/>
              <w:rPr>
                <w:rFonts w:cs="宋体"/>
                <w:color w:val="000000"/>
                <w:szCs w:val="21"/>
              </w:rPr>
            </w:pPr>
            <w:r>
              <w:rPr>
                <w:rFonts w:hint="eastAsia"/>
                <w:color w:val="000000"/>
                <w:szCs w:val="21"/>
              </w:rPr>
              <w:t>0.29</w:t>
            </w:r>
          </w:p>
        </w:tc>
        <w:tc>
          <w:tcPr>
            <w:tcW w:w="626" w:type="pct"/>
            <w:vAlign w:val="bottom"/>
          </w:tcPr>
          <w:p>
            <w:pPr>
              <w:widowControl/>
              <w:jc w:val="center"/>
              <w:textAlignment w:val="center"/>
              <w:rPr>
                <w:rFonts w:cs="宋体"/>
                <w:color w:val="000000"/>
                <w:szCs w:val="21"/>
              </w:rPr>
            </w:pPr>
            <w:r>
              <w:rPr>
                <w:rFonts w:hint="eastAsia"/>
                <w:color w:val="000000"/>
                <w:sz w:val="22"/>
                <w:szCs w:val="22"/>
              </w:rPr>
              <w:t>3.13</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3.05</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22.25</w:t>
            </w:r>
          </w:p>
        </w:tc>
        <w:tc>
          <w:tcPr>
            <w:tcW w:w="635" w:type="pct"/>
            <w:vAlign w:val="center"/>
          </w:tcPr>
          <w:p>
            <w:pPr>
              <w:widowControl/>
              <w:jc w:val="center"/>
              <w:textAlignment w:val="center"/>
              <w:rPr>
                <w:rFonts w:cs="宋体"/>
                <w:color w:val="000000"/>
                <w:szCs w:val="21"/>
              </w:rPr>
            </w:pPr>
            <w:r>
              <w:rPr>
                <w:rFonts w:hint="eastAsia" w:cs="宋体"/>
                <w:color w:val="000000"/>
                <w:kern w:val="0"/>
                <w:szCs w:val="21"/>
                <w:lang w:bidi="ar"/>
              </w:rPr>
              <w:t>16m</w:t>
            </w:r>
          </w:p>
        </w:tc>
        <w:tc>
          <w:tcPr>
            <w:tcW w:w="694" w:type="pct"/>
            <w:vAlign w:val="bottom"/>
          </w:tcPr>
          <w:p>
            <w:pPr>
              <w:widowControl/>
              <w:jc w:val="center"/>
              <w:textAlignment w:val="center"/>
              <w:rPr>
                <w:rFonts w:cs="宋体"/>
                <w:color w:val="000000"/>
                <w:szCs w:val="21"/>
              </w:rPr>
            </w:pPr>
            <w:r>
              <w:rPr>
                <w:rFonts w:hint="eastAsia"/>
                <w:color w:val="000000"/>
                <w:sz w:val="22"/>
                <w:szCs w:val="22"/>
              </w:rPr>
              <w:t>0.24</w:t>
            </w:r>
          </w:p>
        </w:tc>
        <w:tc>
          <w:tcPr>
            <w:tcW w:w="626" w:type="pct"/>
            <w:vAlign w:val="bottom"/>
          </w:tcPr>
          <w:p>
            <w:pPr>
              <w:widowControl/>
              <w:jc w:val="center"/>
              <w:textAlignment w:val="center"/>
              <w:rPr>
                <w:rFonts w:cs="宋体"/>
                <w:color w:val="000000"/>
                <w:szCs w:val="21"/>
              </w:rPr>
            </w:pPr>
            <w:r>
              <w:rPr>
                <w:rFonts w:hint="eastAsia"/>
                <w:color w:val="000000"/>
                <w:szCs w:val="21"/>
              </w:rPr>
              <w:t>0.26</w:t>
            </w:r>
          </w:p>
        </w:tc>
        <w:tc>
          <w:tcPr>
            <w:tcW w:w="625" w:type="pct"/>
            <w:vAlign w:val="bottom"/>
          </w:tcPr>
          <w:p>
            <w:pPr>
              <w:widowControl/>
              <w:jc w:val="center"/>
              <w:textAlignment w:val="center"/>
              <w:rPr>
                <w:rFonts w:cs="宋体"/>
                <w:color w:val="000000"/>
                <w:szCs w:val="21"/>
              </w:rPr>
            </w:pPr>
            <w:r>
              <w:rPr>
                <w:rFonts w:hint="eastAsia"/>
                <w:color w:val="000000"/>
                <w:szCs w:val="21"/>
              </w:rPr>
              <w:t>0.25</w:t>
            </w:r>
          </w:p>
        </w:tc>
        <w:tc>
          <w:tcPr>
            <w:tcW w:w="626" w:type="pct"/>
            <w:vAlign w:val="bottom"/>
          </w:tcPr>
          <w:p>
            <w:pPr>
              <w:widowControl/>
              <w:jc w:val="center"/>
              <w:textAlignment w:val="center"/>
              <w:rPr>
                <w:rFonts w:cs="宋体"/>
                <w:color w:val="000000"/>
                <w:szCs w:val="21"/>
              </w:rPr>
            </w:pPr>
            <w:r>
              <w:rPr>
                <w:rFonts w:hint="eastAsia"/>
                <w:color w:val="000000"/>
                <w:sz w:val="22"/>
                <w:szCs w:val="22"/>
              </w:rPr>
              <w:t>2.84</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2.78</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23.25</w:t>
            </w:r>
          </w:p>
        </w:tc>
        <w:tc>
          <w:tcPr>
            <w:tcW w:w="635" w:type="pct"/>
            <w:vAlign w:val="center"/>
          </w:tcPr>
          <w:p>
            <w:pPr>
              <w:widowControl/>
              <w:jc w:val="center"/>
              <w:textAlignment w:val="center"/>
              <w:rPr>
                <w:rFonts w:cs="宋体"/>
                <w:color w:val="000000"/>
                <w:szCs w:val="21"/>
              </w:rPr>
            </w:pPr>
            <w:r>
              <w:rPr>
                <w:rFonts w:hint="eastAsia" w:cs="宋体"/>
                <w:color w:val="000000"/>
                <w:kern w:val="0"/>
                <w:szCs w:val="21"/>
                <w:lang w:bidi="ar"/>
              </w:rPr>
              <w:t>17m</w:t>
            </w:r>
          </w:p>
        </w:tc>
        <w:tc>
          <w:tcPr>
            <w:tcW w:w="694" w:type="pct"/>
            <w:vAlign w:val="bottom"/>
          </w:tcPr>
          <w:p>
            <w:pPr>
              <w:widowControl/>
              <w:jc w:val="center"/>
              <w:textAlignment w:val="center"/>
              <w:rPr>
                <w:rFonts w:cs="宋体"/>
                <w:color w:val="000000"/>
                <w:szCs w:val="21"/>
              </w:rPr>
            </w:pPr>
            <w:r>
              <w:rPr>
                <w:rFonts w:hint="eastAsia"/>
                <w:color w:val="000000"/>
                <w:sz w:val="22"/>
                <w:szCs w:val="22"/>
              </w:rPr>
              <w:t>0.21</w:t>
            </w:r>
          </w:p>
        </w:tc>
        <w:tc>
          <w:tcPr>
            <w:tcW w:w="626" w:type="pct"/>
            <w:vAlign w:val="bottom"/>
          </w:tcPr>
          <w:p>
            <w:pPr>
              <w:widowControl/>
              <w:jc w:val="center"/>
              <w:textAlignment w:val="center"/>
              <w:rPr>
                <w:rFonts w:cs="宋体"/>
                <w:color w:val="000000"/>
                <w:szCs w:val="21"/>
              </w:rPr>
            </w:pPr>
            <w:r>
              <w:rPr>
                <w:rFonts w:hint="eastAsia"/>
                <w:color w:val="000000"/>
                <w:szCs w:val="21"/>
              </w:rPr>
              <w:t>0.23</w:t>
            </w:r>
          </w:p>
        </w:tc>
        <w:tc>
          <w:tcPr>
            <w:tcW w:w="625" w:type="pct"/>
            <w:vAlign w:val="bottom"/>
          </w:tcPr>
          <w:p>
            <w:pPr>
              <w:widowControl/>
              <w:jc w:val="center"/>
              <w:textAlignment w:val="center"/>
              <w:rPr>
                <w:rFonts w:cs="宋体"/>
                <w:color w:val="000000"/>
                <w:szCs w:val="21"/>
              </w:rPr>
            </w:pPr>
            <w:r>
              <w:rPr>
                <w:rFonts w:hint="eastAsia"/>
                <w:color w:val="000000"/>
                <w:szCs w:val="21"/>
              </w:rPr>
              <w:t>0.22</w:t>
            </w:r>
          </w:p>
        </w:tc>
        <w:tc>
          <w:tcPr>
            <w:tcW w:w="626" w:type="pct"/>
            <w:vAlign w:val="bottom"/>
          </w:tcPr>
          <w:p>
            <w:pPr>
              <w:widowControl/>
              <w:jc w:val="center"/>
              <w:textAlignment w:val="center"/>
              <w:rPr>
                <w:rFonts w:cs="宋体"/>
                <w:color w:val="000000"/>
                <w:szCs w:val="21"/>
              </w:rPr>
            </w:pPr>
            <w:r>
              <w:rPr>
                <w:rFonts w:hint="eastAsia"/>
                <w:color w:val="000000"/>
                <w:sz w:val="22"/>
                <w:szCs w:val="22"/>
              </w:rPr>
              <w:t>2.60</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2.54</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24.25</w:t>
            </w:r>
          </w:p>
        </w:tc>
        <w:tc>
          <w:tcPr>
            <w:tcW w:w="635" w:type="pct"/>
            <w:vAlign w:val="center"/>
          </w:tcPr>
          <w:p>
            <w:pPr>
              <w:widowControl/>
              <w:jc w:val="center"/>
              <w:textAlignment w:val="center"/>
              <w:rPr>
                <w:rFonts w:cs="宋体"/>
                <w:color w:val="000000"/>
                <w:szCs w:val="21"/>
              </w:rPr>
            </w:pPr>
            <w:r>
              <w:rPr>
                <w:rFonts w:hint="eastAsia" w:cs="宋体"/>
                <w:color w:val="000000"/>
                <w:kern w:val="0"/>
                <w:szCs w:val="21"/>
                <w:lang w:bidi="ar"/>
              </w:rPr>
              <w:t>18m</w:t>
            </w:r>
          </w:p>
        </w:tc>
        <w:tc>
          <w:tcPr>
            <w:tcW w:w="694" w:type="pct"/>
            <w:vAlign w:val="bottom"/>
          </w:tcPr>
          <w:p>
            <w:pPr>
              <w:widowControl/>
              <w:jc w:val="center"/>
              <w:textAlignment w:val="center"/>
              <w:rPr>
                <w:rFonts w:cs="宋体"/>
                <w:color w:val="000000"/>
                <w:szCs w:val="21"/>
              </w:rPr>
            </w:pPr>
            <w:r>
              <w:rPr>
                <w:rFonts w:hint="eastAsia"/>
                <w:color w:val="000000"/>
                <w:sz w:val="22"/>
                <w:szCs w:val="22"/>
              </w:rPr>
              <w:t>0.19</w:t>
            </w:r>
          </w:p>
        </w:tc>
        <w:tc>
          <w:tcPr>
            <w:tcW w:w="626" w:type="pct"/>
            <w:vAlign w:val="bottom"/>
          </w:tcPr>
          <w:p>
            <w:pPr>
              <w:widowControl/>
              <w:jc w:val="center"/>
              <w:textAlignment w:val="center"/>
              <w:rPr>
                <w:rFonts w:cs="宋体"/>
                <w:color w:val="000000"/>
                <w:szCs w:val="21"/>
              </w:rPr>
            </w:pPr>
            <w:r>
              <w:rPr>
                <w:rFonts w:hint="eastAsia"/>
                <w:color w:val="000000"/>
                <w:szCs w:val="21"/>
              </w:rPr>
              <w:t>0.21</w:t>
            </w:r>
          </w:p>
        </w:tc>
        <w:tc>
          <w:tcPr>
            <w:tcW w:w="625" w:type="pct"/>
            <w:vAlign w:val="bottom"/>
          </w:tcPr>
          <w:p>
            <w:pPr>
              <w:widowControl/>
              <w:jc w:val="center"/>
              <w:textAlignment w:val="center"/>
              <w:rPr>
                <w:rFonts w:cs="宋体"/>
                <w:color w:val="000000"/>
                <w:szCs w:val="21"/>
              </w:rPr>
            </w:pPr>
            <w:r>
              <w:rPr>
                <w:rFonts w:hint="eastAsia"/>
                <w:color w:val="000000"/>
                <w:szCs w:val="21"/>
              </w:rPr>
              <w:t>0.20</w:t>
            </w:r>
          </w:p>
        </w:tc>
        <w:tc>
          <w:tcPr>
            <w:tcW w:w="626" w:type="pct"/>
            <w:vAlign w:val="bottom"/>
          </w:tcPr>
          <w:p>
            <w:pPr>
              <w:widowControl/>
              <w:jc w:val="center"/>
              <w:textAlignment w:val="center"/>
              <w:rPr>
                <w:rFonts w:cs="宋体"/>
                <w:color w:val="000000"/>
                <w:szCs w:val="21"/>
              </w:rPr>
            </w:pPr>
            <w:r>
              <w:rPr>
                <w:rFonts w:hint="eastAsia"/>
                <w:color w:val="000000"/>
                <w:sz w:val="22"/>
                <w:szCs w:val="22"/>
              </w:rPr>
              <w:t>2.38</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2.33</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25.25</w:t>
            </w:r>
          </w:p>
        </w:tc>
        <w:tc>
          <w:tcPr>
            <w:tcW w:w="635" w:type="pct"/>
            <w:vAlign w:val="center"/>
          </w:tcPr>
          <w:p>
            <w:pPr>
              <w:widowControl/>
              <w:jc w:val="center"/>
              <w:textAlignment w:val="center"/>
              <w:rPr>
                <w:rFonts w:cs="宋体"/>
                <w:color w:val="000000"/>
                <w:szCs w:val="21"/>
              </w:rPr>
            </w:pPr>
            <w:r>
              <w:rPr>
                <w:rFonts w:hint="eastAsia" w:cs="宋体"/>
                <w:color w:val="000000"/>
                <w:kern w:val="0"/>
                <w:szCs w:val="21"/>
                <w:lang w:bidi="ar"/>
              </w:rPr>
              <w:t>19m</w:t>
            </w:r>
          </w:p>
        </w:tc>
        <w:tc>
          <w:tcPr>
            <w:tcW w:w="694" w:type="pct"/>
            <w:vAlign w:val="bottom"/>
          </w:tcPr>
          <w:p>
            <w:pPr>
              <w:widowControl/>
              <w:jc w:val="center"/>
              <w:textAlignment w:val="center"/>
              <w:rPr>
                <w:rFonts w:cs="宋体"/>
                <w:color w:val="000000"/>
                <w:szCs w:val="21"/>
              </w:rPr>
            </w:pPr>
            <w:r>
              <w:rPr>
                <w:rFonts w:hint="eastAsia"/>
                <w:color w:val="000000"/>
                <w:sz w:val="22"/>
                <w:szCs w:val="22"/>
              </w:rPr>
              <w:t>0.17</w:t>
            </w:r>
          </w:p>
        </w:tc>
        <w:tc>
          <w:tcPr>
            <w:tcW w:w="626" w:type="pct"/>
            <w:vAlign w:val="bottom"/>
          </w:tcPr>
          <w:p>
            <w:pPr>
              <w:widowControl/>
              <w:jc w:val="center"/>
              <w:textAlignment w:val="center"/>
              <w:rPr>
                <w:rFonts w:cs="宋体"/>
                <w:color w:val="000000"/>
                <w:szCs w:val="21"/>
              </w:rPr>
            </w:pPr>
            <w:r>
              <w:rPr>
                <w:rFonts w:hint="eastAsia"/>
                <w:color w:val="000000"/>
                <w:szCs w:val="21"/>
              </w:rPr>
              <w:t>0.18</w:t>
            </w:r>
          </w:p>
        </w:tc>
        <w:tc>
          <w:tcPr>
            <w:tcW w:w="625" w:type="pct"/>
            <w:vAlign w:val="bottom"/>
          </w:tcPr>
          <w:p>
            <w:pPr>
              <w:widowControl/>
              <w:jc w:val="center"/>
              <w:textAlignment w:val="center"/>
              <w:rPr>
                <w:rFonts w:cs="宋体"/>
                <w:color w:val="000000"/>
                <w:szCs w:val="21"/>
              </w:rPr>
            </w:pPr>
            <w:r>
              <w:rPr>
                <w:rFonts w:hint="eastAsia"/>
                <w:color w:val="000000"/>
                <w:szCs w:val="21"/>
              </w:rPr>
              <w:t>0.18</w:t>
            </w:r>
          </w:p>
        </w:tc>
        <w:tc>
          <w:tcPr>
            <w:tcW w:w="626" w:type="pct"/>
            <w:vAlign w:val="bottom"/>
          </w:tcPr>
          <w:p>
            <w:pPr>
              <w:widowControl/>
              <w:jc w:val="center"/>
              <w:textAlignment w:val="center"/>
              <w:rPr>
                <w:rFonts w:cs="宋体"/>
                <w:color w:val="000000"/>
                <w:szCs w:val="21"/>
              </w:rPr>
            </w:pPr>
            <w:r>
              <w:rPr>
                <w:rFonts w:hint="eastAsia"/>
                <w:color w:val="000000"/>
                <w:sz w:val="22"/>
                <w:szCs w:val="22"/>
              </w:rPr>
              <w:t>2.19</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2.15</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26.25</w:t>
            </w:r>
          </w:p>
        </w:tc>
        <w:tc>
          <w:tcPr>
            <w:tcW w:w="635" w:type="pct"/>
            <w:vAlign w:val="center"/>
          </w:tcPr>
          <w:p>
            <w:pPr>
              <w:widowControl/>
              <w:jc w:val="center"/>
              <w:textAlignment w:val="center"/>
              <w:rPr>
                <w:rFonts w:cs="宋体"/>
                <w:color w:val="000000"/>
                <w:szCs w:val="21"/>
              </w:rPr>
            </w:pPr>
            <w:r>
              <w:rPr>
                <w:rFonts w:hint="eastAsia" w:cs="宋体"/>
                <w:color w:val="000000"/>
                <w:kern w:val="0"/>
                <w:szCs w:val="21"/>
                <w:lang w:bidi="ar"/>
              </w:rPr>
              <w:t>20m</w:t>
            </w:r>
          </w:p>
        </w:tc>
        <w:tc>
          <w:tcPr>
            <w:tcW w:w="694" w:type="pct"/>
            <w:vAlign w:val="bottom"/>
          </w:tcPr>
          <w:p>
            <w:pPr>
              <w:widowControl/>
              <w:jc w:val="center"/>
              <w:textAlignment w:val="center"/>
              <w:rPr>
                <w:rFonts w:cs="宋体"/>
                <w:color w:val="000000"/>
                <w:szCs w:val="21"/>
              </w:rPr>
            </w:pPr>
            <w:r>
              <w:rPr>
                <w:rFonts w:hint="eastAsia"/>
                <w:color w:val="000000"/>
                <w:sz w:val="22"/>
                <w:szCs w:val="22"/>
              </w:rPr>
              <w:t>0.15</w:t>
            </w:r>
          </w:p>
        </w:tc>
        <w:tc>
          <w:tcPr>
            <w:tcW w:w="626" w:type="pct"/>
            <w:vAlign w:val="bottom"/>
          </w:tcPr>
          <w:p>
            <w:pPr>
              <w:widowControl/>
              <w:jc w:val="center"/>
              <w:textAlignment w:val="center"/>
              <w:rPr>
                <w:rFonts w:cs="宋体"/>
                <w:color w:val="000000"/>
                <w:szCs w:val="21"/>
              </w:rPr>
            </w:pPr>
            <w:r>
              <w:rPr>
                <w:rFonts w:hint="eastAsia"/>
                <w:color w:val="000000"/>
                <w:szCs w:val="21"/>
              </w:rPr>
              <w:t>0.16</w:t>
            </w:r>
          </w:p>
        </w:tc>
        <w:tc>
          <w:tcPr>
            <w:tcW w:w="625" w:type="pct"/>
            <w:vAlign w:val="bottom"/>
          </w:tcPr>
          <w:p>
            <w:pPr>
              <w:widowControl/>
              <w:jc w:val="center"/>
              <w:textAlignment w:val="center"/>
              <w:rPr>
                <w:rFonts w:cs="宋体"/>
                <w:color w:val="000000"/>
                <w:szCs w:val="21"/>
              </w:rPr>
            </w:pPr>
            <w:r>
              <w:rPr>
                <w:rFonts w:hint="eastAsia"/>
                <w:color w:val="000000"/>
                <w:szCs w:val="21"/>
              </w:rPr>
              <w:t>0.16</w:t>
            </w:r>
          </w:p>
        </w:tc>
        <w:tc>
          <w:tcPr>
            <w:tcW w:w="626" w:type="pct"/>
            <w:vAlign w:val="bottom"/>
          </w:tcPr>
          <w:p>
            <w:pPr>
              <w:widowControl/>
              <w:jc w:val="center"/>
              <w:textAlignment w:val="center"/>
              <w:rPr>
                <w:rFonts w:cs="宋体"/>
                <w:color w:val="000000"/>
                <w:szCs w:val="21"/>
              </w:rPr>
            </w:pPr>
            <w:r>
              <w:rPr>
                <w:rFonts w:hint="eastAsia"/>
                <w:color w:val="000000"/>
                <w:sz w:val="22"/>
                <w:szCs w:val="22"/>
              </w:rPr>
              <w:t>2.02</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1.99</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27.25</w:t>
            </w:r>
          </w:p>
        </w:tc>
        <w:tc>
          <w:tcPr>
            <w:tcW w:w="635" w:type="pct"/>
            <w:vAlign w:val="center"/>
          </w:tcPr>
          <w:p>
            <w:pPr>
              <w:widowControl/>
              <w:jc w:val="center"/>
              <w:textAlignment w:val="center"/>
              <w:rPr>
                <w:rFonts w:cs="宋体"/>
                <w:color w:val="000000"/>
                <w:szCs w:val="21"/>
              </w:rPr>
            </w:pPr>
            <w:r>
              <w:rPr>
                <w:rFonts w:hint="eastAsia" w:cs="宋体"/>
                <w:color w:val="000000"/>
                <w:kern w:val="0"/>
                <w:szCs w:val="21"/>
                <w:lang w:bidi="ar"/>
              </w:rPr>
              <w:t>21m</w:t>
            </w:r>
          </w:p>
        </w:tc>
        <w:tc>
          <w:tcPr>
            <w:tcW w:w="694" w:type="pct"/>
            <w:vAlign w:val="bottom"/>
          </w:tcPr>
          <w:p>
            <w:pPr>
              <w:widowControl/>
              <w:jc w:val="center"/>
              <w:textAlignment w:val="center"/>
              <w:rPr>
                <w:rFonts w:cs="宋体"/>
                <w:color w:val="000000"/>
                <w:szCs w:val="21"/>
              </w:rPr>
            </w:pPr>
            <w:r>
              <w:rPr>
                <w:rFonts w:hint="eastAsia"/>
                <w:color w:val="000000"/>
                <w:sz w:val="22"/>
                <w:szCs w:val="22"/>
              </w:rPr>
              <w:t>0.13</w:t>
            </w:r>
          </w:p>
        </w:tc>
        <w:tc>
          <w:tcPr>
            <w:tcW w:w="626" w:type="pct"/>
            <w:vAlign w:val="bottom"/>
          </w:tcPr>
          <w:p>
            <w:pPr>
              <w:widowControl/>
              <w:jc w:val="center"/>
              <w:textAlignment w:val="center"/>
              <w:rPr>
                <w:rFonts w:cs="宋体"/>
                <w:color w:val="000000"/>
                <w:szCs w:val="21"/>
              </w:rPr>
            </w:pPr>
            <w:r>
              <w:rPr>
                <w:rFonts w:hint="eastAsia"/>
                <w:color w:val="000000"/>
                <w:szCs w:val="21"/>
              </w:rPr>
              <w:t>0.15</w:t>
            </w:r>
          </w:p>
        </w:tc>
        <w:tc>
          <w:tcPr>
            <w:tcW w:w="625" w:type="pct"/>
            <w:vAlign w:val="bottom"/>
          </w:tcPr>
          <w:p>
            <w:pPr>
              <w:widowControl/>
              <w:jc w:val="center"/>
              <w:textAlignment w:val="center"/>
              <w:rPr>
                <w:rFonts w:cs="宋体"/>
                <w:color w:val="000000"/>
                <w:szCs w:val="21"/>
              </w:rPr>
            </w:pPr>
            <w:r>
              <w:rPr>
                <w:rFonts w:hint="eastAsia"/>
                <w:color w:val="000000"/>
                <w:szCs w:val="21"/>
              </w:rPr>
              <w:t>0.14</w:t>
            </w:r>
          </w:p>
        </w:tc>
        <w:tc>
          <w:tcPr>
            <w:tcW w:w="626" w:type="pct"/>
            <w:vAlign w:val="bottom"/>
          </w:tcPr>
          <w:p>
            <w:pPr>
              <w:widowControl/>
              <w:jc w:val="center"/>
              <w:textAlignment w:val="center"/>
              <w:rPr>
                <w:rFonts w:cs="宋体"/>
                <w:color w:val="000000"/>
                <w:szCs w:val="21"/>
              </w:rPr>
            </w:pPr>
            <w:r>
              <w:rPr>
                <w:rFonts w:hint="eastAsia"/>
                <w:color w:val="000000"/>
                <w:sz w:val="22"/>
                <w:szCs w:val="22"/>
              </w:rPr>
              <w:t>1.87</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1.84</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28.25</w:t>
            </w:r>
          </w:p>
        </w:tc>
        <w:tc>
          <w:tcPr>
            <w:tcW w:w="635" w:type="pct"/>
            <w:vAlign w:val="center"/>
          </w:tcPr>
          <w:p>
            <w:pPr>
              <w:widowControl/>
              <w:jc w:val="center"/>
              <w:textAlignment w:val="center"/>
              <w:rPr>
                <w:rFonts w:cs="宋体"/>
                <w:color w:val="000000"/>
                <w:szCs w:val="21"/>
              </w:rPr>
            </w:pPr>
            <w:r>
              <w:rPr>
                <w:rFonts w:hint="eastAsia" w:cs="宋体"/>
                <w:color w:val="000000"/>
                <w:kern w:val="0"/>
                <w:szCs w:val="21"/>
                <w:lang w:bidi="ar"/>
              </w:rPr>
              <w:t>22m</w:t>
            </w:r>
          </w:p>
        </w:tc>
        <w:tc>
          <w:tcPr>
            <w:tcW w:w="694" w:type="pct"/>
            <w:vAlign w:val="bottom"/>
          </w:tcPr>
          <w:p>
            <w:pPr>
              <w:widowControl/>
              <w:jc w:val="center"/>
              <w:textAlignment w:val="center"/>
              <w:rPr>
                <w:rFonts w:cs="宋体"/>
                <w:color w:val="000000"/>
                <w:szCs w:val="21"/>
              </w:rPr>
            </w:pPr>
            <w:r>
              <w:rPr>
                <w:rFonts w:hint="eastAsia"/>
                <w:color w:val="000000"/>
                <w:sz w:val="22"/>
                <w:szCs w:val="22"/>
              </w:rPr>
              <w:t>0.12</w:t>
            </w:r>
          </w:p>
        </w:tc>
        <w:tc>
          <w:tcPr>
            <w:tcW w:w="626" w:type="pct"/>
            <w:vAlign w:val="bottom"/>
          </w:tcPr>
          <w:p>
            <w:pPr>
              <w:widowControl/>
              <w:jc w:val="center"/>
              <w:textAlignment w:val="center"/>
              <w:rPr>
                <w:rFonts w:cs="宋体"/>
                <w:color w:val="000000"/>
                <w:szCs w:val="21"/>
              </w:rPr>
            </w:pPr>
            <w:r>
              <w:rPr>
                <w:rFonts w:hint="eastAsia"/>
                <w:color w:val="000000"/>
                <w:szCs w:val="21"/>
              </w:rPr>
              <w:t>0.13</w:t>
            </w:r>
          </w:p>
        </w:tc>
        <w:tc>
          <w:tcPr>
            <w:tcW w:w="625" w:type="pct"/>
            <w:vAlign w:val="bottom"/>
          </w:tcPr>
          <w:p>
            <w:pPr>
              <w:widowControl/>
              <w:jc w:val="center"/>
              <w:textAlignment w:val="center"/>
              <w:rPr>
                <w:rFonts w:cs="宋体"/>
                <w:color w:val="000000"/>
                <w:szCs w:val="21"/>
              </w:rPr>
            </w:pPr>
            <w:r>
              <w:rPr>
                <w:rFonts w:hint="eastAsia"/>
                <w:color w:val="000000"/>
                <w:szCs w:val="21"/>
              </w:rPr>
              <w:t>0.13</w:t>
            </w:r>
          </w:p>
        </w:tc>
        <w:tc>
          <w:tcPr>
            <w:tcW w:w="626" w:type="pct"/>
            <w:vAlign w:val="bottom"/>
          </w:tcPr>
          <w:p>
            <w:pPr>
              <w:widowControl/>
              <w:jc w:val="center"/>
              <w:textAlignment w:val="center"/>
              <w:rPr>
                <w:rFonts w:cs="宋体"/>
                <w:color w:val="000000"/>
                <w:szCs w:val="21"/>
              </w:rPr>
            </w:pPr>
            <w:r>
              <w:rPr>
                <w:rFonts w:hint="eastAsia"/>
                <w:color w:val="000000"/>
                <w:sz w:val="22"/>
                <w:szCs w:val="22"/>
              </w:rPr>
              <w:t>1.74</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1.71</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29.25</w:t>
            </w:r>
          </w:p>
        </w:tc>
        <w:tc>
          <w:tcPr>
            <w:tcW w:w="635" w:type="pct"/>
            <w:vAlign w:val="center"/>
          </w:tcPr>
          <w:p>
            <w:pPr>
              <w:widowControl/>
              <w:jc w:val="center"/>
              <w:textAlignment w:val="center"/>
              <w:rPr>
                <w:rFonts w:cs="宋体"/>
                <w:color w:val="000000"/>
                <w:szCs w:val="21"/>
              </w:rPr>
            </w:pPr>
            <w:r>
              <w:rPr>
                <w:rFonts w:hint="eastAsia" w:cs="宋体"/>
                <w:color w:val="000000"/>
                <w:kern w:val="0"/>
                <w:szCs w:val="21"/>
                <w:lang w:bidi="ar"/>
              </w:rPr>
              <w:t>23m</w:t>
            </w:r>
          </w:p>
        </w:tc>
        <w:tc>
          <w:tcPr>
            <w:tcW w:w="694" w:type="pct"/>
            <w:vAlign w:val="bottom"/>
          </w:tcPr>
          <w:p>
            <w:pPr>
              <w:widowControl/>
              <w:jc w:val="center"/>
              <w:textAlignment w:val="center"/>
              <w:rPr>
                <w:rFonts w:cs="宋体"/>
                <w:color w:val="000000"/>
                <w:szCs w:val="21"/>
              </w:rPr>
            </w:pPr>
            <w:r>
              <w:rPr>
                <w:rFonts w:hint="eastAsia"/>
                <w:color w:val="000000"/>
                <w:sz w:val="22"/>
                <w:szCs w:val="22"/>
              </w:rPr>
              <w:t>0.11</w:t>
            </w:r>
          </w:p>
        </w:tc>
        <w:tc>
          <w:tcPr>
            <w:tcW w:w="626" w:type="pct"/>
            <w:vAlign w:val="bottom"/>
          </w:tcPr>
          <w:p>
            <w:pPr>
              <w:widowControl/>
              <w:jc w:val="center"/>
              <w:textAlignment w:val="center"/>
              <w:rPr>
                <w:rFonts w:cs="宋体"/>
                <w:color w:val="000000"/>
                <w:szCs w:val="21"/>
              </w:rPr>
            </w:pPr>
            <w:r>
              <w:rPr>
                <w:rFonts w:hint="eastAsia"/>
                <w:color w:val="000000"/>
                <w:szCs w:val="21"/>
              </w:rPr>
              <w:t>0.12</w:t>
            </w:r>
          </w:p>
        </w:tc>
        <w:tc>
          <w:tcPr>
            <w:tcW w:w="625" w:type="pct"/>
            <w:vAlign w:val="bottom"/>
          </w:tcPr>
          <w:p>
            <w:pPr>
              <w:widowControl/>
              <w:jc w:val="center"/>
              <w:textAlignment w:val="center"/>
              <w:rPr>
                <w:rFonts w:cs="宋体"/>
                <w:color w:val="000000"/>
                <w:szCs w:val="21"/>
              </w:rPr>
            </w:pPr>
            <w:r>
              <w:rPr>
                <w:rFonts w:hint="eastAsia"/>
                <w:color w:val="000000"/>
                <w:szCs w:val="21"/>
              </w:rPr>
              <w:t>0.12</w:t>
            </w:r>
          </w:p>
        </w:tc>
        <w:tc>
          <w:tcPr>
            <w:tcW w:w="626" w:type="pct"/>
            <w:vAlign w:val="bottom"/>
          </w:tcPr>
          <w:p>
            <w:pPr>
              <w:widowControl/>
              <w:jc w:val="center"/>
              <w:textAlignment w:val="center"/>
              <w:rPr>
                <w:rFonts w:cs="宋体"/>
                <w:color w:val="000000"/>
                <w:szCs w:val="21"/>
              </w:rPr>
            </w:pPr>
            <w:r>
              <w:rPr>
                <w:rFonts w:hint="eastAsia"/>
                <w:color w:val="000000"/>
                <w:sz w:val="22"/>
                <w:szCs w:val="22"/>
              </w:rPr>
              <w:t>1.62</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1.60</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30.25</w:t>
            </w:r>
          </w:p>
        </w:tc>
        <w:tc>
          <w:tcPr>
            <w:tcW w:w="635" w:type="pct"/>
            <w:vAlign w:val="center"/>
          </w:tcPr>
          <w:p>
            <w:pPr>
              <w:widowControl/>
              <w:jc w:val="center"/>
              <w:textAlignment w:val="center"/>
              <w:rPr>
                <w:rFonts w:cs="宋体"/>
                <w:color w:val="000000"/>
                <w:szCs w:val="21"/>
              </w:rPr>
            </w:pPr>
            <w:r>
              <w:rPr>
                <w:rFonts w:hint="eastAsia" w:cs="宋体"/>
                <w:color w:val="000000"/>
                <w:kern w:val="0"/>
                <w:szCs w:val="21"/>
                <w:lang w:bidi="ar"/>
              </w:rPr>
              <w:t>24m</w:t>
            </w:r>
          </w:p>
        </w:tc>
        <w:tc>
          <w:tcPr>
            <w:tcW w:w="694" w:type="pct"/>
            <w:vAlign w:val="bottom"/>
          </w:tcPr>
          <w:p>
            <w:pPr>
              <w:widowControl/>
              <w:jc w:val="center"/>
              <w:textAlignment w:val="center"/>
              <w:rPr>
                <w:rFonts w:cs="宋体"/>
                <w:color w:val="000000"/>
                <w:szCs w:val="21"/>
              </w:rPr>
            </w:pPr>
            <w:r>
              <w:rPr>
                <w:rFonts w:hint="eastAsia"/>
                <w:color w:val="000000"/>
                <w:sz w:val="22"/>
                <w:szCs w:val="22"/>
              </w:rPr>
              <w:t>0.10</w:t>
            </w:r>
          </w:p>
        </w:tc>
        <w:tc>
          <w:tcPr>
            <w:tcW w:w="626" w:type="pct"/>
            <w:vAlign w:val="bottom"/>
          </w:tcPr>
          <w:p>
            <w:pPr>
              <w:widowControl/>
              <w:jc w:val="center"/>
              <w:textAlignment w:val="center"/>
              <w:rPr>
                <w:rFonts w:cs="宋体"/>
                <w:color w:val="000000"/>
                <w:szCs w:val="21"/>
              </w:rPr>
            </w:pPr>
            <w:r>
              <w:rPr>
                <w:rFonts w:hint="eastAsia"/>
                <w:color w:val="000000"/>
                <w:szCs w:val="21"/>
              </w:rPr>
              <w:t>0.11</w:t>
            </w:r>
          </w:p>
        </w:tc>
        <w:tc>
          <w:tcPr>
            <w:tcW w:w="625" w:type="pct"/>
            <w:vAlign w:val="bottom"/>
          </w:tcPr>
          <w:p>
            <w:pPr>
              <w:widowControl/>
              <w:jc w:val="center"/>
              <w:textAlignment w:val="center"/>
              <w:rPr>
                <w:rFonts w:cs="宋体"/>
                <w:color w:val="000000"/>
                <w:szCs w:val="21"/>
              </w:rPr>
            </w:pPr>
            <w:r>
              <w:rPr>
                <w:rFonts w:hint="eastAsia"/>
                <w:color w:val="000000"/>
                <w:szCs w:val="21"/>
              </w:rPr>
              <w:t>0.11</w:t>
            </w:r>
          </w:p>
        </w:tc>
        <w:tc>
          <w:tcPr>
            <w:tcW w:w="626" w:type="pct"/>
            <w:vAlign w:val="bottom"/>
          </w:tcPr>
          <w:p>
            <w:pPr>
              <w:widowControl/>
              <w:jc w:val="center"/>
              <w:textAlignment w:val="center"/>
              <w:rPr>
                <w:rFonts w:cs="宋体"/>
                <w:color w:val="000000"/>
                <w:szCs w:val="21"/>
              </w:rPr>
            </w:pPr>
            <w:r>
              <w:rPr>
                <w:rFonts w:hint="eastAsia"/>
                <w:color w:val="000000"/>
                <w:sz w:val="22"/>
                <w:szCs w:val="22"/>
              </w:rPr>
              <w:t>1.51</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1.49</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31.25</w:t>
            </w:r>
          </w:p>
        </w:tc>
        <w:tc>
          <w:tcPr>
            <w:tcW w:w="635" w:type="pct"/>
            <w:vAlign w:val="center"/>
          </w:tcPr>
          <w:p>
            <w:pPr>
              <w:widowControl/>
              <w:jc w:val="center"/>
              <w:textAlignment w:val="center"/>
              <w:rPr>
                <w:rFonts w:cs="宋体"/>
                <w:color w:val="000000"/>
                <w:szCs w:val="21"/>
              </w:rPr>
            </w:pPr>
            <w:r>
              <w:rPr>
                <w:rFonts w:hint="eastAsia" w:cs="宋体"/>
                <w:color w:val="000000"/>
                <w:kern w:val="0"/>
                <w:szCs w:val="21"/>
                <w:lang w:bidi="ar"/>
              </w:rPr>
              <w:t>25m</w:t>
            </w:r>
          </w:p>
        </w:tc>
        <w:tc>
          <w:tcPr>
            <w:tcW w:w="694" w:type="pct"/>
            <w:vAlign w:val="bottom"/>
          </w:tcPr>
          <w:p>
            <w:pPr>
              <w:widowControl/>
              <w:jc w:val="center"/>
              <w:textAlignment w:val="center"/>
              <w:rPr>
                <w:rFonts w:cs="宋体"/>
                <w:color w:val="000000"/>
                <w:szCs w:val="21"/>
              </w:rPr>
            </w:pPr>
            <w:r>
              <w:rPr>
                <w:rFonts w:hint="eastAsia"/>
                <w:color w:val="000000"/>
                <w:sz w:val="22"/>
                <w:szCs w:val="22"/>
              </w:rPr>
              <w:t>0.09</w:t>
            </w:r>
          </w:p>
        </w:tc>
        <w:tc>
          <w:tcPr>
            <w:tcW w:w="626" w:type="pct"/>
            <w:vAlign w:val="bottom"/>
          </w:tcPr>
          <w:p>
            <w:pPr>
              <w:widowControl/>
              <w:jc w:val="center"/>
              <w:textAlignment w:val="center"/>
              <w:rPr>
                <w:rFonts w:cs="宋体"/>
                <w:color w:val="000000"/>
                <w:szCs w:val="21"/>
              </w:rPr>
            </w:pPr>
            <w:r>
              <w:rPr>
                <w:rFonts w:hint="eastAsia"/>
                <w:color w:val="000000"/>
                <w:szCs w:val="21"/>
              </w:rPr>
              <w:t>0.10</w:t>
            </w:r>
          </w:p>
        </w:tc>
        <w:tc>
          <w:tcPr>
            <w:tcW w:w="625" w:type="pct"/>
            <w:vAlign w:val="bottom"/>
          </w:tcPr>
          <w:p>
            <w:pPr>
              <w:widowControl/>
              <w:jc w:val="center"/>
              <w:textAlignment w:val="center"/>
              <w:rPr>
                <w:rFonts w:cs="宋体"/>
                <w:color w:val="000000"/>
                <w:szCs w:val="21"/>
              </w:rPr>
            </w:pPr>
            <w:r>
              <w:rPr>
                <w:rFonts w:hint="eastAsia"/>
                <w:color w:val="000000"/>
                <w:szCs w:val="21"/>
              </w:rPr>
              <w:t>0.10</w:t>
            </w:r>
          </w:p>
        </w:tc>
        <w:tc>
          <w:tcPr>
            <w:tcW w:w="626" w:type="pct"/>
            <w:vAlign w:val="bottom"/>
          </w:tcPr>
          <w:p>
            <w:pPr>
              <w:widowControl/>
              <w:jc w:val="center"/>
              <w:textAlignment w:val="center"/>
              <w:rPr>
                <w:rFonts w:cs="宋体"/>
                <w:color w:val="000000"/>
                <w:szCs w:val="21"/>
              </w:rPr>
            </w:pPr>
            <w:r>
              <w:rPr>
                <w:rFonts w:hint="eastAsia"/>
                <w:color w:val="000000"/>
                <w:sz w:val="22"/>
                <w:szCs w:val="22"/>
              </w:rPr>
              <w:t>1.41</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1.40</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32.25</w:t>
            </w:r>
          </w:p>
        </w:tc>
        <w:tc>
          <w:tcPr>
            <w:tcW w:w="635" w:type="pct"/>
            <w:vAlign w:val="center"/>
          </w:tcPr>
          <w:p>
            <w:pPr>
              <w:widowControl/>
              <w:jc w:val="center"/>
              <w:textAlignment w:val="center"/>
              <w:rPr>
                <w:rFonts w:cs="宋体"/>
                <w:color w:val="000000"/>
                <w:szCs w:val="21"/>
              </w:rPr>
            </w:pPr>
            <w:r>
              <w:rPr>
                <w:rFonts w:hint="eastAsia" w:cs="宋体"/>
                <w:color w:val="000000"/>
                <w:kern w:val="0"/>
                <w:szCs w:val="21"/>
                <w:lang w:bidi="ar"/>
              </w:rPr>
              <w:t>26m</w:t>
            </w:r>
          </w:p>
        </w:tc>
        <w:tc>
          <w:tcPr>
            <w:tcW w:w="694" w:type="pct"/>
            <w:vAlign w:val="bottom"/>
          </w:tcPr>
          <w:p>
            <w:pPr>
              <w:widowControl/>
              <w:jc w:val="center"/>
              <w:textAlignment w:val="center"/>
              <w:rPr>
                <w:rFonts w:cs="宋体"/>
                <w:color w:val="000000"/>
                <w:szCs w:val="21"/>
              </w:rPr>
            </w:pPr>
            <w:r>
              <w:rPr>
                <w:rFonts w:hint="eastAsia"/>
                <w:color w:val="000000"/>
                <w:sz w:val="22"/>
                <w:szCs w:val="22"/>
              </w:rPr>
              <w:t>0.08</w:t>
            </w:r>
          </w:p>
        </w:tc>
        <w:tc>
          <w:tcPr>
            <w:tcW w:w="626" w:type="pct"/>
            <w:vAlign w:val="bottom"/>
          </w:tcPr>
          <w:p>
            <w:pPr>
              <w:widowControl/>
              <w:jc w:val="center"/>
              <w:textAlignment w:val="center"/>
              <w:rPr>
                <w:rFonts w:cs="宋体"/>
                <w:color w:val="000000"/>
                <w:szCs w:val="21"/>
              </w:rPr>
            </w:pPr>
            <w:r>
              <w:rPr>
                <w:rFonts w:hint="eastAsia"/>
                <w:color w:val="000000"/>
                <w:szCs w:val="21"/>
              </w:rPr>
              <w:t>0.09</w:t>
            </w:r>
          </w:p>
        </w:tc>
        <w:tc>
          <w:tcPr>
            <w:tcW w:w="625" w:type="pct"/>
            <w:vAlign w:val="bottom"/>
          </w:tcPr>
          <w:p>
            <w:pPr>
              <w:widowControl/>
              <w:jc w:val="center"/>
              <w:textAlignment w:val="center"/>
              <w:rPr>
                <w:rFonts w:cs="宋体"/>
                <w:color w:val="000000"/>
                <w:szCs w:val="21"/>
              </w:rPr>
            </w:pPr>
            <w:r>
              <w:rPr>
                <w:rFonts w:hint="eastAsia"/>
                <w:color w:val="000000"/>
                <w:szCs w:val="21"/>
              </w:rPr>
              <w:t>0.09</w:t>
            </w:r>
          </w:p>
        </w:tc>
        <w:tc>
          <w:tcPr>
            <w:tcW w:w="626" w:type="pct"/>
            <w:vAlign w:val="bottom"/>
          </w:tcPr>
          <w:p>
            <w:pPr>
              <w:widowControl/>
              <w:jc w:val="center"/>
              <w:textAlignment w:val="center"/>
              <w:rPr>
                <w:rFonts w:cs="宋体"/>
                <w:color w:val="000000"/>
                <w:szCs w:val="21"/>
              </w:rPr>
            </w:pPr>
            <w:r>
              <w:rPr>
                <w:rFonts w:hint="eastAsia"/>
                <w:color w:val="000000"/>
                <w:sz w:val="22"/>
                <w:szCs w:val="22"/>
              </w:rPr>
              <w:t>1.32</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1.31</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33.25</w:t>
            </w:r>
          </w:p>
        </w:tc>
        <w:tc>
          <w:tcPr>
            <w:tcW w:w="635" w:type="pct"/>
            <w:vAlign w:val="center"/>
          </w:tcPr>
          <w:p>
            <w:pPr>
              <w:widowControl/>
              <w:jc w:val="center"/>
              <w:textAlignment w:val="center"/>
              <w:rPr>
                <w:rFonts w:cs="宋体"/>
                <w:color w:val="000000"/>
                <w:szCs w:val="21"/>
              </w:rPr>
            </w:pPr>
            <w:r>
              <w:rPr>
                <w:rFonts w:hint="eastAsia" w:cs="宋体"/>
                <w:color w:val="000000"/>
                <w:kern w:val="0"/>
                <w:szCs w:val="21"/>
                <w:lang w:bidi="ar"/>
              </w:rPr>
              <w:t>27m</w:t>
            </w:r>
          </w:p>
        </w:tc>
        <w:tc>
          <w:tcPr>
            <w:tcW w:w="694" w:type="pct"/>
            <w:vAlign w:val="bottom"/>
          </w:tcPr>
          <w:p>
            <w:pPr>
              <w:widowControl/>
              <w:jc w:val="center"/>
              <w:textAlignment w:val="center"/>
              <w:rPr>
                <w:rFonts w:cs="宋体"/>
                <w:color w:val="000000"/>
                <w:szCs w:val="21"/>
              </w:rPr>
            </w:pPr>
            <w:r>
              <w:rPr>
                <w:rFonts w:hint="eastAsia"/>
                <w:color w:val="000000"/>
                <w:sz w:val="22"/>
                <w:szCs w:val="22"/>
              </w:rPr>
              <w:t>0.07</w:t>
            </w:r>
          </w:p>
        </w:tc>
        <w:tc>
          <w:tcPr>
            <w:tcW w:w="626" w:type="pct"/>
            <w:vAlign w:val="bottom"/>
          </w:tcPr>
          <w:p>
            <w:pPr>
              <w:widowControl/>
              <w:jc w:val="center"/>
              <w:textAlignment w:val="center"/>
              <w:rPr>
                <w:rFonts w:cs="宋体"/>
                <w:color w:val="000000"/>
                <w:szCs w:val="21"/>
              </w:rPr>
            </w:pPr>
            <w:r>
              <w:rPr>
                <w:rFonts w:hint="eastAsia"/>
                <w:color w:val="000000"/>
                <w:szCs w:val="21"/>
              </w:rPr>
              <w:t>0.08</w:t>
            </w:r>
          </w:p>
        </w:tc>
        <w:tc>
          <w:tcPr>
            <w:tcW w:w="625" w:type="pct"/>
            <w:vAlign w:val="bottom"/>
          </w:tcPr>
          <w:p>
            <w:pPr>
              <w:widowControl/>
              <w:jc w:val="center"/>
              <w:textAlignment w:val="center"/>
              <w:rPr>
                <w:rFonts w:cs="宋体"/>
                <w:color w:val="000000"/>
                <w:szCs w:val="21"/>
              </w:rPr>
            </w:pPr>
            <w:r>
              <w:rPr>
                <w:rFonts w:hint="eastAsia"/>
                <w:color w:val="000000"/>
                <w:szCs w:val="21"/>
              </w:rPr>
              <w:t>0.08</w:t>
            </w:r>
          </w:p>
        </w:tc>
        <w:tc>
          <w:tcPr>
            <w:tcW w:w="626" w:type="pct"/>
            <w:vAlign w:val="bottom"/>
          </w:tcPr>
          <w:p>
            <w:pPr>
              <w:widowControl/>
              <w:jc w:val="center"/>
              <w:textAlignment w:val="center"/>
              <w:rPr>
                <w:rFonts w:cs="宋体"/>
                <w:color w:val="000000"/>
                <w:szCs w:val="21"/>
              </w:rPr>
            </w:pPr>
            <w:r>
              <w:rPr>
                <w:rFonts w:hint="eastAsia"/>
                <w:color w:val="000000"/>
                <w:sz w:val="22"/>
                <w:szCs w:val="22"/>
              </w:rPr>
              <w:t>1.24</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1.23</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34.25</w:t>
            </w:r>
          </w:p>
        </w:tc>
        <w:tc>
          <w:tcPr>
            <w:tcW w:w="635" w:type="pct"/>
            <w:vAlign w:val="center"/>
          </w:tcPr>
          <w:p>
            <w:pPr>
              <w:widowControl/>
              <w:jc w:val="center"/>
              <w:textAlignment w:val="center"/>
              <w:rPr>
                <w:rFonts w:cs="宋体"/>
                <w:color w:val="000000"/>
                <w:szCs w:val="21"/>
              </w:rPr>
            </w:pPr>
            <w:r>
              <w:rPr>
                <w:rFonts w:hint="eastAsia" w:cs="宋体"/>
                <w:color w:val="000000"/>
                <w:kern w:val="0"/>
                <w:szCs w:val="21"/>
                <w:lang w:bidi="ar"/>
              </w:rPr>
              <w:t>28m</w:t>
            </w:r>
          </w:p>
        </w:tc>
        <w:tc>
          <w:tcPr>
            <w:tcW w:w="694" w:type="pct"/>
            <w:vAlign w:val="bottom"/>
          </w:tcPr>
          <w:p>
            <w:pPr>
              <w:widowControl/>
              <w:jc w:val="center"/>
              <w:textAlignment w:val="center"/>
              <w:rPr>
                <w:rFonts w:cs="宋体"/>
                <w:color w:val="000000"/>
                <w:szCs w:val="21"/>
              </w:rPr>
            </w:pPr>
            <w:r>
              <w:rPr>
                <w:rFonts w:hint="eastAsia"/>
                <w:color w:val="000000"/>
                <w:sz w:val="22"/>
                <w:szCs w:val="22"/>
              </w:rPr>
              <w:t>0.07</w:t>
            </w:r>
          </w:p>
        </w:tc>
        <w:tc>
          <w:tcPr>
            <w:tcW w:w="626" w:type="pct"/>
            <w:vAlign w:val="bottom"/>
          </w:tcPr>
          <w:p>
            <w:pPr>
              <w:widowControl/>
              <w:jc w:val="center"/>
              <w:textAlignment w:val="center"/>
              <w:rPr>
                <w:rFonts w:cs="宋体"/>
                <w:color w:val="000000"/>
                <w:szCs w:val="21"/>
              </w:rPr>
            </w:pPr>
            <w:r>
              <w:rPr>
                <w:rFonts w:hint="eastAsia"/>
                <w:color w:val="000000"/>
                <w:szCs w:val="21"/>
              </w:rPr>
              <w:t>0.08</w:t>
            </w:r>
          </w:p>
        </w:tc>
        <w:tc>
          <w:tcPr>
            <w:tcW w:w="625" w:type="pct"/>
            <w:vAlign w:val="bottom"/>
          </w:tcPr>
          <w:p>
            <w:pPr>
              <w:widowControl/>
              <w:jc w:val="center"/>
              <w:textAlignment w:val="center"/>
              <w:rPr>
                <w:rFonts w:cs="宋体"/>
                <w:color w:val="000000"/>
                <w:szCs w:val="21"/>
              </w:rPr>
            </w:pPr>
            <w:r>
              <w:rPr>
                <w:rFonts w:hint="eastAsia"/>
                <w:color w:val="000000"/>
                <w:szCs w:val="21"/>
              </w:rPr>
              <w:t>0.07</w:t>
            </w:r>
          </w:p>
        </w:tc>
        <w:tc>
          <w:tcPr>
            <w:tcW w:w="626" w:type="pct"/>
            <w:vAlign w:val="bottom"/>
          </w:tcPr>
          <w:p>
            <w:pPr>
              <w:widowControl/>
              <w:jc w:val="center"/>
              <w:textAlignment w:val="center"/>
              <w:rPr>
                <w:rFonts w:cs="宋体"/>
                <w:color w:val="000000"/>
                <w:szCs w:val="21"/>
              </w:rPr>
            </w:pPr>
            <w:r>
              <w:rPr>
                <w:rFonts w:hint="eastAsia"/>
                <w:color w:val="000000"/>
                <w:sz w:val="22"/>
                <w:szCs w:val="22"/>
              </w:rPr>
              <w:t>1.17</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1.16</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hint="eastAsia" w:cs="宋体"/>
                <w:color w:val="000000"/>
                <w:kern w:val="0"/>
                <w:szCs w:val="21"/>
                <w:lang w:bidi="ar"/>
              </w:rPr>
              <w:t>35.25</w:t>
            </w:r>
          </w:p>
        </w:tc>
        <w:tc>
          <w:tcPr>
            <w:tcW w:w="635" w:type="pct"/>
            <w:vAlign w:val="center"/>
          </w:tcPr>
          <w:p>
            <w:pPr>
              <w:widowControl/>
              <w:jc w:val="center"/>
              <w:textAlignment w:val="center"/>
              <w:rPr>
                <w:rFonts w:cs="宋体"/>
                <w:color w:val="000000"/>
                <w:szCs w:val="21"/>
              </w:rPr>
            </w:pPr>
            <w:r>
              <w:rPr>
                <w:rFonts w:hint="eastAsia" w:cs="宋体"/>
                <w:color w:val="000000"/>
                <w:kern w:val="0"/>
                <w:szCs w:val="21"/>
                <w:lang w:bidi="ar"/>
              </w:rPr>
              <w:t>29m</w:t>
            </w:r>
          </w:p>
        </w:tc>
        <w:tc>
          <w:tcPr>
            <w:tcW w:w="694" w:type="pct"/>
            <w:vAlign w:val="bottom"/>
          </w:tcPr>
          <w:p>
            <w:pPr>
              <w:widowControl/>
              <w:jc w:val="center"/>
              <w:textAlignment w:val="center"/>
              <w:rPr>
                <w:rFonts w:cs="宋体"/>
                <w:color w:val="000000"/>
                <w:szCs w:val="21"/>
              </w:rPr>
            </w:pPr>
            <w:r>
              <w:rPr>
                <w:rFonts w:hint="eastAsia"/>
                <w:color w:val="000000"/>
                <w:sz w:val="22"/>
                <w:szCs w:val="22"/>
              </w:rPr>
              <w:t>0.06</w:t>
            </w:r>
          </w:p>
        </w:tc>
        <w:tc>
          <w:tcPr>
            <w:tcW w:w="626" w:type="pct"/>
            <w:vAlign w:val="bottom"/>
          </w:tcPr>
          <w:p>
            <w:pPr>
              <w:widowControl/>
              <w:jc w:val="center"/>
              <w:textAlignment w:val="center"/>
              <w:rPr>
                <w:rFonts w:cs="宋体"/>
                <w:color w:val="000000"/>
                <w:szCs w:val="21"/>
              </w:rPr>
            </w:pPr>
            <w:r>
              <w:rPr>
                <w:rFonts w:hint="eastAsia"/>
                <w:color w:val="000000"/>
                <w:szCs w:val="21"/>
              </w:rPr>
              <w:t>0.07</w:t>
            </w:r>
          </w:p>
        </w:tc>
        <w:tc>
          <w:tcPr>
            <w:tcW w:w="625" w:type="pct"/>
            <w:vAlign w:val="bottom"/>
          </w:tcPr>
          <w:p>
            <w:pPr>
              <w:widowControl/>
              <w:jc w:val="center"/>
              <w:textAlignment w:val="center"/>
              <w:rPr>
                <w:rFonts w:cs="宋体"/>
                <w:color w:val="000000"/>
                <w:szCs w:val="21"/>
              </w:rPr>
            </w:pPr>
            <w:r>
              <w:rPr>
                <w:rFonts w:hint="eastAsia"/>
                <w:color w:val="000000"/>
                <w:szCs w:val="21"/>
              </w:rPr>
              <w:t>0.07</w:t>
            </w:r>
          </w:p>
        </w:tc>
        <w:tc>
          <w:tcPr>
            <w:tcW w:w="626" w:type="pct"/>
            <w:vAlign w:val="bottom"/>
          </w:tcPr>
          <w:p>
            <w:pPr>
              <w:widowControl/>
              <w:jc w:val="center"/>
              <w:textAlignment w:val="center"/>
              <w:rPr>
                <w:rFonts w:cs="宋体"/>
                <w:color w:val="000000"/>
                <w:szCs w:val="21"/>
              </w:rPr>
            </w:pPr>
            <w:r>
              <w:rPr>
                <w:rFonts w:hint="eastAsia"/>
                <w:color w:val="000000"/>
                <w:sz w:val="22"/>
                <w:szCs w:val="22"/>
              </w:rPr>
              <w:t>1.10</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1.10</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pPr>
              <w:widowControl/>
              <w:jc w:val="center"/>
              <w:textAlignment w:val="center"/>
              <w:rPr>
                <w:rFonts w:cs="宋体"/>
                <w:color w:val="000000"/>
                <w:szCs w:val="21"/>
              </w:rPr>
            </w:pPr>
            <w:r>
              <w:rPr>
                <w:rFonts w:cs="宋体"/>
                <w:color w:val="000000"/>
                <w:kern w:val="0"/>
                <w:szCs w:val="21"/>
                <w:lang w:bidi="ar"/>
              </w:rPr>
              <w:t>3</w:t>
            </w:r>
            <w:r>
              <w:rPr>
                <w:rFonts w:hint="eastAsia" w:cs="宋体"/>
                <w:color w:val="000000"/>
                <w:kern w:val="0"/>
                <w:szCs w:val="21"/>
                <w:lang w:bidi="ar"/>
              </w:rPr>
              <w:t>6.25</w:t>
            </w:r>
          </w:p>
        </w:tc>
        <w:tc>
          <w:tcPr>
            <w:tcW w:w="635" w:type="pct"/>
            <w:vAlign w:val="center"/>
          </w:tcPr>
          <w:p>
            <w:pPr>
              <w:widowControl/>
              <w:jc w:val="center"/>
              <w:textAlignment w:val="center"/>
              <w:rPr>
                <w:rFonts w:cs="宋体"/>
                <w:color w:val="000000"/>
                <w:szCs w:val="21"/>
              </w:rPr>
            </w:pPr>
            <w:r>
              <w:rPr>
                <w:rFonts w:hint="eastAsia" w:cs="宋体"/>
                <w:color w:val="000000"/>
                <w:kern w:val="0"/>
                <w:szCs w:val="21"/>
                <w:lang w:bidi="ar"/>
              </w:rPr>
              <w:t>30m</w:t>
            </w:r>
          </w:p>
        </w:tc>
        <w:tc>
          <w:tcPr>
            <w:tcW w:w="694" w:type="pct"/>
            <w:vAlign w:val="bottom"/>
          </w:tcPr>
          <w:p>
            <w:pPr>
              <w:widowControl/>
              <w:jc w:val="center"/>
              <w:textAlignment w:val="center"/>
              <w:rPr>
                <w:rFonts w:cs="宋体"/>
                <w:color w:val="000000"/>
                <w:szCs w:val="21"/>
              </w:rPr>
            </w:pPr>
            <w:r>
              <w:rPr>
                <w:rFonts w:hint="eastAsia"/>
                <w:color w:val="000000"/>
                <w:sz w:val="22"/>
                <w:szCs w:val="22"/>
              </w:rPr>
              <w:t>0.06</w:t>
            </w:r>
          </w:p>
        </w:tc>
        <w:tc>
          <w:tcPr>
            <w:tcW w:w="626" w:type="pct"/>
            <w:vAlign w:val="bottom"/>
          </w:tcPr>
          <w:p>
            <w:pPr>
              <w:widowControl/>
              <w:jc w:val="center"/>
              <w:textAlignment w:val="center"/>
              <w:rPr>
                <w:rFonts w:cs="宋体"/>
                <w:color w:val="000000"/>
                <w:szCs w:val="21"/>
              </w:rPr>
            </w:pPr>
            <w:r>
              <w:rPr>
                <w:rFonts w:hint="eastAsia"/>
                <w:color w:val="000000"/>
                <w:szCs w:val="21"/>
              </w:rPr>
              <w:t>0.06</w:t>
            </w:r>
          </w:p>
        </w:tc>
        <w:tc>
          <w:tcPr>
            <w:tcW w:w="625" w:type="pct"/>
            <w:vAlign w:val="bottom"/>
          </w:tcPr>
          <w:p>
            <w:pPr>
              <w:widowControl/>
              <w:jc w:val="center"/>
              <w:textAlignment w:val="center"/>
              <w:rPr>
                <w:rFonts w:cs="宋体"/>
                <w:color w:val="000000"/>
                <w:szCs w:val="21"/>
              </w:rPr>
            </w:pPr>
            <w:r>
              <w:rPr>
                <w:rFonts w:hint="eastAsia"/>
                <w:color w:val="000000"/>
                <w:szCs w:val="21"/>
              </w:rPr>
              <w:t>0.06</w:t>
            </w:r>
          </w:p>
        </w:tc>
        <w:tc>
          <w:tcPr>
            <w:tcW w:w="626" w:type="pct"/>
            <w:vAlign w:val="bottom"/>
          </w:tcPr>
          <w:p>
            <w:pPr>
              <w:widowControl/>
              <w:jc w:val="center"/>
              <w:textAlignment w:val="center"/>
              <w:rPr>
                <w:rFonts w:cs="宋体"/>
                <w:color w:val="000000"/>
                <w:szCs w:val="21"/>
              </w:rPr>
            </w:pPr>
            <w:r>
              <w:rPr>
                <w:rFonts w:hint="eastAsia"/>
                <w:color w:val="000000"/>
                <w:sz w:val="22"/>
                <w:szCs w:val="22"/>
              </w:rPr>
              <w:t>1.04</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1.04</w:t>
            </w:r>
          </w:p>
        </w:tc>
        <w:tc>
          <w:tcPr>
            <w:tcW w:w="624" w:type="pct"/>
            <w:vAlign w:val="bottom"/>
          </w:tcPr>
          <w:p>
            <w:pPr>
              <w:widowControl/>
              <w:jc w:val="center"/>
              <w:textAlignment w:val="center"/>
              <w:rPr>
                <w:rFonts w:cs="宋体"/>
                <w:color w:val="000000"/>
                <w:kern w:val="0"/>
                <w:szCs w:val="21"/>
                <w:lang w:bidi="ar"/>
              </w:rPr>
            </w:pPr>
            <w:r>
              <w:rPr>
                <w:rFonts w:hint="eastAsia"/>
                <w:color w:val="000000"/>
                <w:sz w:val="22"/>
                <w:szCs w:val="22"/>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0" w:type="pct"/>
            <w:gridSpan w:val="2"/>
            <w:vAlign w:val="center"/>
          </w:tcPr>
          <w:p>
            <w:pPr>
              <w:widowControl/>
              <w:jc w:val="center"/>
              <w:textAlignment w:val="center"/>
              <w:rPr>
                <w:rFonts w:cs="宋体"/>
                <w:color w:val="000000"/>
                <w:szCs w:val="21"/>
              </w:rPr>
            </w:pPr>
            <w:r>
              <w:rPr>
                <w:rFonts w:hint="eastAsia" w:cs="宋体"/>
                <w:color w:val="000000"/>
                <w:kern w:val="0"/>
                <w:szCs w:val="21"/>
                <w:lang w:bidi="ar"/>
              </w:rPr>
              <w:t>最大值</w:t>
            </w:r>
          </w:p>
        </w:tc>
        <w:tc>
          <w:tcPr>
            <w:tcW w:w="694" w:type="pct"/>
            <w:vAlign w:val="center"/>
          </w:tcPr>
          <w:p>
            <w:pPr>
              <w:widowControl/>
              <w:jc w:val="center"/>
              <w:textAlignment w:val="center"/>
              <w:rPr>
                <w:rFonts w:cs="宋体"/>
                <w:b/>
                <w:color w:val="000000"/>
                <w:szCs w:val="21"/>
              </w:rPr>
            </w:pPr>
            <w:r>
              <w:rPr>
                <w:rFonts w:cs="宋体"/>
                <w:b/>
                <w:color w:val="000000"/>
                <w:kern w:val="0"/>
                <w:szCs w:val="21"/>
                <w:lang w:bidi="ar"/>
              </w:rPr>
              <w:t>2.67</w:t>
            </w:r>
          </w:p>
        </w:tc>
        <w:tc>
          <w:tcPr>
            <w:tcW w:w="626" w:type="pct"/>
            <w:vAlign w:val="bottom"/>
          </w:tcPr>
          <w:p>
            <w:pPr>
              <w:widowControl/>
              <w:jc w:val="center"/>
              <w:textAlignment w:val="center"/>
              <w:rPr>
                <w:rFonts w:cs="宋体"/>
                <w:b/>
                <w:color w:val="000000"/>
                <w:szCs w:val="21"/>
              </w:rPr>
            </w:pPr>
            <w:r>
              <w:rPr>
                <w:rFonts w:hint="eastAsia"/>
                <w:b/>
                <w:color w:val="000000"/>
                <w:szCs w:val="21"/>
              </w:rPr>
              <w:t>1.97</w:t>
            </w:r>
          </w:p>
        </w:tc>
        <w:tc>
          <w:tcPr>
            <w:tcW w:w="625" w:type="pct"/>
            <w:vAlign w:val="bottom"/>
          </w:tcPr>
          <w:p>
            <w:pPr>
              <w:widowControl/>
              <w:jc w:val="center"/>
              <w:textAlignment w:val="center"/>
              <w:rPr>
                <w:rFonts w:cs="宋体"/>
                <w:b/>
                <w:color w:val="000000"/>
                <w:szCs w:val="21"/>
              </w:rPr>
            </w:pPr>
            <w:r>
              <w:rPr>
                <w:rFonts w:hint="eastAsia"/>
                <w:b/>
                <w:color w:val="000000"/>
                <w:szCs w:val="21"/>
              </w:rPr>
              <w:t>3.02</w:t>
            </w:r>
          </w:p>
        </w:tc>
        <w:tc>
          <w:tcPr>
            <w:tcW w:w="626" w:type="pct"/>
            <w:vAlign w:val="center"/>
          </w:tcPr>
          <w:p>
            <w:pPr>
              <w:widowControl/>
              <w:jc w:val="center"/>
              <w:textAlignment w:val="center"/>
              <w:rPr>
                <w:rFonts w:cs="宋体"/>
                <w:b/>
                <w:color w:val="000000"/>
                <w:szCs w:val="21"/>
              </w:rPr>
            </w:pPr>
            <w:r>
              <w:rPr>
                <w:rFonts w:cs="宋体"/>
                <w:b/>
                <w:color w:val="000000"/>
                <w:kern w:val="0"/>
                <w:szCs w:val="21"/>
                <w:lang w:bidi="ar"/>
              </w:rPr>
              <w:t>29.10</w:t>
            </w:r>
          </w:p>
        </w:tc>
        <w:tc>
          <w:tcPr>
            <w:tcW w:w="624" w:type="pct"/>
            <w:vAlign w:val="bottom"/>
          </w:tcPr>
          <w:p>
            <w:pPr>
              <w:widowControl/>
              <w:jc w:val="center"/>
              <w:textAlignment w:val="center"/>
              <w:rPr>
                <w:rFonts w:cs="宋体"/>
                <w:color w:val="000000"/>
                <w:kern w:val="0"/>
                <w:szCs w:val="21"/>
                <w:lang w:bidi="ar"/>
              </w:rPr>
            </w:pPr>
            <w:r>
              <w:rPr>
                <w:rFonts w:hint="eastAsia"/>
                <w:b/>
                <w:color w:val="000000"/>
                <w:sz w:val="22"/>
                <w:szCs w:val="22"/>
              </w:rPr>
              <w:t>15.79</w:t>
            </w:r>
          </w:p>
        </w:tc>
        <w:tc>
          <w:tcPr>
            <w:tcW w:w="624" w:type="pct"/>
            <w:vAlign w:val="bottom"/>
          </w:tcPr>
          <w:p>
            <w:pPr>
              <w:widowControl/>
              <w:jc w:val="center"/>
              <w:textAlignment w:val="center"/>
              <w:rPr>
                <w:rFonts w:cs="宋体"/>
                <w:color w:val="000000"/>
                <w:kern w:val="0"/>
                <w:szCs w:val="21"/>
                <w:lang w:bidi="ar"/>
              </w:rPr>
            </w:pPr>
            <w:r>
              <w:rPr>
                <w:rFonts w:hint="eastAsia"/>
                <w:b/>
                <w:color w:val="000000"/>
                <w:sz w:val="22"/>
                <w:szCs w:val="22"/>
              </w:rPr>
              <w:t>30.99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0" w:type="pct"/>
            <w:gridSpan w:val="2"/>
            <w:vAlign w:val="center"/>
          </w:tcPr>
          <w:p>
            <w:pPr>
              <w:widowControl/>
              <w:jc w:val="center"/>
              <w:textAlignment w:val="center"/>
              <w:rPr>
                <w:rFonts w:cs="宋体"/>
                <w:color w:val="000000"/>
                <w:szCs w:val="21"/>
              </w:rPr>
            </w:pPr>
            <w:r>
              <w:rPr>
                <w:rFonts w:hint="eastAsia" w:cs="宋体"/>
                <w:color w:val="000000"/>
                <w:kern w:val="0"/>
                <w:szCs w:val="21"/>
                <w:lang w:bidi="ar"/>
              </w:rPr>
              <w:t>最大值处距线路中心距离（m）</w:t>
            </w:r>
          </w:p>
        </w:tc>
        <w:tc>
          <w:tcPr>
            <w:tcW w:w="694" w:type="pct"/>
            <w:vAlign w:val="center"/>
          </w:tcPr>
          <w:p>
            <w:pPr>
              <w:widowControl/>
              <w:jc w:val="center"/>
              <w:textAlignment w:val="center"/>
              <w:rPr>
                <w:rFonts w:cs="宋体"/>
                <w:color w:val="000000"/>
                <w:szCs w:val="21"/>
              </w:rPr>
            </w:pPr>
            <w:r>
              <w:rPr>
                <w:rFonts w:cs="宋体"/>
                <w:color w:val="000000"/>
                <w:kern w:val="0"/>
                <w:szCs w:val="21"/>
                <w:lang w:bidi="ar"/>
              </w:rPr>
              <w:t>6.25</w:t>
            </w:r>
          </w:p>
        </w:tc>
        <w:tc>
          <w:tcPr>
            <w:tcW w:w="626" w:type="pct"/>
            <w:vAlign w:val="center"/>
          </w:tcPr>
          <w:p>
            <w:pPr>
              <w:widowControl/>
              <w:jc w:val="center"/>
              <w:textAlignment w:val="center"/>
              <w:rPr>
                <w:rFonts w:cs="宋体"/>
                <w:color w:val="000000"/>
                <w:szCs w:val="21"/>
              </w:rPr>
            </w:pPr>
            <w:r>
              <w:rPr>
                <w:rFonts w:cs="宋体"/>
                <w:color w:val="000000"/>
                <w:kern w:val="0"/>
                <w:szCs w:val="21"/>
                <w:lang w:bidi="ar"/>
              </w:rPr>
              <w:t>8.25</w:t>
            </w:r>
          </w:p>
        </w:tc>
        <w:tc>
          <w:tcPr>
            <w:tcW w:w="625" w:type="pct"/>
            <w:vAlign w:val="center"/>
          </w:tcPr>
          <w:p>
            <w:pPr>
              <w:widowControl/>
              <w:jc w:val="center"/>
              <w:textAlignment w:val="center"/>
              <w:rPr>
                <w:rFonts w:cs="宋体"/>
                <w:color w:val="000000"/>
                <w:szCs w:val="21"/>
              </w:rPr>
            </w:pPr>
            <w:r>
              <w:rPr>
                <w:rFonts w:cs="宋体"/>
                <w:color w:val="000000"/>
                <w:kern w:val="0"/>
                <w:szCs w:val="21"/>
                <w:lang w:bidi="ar"/>
              </w:rPr>
              <w:t>8.25</w:t>
            </w:r>
          </w:p>
        </w:tc>
        <w:tc>
          <w:tcPr>
            <w:tcW w:w="626" w:type="pct"/>
            <w:vAlign w:val="center"/>
          </w:tcPr>
          <w:p>
            <w:pPr>
              <w:widowControl/>
              <w:jc w:val="center"/>
              <w:textAlignment w:val="center"/>
              <w:rPr>
                <w:rFonts w:cs="宋体"/>
                <w:color w:val="000000"/>
                <w:szCs w:val="21"/>
              </w:rPr>
            </w:pPr>
            <w:r>
              <w:rPr>
                <w:rFonts w:hint="eastAsia" w:cs="宋体"/>
                <w:color w:val="000000"/>
                <w:kern w:val="0"/>
                <w:szCs w:val="21"/>
                <w:lang w:bidi="ar"/>
              </w:rPr>
              <w:t>0</w:t>
            </w:r>
          </w:p>
        </w:tc>
        <w:tc>
          <w:tcPr>
            <w:tcW w:w="624" w:type="pct"/>
            <w:vAlign w:val="center"/>
          </w:tcPr>
          <w:p>
            <w:pPr>
              <w:widowControl/>
              <w:jc w:val="center"/>
              <w:textAlignment w:val="center"/>
              <w:rPr>
                <w:rFonts w:cs="宋体"/>
                <w:color w:val="000000"/>
                <w:kern w:val="0"/>
                <w:szCs w:val="21"/>
                <w:lang w:bidi="ar"/>
              </w:rPr>
            </w:pPr>
            <w:r>
              <w:rPr>
                <w:rFonts w:cs="宋体"/>
                <w:color w:val="000000"/>
                <w:kern w:val="0"/>
                <w:szCs w:val="21"/>
                <w:lang w:bidi="ar"/>
              </w:rPr>
              <w:t>8.25</w:t>
            </w:r>
          </w:p>
        </w:tc>
        <w:tc>
          <w:tcPr>
            <w:tcW w:w="624" w:type="pct"/>
            <w:vAlign w:val="center"/>
          </w:tcPr>
          <w:p>
            <w:pPr>
              <w:widowControl/>
              <w:jc w:val="center"/>
              <w:textAlignment w:val="center"/>
              <w:rPr>
                <w:rFonts w:cs="宋体"/>
                <w:color w:val="000000"/>
                <w:kern w:val="0"/>
                <w:szCs w:val="21"/>
                <w:lang w:bidi="ar"/>
              </w:rPr>
            </w:pPr>
            <w:r>
              <w:rPr>
                <w:rFonts w:cs="宋体"/>
                <w:color w:val="000000"/>
                <w:kern w:val="0"/>
                <w:szCs w:val="21"/>
                <w:lang w:bidi="ar"/>
              </w:rPr>
              <w:t>8.25</w:t>
            </w:r>
          </w:p>
        </w:tc>
      </w:tr>
    </w:tbl>
    <w:p>
      <w:pPr>
        <w:adjustRightInd w:val="0"/>
        <w:snapToGrid w:val="0"/>
        <w:jc w:val="left"/>
        <w:rPr>
          <w:rFonts w:hint="eastAsia" w:ascii="黑体" w:hAnsi="黑体" w:eastAsia="黑体"/>
          <w:bCs/>
          <w:color w:val="000000"/>
          <w:szCs w:val="20"/>
        </w:rPr>
      </w:pPr>
      <w:r>
        <w:rPr>
          <w:rFonts w:ascii="黑体" w:hAnsi="黑体" w:eastAsia="黑体"/>
          <w:color w:val="000000"/>
          <w:sz w:val="18"/>
          <w:szCs w:val="21"/>
          <w:lang w:bidi="ar"/>
        </w:rPr>
        <w:t>注：本工程忽略因风偏无法满足净空距离要求导致在该范围内逻辑上存在敏感点而预测结果无意义的预测点，用“/”表示，下同。而为反映线路在居民区最小线路高度下的电磁环境影响水平，将地面处（1.5m高）的计算结果全部列出。</w:t>
      </w:r>
      <w:r>
        <w:rPr>
          <w:rFonts w:ascii="黑体" w:hAnsi="黑体" w:eastAsia="黑体"/>
          <w:bCs/>
          <w:color w:val="000000"/>
          <w:szCs w:val="20"/>
        </w:rPr>
        <w:t xml:space="preserve">  </w:t>
      </w:r>
    </w:p>
    <w:p>
      <w:pPr>
        <w:pStyle w:val="2"/>
        <w:spacing w:after="0"/>
        <w:ind w:left="0" w:leftChars="0" w:firstLine="0"/>
        <w:jc w:val="center"/>
      </w:pPr>
      <w:r>
        <w:drawing>
          <wp:inline distT="0" distB="0" distL="0" distR="0">
            <wp:extent cx="5758815" cy="4015105"/>
            <wp:effectExtent l="0" t="0" r="0" b="4445"/>
            <wp:docPr id="5" name="图片 5" descr="E:\9、新疆\1、环评\2025年环评\2、吐鲁番东环110千伏输变电工程\报告\电磁预测\单回\电场图-非居民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9、新疆\1、环评\2025年环评\2、吐鲁番东环110千伏输变电工程\报告\电磁预测\单回\电场图-非居民区.png"/>
                    <pic:cNvPicPr>
                      <a:picLocks noChangeAspect="1" noChangeArrowheads="1"/>
                    </pic:cNvPicPr>
                  </pic:nvPicPr>
                  <pic:blipFill>
                    <a:blip r:embed="rId183">
                      <a:extLst>
                        <a:ext uri="{28A0092B-C50C-407E-A947-70E740481C1C}">
                          <a14:useLocalDpi xmlns:a14="http://schemas.microsoft.com/office/drawing/2010/main" val="0"/>
                        </a:ext>
                      </a:extLst>
                    </a:blip>
                    <a:srcRect b="3547"/>
                    <a:stretch>
                      <a:fillRect/>
                    </a:stretch>
                  </pic:blipFill>
                  <pic:spPr>
                    <a:xfrm>
                      <a:off x="0" y="0"/>
                      <a:ext cx="5759450" cy="4015451"/>
                    </a:xfrm>
                    <a:prstGeom prst="rect">
                      <a:avLst/>
                    </a:prstGeom>
                    <a:noFill/>
                    <a:ln>
                      <a:noFill/>
                    </a:ln>
                  </pic:spPr>
                </pic:pic>
              </a:graphicData>
            </a:graphic>
          </wp:inline>
        </w:drawing>
      </w:r>
      <w:r>
        <w:drawing>
          <wp:inline distT="0" distB="0" distL="0" distR="0">
            <wp:extent cx="5758815" cy="4055110"/>
            <wp:effectExtent l="0" t="0" r="0" b="2540"/>
            <wp:docPr id="6" name="图片 6" descr="E:\9、新疆\1、环评\2025年环评\2、吐鲁番东环110千伏输变电工程\报告\电磁预测\单回\磁场图-非居民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9、新疆\1、环评\2025年环评\2、吐鲁番东环110千伏输变电工程\报告\电磁预测\单回\磁场图-非居民区.png"/>
                    <pic:cNvPicPr>
                      <a:picLocks noChangeAspect="1" noChangeArrowheads="1"/>
                    </pic:cNvPicPr>
                  </pic:nvPicPr>
                  <pic:blipFill>
                    <a:blip r:embed="rId184">
                      <a:extLst>
                        <a:ext uri="{28A0092B-C50C-407E-A947-70E740481C1C}">
                          <a14:useLocalDpi xmlns:a14="http://schemas.microsoft.com/office/drawing/2010/main" val="0"/>
                        </a:ext>
                      </a:extLst>
                    </a:blip>
                    <a:srcRect b="2592"/>
                    <a:stretch>
                      <a:fillRect/>
                    </a:stretch>
                  </pic:blipFill>
                  <pic:spPr>
                    <a:xfrm>
                      <a:off x="0" y="0"/>
                      <a:ext cx="5759450" cy="4055208"/>
                    </a:xfrm>
                    <a:prstGeom prst="rect">
                      <a:avLst/>
                    </a:prstGeom>
                    <a:noFill/>
                    <a:ln>
                      <a:noFill/>
                    </a:ln>
                  </pic:spPr>
                </pic:pic>
              </a:graphicData>
            </a:graphic>
          </wp:inline>
        </w:drawing>
      </w:r>
    </w:p>
    <w:p>
      <w:pPr>
        <w:pStyle w:val="2"/>
        <w:spacing w:after="0"/>
        <w:ind w:left="0" w:leftChars="0" w:firstLine="0"/>
        <w:jc w:val="center"/>
        <w:rPr>
          <w:rFonts w:hint="eastAsia" w:ascii="黑体" w:hAnsi="黑体" w:eastAsia="黑体" w:cs="黑体"/>
          <w:sz w:val="21"/>
          <w:szCs w:val="21"/>
        </w:rPr>
      </w:pPr>
      <w:bookmarkStart w:id="867" w:name="_Ref14898"/>
      <w:r>
        <w:rPr>
          <w:rFonts w:hint="eastAsia" w:ascii="黑体" w:hAnsi="黑体" w:eastAsia="黑体" w:cs="黑体"/>
          <w:color w:val="000000"/>
          <w:sz w:val="21"/>
          <w:szCs w:val="16"/>
        </w:rPr>
        <w:t>图</w:t>
      </w:r>
      <w:r>
        <w:rPr>
          <w:rFonts w:hint="eastAsia" w:ascii="黑体" w:hAnsi="黑体" w:eastAsia="黑体" w:cs="黑体"/>
          <w:color w:val="000000"/>
          <w:sz w:val="21"/>
          <w:szCs w:val="16"/>
        </w:rPr>
        <w:fldChar w:fldCharType="begin"/>
      </w:r>
      <w:r>
        <w:rPr>
          <w:rFonts w:hint="eastAsia" w:ascii="黑体" w:hAnsi="黑体" w:eastAsia="黑体" w:cs="黑体"/>
          <w:color w:val="000000"/>
          <w:sz w:val="21"/>
          <w:szCs w:val="16"/>
        </w:rPr>
        <w:instrText xml:space="preserve"> SEQ 图 \* ARABIC </w:instrText>
      </w:r>
      <w:r>
        <w:rPr>
          <w:rFonts w:hint="eastAsia" w:ascii="黑体" w:hAnsi="黑体" w:eastAsia="黑体" w:cs="黑体"/>
          <w:color w:val="000000"/>
          <w:sz w:val="21"/>
          <w:szCs w:val="16"/>
        </w:rPr>
        <w:fldChar w:fldCharType="separate"/>
      </w:r>
      <w:r>
        <w:rPr>
          <w:rFonts w:ascii="黑体" w:hAnsi="黑体" w:eastAsia="黑体" w:cs="黑体"/>
          <w:color w:val="000000"/>
          <w:sz w:val="21"/>
          <w:szCs w:val="16"/>
        </w:rPr>
        <w:t>8</w:t>
      </w:r>
      <w:r>
        <w:rPr>
          <w:rFonts w:hint="eastAsia" w:ascii="黑体" w:hAnsi="黑体" w:eastAsia="黑体" w:cs="黑体"/>
          <w:color w:val="000000"/>
          <w:sz w:val="21"/>
          <w:szCs w:val="16"/>
        </w:rPr>
        <w:fldChar w:fldCharType="end"/>
      </w:r>
      <w:bookmarkEnd w:id="867"/>
      <w:r>
        <w:rPr>
          <w:rFonts w:hint="eastAsia" w:ascii="黑体" w:hAnsi="黑体" w:eastAsia="黑体" w:cs="黑体"/>
          <w:color w:val="000000"/>
          <w:sz w:val="21"/>
          <w:szCs w:val="16"/>
        </w:rPr>
        <w:t xml:space="preserve">  110kV单回线路工频电场强度、工频磁感应强度预测结果（非居民区）</w:t>
      </w:r>
    </w:p>
    <w:p>
      <w:pPr>
        <w:pStyle w:val="2"/>
        <w:spacing w:before="156" w:beforeLines="50" w:after="0"/>
        <w:ind w:left="0" w:leftChars="0" w:firstLine="0"/>
        <w:jc w:val="center"/>
      </w:pPr>
      <w:r>
        <w:drawing>
          <wp:inline distT="0" distB="0" distL="0" distR="0">
            <wp:extent cx="5759450" cy="4004945"/>
            <wp:effectExtent l="0" t="0" r="0" b="0"/>
            <wp:docPr id="660600661" name="图片 660600661" descr="E:\9、新疆\1、环评\2025年环评\2、吐鲁番东环110千伏输变电工程\报告\电磁预测\单回\电场分布图-非居民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00661" name="图片 660600661" descr="E:\9、新疆\1、环评\2025年环评\2、吐鲁番东环110千伏输变电工程\报告\电磁预测\单回\电场分布图-非居民区.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a:xfrm>
                      <a:off x="0" y="0"/>
                      <a:ext cx="5759450" cy="4005239"/>
                    </a:xfrm>
                    <a:prstGeom prst="rect">
                      <a:avLst/>
                    </a:prstGeom>
                    <a:noFill/>
                    <a:ln>
                      <a:noFill/>
                    </a:ln>
                  </pic:spPr>
                </pic:pic>
              </a:graphicData>
            </a:graphic>
          </wp:inline>
        </w:drawing>
      </w:r>
      <w:r>
        <w:drawing>
          <wp:inline distT="0" distB="0" distL="0" distR="0">
            <wp:extent cx="5758815" cy="3862070"/>
            <wp:effectExtent l="0" t="0" r="0" b="5080"/>
            <wp:docPr id="660600662" name="图片 660600662" descr="E:\9、新疆\1、环评\2025年环评\2、吐鲁番东环110千伏输变电工程\报告\电磁预测\单回\磁场分布图-非居民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00662" name="图片 660600662" descr="E:\9、新疆\1、环评\2025年环评\2、吐鲁番东环110千伏输变电工程\报告\电磁预测\单回\磁场分布图-非居民区.png"/>
                    <pic:cNvPicPr>
                      <a:picLocks noChangeAspect="1" noChangeArrowheads="1"/>
                    </pic:cNvPicPr>
                  </pic:nvPicPr>
                  <pic:blipFill>
                    <a:blip r:embed="rId186">
                      <a:extLst>
                        <a:ext uri="{28A0092B-C50C-407E-A947-70E740481C1C}">
                          <a14:useLocalDpi xmlns:a14="http://schemas.microsoft.com/office/drawing/2010/main" val="0"/>
                        </a:ext>
                      </a:extLst>
                    </a:blip>
                    <a:srcRect b="3561"/>
                    <a:stretch>
                      <a:fillRect/>
                    </a:stretch>
                  </pic:blipFill>
                  <pic:spPr>
                    <a:xfrm>
                      <a:off x="0" y="0"/>
                      <a:ext cx="5759450" cy="3862601"/>
                    </a:xfrm>
                    <a:prstGeom prst="rect">
                      <a:avLst/>
                    </a:prstGeom>
                    <a:noFill/>
                    <a:ln>
                      <a:noFill/>
                    </a:ln>
                  </pic:spPr>
                </pic:pic>
              </a:graphicData>
            </a:graphic>
          </wp:inline>
        </w:drawing>
      </w:r>
    </w:p>
    <w:p>
      <w:pPr>
        <w:pStyle w:val="2"/>
        <w:spacing w:before="156" w:beforeLines="50" w:after="0"/>
        <w:ind w:left="0" w:leftChars="0" w:firstLine="0"/>
        <w:jc w:val="center"/>
        <w:rPr>
          <w:rFonts w:hint="eastAsia" w:ascii="黑体" w:hAnsi="黑体" w:eastAsia="黑体" w:cs="黑体"/>
          <w:color w:val="000000"/>
          <w:sz w:val="21"/>
          <w:szCs w:val="16"/>
        </w:rPr>
      </w:pPr>
      <w:r>
        <w:rPr>
          <w:rFonts w:hint="eastAsia" w:ascii="黑体" w:hAnsi="黑体" w:eastAsia="黑体" w:cs="黑体"/>
          <w:color w:val="000000"/>
          <w:sz w:val="21"/>
          <w:szCs w:val="16"/>
        </w:rPr>
        <w:t>图</w:t>
      </w:r>
      <w:r>
        <w:rPr>
          <w:rFonts w:hint="eastAsia" w:ascii="黑体" w:hAnsi="黑体" w:eastAsia="黑体" w:cs="黑体"/>
          <w:color w:val="000000"/>
          <w:sz w:val="21"/>
          <w:szCs w:val="16"/>
        </w:rPr>
        <w:fldChar w:fldCharType="begin"/>
      </w:r>
      <w:r>
        <w:rPr>
          <w:rFonts w:hint="eastAsia" w:ascii="黑体" w:hAnsi="黑体" w:eastAsia="黑体" w:cs="黑体"/>
          <w:color w:val="000000"/>
          <w:sz w:val="21"/>
          <w:szCs w:val="16"/>
        </w:rPr>
        <w:instrText xml:space="preserve"> SEQ 图 \* ARABIC </w:instrText>
      </w:r>
      <w:r>
        <w:rPr>
          <w:rFonts w:hint="eastAsia" w:ascii="黑体" w:hAnsi="黑体" w:eastAsia="黑体" w:cs="黑体"/>
          <w:color w:val="000000"/>
          <w:sz w:val="21"/>
          <w:szCs w:val="16"/>
        </w:rPr>
        <w:fldChar w:fldCharType="separate"/>
      </w:r>
      <w:r>
        <w:rPr>
          <w:rFonts w:ascii="黑体" w:hAnsi="黑体" w:eastAsia="黑体" w:cs="黑体"/>
          <w:color w:val="000000"/>
          <w:sz w:val="21"/>
          <w:szCs w:val="16"/>
        </w:rPr>
        <w:t>9</w:t>
      </w:r>
      <w:r>
        <w:rPr>
          <w:rFonts w:hint="eastAsia" w:ascii="黑体" w:hAnsi="黑体" w:eastAsia="黑体" w:cs="黑体"/>
          <w:color w:val="000000"/>
          <w:sz w:val="21"/>
          <w:szCs w:val="16"/>
        </w:rPr>
        <w:fldChar w:fldCharType="end"/>
      </w:r>
      <w:r>
        <w:rPr>
          <w:rFonts w:hint="eastAsia" w:ascii="黑体" w:hAnsi="黑体" w:eastAsia="黑体" w:cs="黑体"/>
          <w:color w:val="000000"/>
          <w:sz w:val="21"/>
          <w:szCs w:val="16"/>
        </w:rPr>
        <w:t xml:space="preserve">  110kV单回线路工频电场强度、、</w:t>
      </w:r>
      <w:r>
        <w:rPr>
          <w:rFonts w:hint="eastAsia" w:ascii="黑体" w:hAnsi="黑体" w:eastAsia="黑体" w:cs="黑体"/>
          <w:color w:val="000000"/>
          <w:sz w:val="21"/>
          <w:szCs w:val="21"/>
        </w:rPr>
        <w:t>工频磁感应强度</w:t>
      </w:r>
      <w:r>
        <w:rPr>
          <w:rFonts w:hint="eastAsia" w:ascii="黑体" w:hAnsi="黑体" w:eastAsia="黑体" w:cs="黑体"/>
          <w:color w:val="000000"/>
          <w:sz w:val="21"/>
          <w:szCs w:val="16"/>
        </w:rPr>
        <w:t>空间分布图（非居民区）</w:t>
      </w:r>
    </w:p>
    <w:p>
      <w:pPr>
        <w:pStyle w:val="2"/>
        <w:spacing w:before="156" w:beforeLines="50" w:after="0"/>
        <w:ind w:left="0" w:leftChars="0" w:firstLine="0"/>
        <w:jc w:val="center"/>
        <w:rPr>
          <w:rFonts w:eastAsia="黑体"/>
          <w:b/>
          <w:bCs/>
          <w:color w:val="000000"/>
          <w:sz w:val="21"/>
          <w:szCs w:val="16"/>
        </w:rPr>
      </w:pPr>
      <w:r>
        <w:drawing>
          <wp:inline distT="0" distB="0" distL="0" distR="0">
            <wp:extent cx="4572000" cy="2743200"/>
            <wp:effectExtent l="0" t="0" r="0" b="0"/>
            <wp:docPr id="660600665" name="图表 6606006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pPr>
        <w:pStyle w:val="3"/>
      </w:pPr>
    </w:p>
    <w:p>
      <w:pPr>
        <w:pStyle w:val="3"/>
        <w:ind w:left="0" w:leftChars="0"/>
        <w:jc w:val="center"/>
      </w:pPr>
      <w:r>
        <w:drawing>
          <wp:inline distT="0" distB="0" distL="0" distR="0">
            <wp:extent cx="4572000" cy="2743200"/>
            <wp:effectExtent l="0" t="0" r="0" b="0"/>
            <wp:docPr id="660600668" name="图表 6606006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pPr>
        <w:pStyle w:val="2"/>
        <w:spacing w:before="156" w:beforeLines="50" w:after="0"/>
        <w:ind w:left="0" w:leftChars="0" w:firstLine="0"/>
        <w:jc w:val="center"/>
        <w:rPr>
          <w:rFonts w:hint="eastAsia" w:ascii="黑体" w:hAnsi="黑体" w:eastAsia="黑体" w:cs="黑体"/>
          <w:color w:val="000000"/>
          <w:sz w:val="18"/>
          <w:szCs w:val="13"/>
        </w:rPr>
      </w:pPr>
      <w:r>
        <w:rPr>
          <w:rFonts w:hint="eastAsia" w:ascii="黑体" w:hAnsi="黑体" w:eastAsia="黑体" w:cs="黑体"/>
          <w:color w:val="000000"/>
          <w:sz w:val="21"/>
          <w:szCs w:val="16"/>
        </w:rPr>
        <w:t>图</w:t>
      </w:r>
      <w:r>
        <w:rPr>
          <w:rFonts w:hint="eastAsia" w:ascii="黑体" w:hAnsi="黑体" w:eastAsia="黑体" w:cs="黑体"/>
          <w:color w:val="000000"/>
          <w:sz w:val="21"/>
          <w:szCs w:val="16"/>
        </w:rPr>
        <w:fldChar w:fldCharType="begin"/>
      </w:r>
      <w:r>
        <w:rPr>
          <w:rFonts w:hint="eastAsia" w:ascii="黑体" w:hAnsi="黑体" w:eastAsia="黑体" w:cs="黑体"/>
          <w:color w:val="000000"/>
          <w:sz w:val="21"/>
          <w:szCs w:val="16"/>
        </w:rPr>
        <w:instrText xml:space="preserve"> SEQ 图 \* ARABIC </w:instrText>
      </w:r>
      <w:r>
        <w:rPr>
          <w:rFonts w:hint="eastAsia" w:ascii="黑体" w:hAnsi="黑体" w:eastAsia="黑体" w:cs="黑体"/>
          <w:color w:val="000000"/>
          <w:sz w:val="21"/>
          <w:szCs w:val="16"/>
        </w:rPr>
        <w:fldChar w:fldCharType="separate"/>
      </w:r>
      <w:r>
        <w:rPr>
          <w:rFonts w:ascii="黑体" w:hAnsi="黑体" w:eastAsia="黑体" w:cs="黑体"/>
          <w:color w:val="000000"/>
          <w:sz w:val="21"/>
          <w:szCs w:val="16"/>
        </w:rPr>
        <w:t>10</w:t>
      </w:r>
      <w:r>
        <w:rPr>
          <w:rFonts w:hint="eastAsia" w:ascii="黑体" w:hAnsi="黑体" w:eastAsia="黑体" w:cs="黑体"/>
          <w:color w:val="000000"/>
          <w:sz w:val="21"/>
          <w:szCs w:val="16"/>
        </w:rPr>
        <w:fldChar w:fldCharType="end"/>
      </w:r>
      <w:r>
        <w:rPr>
          <w:rFonts w:hint="eastAsia" w:ascii="黑体" w:hAnsi="黑体" w:eastAsia="黑体" w:cs="黑体"/>
          <w:color w:val="000000"/>
          <w:sz w:val="21"/>
          <w:szCs w:val="16"/>
        </w:rPr>
        <w:t xml:space="preserve">  110kV单回线路工频电场强度、工频磁感应强度预测结果（居民区）</w:t>
      </w:r>
    </w:p>
    <w:p>
      <w:pPr>
        <w:pStyle w:val="2"/>
        <w:spacing w:before="156" w:beforeLines="50" w:after="0"/>
        <w:ind w:left="0" w:leftChars="0" w:firstLine="0"/>
        <w:jc w:val="center"/>
        <w:rPr>
          <w:rFonts w:eastAsia="黑体"/>
          <w:b/>
          <w:bCs/>
          <w:color w:val="000000"/>
          <w:sz w:val="21"/>
          <w:szCs w:val="16"/>
        </w:rPr>
      </w:pPr>
      <w:r>
        <w:rPr>
          <w:rFonts w:eastAsia="黑体"/>
          <w:b/>
          <w:bCs/>
          <w:color w:val="000000"/>
          <w:sz w:val="21"/>
          <w:szCs w:val="16"/>
        </w:rPr>
        <w:drawing>
          <wp:inline distT="0" distB="0" distL="0" distR="0">
            <wp:extent cx="5759450" cy="4001135"/>
            <wp:effectExtent l="0" t="0" r="0" b="0"/>
            <wp:docPr id="660600663" name="图片 660600663" descr="E:\9、新疆\1、环评\2025年环评\2、吐鲁番东环110千伏输变电工程\报告\电磁预测\单回\电场分布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00663" name="图片 660600663" descr="E:\9、新疆\1、环评\2025年环评\2、吐鲁番东环110千伏输变电工程\报告\电磁预测\单回\电场分布图.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a:xfrm>
                      <a:off x="0" y="0"/>
                      <a:ext cx="5759450" cy="4001218"/>
                    </a:xfrm>
                    <a:prstGeom prst="rect">
                      <a:avLst/>
                    </a:prstGeom>
                    <a:noFill/>
                    <a:ln>
                      <a:noFill/>
                    </a:ln>
                  </pic:spPr>
                </pic:pic>
              </a:graphicData>
            </a:graphic>
          </wp:inline>
        </w:drawing>
      </w:r>
      <w:r>
        <w:rPr>
          <w:rFonts w:eastAsia="Times New Roman"/>
          <w:snapToGrid w:val="0"/>
          <w:color w:val="000000"/>
          <w:w w:val="0"/>
          <w:sz w:val="0"/>
          <w:szCs w:val="0"/>
          <w:u w:color="000000"/>
          <w:shd w:val="clear" w:color="000000" w:fill="000000"/>
          <w:lang w:val="zh-CN" w:bidi="zh-CN"/>
        </w:rPr>
        <w:t xml:space="preserve"> </w:t>
      </w:r>
      <w:r>
        <w:rPr>
          <w:rFonts w:eastAsia="黑体"/>
          <w:b/>
          <w:bCs/>
          <w:color w:val="000000"/>
          <w:sz w:val="21"/>
          <w:szCs w:val="16"/>
        </w:rPr>
        <w:drawing>
          <wp:inline distT="0" distB="0" distL="0" distR="0">
            <wp:extent cx="5759450" cy="4001135"/>
            <wp:effectExtent l="0" t="0" r="0" b="0"/>
            <wp:docPr id="660600664" name="图片 660600664" descr="E:\9、新疆\1、环评\2025年环评\2、吐鲁番东环110千伏输变电工程\报告\电磁预测\单回\磁场分布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00664" name="图片 660600664" descr="E:\9、新疆\1、环评\2025年环评\2、吐鲁番东环110千伏输变电工程\报告\电磁预测\单回\磁场分布图.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a:xfrm>
                      <a:off x="0" y="0"/>
                      <a:ext cx="5759450" cy="4001218"/>
                    </a:xfrm>
                    <a:prstGeom prst="rect">
                      <a:avLst/>
                    </a:prstGeom>
                    <a:noFill/>
                    <a:ln>
                      <a:noFill/>
                    </a:ln>
                  </pic:spPr>
                </pic:pic>
              </a:graphicData>
            </a:graphic>
          </wp:inline>
        </w:drawing>
      </w:r>
    </w:p>
    <w:p>
      <w:pPr>
        <w:pStyle w:val="2"/>
        <w:spacing w:before="156" w:beforeLines="50" w:after="0"/>
        <w:ind w:left="0" w:leftChars="0" w:firstLine="0"/>
        <w:jc w:val="center"/>
        <w:rPr>
          <w:rFonts w:hint="eastAsia" w:ascii="黑体" w:hAnsi="黑体" w:eastAsia="黑体" w:cs="黑体"/>
          <w:color w:val="000000"/>
          <w:sz w:val="21"/>
          <w:szCs w:val="21"/>
        </w:rPr>
      </w:pPr>
      <w:bookmarkStart w:id="868" w:name="_Ref15915"/>
      <w:r>
        <w:rPr>
          <w:rFonts w:hint="eastAsia" w:ascii="黑体" w:hAnsi="黑体" w:eastAsia="黑体" w:cs="黑体"/>
          <w:color w:val="000000"/>
          <w:sz w:val="21"/>
          <w:szCs w:val="21"/>
        </w:rPr>
        <w:t>图</w:t>
      </w:r>
      <w:r>
        <w:rPr>
          <w:rFonts w:hint="eastAsia" w:ascii="黑体" w:hAnsi="黑体" w:eastAsia="黑体" w:cs="黑体"/>
          <w:color w:val="000000"/>
          <w:sz w:val="21"/>
          <w:szCs w:val="21"/>
        </w:rPr>
        <w:fldChar w:fldCharType="begin"/>
      </w:r>
      <w:r>
        <w:rPr>
          <w:rFonts w:hint="eastAsia" w:ascii="黑体" w:hAnsi="黑体" w:eastAsia="黑体" w:cs="黑体"/>
          <w:color w:val="000000"/>
          <w:sz w:val="21"/>
          <w:szCs w:val="21"/>
        </w:rPr>
        <w:instrText xml:space="preserve"> SEQ 图 \* ARABIC </w:instrText>
      </w:r>
      <w:r>
        <w:rPr>
          <w:rFonts w:hint="eastAsia" w:ascii="黑体" w:hAnsi="黑体" w:eastAsia="黑体" w:cs="黑体"/>
          <w:color w:val="000000"/>
          <w:sz w:val="21"/>
          <w:szCs w:val="21"/>
        </w:rPr>
        <w:fldChar w:fldCharType="separate"/>
      </w:r>
      <w:r>
        <w:rPr>
          <w:rFonts w:ascii="黑体" w:hAnsi="黑体" w:eastAsia="黑体" w:cs="黑体"/>
          <w:color w:val="000000"/>
          <w:sz w:val="21"/>
          <w:szCs w:val="21"/>
        </w:rPr>
        <w:t>11</w:t>
      </w:r>
      <w:r>
        <w:rPr>
          <w:rFonts w:hint="eastAsia" w:ascii="黑体" w:hAnsi="黑体" w:eastAsia="黑体" w:cs="黑体"/>
          <w:color w:val="000000"/>
          <w:sz w:val="21"/>
          <w:szCs w:val="21"/>
        </w:rPr>
        <w:fldChar w:fldCharType="end"/>
      </w:r>
      <w:bookmarkEnd w:id="868"/>
      <w:r>
        <w:rPr>
          <w:rFonts w:hint="eastAsia" w:ascii="黑体" w:hAnsi="黑体" w:eastAsia="黑体" w:cs="黑体"/>
          <w:color w:val="000000"/>
          <w:sz w:val="21"/>
          <w:szCs w:val="21"/>
        </w:rPr>
        <w:t xml:space="preserve">  110kV单回线路</w:t>
      </w:r>
      <w:r>
        <w:rPr>
          <w:rFonts w:hint="eastAsia" w:ascii="黑体" w:hAnsi="黑体" w:eastAsia="黑体" w:cs="黑体"/>
          <w:color w:val="000000"/>
          <w:sz w:val="21"/>
          <w:szCs w:val="16"/>
        </w:rPr>
        <w:t>工频电场强度、</w:t>
      </w:r>
      <w:r>
        <w:rPr>
          <w:rFonts w:hint="eastAsia" w:ascii="黑体" w:hAnsi="黑体" w:eastAsia="黑体" w:cs="黑体"/>
          <w:color w:val="000000"/>
          <w:sz w:val="21"/>
          <w:szCs w:val="21"/>
        </w:rPr>
        <w:t>工频磁感应强度空间分布图（居民区）</w:t>
      </w:r>
    </w:p>
    <w:p>
      <w:pPr>
        <w:spacing w:before="156" w:beforeLines="50" w:line="360" w:lineRule="auto"/>
        <w:ind w:firstLine="480" w:firstLineChars="200"/>
        <w:rPr>
          <w:color w:val="000000"/>
          <w:sz w:val="24"/>
          <w:szCs w:val="20"/>
        </w:rPr>
      </w:pPr>
      <w:r>
        <w:rPr>
          <w:rFonts w:hint="eastAsia"/>
          <w:color w:val="000000"/>
          <w:sz w:val="24"/>
          <w:szCs w:val="20"/>
        </w:rPr>
        <w:t>（2）1</w:t>
      </w:r>
      <w:r>
        <w:rPr>
          <w:color w:val="000000"/>
          <w:sz w:val="24"/>
          <w:szCs w:val="20"/>
        </w:rPr>
        <w:t>10kV</w:t>
      </w:r>
      <w:r>
        <w:rPr>
          <w:rFonts w:hint="eastAsia"/>
          <w:color w:val="000000"/>
          <w:sz w:val="24"/>
          <w:szCs w:val="20"/>
        </w:rPr>
        <w:t>同塔双回线路架设段</w:t>
      </w:r>
    </w:p>
    <w:p>
      <w:pPr>
        <w:spacing w:line="360" w:lineRule="auto"/>
        <w:ind w:firstLine="480" w:firstLineChars="200"/>
        <w:rPr>
          <w:rFonts w:hint="eastAsia" w:ascii="黑体" w:hAnsi="黑体"/>
          <w:color w:val="000000"/>
          <w:sz w:val="24"/>
          <w:szCs w:val="21"/>
        </w:rPr>
      </w:pPr>
      <w:r>
        <w:rPr>
          <w:rFonts w:hint="eastAsia"/>
          <w:color w:val="000000"/>
          <w:sz w:val="24"/>
          <w:szCs w:val="20"/>
        </w:rPr>
        <w:t>1</w:t>
      </w:r>
      <w:r>
        <w:rPr>
          <w:color w:val="000000"/>
          <w:sz w:val="24"/>
          <w:szCs w:val="20"/>
        </w:rPr>
        <w:t>10kV</w:t>
      </w:r>
      <w:r>
        <w:rPr>
          <w:rFonts w:hint="eastAsia"/>
          <w:color w:val="000000"/>
          <w:sz w:val="24"/>
          <w:szCs w:val="20"/>
        </w:rPr>
        <w:t>同塔双回</w:t>
      </w:r>
      <w:r>
        <w:rPr>
          <w:rFonts w:hint="eastAsia"/>
          <w:color w:val="000000" w:themeColor="text1"/>
          <w:sz w:val="24"/>
          <w:szCs w:val="20"/>
          <w14:textFill>
            <w14:solidFill>
              <w14:schemeClr w14:val="tx1"/>
            </w14:solidFill>
          </w14:textFill>
        </w:rPr>
        <w:t>线路架设段最低线高下的工频电场及工频磁场预测计算见</w:t>
      </w:r>
      <w:r>
        <w:rPr>
          <w:rFonts w:hint="eastAsia"/>
          <w:color w:val="000000" w:themeColor="text1"/>
          <w:sz w:val="24"/>
          <w:szCs w:val="20"/>
          <w14:textFill>
            <w14:solidFill>
              <w14:schemeClr w14:val="tx1"/>
            </w14:solidFill>
          </w14:textFill>
        </w:rPr>
        <w:fldChar w:fldCharType="begin"/>
      </w:r>
      <w:r>
        <w:rPr>
          <w:rFonts w:hint="eastAsia"/>
          <w:color w:val="000000" w:themeColor="text1"/>
          <w:sz w:val="24"/>
          <w:szCs w:val="20"/>
          <w14:textFill>
            <w14:solidFill>
              <w14:schemeClr w14:val="tx1"/>
            </w14:solidFill>
          </w14:textFill>
        </w:rPr>
        <w:instrText xml:space="preserve"> REF _Ref15796 \h </w:instrText>
      </w:r>
      <w:r>
        <w:rPr>
          <w:color w:val="000000" w:themeColor="text1"/>
          <w:sz w:val="24"/>
          <w:szCs w:val="20"/>
          <w14:textFill>
            <w14:solidFill>
              <w14:schemeClr w14:val="tx1"/>
            </w14:solidFill>
          </w14:textFill>
        </w:rPr>
        <w:instrText xml:space="preserve"> \* MERGEFORMAT </w:instrText>
      </w:r>
      <w:r>
        <w:rPr>
          <w:rFonts w:hint="eastAsia"/>
          <w:color w:val="000000" w:themeColor="text1"/>
          <w:sz w:val="24"/>
          <w:szCs w:val="20"/>
          <w14:textFill>
            <w14:solidFill>
              <w14:schemeClr w14:val="tx1"/>
            </w14:solidFill>
          </w14:textFill>
        </w:rPr>
        <w:fldChar w:fldCharType="separate"/>
      </w:r>
      <w:r>
        <w:rPr>
          <w:rFonts w:hint="eastAsia"/>
          <w:color w:val="000000" w:themeColor="text1"/>
          <w:sz w:val="24"/>
          <w:szCs w:val="20"/>
          <w14:textFill>
            <w14:solidFill>
              <w14:schemeClr w14:val="tx1"/>
            </w14:solidFill>
          </w14:textFill>
        </w:rPr>
        <w:t xml:space="preserve">表 </w:t>
      </w:r>
      <w:r>
        <w:rPr>
          <w:color w:val="000000" w:themeColor="text1"/>
          <w:sz w:val="24"/>
          <w:szCs w:val="20"/>
          <w14:textFill>
            <w14:solidFill>
              <w14:schemeClr w14:val="tx1"/>
            </w14:solidFill>
          </w14:textFill>
        </w:rPr>
        <w:t>37</w:t>
      </w:r>
      <w:r>
        <w:rPr>
          <w:rFonts w:hint="eastAsia"/>
          <w:color w:val="000000" w:themeColor="text1"/>
          <w:sz w:val="24"/>
          <w:szCs w:val="20"/>
          <w14:textFill>
            <w14:solidFill>
              <w14:schemeClr w14:val="tx1"/>
            </w14:solidFill>
          </w14:textFill>
        </w:rPr>
        <w:fldChar w:fldCharType="end"/>
      </w:r>
      <w:r>
        <w:rPr>
          <w:rFonts w:hint="eastAsia"/>
          <w:color w:val="000000" w:themeColor="text1"/>
          <w:sz w:val="24"/>
          <w:szCs w:val="20"/>
          <w14:textFill>
            <w14:solidFill>
              <w14:schemeClr w14:val="tx1"/>
            </w14:solidFill>
          </w14:textFill>
        </w:rPr>
        <w:t>，相应变化趋势见</w:t>
      </w:r>
      <w:r>
        <w:rPr>
          <w:rFonts w:hint="eastAsia"/>
          <w:color w:val="000000" w:themeColor="text1"/>
          <w:sz w:val="24"/>
          <w:szCs w:val="20"/>
          <w14:textFill>
            <w14:solidFill>
              <w14:schemeClr w14:val="tx1"/>
            </w14:solidFill>
          </w14:textFill>
        </w:rPr>
        <w:fldChar w:fldCharType="begin"/>
      </w:r>
      <w:r>
        <w:rPr>
          <w:rFonts w:hint="eastAsia"/>
          <w:color w:val="000000" w:themeColor="text1"/>
          <w:sz w:val="24"/>
          <w:szCs w:val="20"/>
          <w14:textFill>
            <w14:solidFill>
              <w14:schemeClr w14:val="tx1"/>
            </w14:solidFill>
          </w14:textFill>
        </w:rPr>
        <w:instrText xml:space="preserve"> REF _Ref3092 \h </w:instrText>
      </w:r>
      <w:r>
        <w:rPr>
          <w:color w:val="000000" w:themeColor="text1"/>
          <w:sz w:val="24"/>
          <w:szCs w:val="20"/>
          <w14:textFill>
            <w14:solidFill>
              <w14:schemeClr w14:val="tx1"/>
            </w14:solidFill>
          </w14:textFill>
        </w:rPr>
        <w:instrText xml:space="preserve"> \* MERGEFORMAT </w:instrText>
      </w:r>
      <w:r>
        <w:rPr>
          <w:rFonts w:hint="eastAsia"/>
          <w:color w:val="000000" w:themeColor="text1"/>
          <w:sz w:val="24"/>
          <w:szCs w:val="20"/>
          <w14:textFill>
            <w14:solidFill>
              <w14:schemeClr w14:val="tx1"/>
            </w14:solidFill>
          </w14:textFill>
        </w:rPr>
        <w:fldChar w:fldCharType="separate"/>
      </w:r>
      <w:r>
        <w:rPr>
          <w:rFonts w:hint="eastAsia"/>
          <w:color w:val="000000" w:themeColor="text1"/>
          <w:sz w:val="24"/>
          <w:szCs w:val="20"/>
          <w14:textFill>
            <w14:solidFill>
              <w14:schemeClr w14:val="tx1"/>
            </w14:solidFill>
          </w14:textFill>
        </w:rPr>
        <w:t>图</w:t>
      </w:r>
      <w:r>
        <w:rPr>
          <w:color w:val="000000" w:themeColor="text1"/>
          <w:sz w:val="24"/>
          <w:szCs w:val="20"/>
          <w14:textFill>
            <w14:solidFill>
              <w14:schemeClr w14:val="tx1"/>
            </w14:solidFill>
          </w14:textFill>
        </w:rPr>
        <w:t>12</w:t>
      </w:r>
      <w:r>
        <w:rPr>
          <w:rFonts w:hint="eastAsia"/>
          <w:color w:val="000000" w:themeColor="text1"/>
          <w:sz w:val="24"/>
          <w:szCs w:val="20"/>
          <w14:textFill>
            <w14:solidFill>
              <w14:schemeClr w14:val="tx1"/>
            </w14:solidFill>
          </w14:textFill>
        </w:rPr>
        <w:fldChar w:fldCharType="end"/>
      </w:r>
      <w:r>
        <w:rPr>
          <w:rFonts w:hint="eastAsia"/>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fldChar w:fldCharType="begin"/>
      </w:r>
      <w:r>
        <w:rPr>
          <w:rFonts w:hint="eastAsia"/>
          <w:color w:val="000000" w:themeColor="text1"/>
          <w:sz w:val="24"/>
          <w:szCs w:val="20"/>
          <w14:textFill>
            <w14:solidFill>
              <w14:schemeClr w14:val="tx1"/>
            </w14:solidFill>
          </w14:textFill>
        </w:rPr>
        <w:instrText xml:space="preserve"> REF _Ref80695619 \h </w:instrText>
      </w:r>
      <w:r>
        <w:rPr>
          <w:color w:val="000000" w:themeColor="text1"/>
          <w:sz w:val="24"/>
          <w:szCs w:val="20"/>
          <w14:textFill>
            <w14:solidFill>
              <w14:schemeClr w14:val="tx1"/>
            </w14:solidFill>
          </w14:textFill>
        </w:rPr>
        <w:instrText xml:space="preserve"> \* MERGEFORMAT </w:instrText>
      </w:r>
      <w:r>
        <w:rPr>
          <w:rFonts w:hint="eastAsia"/>
          <w:color w:val="000000" w:themeColor="text1"/>
          <w:sz w:val="24"/>
          <w:szCs w:val="20"/>
          <w14:textFill>
            <w14:solidFill>
              <w14:schemeClr w14:val="tx1"/>
            </w14:solidFill>
          </w14:textFill>
        </w:rPr>
        <w:fldChar w:fldCharType="separate"/>
      </w:r>
      <w:r>
        <w:rPr>
          <w:rFonts w:hint="eastAsia"/>
          <w:color w:val="000000" w:themeColor="text1"/>
          <w:sz w:val="24"/>
          <w:szCs w:val="20"/>
          <w14:textFill>
            <w14:solidFill>
              <w14:schemeClr w14:val="tx1"/>
            </w14:solidFill>
          </w14:textFill>
        </w:rPr>
        <w:t>图</w:t>
      </w:r>
      <w:r>
        <w:rPr>
          <w:color w:val="000000" w:themeColor="text1"/>
          <w:sz w:val="24"/>
          <w:szCs w:val="20"/>
          <w14:textFill>
            <w14:solidFill>
              <w14:schemeClr w14:val="tx1"/>
            </w14:solidFill>
          </w14:textFill>
        </w:rPr>
        <w:t>13</w:t>
      </w:r>
      <w:r>
        <w:rPr>
          <w:rFonts w:hint="eastAsia"/>
          <w:color w:val="000000" w:themeColor="text1"/>
          <w:sz w:val="24"/>
          <w:szCs w:val="20"/>
          <w14:textFill>
            <w14:solidFill>
              <w14:schemeClr w14:val="tx1"/>
            </w14:solidFill>
          </w14:textFill>
        </w:rPr>
        <w:fldChar w:fldCharType="end"/>
      </w:r>
      <w:r>
        <w:rPr>
          <w:rFonts w:hint="eastAsia"/>
          <w:color w:val="000000" w:themeColor="text1"/>
          <w:sz w:val="24"/>
          <w:szCs w:val="20"/>
          <w14:textFill>
            <w14:solidFill>
              <w14:schemeClr w14:val="tx1"/>
            </w14:solidFill>
          </w14:textFill>
        </w:rPr>
        <w:t>。</w:t>
      </w:r>
    </w:p>
    <w:p>
      <w:pPr>
        <w:adjustRightInd w:val="0"/>
        <w:snapToGrid w:val="0"/>
        <w:jc w:val="left"/>
        <w:rPr>
          <w:rFonts w:eastAsia="黑体"/>
          <w:b/>
          <w:bCs/>
          <w:color w:val="000000"/>
          <w:szCs w:val="20"/>
        </w:rPr>
      </w:pPr>
      <w:bookmarkStart w:id="869" w:name="_Ref15796"/>
      <w:bookmarkStart w:id="870" w:name="_Ref388276926"/>
      <w:r>
        <w:rPr>
          <w:rFonts w:hint="eastAsia" w:ascii="黑体" w:hAnsi="黑体" w:eastAsia="黑体" w:cs="黑体"/>
          <w:bCs/>
        </w:rPr>
        <w:t xml:space="preserve">表 </w:t>
      </w:r>
      <w:r>
        <w:rPr>
          <w:rFonts w:hint="eastAsia" w:ascii="黑体" w:hAnsi="黑体" w:eastAsia="黑体" w:cs="黑体"/>
          <w:bCs/>
        </w:rPr>
        <w:fldChar w:fldCharType="begin"/>
      </w:r>
      <w:r>
        <w:rPr>
          <w:rFonts w:hint="eastAsia" w:ascii="黑体" w:hAnsi="黑体" w:eastAsia="黑体" w:cs="黑体"/>
          <w:bCs/>
        </w:rPr>
        <w:instrText xml:space="preserve"> SEQ 表 \* ARABIC </w:instrText>
      </w:r>
      <w:r>
        <w:rPr>
          <w:rFonts w:hint="eastAsia" w:ascii="黑体" w:hAnsi="黑体" w:eastAsia="黑体" w:cs="黑体"/>
          <w:bCs/>
        </w:rPr>
        <w:fldChar w:fldCharType="separate"/>
      </w:r>
      <w:r>
        <w:rPr>
          <w:rFonts w:ascii="黑体" w:hAnsi="黑体" w:eastAsia="黑体" w:cs="黑体"/>
          <w:bCs/>
        </w:rPr>
        <w:t>37</w:t>
      </w:r>
      <w:r>
        <w:rPr>
          <w:rFonts w:hint="eastAsia" w:ascii="黑体" w:hAnsi="黑体" w:eastAsia="黑体" w:cs="黑体"/>
          <w:bCs/>
        </w:rPr>
        <w:fldChar w:fldCharType="end"/>
      </w:r>
      <w:bookmarkEnd w:id="869"/>
      <w:r>
        <w:rPr>
          <w:rFonts w:hint="eastAsia" w:ascii="黑体" w:hAnsi="黑体" w:eastAsia="黑体" w:cs="黑体"/>
          <w:bCs/>
        </w:rPr>
        <w:t xml:space="preserve"> </w:t>
      </w:r>
      <w:r>
        <w:rPr>
          <w:rFonts w:hint="eastAsia" w:ascii="黑体" w:hAnsi="黑体" w:eastAsia="黑体" w:cs="黑体"/>
          <w:bCs/>
          <w:color w:val="000000"/>
          <w:szCs w:val="21"/>
        </w:rPr>
        <w:t xml:space="preserve">             </w:t>
      </w:r>
      <w:r>
        <w:rPr>
          <w:rFonts w:hint="eastAsia" w:ascii="黑体" w:hAnsi="黑体" w:eastAsia="黑体" w:cs="黑体"/>
          <w:bCs/>
          <w:color w:val="000000"/>
          <w:szCs w:val="20"/>
        </w:rPr>
        <w:t xml:space="preserve">110kV双回线路工频电场强度、工频磁感应强度预测结果 </w:t>
      </w:r>
      <w:r>
        <w:rPr>
          <w:rFonts w:eastAsia="黑体"/>
          <w:b/>
          <w:bCs/>
          <w:color w:val="000000"/>
          <w:szCs w:val="20"/>
        </w:rPr>
        <w:t xml:space="preserve"> </w:t>
      </w:r>
    </w:p>
    <w:tbl>
      <w:tblPr>
        <w:tblStyle w:val="43"/>
        <w:tblW w:w="90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82"/>
        <w:gridCol w:w="2941"/>
        <w:gridCol w:w="2133"/>
        <w:gridCol w:w="215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8" w:hRule="atLeast"/>
          <w:jc w:val="center"/>
        </w:trPr>
        <w:tc>
          <w:tcPr>
            <w:tcW w:w="4723" w:type="dxa"/>
            <w:gridSpan w:val="2"/>
            <w:tcBorders>
              <w:top w:val="single" w:color="auto" w:sz="2" w:space="0"/>
              <w:left w:val="single" w:color="auto" w:sz="2" w:space="0"/>
              <w:bottom w:val="single" w:color="auto" w:sz="2" w:space="0"/>
              <w:right w:val="single" w:color="auto" w:sz="2" w:space="0"/>
              <w:tl2br w:val="single" w:color="auto" w:sz="2" w:space="0"/>
            </w:tcBorders>
            <w:noWrap/>
            <w:vAlign w:val="center"/>
          </w:tcPr>
          <w:p>
            <w:pPr>
              <w:jc w:val="center"/>
              <w:rPr>
                <w:color w:val="000000"/>
                <w:szCs w:val="21"/>
              </w:rPr>
            </w:pPr>
            <w:r>
              <w:rPr>
                <w:rFonts w:hint="eastAsia"/>
                <w:color w:val="000000"/>
                <w:szCs w:val="21"/>
                <w:lang w:bidi="ar"/>
              </w:rPr>
              <w:t>项目</w:t>
            </w:r>
          </w:p>
          <w:p>
            <w:pPr>
              <w:rPr>
                <w:color w:val="000000"/>
                <w:szCs w:val="21"/>
              </w:rPr>
            </w:pPr>
            <w:r>
              <w:rPr>
                <w:rFonts w:hint="eastAsia"/>
                <w:color w:val="000000"/>
                <w:szCs w:val="21"/>
              </w:rPr>
              <w:t>与线路关系</w:t>
            </w:r>
          </w:p>
        </w:tc>
        <w:tc>
          <w:tcPr>
            <w:tcW w:w="2133" w:type="dxa"/>
            <w:tcBorders>
              <w:top w:val="single" w:color="auto" w:sz="2" w:space="0"/>
              <w:left w:val="single" w:color="auto" w:sz="2" w:space="0"/>
              <w:bottom w:val="single" w:color="auto" w:sz="2" w:space="0"/>
              <w:right w:val="single" w:color="auto" w:sz="2" w:space="0"/>
            </w:tcBorders>
            <w:vAlign w:val="center"/>
          </w:tcPr>
          <w:p>
            <w:pPr>
              <w:jc w:val="center"/>
              <w:rPr>
                <w:b/>
                <w:color w:val="000000"/>
                <w:szCs w:val="21"/>
                <w:lang w:bidi="ar"/>
              </w:rPr>
            </w:pPr>
            <w:r>
              <w:rPr>
                <w:rFonts w:hint="eastAsia"/>
                <w:b/>
                <w:color w:val="000000"/>
                <w:szCs w:val="21"/>
              </w:rPr>
              <w:t>工频电场强度（</w:t>
            </w:r>
            <w:r>
              <w:rPr>
                <w:b/>
                <w:color w:val="000000"/>
                <w:szCs w:val="21"/>
              </w:rPr>
              <w:t>kV/m</w:t>
            </w:r>
            <w:r>
              <w:rPr>
                <w:rFonts w:hint="eastAsia"/>
                <w:b/>
                <w:color w:val="000000"/>
                <w:szCs w:val="21"/>
              </w:rPr>
              <w:t>）</w:t>
            </w:r>
          </w:p>
        </w:tc>
        <w:tc>
          <w:tcPr>
            <w:tcW w:w="2158" w:type="dxa"/>
            <w:tcBorders>
              <w:top w:val="single" w:color="auto" w:sz="2" w:space="0"/>
              <w:left w:val="single" w:color="auto" w:sz="2" w:space="0"/>
              <w:bottom w:val="single" w:color="auto" w:sz="2" w:space="0"/>
              <w:right w:val="single" w:color="auto" w:sz="4" w:space="0"/>
            </w:tcBorders>
            <w:vAlign w:val="center"/>
          </w:tcPr>
          <w:p>
            <w:pPr>
              <w:jc w:val="center"/>
              <w:rPr>
                <w:b/>
                <w:color w:val="000000"/>
                <w:szCs w:val="21"/>
              </w:rPr>
            </w:pPr>
            <w:r>
              <w:rPr>
                <w:rFonts w:hint="eastAsia"/>
                <w:b/>
                <w:color w:val="000000"/>
                <w:szCs w:val="21"/>
                <w:lang w:bidi="ar"/>
              </w:rPr>
              <w:t>工频磁感应强度（</w:t>
            </w:r>
            <w:r>
              <w:rPr>
                <w:b/>
                <w:color w:val="000000"/>
                <w:szCs w:val="21"/>
                <w:lang w:bidi="ar"/>
              </w:rPr>
              <w:t>μT</w:t>
            </w:r>
            <w:r>
              <w:rPr>
                <w:rFonts w:hint="eastAsia"/>
                <w:b/>
                <w:color w:val="000000"/>
                <w:szCs w:val="21"/>
                <w:lang w:bidi="ar"/>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5" w:hRule="atLeast"/>
          <w:jc w:val="center"/>
        </w:trPr>
        <w:tc>
          <w:tcPr>
            <w:tcW w:w="1782" w:type="dxa"/>
            <w:vMerge w:val="restart"/>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b/>
                <w:bCs/>
                <w:color w:val="000000"/>
                <w:kern w:val="0"/>
                <w:szCs w:val="21"/>
              </w:rPr>
              <w:t>距线路中心的距离</w:t>
            </w:r>
            <w:r>
              <w:rPr>
                <w:b/>
                <w:bCs/>
                <w:color w:val="000000"/>
                <w:kern w:val="0"/>
                <w:szCs w:val="21"/>
              </w:rPr>
              <w:t>(m)</w:t>
            </w:r>
          </w:p>
        </w:tc>
        <w:tc>
          <w:tcPr>
            <w:tcW w:w="2941" w:type="dxa"/>
            <w:vMerge w:val="restart"/>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b/>
                <w:bCs/>
                <w:color w:val="000000"/>
                <w:kern w:val="0"/>
                <w:szCs w:val="21"/>
              </w:rPr>
              <w:t>距边导线距离</w:t>
            </w:r>
            <w:r>
              <w:rPr>
                <w:b/>
                <w:bCs/>
                <w:color w:val="000000"/>
                <w:kern w:val="0"/>
                <w:szCs w:val="21"/>
              </w:rPr>
              <w:t>(m)</w:t>
            </w:r>
          </w:p>
        </w:tc>
        <w:tc>
          <w:tcPr>
            <w:tcW w:w="2133"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导线对地</w:t>
            </w:r>
            <w:r>
              <w:rPr>
                <w:color w:val="000000"/>
                <w:szCs w:val="21"/>
              </w:rPr>
              <w:t>6m</w:t>
            </w:r>
          </w:p>
        </w:tc>
        <w:tc>
          <w:tcPr>
            <w:tcW w:w="2158" w:type="dxa"/>
            <w:tcBorders>
              <w:top w:val="single" w:color="auto" w:sz="2" w:space="0"/>
              <w:left w:val="single" w:color="auto" w:sz="2" w:space="0"/>
              <w:bottom w:val="single" w:color="auto" w:sz="2" w:space="0"/>
              <w:right w:val="single" w:color="auto" w:sz="4" w:space="0"/>
            </w:tcBorders>
            <w:vAlign w:val="center"/>
          </w:tcPr>
          <w:p>
            <w:pPr>
              <w:jc w:val="center"/>
              <w:rPr>
                <w:color w:val="000000"/>
                <w:szCs w:val="21"/>
              </w:rPr>
            </w:pPr>
            <w:r>
              <w:rPr>
                <w:rFonts w:hint="eastAsia"/>
                <w:color w:val="000000"/>
                <w:szCs w:val="21"/>
              </w:rPr>
              <w:t>导线对地</w:t>
            </w:r>
            <w:r>
              <w:rPr>
                <w:color w:val="000000"/>
                <w:szCs w:val="21"/>
              </w:rPr>
              <w:t>6m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color w:val="000000"/>
                <w:szCs w:val="21"/>
              </w:rPr>
            </w:pPr>
          </w:p>
        </w:tc>
        <w:tc>
          <w:tcPr>
            <w:tcW w:w="2941"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color w:val="000000"/>
                <w:szCs w:val="21"/>
              </w:rPr>
            </w:pPr>
          </w:p>
        </w:tc>
        <w:tc>
          <w:tcPr>
            <w:tcW w:w="2133"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地面</w:t>
            </w:r>
            <w:r>
              <w:rPr>
                <w:color w:val="000000"/>
                <w:szCs w:val="21"/>
              </w:rPr>
              <w:t>1.5m</w:t>
            </w:r>
          </w:p>
        </w:tc>
        <w:tc>
          <w:tcPr>
            <w:tcW w:w="2158"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地面</w:t>
            </w:r>
            <w:r>
              <w:rPr>
                <w:color w:val="000000"/>
                <w:szCs w:val="21"/>
              </w:rPr>
              <w:t>1.5m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0.0</w:t>
            </w:r>
          </w:p>
        </w:tc>
        <w:tc>
          <w:tcPr>
            <w:tcW w:w="2941" w:type="dxa"/>
            <w:tcBorders>
              <w:top w:val="single" w:color="auto" w:sz="2" w:space="0"/>
              <w:left w:val="single" w:color="auto" w:sz="2" w:space="0"/>
              <w:bottom w:val="single" w:color="auto" w:sz="2" w:space="0"/>
              <w:right w:val="single" w:color="auto" w:sz="2" w:space="0"/>
            </w:tcBorders>
          </w:tcPr>
          <w:p>
            <w:pPr>
              <w:jc w:val="center"/>
              <w:rPr>
                <w:color w:val="000000"/>
                <w:szCs w:val="21"/>
              </w:rPr>
            </w:pPr>
            <w:r>
              <w:rPr>
                <w:rFonts w:hint="eastAsia"/>
                <w:color w:val="000000"/>
                <w:szCs w:val="21"/>
              </w:rPr>
              <w:t>线路中心</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2.49</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13.73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widowControl/>
              <w:jc w:val="center"/>
              <w:rPr>
                <w:rFonts w:eastAsia="等线"/>
                <w:color w:val="000000"/>
                <w:kern w:val="0"/>
                <w:szCs w:val="21"/>
              </w:rPr>
            </w:pPr>
            <w:r>
              <w:rPr>
                <w:rFonts w:hint="eastAsia"/>
                <w:color w:val="000000"/>
                <w:szCs w:val="21"/>
              </w:rPr>
              <w:t>1.0</w:t>
            </w:r>
          </w:p>
        </w:tc>
        <w:tc>
          <w:tcPr>
            <w:tcW w:w="2941" w:type="dxa"/>
            <w:tcBorders>
              <w:top w:val="single" w:color="auto" w:sz="2" w:space="0"/>
              <w:left w:val="single" w:color="auto" w:sz="2" w:space="0"/>
              <w:bottom w:val="single" w:color="auto" w:sz="2" w:space="0"/>
              <w:right w:val="single" w:color="auto" w:sz="2" w:space="0"/>
            </w:tcBorders>
          </w:tcPr>
          <w:p>
            <w:pPr>
              <w:jc w:val="center"/>
              <w:rPr>
                <w:color w:val="000000"/>
                <w:szCs w:val="21"/>
              </w:rPr>
            </w:pPr>
            <w:r>
              <w:rPr>
                <w:rFonts w:hint="eastAsia"/>
                <w:color w:val="000000"/>
                <w:szCs w:val="21"/>
              </w:rPr>
              <w:t>边导线内</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2.55</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14.45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2.0</w:t>
            </w:r>
          </w:p>
        </w:tc>
        <w:tc>
          <w:tcPr>
            <w:tcW w:w="2941" w:type="dxa"/>
            <w:tcBorders>
              <w:top w:val="single" w:color="auto" w:sz="2" w:space="0"/>
              <w:left w:val="single" w:color="auto" w:sz="2" w:space="0"/>
              <w:bottom w:val="single" w:color="auto" w:sz="2" w:space="0"/>
              <w:right w:val="single" w:color="auto" w:sz="2" w:space="0"/>
            </w:tcBorders>
          </w:tcPr>
          <w:p>
            <w:pPr>
              <w:jc w:val="center"/>
              <w:rPr>
                <w:color w:val="000000"/>
                <w:szCs w:val="21"/>
              </w:rPr>
            </w:pPr>
            <w:r>
              <w:rPr>
                <w:rFonts w:hint="eastAsia"/>
                <w:color w:val="000000"/>
                <w:szCs w:val="21"/>
              </w:rPr>
              <w:t>边导线内</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2.71</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16.33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3.0</w:t>
            </w:r>
          </w:p>
        </w:tc>
        <w:tc>
          <w:tcPr>
            <w:tcW w:w="2941" w:type="dxa"/>
            <w:tcBorders>
              <w:top w:val="single" w:color="auto" w:sz="2" w:space="0"/>
              <w:left w:val="single" w:color="auto" w:sz="2" w:space="0"/>
              <w:bottom w:val="single" w:color="auto" w:sz="2" w:space="0"/>
              <w:right w:val="single" w:color="auto" w:sz="2" w:space="0"/>
            </w:tcBorders>
          </w:tcPr>
          <w:p>
            <w:pPr>
              <w:jc w:val="center"/>
              <w:rPr>
                <w:color w:val="000000"/>
                <w:szCs w:val="21"/>
              </w:rPr>
            </w:pPr>
            <w:r>
              <w:rPr>
                <w:rFonts w:hint="eastAsia"/>
                <w:color w:val="000000"/>
                <w:szCs w:val="21"/>
              </w:rPr>
              <w:t>边导线内</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2.88</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18.72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4.0</w:t>
            </w:r>
          </w:p>
        </w:tc>
        <w:tc>
          <w:tcPr>
            <w:tcW w:w="2941" w:type="dxa"/>
            <w:tcBorders>
              <w:top w:val="single" w:color="auto" w:sz="2" w:space="0"/>
              <w:left w:val="single" w:color="auto" w:sz="2" w:space="0"/>
              <w:bottom w:val="single" w:color="auto" w:sz="2" w:space="0"/>
              <w:right w:val="single" w:color="auto" w:sz="2" w:space="0"/>
            </w:tcBorders>
          </w:tcPr>
          <w:p>
            <w:pPr>
              <w:jc w:val="center"/>
              <w:rPr>
                <w:color w:val="000000"/>
                <w:szCs w:val="21"/>
              </w:rPr>
            </w:pPr>
            <w:r>
              <w:rPr>
                <w:rFonts w:hint="eastAsia"/>
                <w:color w:val="000000"/>
                <w:szCs w:val="21"/>
              </w:rPr>
              <w:t>边导线内</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b/>
                <w:color w:val="000000"/>
                <w:szCs w:val="21"/>
              </w:rPr>
            </w:pPr>
            <w:r>
              <w:rPr>
                <w:rFonts w:hint="eastAsia"/>
                <w:b/>
                <w:color w:val="000000"/>
                <w:szCs w:val="21"/>
              </w:rPr>
              <w:t>2.97</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20.82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5.0</w:t>
            </w:r>
          </w:p>
        </w:tc>
        <w:tc>
          <w:tcPr>
            <w:tcW w:w="2941"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边导线下</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2.87</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b/>
                <w:color w:val="000000"/>
                <w:szCs w:val="21"/>
              </w:rPr>
            </w:pPr>
            <w:r>
              <w:rPr>
                <w:rFonts w:hint="eastAsia"/>
                <w:b/>
                <w:color w:val="000000"/>
                <w:szCs w:val="21"/>
              </w:rPr>
              <w:t>21.95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6.0</w:t>
            </w:r>
          </w:p>
        </w:tc>
        <w:tc>
          <w:tcPr>
            <w:tcW w:w="2941"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边导线外</w:t>
            </w:r>
            <w:r>
              <w:rPr>
                <w:color w:val="000000"/>
                <w:szCs w:val="21"/>
              </w:rPr>
              <w:t>1</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2.58</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21.85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7.0</w:t>
            </w:r>
          </w:p>
        </w:tc>
        <w:tc>
          <w:tcPr>
            <w:tcW w:w="2941"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边导线外</w:t>
            </w:r>
            <w:r>
              <w:rPr>
                <w:color w:val="000000"/>
                <w:szCs w:val="21"/>
              </w:rPr>
              <w:t>2</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2.18</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20.79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8.0</w:t>
            </w:r>
          </w:p>
        </w:tc>
        <w:tc>
          <w:tcPr>
            <w:tcW w:w="2941"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边导线外</w:t>
            </w:r>
            <w:r>
              <w:rPr>
                <w:color w:val="000000"/>
                <w:szCs w:val="21"/>
              </w:rPr>
              <w:t>3</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1.76</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19.20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9.0</w:t>
            </w:r>
          </w:p>
        </w:tc>
        <w:tc>
          <w:tcPr>
            <w:tcW w:w="2941"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边导线外</w:t>
            </w:r>
            <w:r>
              <w:rPr>
                <w:color w:val="000000"/>
                <w:szCs w:val="21"/>
              </w:rPr>
              <w:t>4</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1.36</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17.45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10.0</w:t>
            </w:r>
          </w:p>
        </w:tc>
        <w:tc>
          <w:tcPr>
            <w:tcW w:w="2941"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边导线外</w:t>
            </w:r>
            <w:r>
              <w:rPr>
                <w:color w:val="000000"/>
                <w:szCs w:val="21"/>
              </w:rPr>
              <w:t>5</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1.03</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15.75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11.0</w:t>
            </w:r>
          </w:p>
        </w:tc>
        <w:tc>
          <w:tcPr>
            <w:tcW w:w="2941"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边导线外</w:t>
            </w:r>
            <w:r>
              <w:rPr>
                <w:color w:val="000000"/>
                <w:szCs w:val="21"/>
              </w:rPr>
              <w:t>6</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0.76</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14.19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12.0</w:t>
            </w:r>
          </w:p>
        </w:tc>
        <w:tc>
          <w:tcPr>
            <w:tcW w:w="2941"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边导线外</w:t>
            </w:r>
            <w:r>
              <w:rPr>
                <w:color w:val="000000"/>
                <w:szCs w:val="21"/>
              </w:rPr>
              <w:t>7</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0.55</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12.80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13.0</w:t>
            </w:r>
          </w:p>
        </w:tc>
        <w:tc>
          <w:tcPr>
            <w:tcW w:w="2941"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边导线外</w:t>
            </w:r>
            <w:r>
              <w:rPr>
                <w:color w:val="000000"/>
                <w:szCs w:val="21"/>
              </w:rPr>
              <w:t>8</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0.39</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11.57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14.0</w:t>
            </w:r>
          </w:p>
        </w:tc>
        <w:tc>
          <w:tcPr>
            <w:tcW w:w="2941"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边导线外</w:t>
            </w:r>
            <w:r>
              <w:rPr>
                <w:color w:val="000000"/>
                <w:szCs w:val="21"/>
              </w:rPr>
              <w:t>9</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0.27</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10.49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15.0</w:t>
            </w:r>
          </w:p>
        </w:tc>
        <w:tc>
          <w:tcPr>
            <w:tcW w:w="2941"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边导线外</w:t>
            </w:r>
            <w:r>
              <w:rPr>
                <w:color w:val="000000"/>
                <w:szCs w:val="21"/>
              </w:rPr>
              <w:t>10</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0.19</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9.54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16.0</w:t>
            </w:r>
          </w:p>
        </w:tc>
        <w:tc>
          <w:tcPr>
            <w:tcW w:w="2941"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边导线外</w:t>
            </w:r>
            <w:r>
              <w:rPr>
                <w:color w:val="000000"/>
                <w:szCs w:val="21"/>
              </w:rPr>
              <w:t>11</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0.14</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8.70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17.0</w:t>
            </w:r>
          </w:p>
        </w:tc>
        <w:tc>
          <w:tcPr>
            <w:tcW w:w="2941"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边导线外</w:t>
            </w:r>
            <w:r>
              <w:rPr>
                <w:color w:val="000000"/>
                <w:szCs w:val="21"/>
              </w:rPr>
              <w:t>12</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0.12</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7.96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18.0</w:t>
            </w:r>
          </w:p>
        </w:tc>
        <w:tc>
          <w:tcPr>
            <w:tcW w:w="2941"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边导线外</w:t>
            </w:r>
            <w:r>
              <w:rPr>
                <w:color w:val="000000"/>
                <w:szCs w:val="21"/>
              </w:rPr>
              <w:t>13</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0.13</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7.31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19.0</w:t>
            </w:r>
          </w:p>
        </w:tc>
        <w:tc>
          <w:tcPr>
            <w:tcW w:w="2941"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边导线外</w:t>
            </w:r>
            <w:r>
              <w:rPr>
                <w:color w:val="000000"/>
                <w:szCs w:val="21"/>
              </w:rPr>
              <w:t>14</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0.14</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6.73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20.0</w:t>
            </w:r>
          </w:p>
        </w:tc>
        <w:tc>
          <w:tcPr>
            <w:tcW w:w="2941"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边导线外</w:t>
            </w:r>
            <w:r>
              <w:rPr>
                <w:color w:val="000000"/>
                <w:szCs w:val="21"/>
              </w:rPr>
              <w:t>15</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0.15</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6.21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21.0</w:t>
            </w:r>
          </w:p>
        </w:tc>
        <w:tc>
          <w:tcPr>
            <w:tcW w:w="2941"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边导线外</w:t>
            </w:r>
            <w:r>
              <w:rPr>
                <w:color w:val="000000"/>
                <w:szCs w:val="21"/>
              </w:rPr>
              <w:t>16</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0.17</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5.75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22.0</w:t>
            </w:r>
          </w:p>
        </w:tc>
        <w:tc>
          <w:tcPr>
            <w:tcW w:w="2941"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边导线外</w:t>
            </w:r>
            <w:r>
              <w:rPr>
                <w:color w:val="000000"/>
                <w:szCs w:val="21"/>
              </w:rPr>
              <w:t>17</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0.17</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5.33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23.0</w:t>
            </w:r>
          </w:p>
        </w:tc>
        <w:tc>
          <w:tcPr>
            <w:tcW w:w="2941"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边导线外</w:t>
            </w:r>
            <w:r>
              <w:rPr>
                <w:color w:val="000000"/>
                <w:szCs w:val="21"/>
              </w:rPr>
              <w:t>18</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0.18</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4.96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24.0</w:t>
            </w:r>
          </w:p>
        </w:tc>
        <w:tc>
          <w:tcPr>
            <w:tcW w:w="2941"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边导线外</w:t>
            </w:r>
            <w:r>
              <w:rPr>
                <w:color w:val="000000"/>
                <w:szCs w:val="21"/>
              </w:rPr>
              <w:t>19</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0.18</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4.62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25.0</w:t>
            </w:r>
          </w:p>
        </w:tc>
        <w:tc>
          <w:tcPr>
            <w:tcW w:w="2941"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边导线外</w:t>
            </w:r>
            <w:r>
              <w:rPr>
                <w:color w:val="000000"/>
                <w:szCs w:val="21"/>
              </w:rPr>
              <w:t>20</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0.19</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4.31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26.0</w:t>
            </w:r>
          </w:p>
        </w:tc>
        <w:tc>
          <w:tcPr>
            <w:tcW w:w="2941"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边导线外</w:t>
            </w:r>
            <w:r>
              <w:rPr>
                <w:color w:val="000000"/>
                <w:szCs w:val="21"/>
              </w:rPr>
              <w:t>21</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0.19</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4.03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27.0</w:t>
            </w:r>
          </w:p>
        </w:tc>
        <w:tc>
          <w:tcPr>
            <w:tcW w:w="2941"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边导线外</w:t>
            </w:r>
            <w:r>
              <w:rPr>
                <w:color w:val="000000"/>
                <w:szCs w:val="21"/>
              </w:rPr>
              <w:t>22</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0.19</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3.78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28.0</w:t>
            </w:r>
          </w:p>
        </w:tc>
        <w:tc>
          <w:tcPr>
            <w:tcW w:w="2941"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边导线外</w:t>
            </w:r>
            <w:r>
              <w:rPr>
                <w:color w:val="000000"/>
                <w:szCs w:val="21"/>
              </w:rPr>
              <w:t>23</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0.18</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3.55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29.0</w:t>
            </w:r>
          </w:p>
        </w:tc>
        <w:tc>
          <w:tcPr>
            <w:tcW w:w="2941"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边导线外</w:t>
            </w:r>
            <w:r>
              <w:rPr>
                <w:color w:val="000000"/>
                <w:szCs w:val="21"/>
              </w:rPr>
              <w:t>24</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0.18</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3.34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30.0</w:t>
            </w:r>
          </w:p>
        </w:tc>
        <w:tc>
          <w:tcPr>
            <w:tcW w:w="2941"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边导线外</w:t>
            </w:r>
            <w:r>
              <w:rPr>
                <w:color w:val="000000"/>
                <w:szCs w:val="21"/>
              </w:rPr>
              <w:t>25</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0.18</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3.14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31.0</w:t>
            </w:r>
          </w:p>
        </w:tc>
        <w:tc>
          <w:tcPr>
            <w:tcW w:w="2941"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边导线外</w:t>
            </w:r>
            <w:r>
              <w:rPr>
                <w:color w:val="000000"/>
                <w:szCs w:val="21"/>
              </w:rPr>
              <w:t>26</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0.18</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2.97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32.0</w:t>
            </w:r>
          </w:p>
        </w:tc>
        <w:tc>
          <w:tcPr>
            <w:tcW w:w="2941"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边导线外</w:t>
            </w:r>
            <w:r>
              <w:rPr>
                <w:color w:val="000000"/>
                <w:szCs w:val="21"/>
              </w:rPr>
              <w:t>27</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0.17</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2.80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33.0</w:t>
            </w:r>
          </w:p>
        </w:tc>
        <w:tc>
          <w:tcPr>
            <w:tcW w:w="2941"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边导线外</w:t>
            </w:r>
            <w:r>
              <w:rPr>
                <w:color w:val="000000"/>
                <w:szCs w:val="21"/>
              </w:rPr>
              <w:t>28</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0.17</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2.65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34.0</w:t>
            </w:r>
          </w:p>
        </w:tc>
        <w:tc>
          <w:tcPr>
            <w:tcW w:w="2941"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边导线外</w:t>
            </w:r>
            <w:r>
              <w:rPr>
                <w:color w:val="000000"/>
                <w:szCs w:val="21"/>
              </w:rPr>
              <w:t>29</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0.16</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2.51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1782"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35.0</w:t>
            </w:r>
          </w:p>
        </w:tc>
        <w:tc>
          <w:tcPr>
            <w:tcW w:w="2941"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边导线外</w:t>
            </w:r>
            <w:r>
              <w:rPr>
                <w:color w:val="000000"/>
                <w:szCs w:val="21"/>
              </w:rPr>
              <w:t>30</w:t>
            </w:r>
          </w:p>
        </w:tc>
        <w:tc>
          <w:tcPr>
            <w:tcW w:w="2133"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0.16</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rFonts w:eastAsia="等线"/>
                <w:color w:val="000000"/>
                <w:szCs w:val="21"/>
              </w:rPr>
            </w:pPr>
            <w:r>
              <w:rPr>
                <w:rFonts w:hint="eastAsia"/>
                <w:color w:val="000000"/>
                <w:szCs w:val="21"/>
              </w:rPr>
              <w:t>2.38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4723" w:type="dxa"/>
            <w:gridSpan w:val="2"/>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s="宋体"/>
                <w:color w:val="000000"/>
                <w:kern w:val="0"/>
                <w:szCs w:val="21"/>
                <w:lang w:bidi="ar"/>
              </w:rPr>
              <w:t>最大值</w:t>
            </w:r>
          </w:p>
        </w:tc>
        <w:tc>
          <w:tcPr>
            <w:tcW w:w="2133" w:type="dxa"/>
            <w:tcBorders>
              <w:top w:val="single" w:color="auto" w:sz="2" w:space="0"/>
              <w:left w:val="single" w:color="auto" w:sz="2" w:space="0"/>
              <w:bottom w:val="single" w:color="auto" w:sz="2" w:space="0"/>
              <w:right w:val="single" w:color="auto" w:sz="2" w:space="0"/>
            </w:tcBorders>
            <w:vAlign w:val="center"/>
          </w:tcPr>
          <w:p>
            <w:pPr>
              <w:jc w:val="center"/>
              <w:rPr>
                <w:b/>
                <w:color w:val="000000"/>
                <w:szCs w:val="21"/>
              </w:rPr>
            </w:pPr>
            <w:r>
              <w:rPr>
                <w:rFonts w:hint="eastAsia"/>
                <w:b/>
                <w:color w:val="000000"/>
                <w:szCs w:val="21"/>
              </w:rPr>
              <w:t>2</w:t>
            </w:r>
            <w:r>
              <w:rPr>
                <w:b/>
                <w:color w:val="000000"/>
                <w:szCs w:val="21"/>
              </w:rPr>
              <w:t>.97</w:t>
            </w:r>
          </w:p>
        </w:tc>
        <w:tc>
          <w:tcPr>
            <w:tcW w:w="2158" w:type="dxa"/>
            <w:tcBorders>
              <w:top w:val="single" w:color="auto" w:sz="2" w:space="0"/>
              <w:left w:val="single" w:color="auto" w:sz="2" w:space="0"/>
              <w:bottom w:val="single" w:color="auto" w:sz="2" w:space="0"/>
              <w:right w:val="single" w:color="auto" w:sz="2" w:space="0"/>
            </w:tcBorders>
            <w:vAlign w:val="bottom"/>
          </w:tcPr>
          <w:p>
            <w:pPr>
              <w:jc w:val="center"/>
              <w:rPr>
                <w:b/>
                <w:color w:val="000000"/>
                <w:szCs w:val="21"/>
              </w:rPr>
            </w:pPr>
            <w:r>
              <w:rPr>
                <w:rFonts w:hint="eastAsia"/>
                <w:b/>
                <w:color w:val="000000"/>
                <w:szCs w:val="21"/>
              </w:rPr>
              <w:t>2</w:t>
            </w:r>
            <w:r>
              <w:rPr>
                <w:b/>
                <w:color w:val="000000"/>
                <w:szCs w:val="21"/>
              </w:rPr>
              <w:t>1.95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 w:hRule="atLeast"/>
          <w:jc w:val="center"/>
        </w:trPr>
        <w:tc>
          <w:tcPr>
            <w:tcW w:w="4723" w:type="dxa"/>
            <w:gridSpan w:val="2"/>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s="宋体"/>
                <w:color w:val="000000"/>
                <w:kern w:val="0"/>
                <w:szCs w:val="21"/>
                <w:lang w:bidi="ar"/>
              </w:rPr>
              <w:t>最大值处距线路中心距离（m）</w:t>
            </w:r>
          </w:p>
        </w:tc>
        <w:tc>
          <w:tcPr>
            <w:tcW w:w="2133"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4</w:t>
            </w:r>
            <w:r>
              <w:rPr>
                <w:color w:val="000000"/>
                <w:szCs w:val="21"/>
              </w:rPr>
              <w:t>.0</w:t>
            </w:r>
          </w:p>
        </w:tc>
        <w:tc>
          <w:tcPr>
            <w:tcW w:w="2158" w:type="dxa"/>
            <w:tcBorders>
              <w:top w:val="single" w:color="auto" w:sz="2" w:space="0"/>
              <w:left w:val="single" w:color="auto" w:sz="2" w:space="0"/>
              <w:bottom w:val="single" w:color="auto" w:sz="2" w:space="0"/>
              <w:right w:val="single" w:color="auto" w:sz="2" w:space="0"/>
            </w:tcBorders>
            <w:vAlign w:val="center"/>
          </w:tcPr>
          <w:p>
            <w:pPr>
              <w:jc w:val="center"/>
              <w:rPr>
                <w:color w:val="000000"/>
                <w:szCs w:val="21"/>
              </w:rPr>
            </w:pPr>
            <w:r>
              <w:rPr>
                <w:rFonts w:hint="eastAsia"/>
                <w:color w:val="000000"/>
                <w:szCs w:val="21"/>
              </w:rPr>
              <w:t>5</w:t>
            </w:r>
            <w:r>
              <w:rPr>
                <w:color w:val="000000"/>
                <w:szCs w:val="21"/>
              </w:rPr>
              <w:t>.0</w:t>
            </w:r>
          </w:p>
        </w:tc>
      </w:tr>
    </w:tbl>
    <w:p>
      <w:pPr>
        <w:rPr>
          <w:rFonts w:hint="eastAsia" w:ascii="ˎ̥" w:hAnsi="ˎ̥" w:cs="ˎ̥"/>
          <w:szCs w:val="22"/>
        </w:rPr>
      </w:pPr>
    </w:p>
    <w:p>
      <w:pPr>
        <w:adjustRightInd w:val="0"/>
        <w:snapToGrid w:val="0"/>
        <w:jc w:val="center"/>
        <w:rPr>
          <w:color w:val="000000"/>
          <w:sz w:val="24"/>
          <w:szCs w:val="21"/>
        </w:rPr>
      </w:pPr>
      <w:r>
        <w:rPr>
          <w:color w:val="000000"/>
          <w:sz w:val="24"/>
          <w:szCs w:val="21"/>
        </w:rPr>
        <w:br w:type="page"/>
      </w:r>
    </w:p>
    <w:p>
      <w:pPr>
        <w:adjustRightInd w:val="0"/>
        <w:snapToGrid w:val="0"/>
        <w:jc w:val="center"/>
        <w:rPr>
          <w:color w:val="000000"/>
          <w:sz w:val="24"/>
          <w:szCs w:val="21"/>
        </w:rPr>
      </w:pPr>
      <w:r>
        <w:rPr>
          <w:color w:val="000000"/>
          <w:sz w:val="24"/>
          <w:szCs w:val="21"/>
        </w:rPr>
        <w:drawing>
          <wp:inline distT="0" distB="0" distL="0" distR="0">
            <wp:extent cx="5759450" cy="4163060"/>
            <wp:effectExtent l="0" t="0" r="0" b="8890"/>
            <wp:docPr id="8" name="图片 8" descr="E:\9、新疆\1、环评\2025年环评\2、吐鲁番东环110千伏输变电工程\报告\电磁预测\双回\电场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9、新疆\1、环评\2025年环评\2、吐鲁番东环110千伏输变电工程\报告\电磁预测\双回\电场图.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a:xfrm>
                      <a:off x="0" y="0"/>
                      <a:ext cx="5759450" cy="4163104"/>
                    </a:xfrm>
                    <a:prstGeom prst="rect">
                      <a:avLst/>
                    </a:prstGeom>
                    <a:noFill/>
                    <a:ln>
                      <a:noFill/>
                    </a:ln>
                  </pic:spPr>
                </pic:pic>
              </a:graphicData>
            </a:graphic>
          </wp:inline>
        </w:drawing>
      </w:r>
      <w:r>
        <w:rPr>
          <w:color w:val="000000"/>
          <w:sz w:val="24"/>
          <w:szCs w:val="21"/>
        </w:rPr>
        <w:drawing>
          <wp:inline distT="0" distB="0" distL="0" distR="0">
            <wp:extent cx="5759450" cy="4163060"/>
            <wp:effectExtent l="0" t="0" r="0" b="8890"/>
            <wp:docPr id="9" name="图片 9" descr="E:\9、新疆\1、环评\2025年环评\2、吐鲁番东环110千伏输变电工程\报告\电磁预测\双回\磁场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9、新疆\1、环评\2025年环评\2、吐鲁番东环110千伏输变电工程\报告\电磁预测\双回\磁场图.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a:xfrm>
                      <a:off x="0" y="0"/>
                      <a:ext cx="5759450" cy="4163104"/>
                    </a:xfrm>
                    <a:prstGeom prst="rect">
                      <a:avLst/>
                    </a:prstGeom>
                    <a:noFill/>
                    <a:ln>
                      <a:noFill/>
                    </a:ln>
                  </pic:spPr>
                </pic:pic>
              </a:graphicData>
            </a:graphic>
          </wp:inline>
        </w:drawing>
      </w:r>
    </w:p>
    <w:p>
      <w:pPr>
        <w:adjustRightInd w:val="0"/>
        <w:snapToGrid w:val="0"/>
        <w:jc w:val="center"/>
        <w:rPr>
          <w:rFonts w:hint="eastAsia" w:ascii="黑体" w:hAnsi="黑体" w:eastAsia="黑体" w:cs="黑体"/>
          <w:color w:val="000000"/>
          <w:szCs w:val="20"/>
        </w:rPr>
      </w:pPr>
      <w:bookmarkStart w:id="871" w:name="_Ref3092"/>
      <w:r>
        <w:rPr>
          <w:rFonts w:hint="eastAsia" w:ascii="黑体" w:hAnsi="黑体" w:eastAsia="黑体" w:cs="黑体"/>
          <w:color w:val="000000"/>
          <w:szCs w:val="20"/>
        </w:rPr>
        <w:t>图</w:t>
      </w:r>
      <w:r>
        <w:rPr>
          <w:rFonts w:hint="eastAsia" w:ascii="黑体" w:hAnsi="黑体" w:eastAsia="黑体" w:cs="黑体"/>
          <w:color w:val="000000"/>
          <w:szCs w:val="20"/>
        </w:rPr>
        <w:fldChar w:fldCharType="begin"/>
      </w:r>
      <w:r>
        <w:rPr>
          <w:rFonts w:hint="eastAsia" w:ascii="黑体" w:hAnsi="黑体" w:eastAsia="黑体" w:cs="黑体"/>
          <w:color w:val="000000"/>
          <w:szCs w:val="20"/>
        </w:rPr>
        <w:instrText xml:space="preserve"> SEQ 图 \* ARABIC </w:instrText>
      </w:r>
      <w:r>
        <w:rPr>
          <w:rFonts w:hint="eastAsia" w:ascii="黑体" w:hAnsi="黑体" w:eastAsia="黑体" w:cs="黑体"/>
          <w:color w:val="000000"/>
          <w:szCs w:val="20"/>
        </w:rPr>
        <w:fldChar w:fldCharType="separate"/>
      </w:r>
      <w:r>
        <w:rPr>
          <w:rFonts w:ascii="黑体" w:hAnsi="黑体" w:eastAsia="黑体" w:cs="黑体"/>
          <w:color w:val="000000"/>
          <w:szCs w:val="20"/>
        </w:rPr>
        <w:t>12</w:t>
      </w:r>
      <w:r>
        <w:rPr>
          <w:rFonts w:hint="eastAsia" w:ascii="黑体" w:hAnsi="黑体" w:eastAsia="黑体" w:cs="黑体"/>
          <w:color w:val="000000"/>
          <w:szCs w:val="20"/>
        </w:rPr>
        <w:fldChar w:fldCharType="end"/>
      </w:r>
      <w:bookmarkEnd w:id="871"/>
      <w:r>
        <w:rPr>
          <w:rFonts w:hint="eastAsia" w:ascii="黑体" w:hAnsi="黑体" w:eastAsia="黑体" w:cs="黑体"/>
          <w:color w:val="000000"/>
          <w:szCs w:val="20"/>
        </w:rPr>
        <w:t xml:space="preserve">  110kV双回线路工频电场强度、工频磁感应强度预测结果（非居民区）</w:t>
      </w:r>
    </w:p>
    <w:p>
      <w:pPr>
        <w:adjustRightInd w:val="0"/>
        <w:snapToGrid w:val="0"/>
        <w:jc w:val="center"/>
        <w:rPr>
          <w:color w:val="000000"/>
          <w:sz w:val="24"/>
          <w:szCs w:val="21"/>
        </w:rPr>
      </w:pPr>
      <w:r>
        <w:rPr>
          <w:color w:val="000000"/>
          <w:sz w:val="24"/>
          <w:szCs w:val="21"/>
        </w:rPr>
        <w:drawing>
          <wp:inline distT="0" distB="0" distL="0" distR="0">
            <wp:extent cx="5759450" cy="4001135"/>
            <wp:effectExtent l="0" t="0" r="0" b="0"/>
            <wp:docPr id="14" name="图片 14" descr="E:\9、新疆\1、环评\2025年环评\2、吐鲁番东环110千伏输变电工程\报告\电磁预测\双回\电场分布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9、新疆\1、环评\2025年环评\2、吐鲁番东环110千伏输变电工程\报告\电磁预测\双回\电场分布图.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a:xfrm>
                      <a:off x="0" y="0"/>
                      <a:ext cx="5759450" cy="4001218"/>
                    </a:xfrm>
                    <a:prstGeom prst="rect">
                      <a:avLst/>
                    </a:prstGeom>
                    <a:noFill/>
                    <a:ln>
                      <a:noFill/>
                    </a:ln>
                  </pic:spPr>
                </pic:pic>
              </a:graphicData>
            </a:graphic>
          </wp:inline>
        </w:drawing>
      </w:r>
      <w:r>
        <w:rPr>
          <w:color w:val="000000"/>
          <w:sz w:val="24"/>
          <w:szCs w:val="21"/>
        </w:rPr>
        <w:drawing>
          <wp:inline distT="0" distB="0" distL="0" distR="0">
            <wp:extent cx="5759450" cy="4001135"/>
            <wp:effectExtent l="0" t="0" r="0" b="0"/>
            <wp:docPr id="24" name="图片 24" descr="E:\9、新疆\1、环评\2025年环评\2、吐鲁番东环110千伏输变电工程\报告\电磁预测\双回\磁场分布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9、新疆\1、环评\2025年环评\2、吐鲁番东环110千伏输变电工程\报告\电磁预测\双回\磁场分布图.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a:xfrm>
                      <a:off x="0" y="0"/>
                      <a:ext cx="5759450" cy="4001218"/>
                    </a:xfrm>
                    <a:prstGeom prst="rect">
                      <a:avLst/>
                    </a:prstGeom>
                    <a:noFill/>
                    <a:ln>
                      <a:noFill/>
                    </a:ln>
                  </pic:spPr>
                </pic:pic>
              </a:graphicData>
            </a:graphic>
          </wp:inline>
        </w:drawing>
      </w:r>
    </w:p>
    <w:p>
      <w:pPr>
        <w:adjustRightInd w:val="0"/>
        <w:snapToGrid w:val="0"/>
        <w:jc w:val="center"/>
        <w:rPr>
          <w:rFonts w:hint="eastAsia" w:ascii="黑体" w:hAnsi="黑体" w:eastAsia="黑体" w:cs="黑体"/>
          <w:color w:val="000000"/>
          <w:szCs w:val="20"/>
        </w:rPr>
      </w:pPr>
      <w:bookmarkStart w:id="872" w:name="_Ref80695619"/>
      <w:r>
        <w:rPr>
          <w:rFonts w:hint="eastAsia" w:ascii="黑体" w:hAnsi="黑体" w:eastAsia="黑体" w:cs="黑体"/>
          <w:color w:val="000000"/>
          <w:szCs w:val="20"/>
        </w:rPr>
        <w:t>图</w:t>
      </w:r>
      <w:r>
        <w:rPr>
          <w:rFonts w:hint="eastAsia" w:ascii="黑体" w:hAnsi="黑体" w:eastAsia="黑体" w:cs="黑体"/>
          <w:color w:val="000000"/>
          <w:szCs w:val="20"/>
        </w:rPr>
        <w:fldChar w:fldCharType="begin"/>
      </w:r>
      <w:r>
        <w:rPr>
          <w:rFonts w:hint="eastAsia" w:ascii="黑体" w:hAnsi="黑体" w:eastAsia="黑体" w:cs="黑体"/>
          <w:color w:val="000000"/>
          <w:szCs w:val="20"/>
        </w:rPr>
        <w:instrText xml:space="preserve"> SEQ 图 \* ARABIC </w:instrText>
      </w:r>
      <w:r>
        <w:rPr>
          <w:rFonts w:hint="eastAsia" w:ascii="黑体" w:hAnsi="黑体" w:eastAsia="黑体" w:cs="黑体"/>
          <w:color w:val="000000"/>
          <w:szCs w:val="20"/>
        </w:rPr>
        <w:fldChar w:fldCharType="separate"/>
      </w:r>
      <w:r>
        <w:rPr>
          <w:rFonts w:ascii="黑体" w:hAnsi="黑体" w:eastAsia="黑体" w:cs="黑体"/>
          <w:color w:val="000000"/>
          <w:szCs w:val="20"/>
        </w:rPr>
        <w:t>13</w:t>
      </w:r>
      <w:r>
        <w:rPr>
          <w:rFonts w:hint="eastAsia" w:ascii="黑体" w:hAnsi="黑体" w:eastAsia="黑体" w:cs="黑体"/>
          <w:color w:val="000000"/>
          <w:szCs w:val="20"/>
        </w:rPr>
        <w:fldChar w:fldCharType="end"/>
      </w:r>
      <w:bookmarkEnd w:id="872"/>
      <w:r>
        <w:rPr>
          <w:rFonts w:hint="eastAsia" w:ascii="黑体" w:hAnsi="黑体" w:eastAsia="黑体" w:cs="黑体"/>
          <w:color w:val="000000"/>
          <w:szCs w:val="20"/>
        </w:rPr>
        <w:t xml:space="preserve">  110kV双回线路工频电场强度、工频磁感应强度空间分布图（非居民区）</w:t>
      </w:r>
    </w:p>
    <w:p>
      <w:pPr>
        <w:ind w:firstLine="420" w:firstLineChars="200"/>
        <w:jc w:val="center"/>
        <w:rPr>
          <w:rFonts w:cs="ˎ̥"/>
          <w:b/>
          <w:bCs/>
          <w:color w:val="000000"/>
          <w:szCs w:val="22"/>
        </w:rPr>
      </w:pPr>
    </w:p>
    <w:p>
      <w:pPr>
        <w:keepNext/>
        <w:keepLines/>
        <w:numPr>
          <w:ilvl w:val="2"/>
          <w:numId w:val="28"/>
        </w:numPr>
        <w:spacing w:before="156" w:beforeLines="50" w:line="360" w:lineRule="auto"/>
        <w:outlineLvl w:val="2"/>
        <w:rPr>
          <w:rFonts w:cs="ˎ̥"/>
          <w:b/>
          <w:bCs/>
          <w:color w:val="000000"/>
          <w:sz w:val="24"/>
          <w:szCs w:val="32"/>
        </w:rPr>
      </w:pPr>
      <w:bookmarkStart w:id="873" w:name="_Toc30421"/>
      <w:r>
        <w:rPr>
          <w:rFonts w:hint="eastAsia" w:cs="ˎ̥"/>
          <w:b/>
          <w:bCs/>
          <w:color w:val="000000"/>
          <w:sz w:val="24"/>
          <w:szCs w:val="32"/>
        </w:rPr>
        <w:t>预测结果分析</w:t>
      </w:r>
      <w:bookmarkEnd w:id="873"/>
    </w:p>
    <w:p>
      <w:pPr>
        <w:spacing w:line="360" w:lineRule="auto"/>
        <w:ind w:firstLine="480" w:firstLineChars="200"/>
        <w:rPr>
          <w:color w:val="000000"/>
          <w:sz w:val="24"/>
        </w:rPr>
      </w:pPr>
      <w:bookmarkStart w:id="874" w:name="_Toc326658245"/>
      <w:bookmarkStart w:id="875" w:name="_Hlk65080561"/>
      <w:bookmarkStart w:id="876" w:name="_Hlk62557461"/>
      <w:bookmarkStart w:id="877" w:name="_Hlk62715951"/>
      <w:r>
        <w:rPr>
          <w:rFonts w:hint="eastAsia"/>
          <w:color w:val="000000"/>
          <w:sz w:val="24"/>
        </w:rPr>
        <w:t>（1）110kV单回线路架设段</w:t>
      </w:r>
    </w:p>
    <w:p>
      <w:pPr>
        <w:spacing w:line="360" w:lineRule="auto"/>
        <w:ind w:firstLine="480" w:firstLineChars="200"/>
        <w:rPr>
          <w:color w:val="000000"/>
          <w:sz w:val="24"/>
        </w:rPr>
      </w:pPr>
      <w:r>
        <w:rPr>
          <w:rFonts w:hint="eastAsia"/>
          <w:color w:val="000000"/>
          <w:sz w:val="24"/>
        </w:rPr>
        <w:t>①</w:t>
      </w:r>
      <w:r>
        <w:rPr>
          <w:color w:val="000000"/>
          <w:sz w:val="24"/>
        </w:rPr>
        <w:t>工频电场</w:t>
      </w:r>
    </w:p>
    <w:p>
      <w:pPr>
        <w:spacing w:line="360" w:lineRule="auto"/>
        <w:ind w:firstLine="480" w:firstLineChars="200"/>
        <w:rPr>
          <w:color w:val="000000"/>
          <w:sz w:val="24"/>
        </w:rPr>
      </w:pPr>
      <w:r>
        <w:rPr>
          <w:color w:val="000000"/>
          <w:sz w:val="24"/>
        </w:rPr>
        <w:t>本工程110kV单回线路经过非居民区，导线对地最小距离为6m，线下距离地面1.5m高度处的工频电场强度最大值为2.67kV/m，满足《电磁环境控制限值》（GB8702-2014）中10kV/m的控制限值。</w:t>
      </w:r>
    </w:p>
    <w:p>
      <w:pPr>
        <w:spacing w:line="360" w:lineRule="auto"/>
        <w:ind w:firstLine="480" w:firstLineChars="200"/>
        <w:rPr>
          <w:color w:val="000000"/>
          <w:sz w:val="24"/>
        </w:rPr>
      </w:pPr>
      <w:r>
        <w:rPr>
          <w:color w:val="000000"/>
          <w:sz w:val="24"/>
        </w:rPr>
        <w:t>本工程110kV单回线路经过居民区，导线对地最小距离为7m，边导线2m外、线下距离地面1.5m、4.5m高度处的工频电场强度最大值分别为1.97kV/m、3.02kV/m，均满足《电磁环境控制限值》（GB8702-2014）中4000V/m的公众曝露控制限值。</w:t>
      </w:r>
    </w:p>
    <w:p>
      <w:pPr>
        <w:spacing w:line="360" w:lineRule="auto"/>
        <w:ind w:firstLine="480" w:firstLineChars="200"/>
        <w:rPr>
          <w:color w:val="000000"/>
          <w:sz w:val="24"/>
        </w:rPr>
      </w:pPr>
      <w:r>
        <w:rPr>
          <w:rFonts w:hint="eastAsia"/>
          <w:color w:val="000000"/>
          <w:sz w:val="24"/>
        </w:rPr>
        <w:t>②</w:t>
      </w:r>
      <w:r>
        <w:rPr>
          <w:color w:val="000000"/>
          <w:sz w:val="24"/>
        </w:rPr>
        <w:t>工频磁场</w:t>
      </w:r>
    </w:p>
    <w:p>
      <w:pPr>
        <w:spacing w:line="360" w:lineRule="auto"/>
        <w:ind w:firstLine="480" w:firstLineChars="200"/>
        <w:rPr>
          <w:color w:val="000000"/>
          <w:sz w:val="24"/>
        </w:rPr>
      </w:pPr>
      <w:r>
        <w:rPr>
          <w:color w:val="000000"/>
          <w:sz w:val="24"/>
        </w:rPr>
        <w:t>本工程110kV单回线路经过非居民区，导线对地最小距离为6m，线下距离地面1.5m高度处的工频磁感应强度最大值为29.10μT，满足《电磁环境控制限值》（GB8702-2014）中100μT的控制限值。</w:t>
      </w:r>
    </w:p>
    <w:p>
      <w:pPr>
        <w:spacing w:line="360" w:lineRule="auto"/>
        <w:ind w:firstLine="480" w:firstLineChars="200"/>
        <w:rPr>
          <w:color w:val="000000"/>
          <w:sz w:val="24"/>
        </w:rPr>
      </w:pPr>
      <w:r>
        <w:rPr>
          <w:color w:val="000000"/>
          <w:sz w:val="24"/>
        </w:rPr>
        <w:t>本工程110kV单回线路经过居民区，导线对地最小距离为7m，边导线2m外、线下距离地面1.5m、4.5m高度处的工频磁感应强度最大值分别为15.79μT、</w:t>
      </w:r>
      <w:r>
        <w:rPr>
          <w:rFonts w:hint="eastAsia"/>
          <w:color w:val="000000"/>
          <w:sz w:val="24"/>
        </w:rPr>
        <w:t>3</w:t>
      </w:r>
      <w:r>
        <w:rPr>
          <w:color w:val="000000"/>
          <w:sz w:val="24"/>
        </w:rPr>
        <w:t>0.99μT，均满足《电磁环境控制限值》（GB8702-2014）中100μT的公众曝露控制限值</w:t>
      </w:r>
      <w:r>
        <w:rPr>
          <w:rFonts w:hint="eastAsia"/>
          <w:color w:val="000000"/>
          <w:sz w:val="24"/>
        </w:rPr>
        <w:t>。</w:t>
      </w:r>
    </w:p>
    <w:p>
      <w:pPr>
        <w:spacing w:line="360" w:lineRule="auto"/>
        <w:ind w:firstLine="480" w:firstLineChars="200"/>
        <w:rPr>
          <w:color w:val="000000"/>
          <w:sz w:val="24"/>
        </w:rPr>
      </w:pPr>
      <w:r>
        <w:rPr>
          <w:rFonts w:hint="eastAsia"/>
          <w:color w:val="000000"/>
          <w:sz w:val="24"/>
        </w:rPr>
        <w:t>（2）110kV同塔双回线路架设段</w:t>
      </w:r>
    </w:p>
    <w:p>
      <w:pPr>
        <w:spacing w:line="360" w:lineRule="auto"/>
        <w:ind w:firstLine="480" w:firstLineChars="200"/>
        <w:rPr>
          <w:color w:val="000000"/>
          <w:sz w:val="24"/>
        </w:rPr>
      </w:pPr>
      <w:r>
        <w:rPr>
          <w:rFonts w:hint="eastAsia"/>
          <w:color w:val="000000"/>
          <w:sz w:val="24"/>
        </w:rPr>
        <w:t>①</w:t>
      </w:r>
      <w:r>
        <w:rPr>
          <w:color w:val="000000"/>
          <w:sz w:val="24"/>
        </w:rPr>
        <w:t>工频电场</w:t>
      </w:r>
    </w:p>
    <w:p>
      <w:pPr>
        <w:spacing w:line="360" w:lineRule="auto"/>
        <w:ind w:firstLine="480" w:firstLineChars="200"/>
        <w:rPr>
          <w:color w:val="000000"/>
          <w:sz w:val="24"/>
        </w:rPr>
      </w:pPr>
      <w:r>
        <w:rPr>
          <w:color w:val="000000"/>
          <w:sz w:val="24"/>
        </w:rPr>
        <w:t>本工程110kV单回线路经过非居民区，导线对地最小距离为6m，线下距离地面1.5m高度处的工频电场强度最大值为2.97kV/m，满足《电磁环境控制限值》（GB8702-2014）中10kV/m的控制限值。</w:t>
      </w:r>
    </w:p>
    <w:p>
      <w:pPr>
        <w:spacing w:line="360" w:lineRule="auto"/>
        <w:ind w:firstLine="480" w:firstLineChars="200"/>
        <w:rPr>
          <w:color w:val="000000"/>
          <w:sz w:val="24"/>
        </w:rPr>
      </w:pPr>
      <w:r>
        <w:rPr>
          <w:rFonts w:hint="eastAsia"/>
          <w:color w:val="000000"/>
          <w:sz w:val="24"/>
        </w:rPr>
        <w:t>②</w:t>
      </w:r>
      <w:r>
        <w:rPr>
          <w:color w:val="000000"/>
          <w:sz w:val="24"/>
        </w:rPr>
        <w:t>工频磁场</w:t>
      </w:r>
    </w:p>
    <w:p>
      <w:pPr>
        <w:spacing w:line="360" w:lineRule="auto"/>
        <w:ind w:firstLine="480" w:firstLineChars="200"/>
        <w:rPr>
          <w:color w:val="000000"/>
          <w:sz w:val="24"/>
        </w:rPr>
      </w:pPr>
      <w:r>
        <w:rPr>
          <w:color w:val="000000"/>
          <w:sz w:val="24"/>
        </w:rPr>
        <w:t>本工程110kV单回线路经过非居民区，导线对地最小距离为6m，线下距离地面1.5m高度处的工频磁感应强度最大值为21.95μT，满足《电磁环境控制限值》（GB8702-2014）中100μT的控制限值。</w:t>
      </w:r>
    </w:p>
    <w:p>
      <w:pPr>
        <w:keepNext/>
        <w:keepLines/>
        <w:numPr>
          <w:ilvl w:val="1"/>
          <w:numId w:val="28"/>
        </w:numPr>
        <w:adjustRightInd w:val="0"/>
        <w:spacing w:line="360" w:lineRule="auto"/>
        <w:outlineLvl w:val="1"/>
        <w:rPr>
          <w:b/>
          <w:bCs/>
          <w:color w:val="000000"/>
          <w:sz w:val="28"/>
          <w:szCs w:val="32"/>
        </w:rPr>
      </w:pPr>
      <w:bookmarkStart w:id="878" w:name="_Toc5426"/>
      <w:r>
        <w:rPr>
          <w:rFonts w:hint="eastAsia"/>
          <w:b/>
          <w:bCs/>
          <w:color w:val="000000"/>
          <w:sz w:val="28"/>
          <w:szCs w:val="32"/>
        </w:rPr>
        <w:t>控制措施</w:t>
      </w:r>
      <w:bookmarkEnd w:id="878"/>
    </w:p>
    <w:p>
      <w:pPr>
        <w:spacing w:line="360" w:lineRule="auto"/>
        <w:ind w:firstLine="480" w:firstLineChars="200"/>
        <w:rPr>
          <w:rFonts w:cs="ˎ̥"/>
          <w:sz w:val="24"/>
          <w:szCs w:val="22"/>
        </w:rPr>
      </w:pPr>
      <w:r>
        <w:rPr>
          <w:rFonts w:cs="ˎ̥"/>
          <w:sz w:val="24"/>
          <w:szCs w:val="22"/>
        </w:rPr>
        <w:t>根据以上预测</w:t>
      </w:r>
      <w:r>
        <w:rPr>
          <w:rFonts w:hint="eastAsia" w:cs="ˎ̥"/>
          <w:sz w:val="24"/>
          <w:szCs w:val="22"/>
        </w:rPr>
        <w:t>结果</w:t>
      </w:r>
      <w:r>
        <w:rPr>
          <w:rFonts w:cs="ˎ̥"/>
          <w:sz w:val="24"/>
          <w:szCs w:val="22"/>
        </w:rPr>
        <w:t>可知，本工程拟建</w:t>
      </w:r>
      <w:r>
        <w:rPr>
          <w:rFonts w:hint="eastAsia" w:cs="ˎ̥"/>
          <w:sz w:val="24"/>
          <w:szCs w:val="22"/>
        </w:rPr>
        <w:t>输电</w:t>
      </w:r>
      <w:r>
        <w:rPr>
          <w:rFonts w:cs="ˎ̥"/>
          <w:sz w:val="24"/>
          <w:szCs w:val="22"/>
        </w:rPr>
        <w:t>线路经过</w:t>
      </w:r>
      <w:r>
        <w:rPr>
          <w:rFonts w:hint="eastAsia" w:cs="ˎ̥"/>
          <w:sz w:val="24"/>
          <w:szCs w:val="22"/>
        </w:rPr>
        <w:t>非居民区及</w:t>
      </w:r>
      <w:r>
        <w:rPr>
          <w:rFonts w:cs="ˎ̥"/>
          <w:sz w:val="24"/>
          <w:szCs w:val="22"/>
        </w:rPr>
        <w:t>居民区，</w:t>
      </w:r>
      <w:r>
        <w:rPr>
          <w:rFonts w:hint="eastAsia"/>
          <w:sz w:val="24"/>
          <w:szCs w:val="32"/>
        </w:rPr>
        <w:t>对应的工频电场强度和工频磁感应强度均满足</w:t>
      </w:r>
      <w:r>
        <w:rPr>
          <w:color w:val="000000" w:themeColor="text1"/>
          <w:sz w:val="24"/>
          <w:szCs w:val="32"/>
          <w14:textFill>
            <w14:solidFill>
              <w14:schemeClr w14:val="tx1"/>
            </w14:solidFill>
          </w14:textFill>
        </w:rPr>
        <w:t>《电磁环境控制限值》（GB8702-2014）</w:t>
      </w:r>
      <w:r>
        <w:rPr>
          <w:rFonts w:hint="eastAsia"/>
          <w:color w:val="000000" w:themeColor="text1"/>
          <w:sz w:val="24"/>
          <w:szCs w:val="32"/>
          <w14:textFill>
            <w14:solidFill>
              <w14:schemeClr w14:val="tx1"/>
            </w14:solidFill>
          </w14:textFill>
        </w:rPr>
        <w:t>中相应的限值要求，线路无需抬升。</w:t>
      </w:r>
    </w:p>
    <w:p>
      <w:pPr>
        <w:keepNext/>
        <w:keepLines/>
        <w:numPr>
          <w:ilvl w:val="1"/>
          <w:numId w:val="28"/>
        </w:numPr>
        <w:adjustRightInd w:val="0"/>
        <w:spacing w:line="360" w:lineRule="auto"/>
        <w:outlineLvl w:val="1"/>
        <w:rPr>
          <w:b/>
          <w:bCs/>
          <w:color w:val="000000"/>
          <w:sz w:val="28"/>
          <w:szCs w:val="32"/>
        </w:rPr>
      </w:pPr>
      <w:bookmarkStart w:id="879" w:name="_Toc27548"/>
      <w:r>
        <w:rPr>
          <w:rFonts w:hint="eastAsia"/>
          <w:b/>
          <w:bCs/>
          <w:color w:val="000000"/>
          <w:sz w:val="28"/>
          <w:szCs w:val="32"/>
        </w:rPr>
        <w:t>电磁环境敏感目标环境影响预测与评价</w:t>
      </w:r>
      <w:bookmarkEnd w:id="879"/>
    </w:p>
    <w:p>
      <w:pPr>
        <w:spacing w:line="360" w:lineRule="auto"/>
        <w:ind w:firstLine="480" w:firstLineChars="200"/>
        <w:rPr>
          <w:color w:val="000000"/>
          <w:sz w:val="24"/>
        </w:rPr>
      </w:pPr>
      <w:r>
        <w:rPr>
          <w:kern w:val="0"/>
          <w:sz w:val="24"/>
        </w:rPr>
        <w:t>针对线路段电磁环境敏感目标与工程的相对位置关系以及房屋结构对其进行了电磁环境影响预测。</w:t>
      </w:r>
    </w:p>
    <w:p>
      <w:pPr>
        <w:spacing w:line="360" w:lineRule="auto"/>
        <w:ind w:firstLine="480" w:firstLineChars="200"/>
        <w:rPr>
          <w:color w:val="000000"/>
          <w:sz w:val="24"/>
        </w:rPr>
      </w:pPr>
      <w:r>
        <w:rPr>
          <w:rFonts w:hint="eastAsia"/>
          <w:sz w:val="24"/>
          <w:szCs w:val="32"/>
        </w:rPr>
        <w:t>拟建线路工程电磁环境保护目标影响预测结果见</w:t>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REF _Ref109462994 \h  \* MERGEFORMAT </w:instrText>
      </w:r>
      <w:r>
        <w:rPr>
          <w:color w:val="000000" w:themeColor="text1"/>
          <w:sz w:val="24"/>
          <w14:textFill>
            <w14:solidFill>
              <w14:schemeClr w14:val="tx1"/>
            </w14:solidFill>
          </w14:textFill>
        </w:rPr>
        <w:fldChar w:fldCharType="separate"/>
      </w:r>
      <w:r>
        <w:rPr>
          <w:rFonts w:hint="eastAsia"/>
          <w:color w:val="000000" w:themeColor="text1"/>
          <w:sz w:val="24"/>
          <w14:textFill>
            <w14:solidFill>
              <w14:schemeClr w14:val="tx1"/>
            </w14:solidFill>
          </w14:textFill>
        </w:rPr>
        <w:t>表</w:t>
      </w:r>
      <w:r>
        <w:rPr>
          <w:color w:val="000000" w:themeColor="text1"/>
          <w:sz w:val="24"/>
          <w14:textFill>
            <w14:solidFill>
              <w14:schemeClr w14:val="tx1"/>
            </w14:solidFill>
          </w14:textFill>
        </w:rPr>
        <w:t>38</w:t>
      </w:r>
      <w:r>
        <w:rPr>
          <w:color w:val="000000" w:themeColor="text1"/>
          <w:sz w:val="24"/>
          <w14:textFill>
            <w14:solidFill>
              <w14:schemeClr w14:val="tx1"/>
            </w14:solidFill>
          </w14:textFill>
        </w:rPr>
        <w:fldChar w:fldCharType="end"/>
      </w:r>
      <w:r>
        <w:rPr>
          <w:rFonts w:hint="eastAsia"/>
          <w:color w:val="000000" w:themeColor="text1"/>
          <w:sz w:val="24"/>
          <w14:textFill>
            <w14:solidFill>
              <w14:schemeClr w14:val="tx1"/>
            </w14:solidFill>
          </w14:textFill>
        </w:rPr>
        <w:t>。</w:t>
      </w:r>
    </w:p>
    <w:p>
      <w:pPr>
        <w:keepNext/>
        <w:keepLines/>
        <w:rPr>
          <w:rFonts w:hint="eastAsia" w:ascii="黑体" w:hAnsi="黑体" w:eastAsia="黑体" w:cs="黑体"/>
          <w:sz w:val="24"/>
          <w:szCs w:val="32"/>
        </w:rPr>
      </w:pPr>
      <w:bookmarkStart w:id="880" w:name="_Ref109462994"/>
      <w:r>
        <w:rPr>
          <w:rFonts w:hint="eastAsia" w:ascii="黑体" w:hAnsi="黑体" w:eastAsia="黑体" w:cs="黑体"/>
          <w:color w:val="000000" w:themeColor="text1"/>
          <w:szCs w:val="21"/>
          <w14:textFill>
            <w14:solidFill>
              <w14:schemeClr w14:val="tx1"/>
            </w14:solidFill>
          </w14:textFill>
        </w:rPr>
        <w:t>表</w:t>
      </w:r>
      <w:r>
        <w:rPr>
          <w:rFonts w:hint="eastAsia" w:ascii="黑体" w:hAnsi="黑体" w:eastAsia="黑体" w:cs="黑体"/>
          <w:color w:val="000000" w:themeColor="text1"/>
          <w:szCs w:val="21"/>
          <w14:textFill>
            <w14:solidFill>
              <w14:schemeClr w14:val="tx1"/>
            </w14:solidFill>
          </w14:textFill>
        </w:rPr>
        <w:fldChar w:fldCharType="begin"/>
      </w:r>
      <w:r>
        <w:rPr>
          <w:rFonts w:hint="eastAsia" w:ascii="黑体" w:hAnsi="黑体" w:eastAsia="黑体" w:cs="黑体"/>
          <w:color w:val="000000" w:themeColor="text1"/>
          <w:szCs w:val="21"/>
          <w14:textFill>
            <w14:solidFill>
              <w14:schemeClr w14:val="tx1"/>
            </w14:solidFill>
          </w14:textFill>
        </w:rPr>
        <w:instrText xml:space="preserve"> SEQ 表 \* ARABIC </w:instrText>
      </w:r>
      <w:r>
        <w:rPr>
          <w:rFonts w:hint="eastAsia" w:ascii="黑体" w:hAnsi="黑体" w:eastAsia="黑体" w:cs="黑体"/>
          <w:color w:val="000000" w:themeColor="text1"/>
          <w:szCs w:val="21"/>
          <w14:textFill>
            <w14:solidFill>
              <w14:schemeClr w14:val="tx1"/>
            </w14:solidFill>
          </w14:textFill>
        </w:rPr>
        <w:fldChar w:fldCharType="separate"/>
      </w:r>
      <w:r>
        <w:rPr>
          <w:rFonts w:ascii="黑体" w:hAnsi="黑体" w:eastAsia="黑体" w:cs="黑体"/>
          <w:color w:val="000000" w:themeColor="text1"/>
          <w:szCs w:val="21"/>
          <w14:textFill>
            <w14:solidFill>
              <w14:schemeClr w14:val="tx1"/>
            </w14:solidFill>
          </w14:textFill>
        </w:rPr>
        <w:t>38</w:t>
      </w:r>
      <w:r>
        <w:rPr>
          <w:rFonts w:hint="eastAsia" w:ascii="黑体" w:hAnsi="黑体" w:eastAsia="黑体" w:cs="黑体"/>
          <w:color w:val="000000" w:themeColor="text1"/>
          <w:szCs w:val="21"/>
          <w14:textFill>
            <w14:solidFill>
              <w14:schemeClr w14:val="tx1"/>
            </w14:solidFill>
          </w14:textFill>
        </w:rPr>
        <w:fldChar w:fldCharType="end"/>
      </w:r>
      <w:bookmarkEnd w:id="880"/>
      <w:r>
        <w:rPr>
          <w:rFonts w:hint="eastAsia" w:ascii="黑体" w:hAnsi="黑体" w:eastAsia="黑体" w:cs="黑体"/>
          <w:color w:val="000000" w:themeColor="text1"/>
          <w14:textFill>
            <w14:solidFill>
              <w14:schemeClr w14:val="tx1"/>
            </w14:solidFill>
          </w14:textFill>
        </w:rPr>
        <w:t xml:space="preserve">                  本工程电磁环境敏感目标影响预测结果</w:t>
      </w:r>
    </w:p>
    <w:tbl>
      <w:tblPr>
        <w:tblStyle w:val="4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1"/>
        <w:gridCol w:w="956"/>
        <w:gridCol w:w="948"/>
        <w:gridCol w:w="1672"/>
        <w:gridCol w:w="781"/>
        <w:gridCol w:w="1279"/>
        <w:gridCol w:w="1308"/>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blHeader/>
          <w:jc w:val="center"/>
        </w:trPr>
        <w:tc>
          <w:tcPr>
            <w:tcW w:w="658" w:type="pct"/>
            <w:vMerge w:val="restart"/>
            <w:vAlign w:val="center"/>
          </w:tcPr>
          <w:p>
            <w:pPr>
              <w:pStyle w:val="82"/>
              <w:spacing w:line="0" w:lineRule="atLeast"/>
              <w:rPr>
                <w:b/>
                <w:szCs w:val="21"/>
              </w:rPr>
            </w:pPr>
            <w:r>
              <w:rPr>
                <w:b/>
                <w:szCs w:val="21"/>
              </w:rPr>
              <w:t>行政区</w:t>
            </w:r>
          </w:p>
        </w:tc>
        <w:tc>
          <w:tcPr>
            <w:tcW w:w="515" w:type="pct"/>
            <w:vMerge w:val="restart"/>
            <w:vAlign w:val="center"/>
          </w:tcPr>
          <w:p>
            <w:pPr>
              <w:pStyle w:val="82"/>
              <w:spacing w:line="0" w:lineRule="atLeast"/>
              <w:rPr>
                <w:b/>
                <w:szCs w:val="21"/>
              </w:rPr>
            </w:pPr>
            <w:r>
              <w:rPr>
                <w:b/>
                <w:szCs w:val="21"/>
              </w:rPr>
              <w:t>环境敏感目标名称</w:t>
            </w:r>
          </w:p>
        </w:tc>
        <w:tc>
          <w:tcPr>
            <w:tcW w:w="511" w:type="pct"/>
            <w:vMerge w:val="restart"/>
            <w:vAlign w:val="center"/>
          </w:tcPr>
          <w:p>
            <w:pPr>
              <w:pStyle w:val="82"/>
              <w:spacing w:line="0" w:lineRule="atLeast"/>
              <w:rPr>
                <w:rFonts w:cs="幼圆"/>
                <w:b/>
                <w:szCs w:val="21"/>
              </w:rPr>
            </w:pPr>
            <w:r>
              <w:rPr>
                <w:b/>
                <w:szCs w:val="21"/>
              </w:rPr>
              <w:t>建筑结构</w:t>
            </w:r>
          </w:p>
        </w:tc>
        <w:tc>
          <w:tcPr>
            <w:tcW w:w="901" w:type="pct"/>
            <w:vMerge w:val="restart"/>
            <w:vAlign w:val="center"/>
          </w:tcPr>
          <w:p>
            <w:pPr>
              <w:pStyle w:val="82"/>
              <w:spacing w:line="0" w:lineRule="atLeast"/>
              <w:rPr>
                <w:rFonts w:cs="幼圆"/>
                <w:b/>
                <w:szCs w:val="21"/>
              </w:rPr>
            </w:pPr>
            <w:r>
              <w:rPr>
                <w:rFonts w:hint="eastAsia"/>
                <w:b/>
                <w:szCs w:val="21"/>
              </w:rPr>
              <w:t>方位及边导线</w:t>
            </w:r>
            <w:r>
              <w:rPr>
                <w:b/>
                <w:szCs w:val="21"/>
              </w:rPr>
              <w:t>地面投影最近</w:t>
            </w:r>
            <w:r>
              <w:rPr>
                <w:rFonts w:hint="eastAsia"/>
                <w:b/>
                <w:szCs w:val="21"/>
              </w:rPr>
              <w:t>水平</w:t>
            </w:r>
            <w:r>
              <w:rPr>
                <w:b/>
                <w:szCs w:val="21"/>
              </w:rPr>
              <w:t>距离</w:t>
            </w:r>
          </w:p>
        </w:tc>
        <w:tc>
          <w:tcPr>
            <w:tcW w:w="1815" w:type="pct"/>
            <w:gridSpan w:val="3"/>
            <w:vAlign w:val="center"/>
          </w:tcPr>
          <w:p>
            <w:pPr>
              <w:pStyle w:val="82"/>
              <w:spacing w:line="0" w:lineRule="atLeast"/>
              <w:rPr>
                <w:b/>
                <w:szCs w:val="21"/>
              </w:rPr>
            </w:pPr>
            <w:r>
              <w:rPr>
                <w:rFonts w:hint="eastAsia"/>
                <w:b/>
                <w:szCs w:val="21"/>
              </w:rPr>
              <w:t>电磁环境预测值</w:t>
            </w:r>
          </w:p>
        </w:tc>
        <w:tc>
          <w:tcPr>
            <w:tcW w:w="600" w:type="pct"/>
            <w:vMerge w:val="restart"/>
            <w:vAlign w:val="center"/>
          </w:tcPr>
          <w:p>
            <w:pPr>
              <w:pStyle w:val="82"/>
              <w:spacing w:line="0" w:lineRule="atLeast"/>
              <w:rPr>
                <w:b/>
                <w:szCs w:val="21"/>
              </w:rPr>
            </w:pPr>
            <w:r>
              <w:rPr>
                <w:rFonts w:hint="eastAsia"/>
                <w:b/>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blHeader/>
          <w:jc w:val="center"/>
        </w:trPr>
        <w:tc>
          <w:tcPr>
            <w:tcW w:w="658" w:type="pct"/>
            <w:vMerge w:val="continue"/>
            <w:vAlign w:val="center"/>
          </w:tcPr>
          <w:p>
            <w:pPr>
              <w:pStyle w:val="82"/>
              <w:spacing w:line="0" w:lineRule="atLeast"/>
            </w:pPr>
          </w:p>
        </w:tc>
        <w:tc>
          <w:tcPr>
            <w:tcW w:w="515" w:type="pct"/>
            <w:vMerge w:val="continue"/>
            <w:vAlign w:val="center"/>
          </w:tcPr>
          <w:p>
            <w:pPr>
              <w:pStyle w:val="82"/>
              <w:spacing w:line="0" w:lineRule="atLeast"/>
            </w:pPr>
          </w:p>
        </w:tc>
        <w:tc>
          <w:tcPr>
            <w:tcW w:w="511" w:type="pct"/>
            <w:vMerge w:val="continue"/>
            <w:vAlign w:val="center"/>
          </w:tcPr>
          <w:p>
            <w:pPr>
              <w:pStyle w:val="82"/>
              <w:spacing w:line="0" w:lineRule="atLeast"/>
            </w:pPr>
          </w:p>
        </w:tc>
        <w:tc>
          <w:tcPr>
            <w:tcW w:w="901" w:type="pct"/>
            <w:vMerge w:val="continue"/>
            <w:vAlign w:val="center"/>
          </w:tcPr>
          <w:p>
            <w:pPr>
              <w:pStyle w:val="82"/>
              <w:spacing w:line="0" w:lineRule="atLeast"/>
            </w:pPr>
          </w:p>
        </w:tc>
        <w:tc>
          <w:tcPr>
            <w:tcW w:w="421" w:type="pct"/>
            <w:vAlign w:val="center"/>
          </w:tcPr>
          <w:p>
            <w:pPr>
              <w:pStyle w:val="82"/>
              <w:spacing w:line="0" w:lineRule="atLeast"/>
            </w:pPr>
            <w:r>
              <w:rPr>
                <w:rFonts w:hint="eastAsia"/>
                <w:b/>
                <w:bCs/>
              </w:rPr>
              <w:t>预测高度</w:t>
            </w:r>
          </w:p>
        </w:tc>
        <w:tc>
          <w:tcPr>
            <w:tcW w:w="689" w:type="pct"/>
            <w:vAlign w:val="center"/>
          </w:tcPr>
          <w:p>
            <w:pPr>
              <w:pStyle w:val="82"/>
              <w:spacing w:line="0" w:lineRule="atLeast"/>
              <w:rPr>
                <w:rFonts w:cs="幼圆"/>
                <w:b/>
                <w:szCs w:val="21"/>
              </w:rPr>
            </w:pPr>
            <w:r>
              <w:rPr>
                <w:rFonts w:hint="eastAsia"/>
                <w:b/>
                <w:szCs w:val="21"/>
              </w:rPr>
              <w:t>工频电场强度（</w:t>
            </w:r>
            <w:r>
              <w:rPr>
                <w:b/>
                <w:szCs w:val="21"/>
              </w:rPr>
              <w:t>kV/m</w:t>
            </w:r>
            <w:r>
              <w:rPr>
                <w:rFonts w:hint="eastAsia"/>
                <w:b/>
                <w:szCs w:val="21"/>
              </w:rPr>
              <w:t>）</w:t>
            </w:r>
          </w:p>
        </w:tc>
        <w:tc>
          <w:tcPr>
            <w:tcW w:w="705" w:type="pct"/>
            <w:vAlign w:val="center"/>
          </w:tcPr>
          <w:p>
            <w:pPr>
              <w:pStyle w:val="82"/>
              <w:spacing w:line="0" w:lineRule="atLeast"/>
              <w:rPr>
                <w:rFonts w:cs="幼圆"/>
                <w:b/>
                <w:szCs w:val="21"/>
              </w:rPr>
            </w:pPr>
            <w:r>
              <w:rPr>
                <w:rFonts w:hint="eastAsia"/>
                <w:b/>
                <w:szCs w:val="21"/>
              </w:rPr>
              <w:t>工频磁感应强度（</w:t>
            </w:r>
            <w:r>
              <w:rPr>
                <w:b/>
                <w:szCs w:val="21"/>
              </w:rPr>
              <w:t>μT</w:t>
            </w:r>
            <w:r>
              <w:rPr>
                <w:rFonts w:hint="eastAsia"/>
                <w:b/>
                <w:szCs w:val="21"/>
              </w:rPr>
              <w:t>）</w:t>
            </w:r>
          </w:p>
        </w:tc>
        <w:tc>
          <w:tcPr>
            <w:tcW w:w="600" w:type="pct"/>
            <w:vMerge w:val="continue"/>
            <w:vAlign w:val="center"/>
          </w:tcPr>
          <w:p>
            <w:pPr>
              <w:pStyle w:val="82"/>
              <w:spacing w:line="0" w:lineRule="atLeas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blHeader/>
          <w:jc w:val="center"/>
        </w:trPr>
        <w:tc>
          <w:tcPr>
            <w:tcW w:w="658" w:type="pct"/>
            <w:vMerge w:val="restart"/>
            <w:vAlign w:val="center"/>
          </w:tcPr>
          <w:p>
            <w:pPr>
              <w:pStyle w:val="82"/>
              <w:spacing w:line="0" w:lineRule="atLeast"/>
              <w:rPr>
                <w:szCs w:val="21"/>
              </w:rPr>
            </w:pPr>
            <w:r>
              <w:rPr>
                <w:rFonts w:hint="eastAsia"/>
              </w:rPr>
              <w:t>吐鲁番市</w:t>
            </w:r>
            <w:r>
              <w:rPr>
                <w:rFonts w:hint="eastAsia"/>
                <w:szCs w:val="21"/>
              </w:rPr>
              <w:t>高昌区</w:t>
            </w:r>
          </w:p>
        </w:tc>
        <w:tc>
          <w:tcPr>
            <w:tcW w:w="515" w:type="pct"/>
            <w:vMerge w:val="restart"/>
            <w:vAlign w:val="center"/>
          </w:tcPr>
          <w:p>
            <w:pPr>
              <w:pStyle w:val="82"/>
              <w:spacing w:line="0" w:lineRule="atLeast"/>
              <w:rPr>
                <w:szCs w:val="21"/>
              </w:rPr>
            </w:pPr>
            <w:r>
              <w:rPr>
                <w:rFonts w:hint="eastAsia"/>
                <w:color w:val="000000"/>
                <w:szCs w:val="21"/>
              </w:rPr>
              <w:t>恰特喀勒乡新光村</w:t>
            </w:r>
          </w:p>
        </w:tc>
        <w:tc>
          <w:tcPr>
            <w:tcW w:w="511" w:type="pct"/>
            <w:vMerge w:val="restart"/>
            <w:vAlign w:val="center"/>
          </w:tcPr>
          <w:p>
            <w:pPr>
              <w:pStyle w:val="82"/>
              <w:spacing w:line="0" w:lineRule="atLeast"/>
            </w:pPr>
            <w:r>
              <w:rPr>
                <w:rFonts w:hint="eastAsia"/>
              </w:rPr>
              <w:t>1层平顶</w:t>
            </w:r>
          </w:p>
        </w:tc>
        <w:tc>
          <w:tcPr>
            <w:tcW w:w="901" w:type="pct"/>
            <w:vMerge w:val="restart"/>
            <w:vAlign w:val="center"/>
          </w:tcPr>
          <w:p>
            <w:pPr>
              <w:pStyle w:val="82"/>
              <w:spacing w:line="0" w:lineRule="atLeast"/>
            </w:pPr>
            <w:r>
              <w:rPr>
                <w:rFonts w:hint="eastAsia"/>
              </w:rPr>
              <w:t>边导线西侧约</w:t>
            </w:r>
            <w:r>
              <w:t>10</w:t>
            </w:r>
            <w:r>
              <w:rPr>
                <w:rFonts w:hint="eastAsia"/>
              </w:rPr>
              <w:t>m</w:t>
            </w:r>
          </w:p>
        </w:tc>
        <w:tc>
          <w:tcPr>
            <w:tcW w:w="421" w:type="pct"/>
            <w:vAlign w:val="center"/>
          </w:tcPr>
          <w:p>
            <w:pPr>
              <w:pStyle w:val="82"/>
              <w:spacing w:line="0" w:lineRule="atLeast"/>
            </w:pPr>
            <w:r>
              <w:rPr>
                <w:rFonts w:hint="eastAsia"/>
              </w:rPr>
              <w:t>1.5m</w:t>
            </w:r>
          </w:p>
        </w:tc>
        <w:tc>
          <w:tcPr>
            <w:tcW w:w="689" w:type="pct"/>
            <w:vAlign w:val="center"/>
          </w:tcPr>
          <w:p>
            <w:pPr>
              <w:pStyle w:val="82"/>
              <w:spacing w:line="0" w:lineRule="atLeast"/>
              <w:rPr>
                <w:szCs w:val="21"/>
              </w:rPr>
            </w:pPr>
            <w:r>
              <w:rPr>
                <w:rFonts w:hint="eastAsia"/>
                <w:szCs w:val="21"/>
              </w:rPr>
              <w:t>0.</w:t>
            </w:r>
            <w:r>
              <w:rPr>
                <w:szCs w:val="21"/>
              </w:rPr>
              <w:t>62</w:t>
            </w:r>
          </w:p>
        </w:tc>
        <w:tc>
          <w:tcPr>
            <w:tcW w:w="705" w:type="pct"/>
            <w:vAlign w:val="center"/>
          </w:tcPr>
          <w:p>
            <w:pPr>
              <w:pStyle w:val="82"/>
              <w:spacing w:line="0" w:lineRule="atLeast"/>
              <w:rPr>
                <w:szCs w:val="21"/>
              </w:rPr>
            </w:pPr>
            <w:r>
              <w:rPr>
                <w:szCs w:val="21"/>
              </w:rPr>
              <w:t>5.21</w:t>
            </w:r>
          </w:p>
        </w:tc>
        <w:tc>
          <w:tcPr>
            <w:tcW w:w="600" w:type="pct"/>
            <w:vAlign w:val="center"/>
          </w:tcPr>
          <w:p>
            <w:pPr>
              <w:pStyle w:val="82"/>
              <w:spacing w:line="0" w:lineRule="atLeast"/>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blHeader/>
          <w:jc w:val="center"/>
        </w:trPr>
        <w:tc>
          <w:tcPr>
            <w:tcW w:w="658" w:type="pct"/>
            <w:vMerge w:val="continue"/>
            <w:vAlign w:val="center"/>
          </w:tcPr>
          <w:p>
            <w:pPr>
              <w:pStyle w:val="82"/>
              <w:spacing w:line="0" w:lineRule="atLeast"/>
            </w:pPr>
          </w:p>
        </w:tc>
        <w:tc>
          <w:tcPr>
            <w:tcW w:w="515" w:type="pct"/>
            <w:vMerge w:val="continue"/>
            <w:vAlign w:val="center"/>
          </w:tcPr>
          <w:p>
            <w:pPr>
              <w:pStyle w:val="82"/>
              <w:spacing w:line="0" w:lineRule="atLeast"/>
              <w:rPr>
                <w:szCs w:val="21"/>
              </w:rPr>
            </w:pPr>
          </w:p>
        </w:tc>
        <w:tc>
          <w:tcPr>
            <w:tcW w:w="511" w:type="pct"/>
            <w:vMerge w:val="continue"/>
            <w:vAlign w:val="center"/>
          </w:tcPr>
          <w:p>
            <w:pPr>
              <w:pStyle w:val="82"/>
              <w:spacing w:line="0" w:lineRule="atLeast"/>
            </w:pPr>
          </w:p>
        </w:tc>
        <w:tc>
          <w:tcPr>
            <w:tcW w:w="901" w:type="pct"/>
            <w:vMerge w:val="continue"/>
            <w:vAlign w:val="center"/>
          </w:tcPr>
          <w:p>
            <w:pPr>
              <w:pStyle w:val="82"/>
              <w:spacing w:line="0" w:lineRule="atLeast"/>
            </w:pPr>
          </w:p>
        </w:tc>
        <w:tc>
          <w:tcPr>
            <w:tcW w:w="421" w:type="pct"/>
            <w:vAlign w:val="center"/>
          </w:tcPr>
          <w:p>
            <w:pPr>
              <w:pStyle w:val="82"/>
              <w:spacing w:line="0" w:lineRule="atLeast"/>
            </w:pPr>
            <w:r>
              <w:rPr>
                <w:rFonts w:hint="eastAsia"/>
              </w:rPr>
              <w:t>4</w:t>
            </w:r>
            <w:r>
              <w:t>.5m</w:t>
            </w:r>
          </w:p>
        </w:tc>
        <w:tc>
          <w:tcPr>
            <w:tcW w:w="689" w:type="pct"/>
            <w:vAlign w:val="center"/>
          </w:tcPr>
          <w:p>
            <w:pPr>
              <w:pStyle w:val="82"/>
              <w:spacing w:line="0" w:lineRule="atLeast"/>
              <w:rPr>
                <w:szCs w:val="21"/>
              </w:rPr>
            </w:pPr>
            <w:r>
              <w:rPr>
                <w:rFonts w:hint="eastAsia"/>
                <w:szCs w:val="21"/>
              </w:rPr>
              <w:t>0</w:t>
            </w:r>
            <w:r>
              <w:rPr>
                <w:szCs w:val="21"/>
              </w:rPr>
              <w:t>.59</w:t>
            </w:r>
          </w:p>
        </w:tc>
        <w:tc>
          <w:tcPr>
            <w:tcW w:w="705" w:type="pct"/>
            <w:vAlign w:val="center"/>
          </w:tcPr>
          <w:p>
            <w:pPr>
              <w:pStyle w:val="82"/>
              <w:spacing w:line="0" w:lineRule="atLeast"/>
              <w:rPr>
                <w:szCs w:val="21"/>
              </w:rPr>
            </w:pPr>
            <w:r>
              <w:rPr>
                <w:rFonts w:hint="eastAsia"/>
                <w:szCs w:val="21"/>
              </w:rPr>
              <w:t>5</w:t>
            </w:r>
            <w:r>
              <w:rPr>
                <w:szCs w:val="21"/>
              </w:rPr>
              <w:t>.91</w:t>
            </w:r>
          </w:p>
        </w:tc>
        <w:tc>
          <w:tcPr>
            <w:tcW w:w="600" w:type="pct"/>
            <w:vAlign w:val="center"/>
          </w:tcPr>
          <w:p>
            <w:pPr>
              <w:pStyle w:val="82"/>
              <w:spacing w:line="0" w:lineRule="atLeast"/>
            </w:pPr>
            <w:r>
              <w:rPr>
                <w:rFonts w:hint="eastAsia"/>
              </w:rPr>
              <w:t>达标</w:t>
            </w:r>
          </w:p>
        </w:tc>
      </w:tr>
    </w:tbl>
    <w:p>
      <w:pPr>
        <w:rPr>
          <w:color w:val="000000"/>
          <w:sz w:val="24"/>
        </w:rPr>
      </w:pPr>
      <w:r>
        <w:rPr>
          <w:rFonts w:hint="eastAsia"/>
          <w:szCs w:val="16"/>
        </w:rPr>
        <w:t>注：表中所列环境敏感目标为根据当前设计阶段路径资料调查所得，表中所描述位置距离为当前设计路径边导线垂直投影与环境敏感目标的最近水平距离。随工程设计不断深化，环评调查的环境敏感目标及其相对位置关系可能与建成后实际调查情况略有变化。</w:t>
      </w:r>
    </w:p>
    <w:p>
      <w:pPr>
        <w:spacing w:line="360" w:lineRule="auto"/>
        <w:ind w:firstLine="480" w:firstLineChars="200"/>
        <w:rPr>
          <w:color w:val="000000"/>
          <w:sz w:val="24"/>
        </w:rPr>
      </w:pPr>
      <w:r>
        <w:rPr>
          <w:rFonts w:hint="eastAsia"/>
          <w:color w:val="000000"/>
          <w:sz w:val="24"/>
        </w:rPr>
        <w:t>本工程拟建输电线路评价范围内</w:t>
      </w:r>
      <w:r>
        <w:rPr>
          <w:rFonts w:hint="eastAsia"/>
          <w:color w:val="000000" w:themeColor="text1"/>
          <w:sz w:val="24"/>
          <w14:textFill>
            <w14:solidFill>
              <w14:schemeClr w14:val="tx1"/>
            </w14:solidFill>
          </w14:textFill>
        </w:rPr>
        <w:t>电磁环境敏感目标处</w:t>
      </w:r>
      <w:r>
        <w:rPr>
          <w:rFonts w:hint="eastAsia"/>
          <w:color w:val="000000"/>
          <w:sz w:val="24"/>
        </w:rPr>
        <w:t>工频电场强度为0</w:t>
      </w:r>
      <w:r>
        <w:rPr>
          <w:color w:val="000000"/>
          <w:sz w:val="24"/>
        </w:rPr>
        <w:t>.59~</w:t>
      </w:r>
      <w:r>
        <w:rPr>
          <w:rFonts w:hint="eastAsia"/>
          <w:color w:val="000000"/>
          <w:sz w:val="24"/>
        </w:rPr>
        <w:t>0</w:t>
      </w:r>
      <w:r>
        <w:rPr>
          <w:color w:val="000000"/>
          <w:sz w:val="24"/>
        </w:rPr>
        <w:t>.62</w:t>
      </w:r>
      <w:r>
        <w:rPr>
          <w:rFonts w:hint="eastAsia"/>
          <w:color w:val="000000"/>
          <w:sz w:val="24"/>
        </w:rPr>
        <w:t>kV/m，工频磁感应强度为</w:t>
      </w:r>
      <w:r>
        <w:rPr>
          <w:color w:val="000000"/>
          <w:sz w:val="24"/>
        </w:rPr>
        <w:t>5.21~5.91</w:t>
      </w:r>
      <w:r>
        <w:rPr>
          <w:bCs/>
          <w:szCs w:val="21"/>
        </w:rPr>
        <w:t>μT</w:t>
      </w:r>
      <w:r>
        <w:rPr>
          <w:rFonts w:hint="eastAsia"/>
          <w:bCs/>
          <w:szCs w:val="21"/>
        </w:rPr>
        <w:t>，</w:t>
      </w:r>
      <w:r>
        <w:rPr>
          <w:rFonts w:hint="eastAsia"/>
          <w:color w:val="000000" w:themeColor="text1"/>
          <w:sz w:val="24"/>
          <w14:textFill>
            <w14:solidFill>
              <w14:schemeClr w14:val="tx1"/>
            </w14:solidFill>
          </w14:textFill>
        </w:rPr>
        <w:t>工频电场强度、工频磁感应强度均满足《电磁环境控制限值》（</w:t>
      </w:r>
      <w:r>
        <w:rPr>
          <w:color w:val="000000" w:themeColor="text1"/>
          <w:sz w:val="24"/>
          <w14:textFill>
            <w14:solidFill>
              <w14:schemeClr w14:val="tx1"/>
            </w14:solidFill>
          </w14:textFill>
        </w:rPr>
        <w:t>GB8702-2014</w:t>
      </w:r>
      <w:r>
        <w:rPr>
          <w:rFonts w:hint="eastAsia"/>
          <w:color w:val="000000" w:themeColor="text1"/>
          <w:sz w:val="24"/>
          <w14:textFill>
            <w14:solidFill>
              <w14:schemeClr w14:val="tx1"/>
            </w14:solidFill>
          </w14:textFill>
        </w:rPr>
        <w:t>）中</w:t>
      </w:r>
      <w:r>
        <w:rPr>
          <w:color w:val="000000" w:themeColor="text1"/>
          <w:sz w:val="24"/>
          <w14:textFill>
            <w14:solidFill>
              <w14:schemeClr w14:val="tx1"/>
            </w14:solidFill>
          </w14:textFill>
        </w:rPr>
        <w:t>4000V/m</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100μT</w:t>
      </w:r>
      <w:r>
        <w:rPr>
          <w:rFonts w:hint="eastAsia"/>
          <w:color w:val="000000" w:themeColor="text1"/>
          <w:sz w:val="24"/>
          <w14:textFill>
            <w14:solidFill>
              <w14:schemeClr w14:val="tx1"/>
            </w14:solidFill>
          </w14:textFill>
        </w:rPr>
        <w:t>的标准限值</w:t>
      </w:r>
      <w:r>
        <w:rPr>
          <w:rFonts w:hint="eastAsia"/>
          <w:color w:val="000000"/>
          <w:sz w:val="24"/>
        </w:rPr>
        <w:t>。</w:t>
      </w:r>
    </w:p>
    <w:bookmarkEnd w:id="844"/>
    <w:bookmarkEnd w:id="845"/>
    <w:bookmarkEnd w:id="870"/>
    <w:bookmarkEnd w:id="874"/>
    <w:bookmarkEnd w:id="875"/>
    <w:bookmarkEnd w:id="876"/>
    <w:bookmarkEnd w:id="877"/>
    <w:p>
      <w:pPr>
        <w:numPr>
          <w:ilvl w:val="0"/>
          <w:numId w:val="28"/>
        </w:numPr>
        <w:topLinePunct/>
        <w:spacing w:line="360" w:lineRule="auto"/>
        <w:outlineLvl w:val="0"/>
        <w:rPr>
          <w:rFonts w:cs="ˎ̥"/>
          <w:b/>
          <w:bCs/>
          <w:color w:val="000000"/>
          <w:kern w:val="44"/>
          <w:sz w:val="30"/>
          <w:szCs w:val="44"/>
        </w:rPr>
      </w:pPr>
      <w:bookmarkStart w:id="881" w:name="_Toc24647700"/>
      <w:bookmarkStart w:id="882" w:name="_Toc22798"/>
      <w:bookmarkStart w:id="883" w:name="_Toc413055190"/>
      <w:r>
        <w:rPr>
          <w:rFonts w:hint="eastAsia" w:cs="ˎ̥"/>
          <w:b/>
          <w:bCs/>
          <w:color w:val="000000"/>
          <w:kern w:val="44"/>
          <w:sz w:val="30"/>
          <w:szCs w:val="44"/>
        </w:rPr>
        <w:t>电磁环境影响评价综合结论</w:t>
      </w:r>
      <w:bookmarkEnd w:id="881"/>
      <w:bookmarkEnd w:id="882"/>
      <w:bookmarkEnd w:id="883"/>
    </w:p>
    <w:p>
      <w:pPr>
        <w:keepNext/>
        <w:keepLines/>
        <w:numPr>
          <w:ilvl w:val="1"/>
          <w:numId w:val="28"/>
        </w:numPr>
        <w:adjustRightInd w:val="0"/>
        <w:spacing w:line="360" w:lineRule="auto"/>
        <w:outlineLvl w:val="1"/>
        <w:rPr>
          <w:b/>
          <w:bCs/>
          <w:color w:val="000000"/>
          <w:sz w:val="28"/>
          <w:szCs w:val="32"/>
        </w:rPr>
      </w:pPr>
      <w:bookmarkStart w:id="884" w:name="_Toc28436"/>
      <w:bookmarkStart w:id="885" w:name="_Toc24647703"/>
      <w:bookmarkStart w:id="886" w:name="_Toc413055192"/>
      <w:r>
        <w:rPr>
          <w:rFonts w:hint="eastAsia"/>
          <w:b/>
          <w:bCs/>
          <w:color w:val="000000"/>
          <w:sz w:val="28"/>
          <w:szCs w:val="32"/>
        </w:rPr>
        <w:t>东环110kV变电站新建工程电磁环境影响结论</w:t>
      </w:r>
      <w:bookmarkEnd w:id="884"/>
    </w:p>
    <w:p>
      <w:pPr>
        <w:spacing w:line="360" w:lineRule="auto"/>
        <w:ind w:firstLine="480" w:firstLineChars="200"/>
        <w:rPr>
          <w:color w:val="000000"/>
          <w:sz w:val="24"/>
        </w:rPr>
      </w:pPr>
      <w:r>
        <w:rPr>
          <w:rFonts w:hint="eastAsia" w:ascii="ˎ̥" w:hAnsi="ˎ̥" w:cs="ˎ̥"/>
          <w:bCs/>
          <w:sz w:val="24"/>
          <w:szCs w:val="22"/>
        </w:rPr>
        <w:t>本工程选用水磨沟110kV变电站作为东环110kV变电站的类比对象。由类比可行性分析可知，水磨沟110kV变电站运行期产生的工频电场、工频磁场水平能够反映东环110kV变电站本期投运后产生的工频电场、工频磁场。由类比监测结果可知，类比监测的水磨沟110kV变电站厂界的工频电场、工频磁感应强度能够满足相应环境标准的限值要求。因此，可以预测东环110kV变电站本期投运后厂界的工频电场、工频磁感应强度水平也能够满足4000V/m和100μT的公众曝露限值要求。东环110kV变电站电磁环境影响评价范围内无电磁环境敏感目标</w:t>
      </w:r>
      <w:r>
        <w:rPr>
          <w:rFonts w:hint="eastAsia"/>
          <w:color w:val="000000"/>
          <w:sz w:val="24"/>
        </w:rPr>
        <w:t>。</w:t>
      </w:r>
    </w:p>
    <w:p>
      <w:pPr>
        <w:keepNext/>
        <w:keepLines/>
        <w:numPr>
          <w:ilvl w:val="1"/>
          <w:numId w:val="28"/>
        </w:numPr>
        <w:adjustRightInd w:val="0"/>
        <w:spacing w:line="360" w:lineRule="auto"/>
        <w:outlineLvl w:val="1"/>
        <w:rPr>
          <w:b/>
          <w:bCs/>
          <w:color w:val="000000"/>
          <w:sz w:val="28"/>
          <w:szCs w:val="32"/>
        </w:rPr>
      </w:pPr>
      <w:bookmarkStart w:id="887" w:name="_Toc16544"/>
      <w:r>
        <w:rPr>
          <w:rFonts w:hint="eastAsia"/>
          <w:b/>
          <w:bCs/>
          <w:color w:val="000000"/>
          <w:sz w:val="28"/>
          <w:szCs w:val="32"/>
        </w:rPr>
        <w:t>新建110kV输电线路工程电磁环境影响结论</w:t>
      </w:r>
      <w:bookmarkEnd w:id="885"/>
      <w:bookmarkEnd w:id="886"/>
      <w:bookmarkEnd w:id="887"/>
    </w:p>
    <w:p>
      <w:pPr>
        <w:spacing w:line="360" w:lineRule="auto"/>
        <w:ind w:firstLine="480" w:firstLineChars="200"/>
        <w:rPr>
          <w:sz w:val="24"/>
          <w:szCs w:val="20"/>
        </w:rPr>
      </w:pPr>
      <w:r>
        <w:rPr>
          <w:rFonts w:hint="eastAsia"/>
          <w:sz w:val="24"/>
          <w:szCs w:val="20"/>
        </w:rPr>
        <w:t>（1）110kV单回线路架设段</w:t>
      </w:r>
    </w:p>
    <w:p>
      <w:pPr>
        <w:spacing w:line="360" w:lineRule="auto"/>
        <w:ind w:firstLine="480" w:firstLineChars="200"/>
        <w:rPr>
          <w:sz w:val="24"/>
          <w:szCs w:val="20"/>
        </w:rPr>
      </w:pPr>
      <w:r>
        <w:rPr>
          <w:rFonts w:hint="eastAsia"/>
          <w:sz w:val="24"/>
          <w:szCs w:val="20"/>
        </w:rPr>
        <w:t>①工频电场</w:t>
      </w:r>
    </w:p>
    <w:p>
      <w:pPr>
        <w:spacing w:line="360" w:lineRule="auto"/>
        <w:ind w:firstLine="480" w:firstLineChars="200"/>
        <w:rPr>
          <w:sz w:val="24"/>
          <w:szCs w:val="20"/>
        </w:rPr>
      </w:pPr>
      <w:r>
        <w:rPr>
          <w:rFonts w:hint="eastAsia"/>
          <w:sz w:val="24"/>
          <w:szCs w:val="20"/>
        </w:rPr>
        <w:t>本工程110kV单回线路经过非居民区，导线对地最小距离为6m，线下距离地面1.5m高度处的工频电场强度最大值为2.67kV/m，满足《电磁环境控制限值》（GB8702-2014）中10kV/m的控制限值。</w:t>
      </w:r>
    </w:p>
    <w:p>
      <w:pPr>
        <w:spacing w:line="360" w:lineRule="auto"/>
        <w:ind w:firstLine="480" w:firstLineChars="200"/>
        <w:rPr>
          <w:sz w:val="24"/>
          <w:szCs w:val="20"/>
        </w:rPr>
      </w:pPr>
      <w:r>
        <w:rPr>
          <w:rFonts w:hint="eastAsia"/>
          <w:sz w:val="24"/>
          <w:szCs w:val="20"/>
        </w:rPr>
        <w:t>本工程110kV单回线路经过居民区，导线对地最小距离为7m，边导线2m外、线下距离地面1.5m、4.5m高度处的工频电场强度最大值分别为1.97kV/m、3.02kV/m，均满足《电磁环境控制限值》（GB8702-2014）中4000V/m的公众曝露控制限值。</w:t>
      </w:r>
    </w:p>
    <w:p>
      <w:pPr>
        <w:spacing w:line="360" w:lineRule="auto"/>
        <w:ind w:firstLine="480" w:firstLineChars="200"/>
        <w:rPr>
          <w:sz w:val="24"/>
          <w:szCs w:val="20"/>
        </w:rPr>
      </w:pPr>
      <w:r>
        <w:rPr>
          <w:rFonts w:hint="eastAsia"/>
          <w:sz w:val="24"/>
          <w:szCs w:val="20"/>
        </w:rPr>
        <w:t>②工频磁场</w:t>
      </w:r>
    </w:p>
    <w:p>
      <w:pPr>
        <w:spacing w:line="360" w:lineRule="auto"/>
        <w:ind w:firstLine="480" w:firstLineChars="200"/>
        <w:rPr>
          <w:sz w:val="24"/>
          <w:szCs w:val="20"/>
        </w:rPr>
      </w:pPr>
      <w:r>
        <w:rPr>
          <w:rFonts w:hint="eastAsia"/>
          <w:sz w:val="24"/>
          <w:szCs w:val="20"/>
        </w:rPr>
        <w:t>本工程110kV单回线路经过非居民区，导线对地最小距离为6m，线下距离地面1.5m高度处的工频磁感应强度最大值为29.10μT，满足《电磁环境控制限值》（GB8702-2014）中100μT的控制限值。</w:t>
      </w:r>
    </w:p>
    <w:p>
      <w:pPr>
        <w:spacing w:line="360" w:lineRule="auto"/>
        <w:ind w:firstLine="480" w:firstLineChars="200"/>
        <w:rPr>
          <w:sz w:val="24"/>
          <w:szCs w:val="20"/>
        </w:rPr>
      </w:pPr>
      <w:r>
        <w:rPr>
          <w:rFonts w:hint="eastAsia"/>
          <w:sz w:val="24"/>
          <w:szCs w:val="20"/>
        </w:rPr>
        <w:t>本工程110kV单回线路经过居民区，导线对地最小距离为7m，边导线2m外、线下距离地面1.5m、4.5m高度处的工频磁感应强度最大值分别为15.79μT、30.99μT，均满足《电磁环境控制限值》（GB8702-2014）中100μT的公众曝露控制限值。</w:t>
      </w:r>
    </w:p>
    <w:p>
      <w:pPr>
        <w:spacing w:line="360" w:lineRule="auto"/>
        <w:ind w:firstLine="480" w:firstLineChars="200"/>
        <w:rPr>
          <w:sz w:val="24"/>
          <w:szCs w:val="20"/>
        </w:rPr>
      </w:pPr>
      <w:r>
        <w:rPr>
          <w:rFonts w:hint="eastAsia"/>
          <w:sz w:val="24"/>
          <w:szCs w:val="20"/>
        </w:rPr>
        <w:t>（2）110kV同塔双回线路架设段</w:t>
      </w:r>
    </w:p>
    <w:p>
      <w:pPr>
        <w:spacing w:line="360" w:lineRule="auto"/>
        <w:ind w:firstLine="480" w:firstLineChars="200"/>
        <w:rPr>
          <w:sz w:val="24"/>
          <w:szCs w:val="20"/>
        </w:rPr>
      </w:pPr>
      <w:r>
        <w:rPr>
          <w:rFonts w:hint="eastAsia"/>
          <w:sz w:val="24"/>
          <w:szCs w:val="20"/>
        </w:rPr>
        <w:t>①工频电场</w:t>
      </w:r>
    </w:p>
    <w:p>
      <w:pPr>
        <w:spacing w:line="360" w:lineRule="auto"/>
        <w:ind w:firstLine="480" w:firstLineChars="200"/>
        <w:rPr>
          <w:sz w:val="24"/>
          <w:szCs w:val="20"/>
        </w:rPr>
      </w:pPr>
      <w:r>
        <w:rPr>
          <w:rFonts w:hint="eastAsia"/>
          <w:sz w:val="24"/>
          <w:szCs w:val="20"/>
        </w:rPr>
        <w:t>本工程110kV单回线路经过非居民区，导线对地最小距离为6m，线下距离地面1.5m高度处的工频电场强度最大值为2.97kV/m，满足《电磁环境控制限值》（GB8702-2014）中10kV/m的控制限值。</w:t>
      </w:r>
    </w:p>
    <w:p>
      <w:pPr>
        <w:spacing w:line="360" w:lineRule="auto"/>
        <w:ind w:firstLine="480" w:firstLineChars="200"/>
        <w:rPr>
          <w:sz w:val="24"/>
          <w:szCs w:val="20"/>
        </w:rPr>
      </w:pPr>
      <w:r>
        <w:rPr>
          <w:rFonts w:hint="eastAsia"/>
          <w:sz w:val="24"/>
          <w:szCs w:val="20"/>
        </w:rPr>
        <w:t>②工频磁场</w:t>
      </w:r>
    </w:p>
    <w:p>
      <w:pPr>
        <w:spacing w:line="360" w:lineRule="auto"/>
        <w:ind w:firstLine="480" w:firstLineChars="200"/>
        <w:rPr>
          <w:sz w:val="24"/>
          <w:szCs w:val="20"/>
        </w:rPr>
      </w:pPr>
      <w:r>
        <w:rPr>
          <w:rFonts w:hint="eastAsia"/>
          <w:sz w:val="24"/>
          <w:szCs w:val="20"/>
        </w:rPr>
        <w:t>本工程110kV单回线路经过非居民区，导线对地最小距离为6m，线下距离地面1.5m高度处的工频磁感应强度最大值为21.95μT，满足《电磁环境控制限值》（GB8702-2014）中100μT的控制限值。</w:t>
      </w:r>
    </w:p>
    <w:p>
      <w:pPr>
        <w:spacing w:line="360" w:lineRule="auto"/>
        <w:ind w:firstLine="480" w:firstLineChars="200"/>
        <w:rPr>
          <w:sz w:val="24"/>
          <w:szCs w:val="20"/>
        </w:rPr>
      </w:pPr>
      <w:r>
        <w:rPr>
          <w:rFonts w:hint="eastAsia"/>
          <w:sz w:val="24"/>
          <w:szCs w:val="20"/>
        </w:rPr>
        <w:t>（3）电磁环境敏感目标</w:t>
      </w:r>
    </w:p>
    <w:p>
      <w:pPr>
        <w:spacing w:line="360" w:lineRule="auto"/>
        <w:ind w:firstLine="480" w:firstLineChars="200"/>
        <w:rPr>
          <w:color w:val="000000" w:themeColor="text1"/>
          <w:sz w:val="24"/>
          <w14:textFill>
            <w14:solidFill>
              <w14:schemeClr w14:val="tx1"/>
            </w14:solidFill>
          </w14:textFill>
        </w:rPr>
      </w:pPr>
      <w:r>
        <w:rPr>
          <w:rFonts w:hint="eastAsia"/>
          <w:sz w:val="24"/>
          <w:szCs w:val="20"/>
        </w:rPr>
        <w:t>本工程拟建110kV单回输电线路段评价范围内电磁环境敏感目标处工频电场强度为0.59~0.62kV/m，工频磁感应强度为5.21~5.91μT，工频电场强度、工频磁感应强度均满足《电磁环境控制限值》（GB8702-2014）中4000V/m、100μT的标准限值</w:t>
      </w:r>
      <w:r>
        <w:rPr>
          <w:rFonts w:hint="eastAsia"/>
          <w:color w:val="000000"/>
          <w:sz w:val="24"/>
        </w:rPr>
        <w:t>。</w:t>
      </w:r>
    </w:p>
    <w:p>
      <w:pPr>
        <w:spacing w:line="360" w:lineRule="auto"/>
        <w:ind w:firstLine="480" w:firstLineChars="200"/>
        <w:rPr>
          <w:color w:val="000000" w:themeColor="text1"/>
          <w:sz w:val="24"/>
          <w14:textFill>
            <w14:solidFill>
              <w14:schemeClr w14:val="tx1"/>
            </w14:solidFill>
          </w14:textFill>
        </w:rPr>
      </w:pPr>
    </w:p>
    <w:p>
      <w:pPr>
        <w:pStyle w:val="104"/>
      </w:pPr>
    </w:p>
    <w:sectPr>
      <w:headerReference r:id="rId13" w:type="default"/>
      <w:pgSz w:w="11906" w:h="16838"/>
      <w:pgMar w:top="1474" w:right="1418" w:bottom="1474" w:left="1418"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Arial Unicode MS">
    <w:altName w:val="宋体"/>
    <w:panose1 w:val="020B0604020202020204"/>
    <w:charset w:val="86"/>
    <w:family w:val="swiss"/>
    <w:pitch w:val="default"/>
    <w:sig w:usb0="00000000" w:usb1="00000000" w:usb2="0000007F" w:usb3="00000000" w:csb0="003F01FF" w:csb1="00000000"/>
  </w:font>
  <w:font w:name="幼圆">
    <w:altName w:val="宋体"/>
    <w:panose1 w:val="02010509060101010101"/>
    <w:charset w:val="86"/>
    <w:family w:val="modern"/>
    <w:pitch w:val="default"/>
    <w:sig w:usb0="00000000" w:usb1="00000000" w:usb2="00000000" w:usb3="00000000" w:csb0="00040000" w:csb1="00000000"/>
  </w:font>
  <w:font w:name="ˎ̥">
    <w:altName w:val="Times New Roman"/>
    <w:panose1 w:val="00000000000000000000"/>
    <w:charset w:val="00"/>
    <w:family w:val="auto"/>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Microsoft JhengHei">
    <w:panose1 w:val="020B0604030504040204"/>
    <w:charset w:val="88"/>
    <w:family w:val="swiss"/>
    <w:pitch w:val="default"/>
    <w:sig w:usb0="00000087" w:usb1="28AF4000" w:usb2="00000016" w:usb3="00000000" w:csb0="00100009" w:csb1="00000000"/>
  </w:font>
  <w:font w:name="等线 Light">
    <w:altName w:val="宋体"/>
    <w:panose1 w:val="02010600030101010101"/>
    <w:charset w:val="86"/>
    <w:family w:val="auto"/>
    <w:pitch w:val="default"/>
    <w:sig w:usb0="00000000" w:usb1="00000000" w:usb2="00000016" w:usb3="00000000" w:csb0="0004000F" w:csb1="00000000"/>
  </w:font>
  <w:font w:name="汉仪大宋简">
    <w:altName w:val="宋体"/>
    <w:panose1 w:val="00000000000000000000"/>
    <w:charset w:val="00"/>
    <w:family w:val="auto"/>
    <w:pitch w:val="default"/>
    <w:sig w:usb0="00000000" w:usb1="00000000" w:usb2="00000000" w:usb3="00000000" w:csb0="00040001" w:csb1="00000000"/>
  </w:font>
  <w:font w:name="五">
    <w:altName w:val="黑体"/>
    <w:panose1 w:val="00000000000000000000"/>
    <w:charset w:val="86"/>
    <w:family w:val="auto"/>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Wingdings 2">
    <w:altName w:val="Wingdings"/>
    <w:panose1 w:val="05020102010507070707"/>
    <w:charset w:val="02"/>
    <w:family w:val="roman"/>
    <w:pitch w:val="default"/>
    <w:sig w:usb0="00000000" w:usb1="00000000" w:usb2="00000000" w:usb3="00000000" w:csb0="80000000" w:csb1="00000000"/>
  </w:font>
  <w:font w:name="FZFSK--GBK1-0">
    <w:altName w:val="Times New Roman"/>
    <w:panose1 w:val="00000000000000000000"/>
    <w:charset w:val="00"/>
    <w:family w:val="roman"/>
    <w:pitch w:val="default"/>
    <w:sig w:usb0="00000000" w:usb1="00000000" w:usb2="00000000" w:usb3="00000000" w:csb0="00000000" w:csb1="00000000"/>
  </w:font>
  <w:font w:name="Segoe UI">
    <w:panose1 w:val="020B0502040204020203"/>
    <w:charset w:val="00"/>
    <w:family w:val="swiss"/>
    <w:pitch w:val="default"/>
    <w:sig w:usb0="E10022FF" w:usb1="C000E47F" w:usb2="00000029" w:usb3="00000000" w:csb0="200001DF" w:csb1="20000000"/>
  </w:font>
  <w:font w:name="楷体">
    <w:panose1 w:val="02010609060101010101"/>
    <w:charset w:val="86"/>
    <w:family w:val="modern"/>
    <w:pitch w:val="default"/>
    <w:sig w:usb0="800002BF" w:usb1="38CF7CFA" w:usb2="00000016" w:usb3="00000000" w:csb0="00040001"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outside" w:y="1"/>
      <w:rPr>
        <w:rStyle w:val="46"/>
      </w:rPr>
    </w:pPr>
    <w:r>
      <w:fldChar w:fldCharType="begin"/>
    </w:r>
    <w:r>
      <w:rPr>
        <w:rStyle w:val="46"/>
      </w:rPr>
      <w:instrText xml:space="preserve">PAGE  </w:instrText>
    </w:r>
    <w:r>
      <w:fldChar w:fldCharType="end"/>
    </w:r>
  </w:p>
  <w:p>
    <w:pPr>
      <w:pStyle w:val="3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fldChar w:fldCharType="begin"/>
    </w:r>
    <w:r>
      <w:instrText xml:space="preserve">PAGE   \* MERGEFORMAT</w:instrText>
    </w:r>
    <w:r>
      <w:fldChar w:fldCharType="separate"/>
    </w:r>
    <w:r>
      <w:rPr>
        <w:lang w:val="zh-CN"/>
      </w:rPr>
      <w:t>28</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firstLine="360"/>
      <w:jc w:val="left"/>
      <w:rPr>
        <w:rFonts w:ascii="Tahoma" w:hAnsi="Tahoma" w:eastAsia="仿宋_GB2312" w:cs="ˎ̥"/>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firstLine="360"/>
      <w:jc w:val="left"/>
      <w:rPr>
        <w:rFonts w:ascii="Tahoma" w:hAnsi="Tahoma" w:eastAsia="仿宋_GB2312" w:cs="ˎ̥"/>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firstLine="360"/>
      <w:jc w:val="left"/>
      <w:rPr>
        <w:rFonts w:ascii="Tahoma" w:hAnsi="Tahoma" w:eastAsia="仿宋_GB2312" w:cs="ˎ̥"/>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firstLine="360"/>
      <w:jc w:val="center"/>
      <w:rPr>
        <w:rFonts w:ascii="Tahoma" w:hAnsi="Tahoma" w:eastAsia="仿宋_GB2312" w:cs="ˎ̥"/>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snapToGrid w:val="0"/>
      <w:ind w:firstLine="360"/>
      <w:jc w:val="center"/>
      <w:rPr>
        <w:rFonts w:ascii="Tahoma" w:hAnsi="Tahoma" w:eastAsia="仿宋_GB2312" w:cs="ˎ̥"/>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snapToGrid w:val="0"/>
      <w:ind w:firstLine="360"/>
      <w:jc w:val="center"/>
      <w:rPr>
        <w:rFonts w:ascii="Tahoma" w:hAnsi="Tahoma" w:eastAsia="仿宋_GB2312" w:cs="ˎ̥"/>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ind w:left="3960" w:hanging="3960" w:hangingChars="2200"/>
      <w:jc w:val="left"/>
      <w:rPr>
        <w:rFonts w:hint="eastAsia" w:ascii="宋体" w:hAnsi="宋体"/>
        <w:sz w:val="18"/>
        <w:szCs w:val="20"/>
      </w:rPr>
    </w:pPr>
    <w:r>
      <w:rPr>
        <w:rFonts w:hint="eastAsia" w:ascii="宋体" w:hAnsi="宋体"/>
        <w:sz w:val="18"/>
        <w:szCs w:val="20"/>
      </w:rPr>
      <w:t>吐鲁番东环110千伏输变电工程</w:t>
    </w:r>
    <w:r>
      <w:rPr>
        <w:rFonts w:ascii="宋体" w:hAnsi="宋体"/>
        <w:sz w:val="18"/>
        <w:szCs w:val="20"/>
      </w:rPr>
      <w:t xml:space="preserve">                 </w:t>
    </w:r>
    <w:r>
      <w:rPr>
        <w:rFonts w:hint="eastAsia" w:ascii="宋体" w:hAnsi="宋体"/>
        <w:sz w:val="18"/>
        <w:szCs w:val="20"/>
      </w:rPr>
      <w:t>环境影响报告表支持性文件册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6E6694"/>
    <w:multiLevelType w:val="multilevel"/>
    <w:tmpl w:val="AC6E6694"/>
    <w:lvl w:ilvl="0" w:tentative="0">
      <w:start w:val="1"/>
      <w:numFmt w:val="decimal"/>
      <w:lvlText w:val="%1"/>
      <w:lvlJc w:val="left"/>
      <w:pPr>
        <w:ind w:left="425" w:hanging="425"/>
      </w:pPr>
      <w:rPr>
        <w:rFonts w:hint="default" w:ascii="Times New Roman" w:hAnsi="Times New Roman" w:eastAsia="宋体" w:cs="宋体"/>
      </w:rPr>
    </w:lvl>
    <w:lvl w:ilvl="1" w:tentative="0">
      <w:start w:val="1"/>
      <w:numFmt w:val="decimal"/>
      <w:lvlText w:val="%1.%2"/>
      <w:lvlJc w:val="left"/>
      <w:pPr>
        <w:ind w:left="567" w:hanging="567"/>
      </w:pPr>
      <w:rPr>
        <w:rFonts w:hint="default" w:ascii="Times New Roman" w:hAnsi="Times New Roman" w:eastAsia="宋体" w:cs="宋体"/>
      </w:rPr>
    </w:lvl>
    <w:lvl w:ilvl="2" w:tentative="0">
      <w:start w:val="1"/>
      <w:numFmt w:val="decimal"/>
      <w:lvlText w:val="%1.%2.%3"/>
      <w:lvlJc w:val="left"/>
      <w:pPr>
        <w:ind w:left="709" w:hanging="709"/>
      </w:pPr>
      <w:rPr>
        <w:rFonts w:hint="default" w:ascii="Times New Roman" w:hAnsi="Times New Roman" w:eastAsia="宋体" w:cs="宋体"/>
      </w:rPr>
    </w:lvl>
    <w:lvl w:ilvl="3" w:tentative="0">
      <w:start w:val="1"/>
      <w:numFmt w:val="decimal"/>
      <w:lvlText w:val="%1.%2.%3.%4"/>
      <w:lvlJc w:val="left"/>
      <w:pPr>
        <w:ind w:left="850" w:hanging="850"/>
      </w:pPr>
      <w:rPr>
        <w:rFonts w:hint="default" w:ascii="Times New Roman" w:hAnsi="Times New Roman"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EBBFE524"/>
    <w:multiLevelType w:val="singleLevel"/>
    <w:tmpl w:val="EBBFE524"/>
    <w:lvl w:ilvl="0" w:tentative="0">
      <w:start w:val="1"/>
      <w:numFmt w:val="decimal"/>
      <w:lvlText w:val="%1)"/>
      <w:lvlJc w:val="left"/>
      <w:pPr>
        <w:ind w:left="845" w:hanging="425"/>
      </w:pPr>
      <w:rPr>
        <w:rFonts w:hint="default"/>
      </w:rPr>
    </w:lvl>
  </w:abstractNum>
  <w:abstractNum w:abstractNumId="2">
    <w:nsid w:val="EC940DA1"/>
    <w:multiLevelType w:val="multilevel"/>
    <w:tmpl w:val="EC940DA1"/>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567"/>
        </w:tabs>
        <w:ind w:left="0" w:firstLine="0"/>
      </w:pPr>
      <w:rPr>
        <w:rFonts w:hint="default" w:ascii="Times New Roman" w:hAnsi="Times New Roman" w:cs="Times New Roman"/>
      </w:rPr>
    </w:lvl>
    <w:lvl w:ilvl="2" w:tentative="0">
      <w:start w:val="1"/>
      <w:numFmt w:val="decimal"/>
      <w:lvlText w:val="%1.%2.%3"/>
      <w:lvlJc w:val="left"/>
      <w:pPr>
        <w:tabs>
          <w:tab w:val="left" w:pos="0"/>
        </w:tabs>
        <w:ind w:left="0" w:firstLine="0"/>
      </w:pPr>
      <w:rPr>
        <w:rFonts w:hint="eastAsia"/>
      </w:rPr>
    </w:lvl>
    <w:lvl w:ilvl="3" w:tentative="0">
      <w:start w:val="1"/>
      <w:numFmt w:val="decimal"/>
      <w:pStyle w:val="8"/>
      <w:lvlText w:val="%1.%2.%3.%4"/>
      <w:lvlJc w:val="left"/>
      <w:pPr>
        <w:tabs>
          <w:tab w:val="left" w:pos="0"/>
        </w:tabs>
        <w:ind w:left="1660" w:hanging="1660"/>
      </w:pPr>
      <w:rPr>
        <w:rFonts w:hint="eastAsia"/>
      </w:rPr>
    </w:lvl>
    <w:lvl w:ilvl="4" w:tentative="0">
      <w:start w:val="1"/>
      <w:numFmt w:val="decimal"/>
      <w:suff w:val="nothing"/>
      <w:lvlText w:val="%1.%2.%3.%4.%5"/>
      <w:lvlJc w:val="left"/>
      <w:pPr>
        <w:tabs>
          <w:tab w:val="left" w:pos="0"/>
        </w:tabs>
        <w:ind w:left="0" w:firstLine="0"/>
      </w:pPr>
      <w:rPr>
        <w:rFonts w:hint="default"/>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
    <w:nsid w:val="FFFFFF80"/>
    <w:multiLevelType w:val="singleLevel"/>
    <w:tmpl w:val="FFFFFF80"/>
    <w:lvl w:ilvl="0" w:tentative="0">
      <w:start w:val="1"/>
      <w:numFmt w:val="bullet"/>
      <w:pStyle w:val="26"/>
      <w:lvlText w:val=""/>
      <w:lvlJc w:val="left"/>
      <w:pPr>
        <w:tabs>
          <w:tab w:val="left" w:pos="2040"/>
        </w:tabs>
        <w:ind w:left="2040" w:hanging="360"/>
      </w:pPr>
      <w:rPr>
        <w:rFonts w:hint="default" w:ascii="Wingdings" w:hAnsi="Wingdings"/>
      </w:rPr>
    </w:lvl>
  </w:abstractNum>
  <w:abstractNum w:abstractNumId="4">
    <w:nsid w:val="00000017"/>
    <w:multiLevelType w:val="singleLevel"/>
    <w:tmpl w:val="00000017"/>
    <w:lvl w:ilvl="0" w:tentative="0">
      <w:start w:val="1"/>
      <w:numFmt w:val="bullet"/>
      <w:pStyle w:val="19"/>
      <w:lvlText w:val=""/>
      <w:lvlJc w:val="left"/>
      <w:pPr>
        <w:tabs>
          <w:tab w:val="left" w:pos="360"/>
        </w:tabs>
        <w:ind w:left="360" w:hanging="360"/>
      </w:pPr>
      <w:rPr>
        <w:rFonts w:hint="default" w:ascii="Wingdings" w:hAnsi="Wingdings"/>
      </w:rPr>
    </w:lvl>
  </w:abstractNum>
  <w:abstractNum w:abstractNumId="5">
    <w:nsid w:val="03852888"/>
    <w:multiLevelType w:val="multilevel"/>
    <w:tmpl w:val="03852888"/>
    <w:lvl w:ilvl="0" w:tentative="0">
      <w:start w:val="1"/>
      <w:numFmt w:val="decimal"/>
      <w:lvlText w:val="%1"/>
      <w:lvlJc w:val="left"/>
      <w:pPr>
        <w:ind w:left="425" w:hanging="425"/>
      </w:pPr>
      <w:rPr>
        <w:rFonts w:hint="default" w:ascii="Times New Roman" w:hAnsi="Times New Roman" w:eastAsia="宋体" w:cs="宋体"/>
      </w:rPr>
    </w:lvl>
    <w:lvl w:ilvl="1" w:tentative="0">
      <w:start w:val="1"/>
      <w:numFmt w:val="decimal"/>
      <w:lvlText w:val="%1.%2"/>
      <w:lvlJc w:val="left"/>
      <w:pPr>
        <w:ind w:left="567" w:hanging="567"/>
      </w:pPr>
      <w:rPr>
        <w:rFonts w:hint="default" w:ascii="Times New Roman" w:hAnsi="Times New Roman" w:eastAsia="宋体" w:cs="宋体"/>
      </w:rPr>
    </w:lvl>
    <w:lvl w:ilvl="2" w:tentative="0">
      <w:start w:val="1"/>
      <w:numFmt w:val="decimal"/>
      <w:lvlText w:val="%1.%2.%3"/>
      <w:lvlJc w:val="left"/>
      <w:pPr>
        <w:ind w:left="709" w:hanging="709"/>
      </w:pPr>
      <w:rPr>
        <w:rFonts w:hint="default" w:ascii="Times New Roman" w:hAnsi="Times New Roman" w:eastAsia="宋体" w:cs="宋体"/>
      </w:rPr>
    </w:lvl>
    <w:lvl w:ilvl="3" w:tentative="0">
      <w:start w:val="1"/>
      <w:numFmt w:val="decimal"/>
      <w:lvlText w:val="%1.%2.%3.%4"/>
      <w:lvlJc w:val="left"/>
      <w:pPr>
        <w:ind w:left="850" w:hanging="850"/>
      </w:pPr>
      <w:rPr>
        <w:rFonts w:hint="default" w:ascii="Times New Roman" w:hAnsi="Times New Roman"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045E3BB8"/>
    <w:multiLevelType w:val="multilevel"/>
    <w:tmpl w:val="045E3BB8"/>
    <w:lvl w:ilvl="0" w:tentative="0">
      <w:start w:val="1"/>
      <w:numFmt w:val="decimal"/>
      <w:lvlText w:val="%1"/>
      <w:lvlJc w:val="center"/>
      <w:pPr>
        <w:ind w:left="582" w:hanging="440"/>
      </w:pPr>
      <w:rPr>
        <w:rFonts w:hint="eastAsia"/>
      </w:rPr>
    </w:lvl>
    <w:lvl w:ilvl="1" w:tentative="0">
      <w:start w:val="1"/>
      <w:numFmt w:val="lowerLetter"/>
      <w:lvlText w:val="%2)"/>
      <w:lvlJc w:val="left"/>
      <w:pPr>
        <w:ind w:left="1022" w:hanging="440"/>
      </w:pPr>
    </w:lvl>
    <w:lvl w:ilvl="2" w:tentative="0">
      <w:start w:val="1"/>
      <w:numFmt w:val="lowerRoman"/>
      <w:lvlText w:val="%3."/>
      <w:lvlJc w:val="right"/>
      <w:pPr>
        <w:ind w:left="1462" w:hanging="440"/>
      </w:pPr>
    </w:lvl>
    <w:lvl w:ilvl="3" w:tentative="0">
      <w:start w:val="1"/>
      <w:numFmt w:val="decimal"/>
      <w:lvlText w:val="%4."/>
      <w:lvlJc w:val="left"/>
      <w:pPr>
        <w:ind w:left="1902" w:hanging="440"/>
      </w:pPr>
    </w:lvl>
    <w:lvl w:ilvl="4" w:tentative="0">
      <w:start w:val="1"/>
      <w:numFmt w:val="lowerLetter"/>
      <w:lvlText w:val="%5)"/>
      <w:lvlJc w:val="left"/>
      <w:pPr>
        <w:ind w:left="2342" w:hanging="440"/>
      </w:pPr>
    </w:lvl>
    <w:lvl w:ilvl="5" w:tentative="0">
      <w:start w:val="1"/>
      <w:numFmt w:val="lowerRoman"/>
      <w:lvlText w:val="%6."/>
      <w:lvlJc w:val="right"/>
      <w:pPr>
        <w:ind w:left="2782" w:hanging="440"/>
      </w:pPr>
    </w:lvl>
    <w:lvl w:ilvl="6" w:tentative="0">
      <w:start w:val="1"/>
      <w:numFmt w:val="decimal"/>
      <w:lvlText w:val="%7."/>
      <w:lvlJc w:val="left"/>
      <w:pPr>
        <w:ind w:left="3222" w:hanging="440"/>
      </w:pPr>
    </w:lvl>
    <w:lvl w:ilvl="7" w:tentative="0">
      <w:start w:val="1"/>
      <w:numFmt w:val="lowerLetter"/>
      <w:lvlText w:val="%8)"/>
      <w:lvlJc w:val="left"/>
      <w:pPr>
        <w:ind w:left="3662" w:hanging="440"/>
      </w:pPr>
    </w:lvl>
    <w:lvl w:ilvl="8" w:tentative="0">
      <w:start w:val="1"/>
      <w:numFmt w:val="lowerRoman"/>
      <w:lvlText w:val="%9."/>
      <w:lvlJc w:val="right"/>
      <w:pPr>
        <w:ind w:left="4102" w:hanging="440"/>
      </w:pPr>
    </w:lvl>
  </w:abstractNum>
  <w:abstractNum w:abstractNumId="7">
    <w:nsid w:val="0AF80159"/>
    <w:multiLevelType w:val="multilevel"/>
    <w:tmpl w:val="0AF80159"/>
    <w:lvl w:ilvl="0" w:tentative="0">
      <w:start w:val="1"/>
      <w:numFmt w:val="decimal"/>
      <w:lvlText w:val="%1"/>
      <w:lvlJc w:val="left"/>
      <w:pPr>
        <w:ind w:left="425" w:hanging="425"/>
      </w:pPr>
      <w:rPr>
        <w:rFonts w:hint="default" w:ascii="Times New Roman" w:hAnsi="Times New Roman" w:eastAsia="宋体" w:cs="宋体"/>
      </w:rPr>
    </w:lvl>
    <w:lvl w:ilvl="1" w:tentative="0">
      <w:start w:val="1"/>
      <w:numFmt w:val="decimal"/>
      <w:lvlText w:val="%1.%2"/>
      <w:lvlJc w:val="left"/>
      <w:pPr>
        <w:ind w:left="567" w:hanging="567"/>
      </w:pPr>
      <w:rPr>
        <w:rFonts w:hint="default" w:ascii="Times New Roman" w:hAnsi="Times New Roman" w:eastAsia="宋体" w:cs="宋体"/>
      </w:rPr>
    </w:lvl>
    <w:lvl w:ilvl="2" w:tentative="0">
      <w:start w:val="1"/>
      <w:numFmt w:val="decimal"/>
      <w:lvlText w:val="%1.%2.%3"/>
      <w:lvlJc w:val="left"/>
      <w:pPr>
        <w:ind w:left="709" w:hanging="709"/>
      </w:pPr>
      <w:rPr>
        <w:rFonts w:hint="default" w:ascii="Times New Roman" w:hAnsi="Times New Roman" w:eastAsia="宋体" w:cs="宋体"/>
      </w:rPr>
    </w:lvl>
    <w:lvl w:ilvl="3" w:tentative="0">
      <w:start w:val="1"/>
      <w:numFmt w:val="decimal"/>
      <w:lvlText w:val="%1.%2.%3.%4"/>
      <w:lvlJc w:val="left"/>
      <w:pPr>
        <w:ind w:left="850" w:hanging="850"/>
      </w:pPr>
      <w:rPr>
        <w:rFonts w:hint="default" w:ascii="Times New Roman" w:hAnsi="Times New Roman"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0E1A3276"/>
    <w:multiLevelType w:val="multilevel"/>
    <w:tmpl w:val="0E1A3276"/>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4257DFB"/>
    <w:multiLevelType w:val="multilevel"/>
    <w:tmpl w:val="14257DFB"/>
    <w:lvl w:ilvl="0" w:tentative="0">
      <w:start w:val="1"/>
      <w:numFmt w:val="decimal"/>
      <w:lvlText w:val="%1"/>
      <w:lvlJc w:val="left"/>
      <w:pPr>
        <w:ind w:left="425" w:hanging="425"/>
      </w:pPr>
      <w:rPr>
        <w:rFonts w:hint="default" w:ascii="Times New Roman" w:hAnsi="Times New Roman" w:eastAsia="宋体" w:cs="宋体"/>
      </w:rPr>
    </w:lvl>
    <w:lvl w:ilvl="1" w:tentative="0">
      <w:start w:val="1"/>
      <w:numFmt w:val="decimal"/>
      <w:lvlText w:val="%1.%2"/>
      <w:lvlJc w:val="left"/>
      <w:pPr>
        <w:ind w:left="567" w:hanging="567"/>
      </w:pPr>
      <w:rPr>
        <w:rFonts w:hint="default" w:ascii="Times New Roman" w:hAnsi="Times New Roman" w:eastAsia="宋体" w:cs="宋体"/>
      </w:rPr>
    </w:lvl>
    <w:lvl w:ilvl="2" w:tentative="0">
      <w:start w:val="1"/>
      <w:numFmt w:val="decimal"/>
      <w:lvlText w:val="%1.%2.%3"/>
      <w:lvlJc w:val="left"/>
      <w:pPr>
        <w:ind w:left="709" w:hanging="709"/>
      </w:pPr>
      <w:rPr>
        <w:rFonts w:hint="default" w:ascii="Times New Roman" w:hAnsi="Times New Roman" w:eastAsia="宋体" w:cs="宋体"/>
      </w:rPr>
    </w:lvl>
    <w:lvl w:ilvl="3" w:tentative="0">
      <w:start w:val="1"/>
      <w:numFmt w:val="decimal"/>
      <w:lvlText w:val="%1.%2.%3.%4"/>
      <w:lvlJc w:val="left"/>
      <w:pPr>
        <w:ind w:left="850" w:hanging="850"/>
      </w:pPr>
      <w:rPr>
        <w:rFonts w:hint="default" w:ascii="Times New Roman" w:hAnsi="Times New Roman"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14907AE0"/>
    <w:multiLevelType w:val="multilevel"/>
    <w:tmpl w:val="14907AE0"/>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1DB7D731"/>
    <w:multiLevelType w:val="multilevel"/>
    <w:tmpl w:val="1DB7D731"/>
    <w:lvl w:ilvl="0" w:tentative="0">
      <w:start w:val="1"/>
      <w:numFmt w:val="decimal"/>
      <w:lvlText w:val="%1"/>
      <w:lvlJc w:val="left"/>
      <w:pPr>
        <w:ind w:left="425" w:hanging="425"/>
      </w:pPr>
      <w:rPr>
        <w:rFonts w:hint="default" w:ascii="Times New Roman" w:hAnsi="Times New Roman" w:eastAsia="宋体" w:cs="宋体"/>
      </w:rPr>
    </w:lvl>
    <w:lvl w:ilvl="1" w:tentative="0">
      <w:start w:val="1"/>
      <w:numFmt w:val="decimal"/>
      <w:lvlText w:val="%1.%2"/>
      <w:lvlJc w:val="left"/>
      <w:pPr>
        <w:ind w:left="567" w:hanging="567"/>
      </w:pPr>
      <w:rPr>
        <w:rFonts w:hint="default" w:ascii="Times New Roman" w:hAnsi="Times New Roman" w:eastAsia="宋体" w:cs="宋体"/>
      </w:rPr>
    </w:lvl>
    <w:lvl w:ilvl="2" w:tentative="0">
      <w:start w:val="1"/>
      <w:numFmt w:val="decimal"/>
      <w:lvlText w:val="%1.%2.%3"/>
      <w:lvlJc w:val="left"/>
      <w:pPr>
        <w:ind w:left="709" w:hanging="709"/>
      </w:pPr>
      <w:rPr>
        <w:rFonts w:hint="default" w:ascii="Times New Roman" w:hAnsi="Times New Roman" w:eastAsia="宋体" w:cs="宋体"/>
      </w:rPr>
    </w:lvl>
    <w:lvl w:ilvl="3" w:tentative="0">
      <w:start w:val="1"/>
      <w:numFmt w:val="decimal"/>
      <w:lvlText w:val="%1.%2.%3.%4"/>
      <w:lvlJc w:val="left"/>
      <w:pPr>
        <w:ind w:left="850" w:hanging="850"/>
      </w:pPr>
      <w:rPr>
        <w:rFonts w:hint="default" w:ascii="Times New Roman" w:hAnsi="Times New Roman"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2">
    <w:nsid w:val="21D17FB2"/>
    <w:multiLevelType w:val="multilevel"/>
    <w:tmpl w:val="21D17FB2"/>
    <w:lvl w:ilvl="0" w:tentative="0">
      <w:start w:val="1"/>
      <w:numFmt w:val="decimal"/>
      <w:lvlText w:val="%1"/>
      <w:lvlJc w:val="center"/>
      <w:pPr>
        <w:ind w:left="582" w:hanging="440"/>
      </w:pPr>
      <w:rPr>
        <w:rFonts w:hint="eastAsia"/>
      </w:rPr>
    </w:lvl>
    <w:lvl w:ilvl="1" w:tentative="0">
      <w:start w:val="1"/>
      <w:numFmt w:val="lowerLetter"/>
      <w:lvlText w:val="%2)"/>
      <w:lvlJc w:val="left"/>
      <w:pPr>
        <w:ind w:left="1022" w:hanging="440"/>
      </w:pPr>
    </w:lvl>
    <w:lvl w:ilvl="2" w:tentative="0">
      <w:start w:val="1"/>
      <w:numFmt w:val="lowerRoman"/>
      <w:lvlText w:val="%3."/>
      <w:lvlJc w:val="right"/>
      <w:pPr>
        <w:ind w:left="1462" w:hanging="440"/>
      </w:pPr>
    </w:lvl>
    <w:lvl w:ilvl="3" w:tentative="0">
      <w:start w:val="1"/>
      <w:numFmt w:val="decimal"/>
      <w:lvlText w:val="%4."/>
      <w:lvlJc w:val="left"/>
      <w:pPr>
        <w:ind w:left="1902" w:hanging="440"/>
      </w:pPr>
    </w:lvl>
    <w:lvl w:ilvl="4" w:tentative="0">
      <w:start w:val="1"/>
      <w:numFmt w:val="lowerLetter"/>
      <w:lvlText w:val="%5)"/>
      <w:lvlJc w:val="left"/>
      <w:pPr>
        <w:ind w:left="2342" w:hanging="440"/>
      </w:pPr>
    </w:lvl>
    <w:lvl w:ilvl="5" w:tentative="0">
      <w:start w:val="1"/>
      <w:numFmt w:val="lowerRoman"/>
      <w:lvlText w:val="%6."/>
      <w:lvlJc w:val="right"/>
      <w:pPr>
        <w:ind w:left="2782" w:hanging="440"/>
      </w:pPr>
    </w:lvl>
    <w:lvl w:ilvl="6" w:tentative="0">
      <w:start w:val="1"/>
      <w:numFmt w:val="decimal"/>
      <w:lvlText w:val="%7."/>
      <w:lvlJc w:val="left"/>
      <w:pPr>
        <w:ind w:left="3222" w:hanging="440"/>
      </w:pPr>
    </w:lvl>
    <w:lvl w:ilvl="7" w:tentative="0">
      <w:start w:val="1"/>
      <w:numFmt w:val="lowerLetter"/>
      <w:lvlText w:val="%8)"/>
      <w:lvlJc w:val="left"/>
      <w:pPr>
        <w:ind w:left="3662" w:hanging="440"/>
      </w:pPr>
    </w:lvl>
    <w:lvl w:ilvl="8" w:tentative="0">
      <w:start w:val="1"/>
      <w:numFmt w:val="lowerRoman"/>
      <w:lvlText w:val="%9."/>
      <w:lvlJc w:val="right"/>
      <w:pPr>
        <w:ind w:left="4102" w:hanging="440"/>
      </w:pPr>
    </w:lvl>
  </w:abstractNum>
  <w:abstractNum w:abstractNumId="13">
    <w:nsid w:val="221C36F2"/>
    <w:multiLevelType w:val="multilevel"/>
    <w:tmpl w:val="221C36F2"/>
    <w:lvl w:ilvl="0" w:tentative="0">
      <w:start w:val="1"/>
      <w:numFmt w:val="decimal"/>
      <w:lvlText w:val="%1"/>
      <w:lvlJc w:val="center"/>
      <w:pPr>
        <w:ind w:left="582" w:hanging="440"/>
      </w:pPr>
      <w:rPr>
        <w:rFonts w:hint="eastAsia"/>
      </w:rPr>
    </w:lvl>
    <w:lvl w:ilvl="1" w:tentative="0">
      <w:start w:val="1"/>
      <w:numFmt w:val="lowerLetter"/>
      <w:lvlText w:val="%2)"/>
      <w:lvlJc w:val="left"/>
      <w:pPr>
        <w:ind w:left="1022" w:hanging="440"/>
      </w:pPr>
    </w:lvl>
    <w:lvl w:ilvl="2" w:tentative="0">
      <w:start w:val="1"/>
      <w:numFmt w:val="lowerRoman"/>
      <w:lvlText w:val="%3."/>
      <w:lvlJc w:val="right"/>
      <w:pPr>
        <w:ind w:left="1462" w:hanging="440"/>
      </w:pPr>
    </w:lvl>
    <w:lvl w:ilvl="3" w:tentative="0">
      <w:start w:val="1"/>
      <w:numFmt w:val="decimal"/>
      <w:lvlText w:val="%4."/>
      <w:lvlJc w:val="left"/>
      <w:pPr>
        <w:ind w:left="1902" w:hanging="440"/>
      </w:pPr>
    </w:lvl>
    <w:lvl w:ilvl="4" w:tentative="0">
      <w:start w:val="1"/>
      <w:numFmt w:val="lowerLetter"/>
      <w:lvlText w:val="%5)"/>
      <w:lvlJc w:val="left"/>
      <w:pPr>
        <w:ind w:left="2342" w:hanging="440"/>
      </w:pPr>
    </w:lvl>
    <w:lvl w:ilvl="5" w:tentative="0">
      <w:start w:val="1"/>
      <w:numFmt w:val="lowerRoman"/>
      <w:lvlText w:val="%6."/>
      <w:lvlJc w:val="right"/>
      <w:pPr>
        <w:ind w:left="2782" w:hanging="440"/>
      </w:pPr>
    </w:lvl>
    <w:lvl w:ilvl="6" w:tentative="0">
      <w:start w:val="1"/>
      <w:numFmt w:val="decimal"/>
      <w:lvlText w:val="%7."/>
      <w:lvlJc w:val="left"/>
      <w:pPr>
        <w:ind w:left="3222" w:hanging="440"/>
      </w:pPr>
    </w:lvl>
    <w:lvl w:ilvl="7" w:tentative="0">
      <w:start w:val="1"/>
      <w:numFmt w:val="lowerLetter"/>
      <w:lvlText w:val="%8)"/>
      <w:lvlJc w:val="left"/>
      <w:pPr>
        <w:ind w:left="3662" w:hanging="440"/>
      </w:pPr>
    </w:lvl>
    <w:lvl w:ilvl="8" w:tentative="0">
      <w:start w:val="1"/>
      <w:numFmt w:val="lowerRoman"/>
      <w:lvlText w:val="%9."/>
      <w:lvlJc w:val="right"/>
      <w:pPr>
        <w:ind w:left="4102" w:hanging="440"/>
      </w:pPr>
    </w:lvl>
  </w:abstractNum>
  <w:abstractNum w:abstractNumId="14">
    <w:nsid w:val="2B4D6526"/>
    <w:multiLevelType w:val="multilevel"/>
    <w:tmpl w:val="2B4D6526"/>
    <w:lvl w:ilvl="0" w:tentative="0">
      <w:start w:val="1"/>
      <w:numFmt w:val="decimal"/>
      <w:lvlText w:val="%1"/>
      <w:lvlJc w:val="left"/>
      <w:pPr>
        <w:ind w:left="425" w:hanging="425"/>
      </w:pPr>
      <w:rPr>
        <w:rFonts w:hint="default" w:ascii="Times New Roman" w:hAnsi="Times New Roman" w:eastAsia="宋体" w:cs="宋体"/>
        <w:b/>
      </w:rPr>
    </w:lvl>
    <w:lvl w:ilvl="1" w:tentative="0">
      <w:start w:val="1"/>
      <w:numFmt w:val="decimal"/>
      <w:lvlText w:val="%1.%2"/>
      <w:lvlJc w:val="left"/>
      <w:pPr>
        <w:ind w:left="567" w:hanging="567"/>
      </w:pPr>
      <w:rPr>
        <w:rFonts w:hint="default" w:ascii="Times New Roman" w:hAnsi="Times New Roman" w:eastAsia="宋体" w:cs="宋体"/>
      </w:rPr>
    </w:lvl>
    <w:lvl w:ilvl="2" w:tentative="0">
      <w:start w:val="1"/>
      <w:numFmt w:val="decimal"/>
      <w:lvlText w:val="%1.%2.%3"/>
      <w:lvlJc w:val="left"/>
      <w:pPr>
        <w:ind w:left="709" w:hanging="709"/>
      </w:pPr>
      <w:rPr>
        <w:rFonts w:hint="default" w:ascii="Times New Roman" w:hAnsi="Times New Roman" w:eastAsia="宋体" w:cs="宋体"/>
      </w:rPr>
    </w:lvl>
    <w:lvl w:ilvl="3" w:tentative="0">
      <w:start w:val="1"/>
      <w:numFmt w:val="decimal"/>
      <w:lvlText w:val="%1.%2.%3.%4"/>
      <w:lvlJc w:val="left"/>
      <w:pPr>
        <w:ind w:left="850" w:hanging="850"/>
      </w:pPr>
      <w:rPr>
        <w:rFonts w:hint="default" w:ascii="Times New Roman" w:hAnsi="Times New Roman"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5">
    <w:nsid w:val="2EDA2C77"/>
    <w:multiLevelType w:val="multilevel"/>
    <w:tmpl w:val="2EDA2C77"/>
    <w:lvl w:ilvl="0" w:tentative="0">
      <w:start w:val="1"/>
      <w:numFmt w:val="decimal"/>
      <w:lvlText w:val="%1"/>
      <w:lvlJc w:val="center"/>
      <w:pPr>
        <w:ind w:left="582" w:hanging="440"/>
      </w:pPr>
      <w:rPr>
        <w:rFonts w:hint="eastAsia"/>
      </w:rPr>
    </w:lvl>
    <w:lvl w:ilvl="1" w:tentative="0">
      <w:start w:val="1"/>
      <w:numFmt w:val="lowerLetter"/>
      <w:lvlText w:val="%2)"/>
      <w:lvlJc w:val="left"/>
      <w:pPr>
        <w:ind w:left="1022" w:hanging="440"/>
      </w:pPr>
    </w:lvl>
    <w:lvl w:ilvl="2" w:tentative="0">
      <w:start w:val="1"/>
      <w:numFmt w:val="lowerRoman"/>
      <w:lvlText w:val="%3."/>
      <w:lvlJc w:val="right"/>
      <w:pPr>
        <w:ind w:left="1462" w:hanging="440"/>
      </w:pPr>
    </w:lvl>
    <w:lvl w:ilvl="3" w:tentative="0">
      <w:start w:val="1"/>
      <w:numFmt w:val="decimal"/>
      <w:lvlText w:val="%4."/>
      <w:lvlJc w:val="left"/>
      <w:pPr>
        <w:ind w:left="1902" w:hanging="440"/>
      </w:pPr>
    </w:lvl>
    <w:lvl w:ilvl="4" w:tentative="0">
      <w:start w:val="1"/>
      <w:numFmt w:val="lowerLetter"/>
      <w:lvlText w:val="%5)"/>
      <w:lvlJc w:val="left"/>
      <w:pPr>
        <w:ind w:left="2342" w:hanging="440"/>
      </w:pPr>
    </w:lvl>
    <w:lvl w:ilvl="5" w:tentative="0">
      <w:start w:val="1"/>
      <w:numFmt w:val="lowerRoman"/>
      <w:lvlText w:val="%6."/>
      <w:lvlJc w:val="right"/>
      <w:pPr>
        <w:ind w:left="2782" w:hanging="440"/>
      </w:pPr>
    </w:lvl>
    <w:lvl w:ilvl="6" w:tentative="0">
      <w:start w:val="1"/>
      <w:numFmt w:val="decimal"/>
      <w:lvlText w:val="%7."/>
      <w:lvlJc w:val="left"/>
      <w:pPr>
        <w:ind w:left="3222" w:hanging="440"/>
      </w:pPr>
    </w:lvl>
    <w:lvl w:ilvl="7" w:tentative="0">
      <w:start w:val="1"/>
      <w:numFmt w:val="lowerLetter"/>
      <w:lvlText w:val="%8)"/>
      <w:lvlJc w:val="left"/>
      <w:pPr>
        <w:ind w:left="3662" w:hanging="440"/>
      </w:pPr>
    </w:lvl>
    <w:lvl w:ilvl="8" w:tentative="0">
      <w:start w:val="1"/>
      <w:numFmt w:val="lowerRoman"/>
      <w:lvlText w:val="%9."/>
      <w:lvlJc w:val="right"/>
      <w:pPr>
        <w:ind w:left="4102" w:hanging="440"/>
      </w:pPr>
    </w:lvl>
  </w:abstractNum>
  <w:abstractNum w:abstractNumId="16">
    <w:nsid w:val="35E00B9F"/>
    <w:multiLevelType w:val="multilevel"/>
    <w:tmpl w:val="35E00B9F"/>
    <w:lvl w:ilvl="0" w:tentative="0">
      <w:start w:val="1"/>
      <w:numFmt w:val="decimal"/>
      <w:lvlText w:val="%1"/>
      <w:lvlJc w:val="left"/>
      <w:pPr>
        <w:ind w:left="425" w:hanging="425"/>
      </w:pPr>
      <w:rPr>
        <w:rFonts w:hint="default" w:ascii="Times New Roman" w:hAnsi="Times New Roman" w:eastAsia="宋体" w:cs="宋体"/>
      </w:rPr>
    </w:lvl>
    <w:lvl w:ilvl="1" w:tentative="0">
      <w:start w:val="1"/>
      <w:numFmt w:val="decimal"/>
      <w:lvlText w:val="%1.%2"/>
      <w:lvlJc w:val="left"/>
      <w:pPr>
        <w:ind w:left="567" w:hanging="567"/>
      </w:pPr>
      <w:rPr>
        <w:rFonts w:hint="default" w:ascii="Times New Roman" w:hAnsi="Times New Roman" w:eastAsia="宋体" w:cs="宋体"/>
      </w:rPr>
    </w:lvl>
    <w:lvl w:ilvl="2" w:tentative="0">
      <w:start w:val="1"/>
      <w:numFmt w:val="decimal"/>
      <w:lvlText w:val="%1.%2.%3"/>
      <w:lvlJc w:val="left"/>
      <w:pPr>
        <w:ind w:left="709" w:hanging="709"/>
      </w:pPr>
      <w:rPr>
        <w:rFonts w:hint="default" w:ascii="Times New Roman" w:hAnsi="Times New Roman" w:eastAsia="宋体" w:cs="宋体"/>
      </w:rPr>
    </w:lvl>
    <w:lvl w:ilvl="3" w:tentative="0">
      <w:start w:val="1"/>
      <w:numFmt w:val="decimal"/>
      <w:lvlText w:val="%1.%2.%3.%4"/>
      <w:lvlJc w:val="left"/>
      <w:pPr>
        <w:ind w:left="850" w:hanging="850"/>
      </w:pPr>
      <w:rPr>
        <w:rFonts w:hint="default" w:ascii="Times New Roman" w:hAnsi="Times New Roman"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7">
    <w:nsid w:val="3CFB21A8"/>
    <w:multiLevelType w:val="multilevel"/>
    <w:tmpl w:val="3CFB21A8"/>
    <w:lvl w:ilvl="0" w:tentative="0">
      <w:start w:val="1"/>
      <w:numFmt w:val="decimal"/>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50410FDE"/>
    <w:multiLevelType w:val="multilevel"/>
    <w:tmpl w:val="50410FDE"/>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C237B5"/>
    <w:multiLevelType w:val="multilevel"/>
    <w:tmpl w:val="51C237B5"/>
    <w:lvl w:ilvl="0" w:tentative="0">
      <w:start w:val="1"/>
      <w:numFmt w:val="decimal"/>
      <w:lvlText w:val="%1"/>
      <w:lvlJc w:val="left"/>
      <w:pPr>
        <w:ind w:left="425" w:hanging="425"/>
      </w:pPr>
      <w:rPr>
        <w:rFonts w:hint="default" w:ascii="Times New Roman" w:hAnsi="Times New Roman" w:eastAsia="宋体" w:cs="宋体"/>
      </w:rPr>
    </w:lvl>
    <w:lvl w:ilvl="1" w:tentative="0">
      <w:start w:val="1"/>
      <w:numFmt w:val="decimal"/>
      <w:lvlText w:val="%1.%2"/>
      <w:lvlJc w:val="left"/>
      <w:pPr>
        <w:ind w:left="567" w:hanging="567"/>
      </w:pPr>
      <w:rPr>
        <w:rFonts w:hint="default" w:ascii="Times New Roman" w:hAnsi="Times New Roman" w:eastAsia="宋体" w:cs="宋体"/>
      </w:rPr>
    </w:lvl>
    <w:lvl w:ilvl="2" w:tentative="0">
      <w:start w:val="1"/>
      <w:numFmt w:val="decimal"/>
      <w:lvlText w:val="%1.%2.%3"/>
      <w:lvlJc w:val="left"/>
      <w:pPr>
        <w:ind w:left="709" w:hanging="709"/>
      </w:pPr>
      <w:rPr>
        <w:rFonts w:hint="default" w:ascii="Times New Roman" w:hAnsi="Times New Roman" w:eastAsia="宋体" w:cs="宋体"/>
      </w:rPr>
    </w:lvl>
    <w:lvl w:ilvl="3" w:tentative="0">
      <w:start w:val="1"/>
      <w:numFmt w:val="decimal"/>
      <w:lvlText w:val="%1.%2.%3.%4"/>
      <w:lvlJc w:val="left"/>
      <w:pPr>
        <w:ind w:left="850" w:hanging="850"/>
      </w:pPr>
      <w:rPr>
        <w:rFonts w:hint="default" w:ascii="Times New Roman" w:hAnsi="Times New Roman"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0">
    <w:nsid w:val="56F072A6"/>
    <w:multiLevelType w:val="multilevel"/>
    <w:tmpl w:val="56F072A6"/>
    <w:lvl w:ilvl="0" w:tentative="0">
      <w:start w:val="1"/>
      <w:numFmt w:val="decimal"/>
      <w:lvlText w:val="%1"/>
      <w:lvlJc w:val="center"/>
      <w:pPr>
        <w:ind w:left="582" w:hanging="440"/>
      </w:pPr>
      <w:rPr>
        <w:rFonts w:hint="eastAsia"/>
      </w:rPr>
    </w:lvl>
    <w:lvl w:ilvl="1" w:tentative="0">
      <w:start w:val="1"/>
      <w:numFmt w:val="lowerLetter"/>
      <w:lvlText w:val="%2)"/>
      <w:lvlJc w:val="left"/>
      <w:pPr>
        <w:ind w:left="1022" w:hanging="440"/>
      </w:pPr>
    </w:lvl>
    <w:lvl w:ilvl="2" w:tentative="0">
      <w:start w:val="1"/>
      <w:numFmt w:val="lowerRoman"/>
      <w:lvlText w:val="%3."/>
      <w:lvlJc w:val="right"/>
      <w:pPr>
        <w:ind w:left="1462" w:hanging="440"/>
      </w:pPr>
    </w:lvl>
    <w:lvl w:ilvl="3" w:tentative="0">
      <w:start w:val="1"/>
      <w:numFmt w:val="decimal"/>
      <w:lvlText w:val="%4."/>
      <w:lvlJc w:val="left"/>
      <w:pPr>
        <w:ind w:left="1902" w:hanging="440"/>
      </w:pPr>
    </w:lvl>
    <w:lvl w:ilvl="4" w:tentative="0">
      <w:start w:val="1"/>
      <w:numFmt w:val="lowerLetter"/>
      <w:lvlText w:val="%5)"/>
      <w:lvlJc w:val="left"/>
      <w:pPr>
        <w:ind w:left="2342" w:hanging="440"/>
      </w:pPr>
    </w:lvl>
    <w:lvl w:ilvl="5" w:tentative="0">
      <w:start w:val="1"/>
      <w:numFmt w:val="lowerRoman"/>
      <w:lvlText w:val="%6."/>
      <w:lvlJc w:val="right"/>
      <w:pPr>
        <w:ind w:left="2782" w:hanging="440"/>
      </w:pPr>
    </w:lvl>
    <w:lvl w:ilvl="6" w:tentative="0">
      <w:start w:val="1"/>
      <w:numFmt w:val="decimal"/>
      <w:lvlText w:val="%7."/>
      <w:lvlJc w:val="left"/>
      <w:pPr>
        <w:ind w:left="3222" w:hanging="440"/>
      </w:pPr>
    </w:lvl>
    <w:lvl w:ilvl="7" w:tentative="0">
      <w:start w:val="1"/>
      <w:numFmt w:val="lowerLetter"/>
      <w:lvlText w:val="%8)"/>
      <w:lvlJc w:val="left"/>
      <w:pPr>
        <w:ind w:left="3662" w:hanging="440"/>
      </w:pPr>
    </w:lvl>
    <w:lvl w:ilvl="8" w:tentative="0">
      <w:start w:val="1"/>
      <w:numFmt w:val="lowerRoman"/>
      <w:lvlText w:val="%9."/>
      <w:lvlJc w:val="right"/>
      <w:pPr>
        <w:ind w:left="4102" w:hanging="440"/>
      </w:pPr>
    </w:lvl>
  </w:abstractNum>
  <w:abstractNum w:abstractNumId="21">
    <w:nsid w:val="58975D68"/>
    <w:multiLevelType w:val="multilevel"/>
    <w:tmpl w:val="58975D68"/>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2">
    <w:nsid w:val="59A7161B"/>
    <w:multiLevelType w:val="multilevel"/>
    <w:tmpl w:val="59A7161B"/>
    <w:lvl w:ilvl="0" w:tentative="0">
      <w:start w:val="1"/>
      <w:numFmt w:val="decimal"/>
      <w:lvlText w:val="%1"/>
      <w:lvlJc w:val="left"/>
      <w:pPr>
        <w:ind w:left="425" w:hanging="425"/>
      </w:pPr>
      <w:rPr>
        <w:rFonts w:hint="default" w:ascii="Times New Roman" w:hAnsi="Times New Roman" w:eastAsia="宋体" w:cs="宋体"/>
      </w:rPr>
    </w:lvl>
    <w:lvl w:ilvl="1" w:tentative="0">
      <w:start w:val="1"/>
      <w:numFmt w:val="decimal"/>
      <w:lvlText w:val="%1.%2"/>
      <w:lvlJc w:val="left"/>
      <w:pPr>
        <w:ind w:left="567" w:hanging="567"/>
      </w:pPr>
      <w:rPr>
        <w:rFonts w:hint="default" w:ascii="Times New Roman" w:hAnsi="Times New Roman" w:eastAsia="宋体" w:cs="宋体"/>
      </w:rPr>
    </w:lvl>
    <w:lvl w:ilvl="2" w:tentative="0">
      <w:start w:val="1"/>
      <w:numFmt w:val="decimal"/>
      <w:lvlText w:val="%1.%2.%3"/>
      <w:lvlJc w:val="left"/>
      <w:pPr>
        <w:ind w:left="709" w:hanging="709"/>
      </w:pPr>
      <w:rPr>
        <w:rFonts w:hint="default" w:ascii="Times New Roman" w:hAnsi="Times New Roman" w:eastAsia="宋体" w:cs="宋体"/>
      </w:rPr>
    </w:lvl>
    <w:lvl w:ilvl="3" w:tentative="0">
      <w:start w:val="1"/>
      <w:numFmt w:val="decimal"/>
      <w:lvlText w:val="%1.%2.%3.%4"/>
      <w:lvlJc w:val="left"/>
      <w:pPr>
        <w:ind w:left="850" w:hanging="850"/>
      </w:pPr>
      <w:rPr>
        <w:rFonts w:hint="default" w:ascii="Times New Roman" w:hAnsi="Times New Roman"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3">
    <w:nsid w:val="5D985CBA"/>
    <w:multiLevelType w:val="multilevel"/>
    <w:tmpl w:val="5D985CBA"/>
    <w:lvl w:ilvl="0" w:tentative="0">
      <w:start w:val="1"/>
      <w:numFmt w:val="decimal"/>
      <w:lvlText w:val="%1"/>
      <w:lvlJc w:val="center"/>
      <w:pPr>
        <w:ind w:left="582" w:hanging="440"/>
      </w:pPr>
      <w:rPr>
        <w:rFonts w:hint="eastAsia"/>
      </w:rPr>
    </w:lvl>
    <w:lvl w:ilvl="1" w:tentative="0">
      <w:start w:val="1"/>
      <w:numFmt w:val="lowerLetter"/>
      <w:lvlText w:val="%2)"/>
      <w:lvlJc w:val="left"/>
      <w:pPr>
        <w:ind w:left="1022" w:hanging="440"/>
      </w:pPr>
    </w:lvl>
    <w:lvl w:ilvl="2" w:tentative="0">
      <w:start w:val="1"/>
      <w:numFmt w:val="lowerRoman"/>
      <w:lvlText w:val="%3."/>
      <w:lvlJc w:val="right"/>
      <w:pPr>
        <w:ind w:left="1462" w:hanging="440"/>
      </w:pPr>
    </w:lvl>
    <w:lvl w:ilvl="3" w:tentative="0">
      <w:start w:val="1"/>
      <w:numFmt w:val="decimal"/>
      <w:lvlText w:val="%4."/>
      <w:lvlJc w:val="left"/>
      <w:pPr>
        <w:ind w:left="1902" w:hanging="440"/>
      </w:pPr>
    </w:lvl>
    <w:lvl w:ilvl="4" w:tentative="0">
      <w:start w:val="1"/>
      <w:numFmt w:val="lowerLetter"/>
      <w:lvlText w:val="%5)"/>
      <w:lvlJc w:val="left"/>
      <w:pPr>
        <w:ind w:left="2342" w:hanging="440"/>
      </w:pPr>
    </w:lvl>
    <w:lvl w:ilvl="5" w:tentative="0">
      <w:start w:val="1"/>
      <w:numFmt w:val="lowerRoman"/>
      <w:lvlText w:val="%6."/>
      <w:lvlJc w:val="right"/>
      <w:pPr>
        <w:ind w:left="2782" w:hanging="440"/>
      </w:pPr>
    </w:lvl>
    <w:lvl w:ilvl="6" w:tentative="0">
      <w:start w:val="1"/>
      <w:numFmt w:val="decimal"/>
      <w:lvlText w:val="%7."/>
      <w:lvlJc w:val="left"/>
      <w:pPr>
        <w:ind w:left="3222" w:hanging="440"/>
      </w:pPr>
    </w:lvl>
    <w:lvl w:ilvl="7" w:tentative="0">
      <w:start w:val="1"/>
      <w:numFmt w:val="lowerLetter"/>
      <w:lvlText w:val="%8)"/>
      <w:lvlJc w:val="left"/>
      <w:pPr>
        <w:ind w:left="3662" w:hanging="440"/>
      </w:pPr>
    </w:lvl>
    <w:lvl w:ilvl="8" w:tentative="0">
      <w:start w:val="1"/>
      <w:numFmt w:val="lowerRoman"/>
      <w:lvlText w:val="%9."/>
      <w:lvlJc w:val="right"/>
      <w:pPr>
        <w:ind w:left="4102" w:hanging="440"/>
      </w:pPr>
    </w:lvl>
  </w:abstractNum>
  <w:abstractNum w:abstractNumId="24">
    <w:nsid w:val="600F5AB8"/>
    <w:multiLevelType w:val="multilevel"/>
    <w:tmpl w:val="600F5AB8"/>
    <w:lvl w:ilvl="0" w:tentative="0">
      <w:start w:val="1"/>
      <w:numFmt w:val="decimal"/>
      <w:lvlText w:val="%1"/>
      <w:lvlJc w:val="center"/>
      <w:pPr>
        <w:ind w:left="582" w:hanging="440"/>
      </w:pPr>
      <w:rPr>
        <w:rFonts w:hint="eastAsia"/>
      </w:rPr>
    </w:lvl>
    <w:lvl w:ilvl="1" w:tentative="0">
      <w:start w:val="1"/>
      <w:numFmt w:val="lowerLetter"/>
      <w:lvlText w:val="%2)"/>
      <w:lvlJc w:val="left"/>
      <w:pPr>
        <w:ind w:left="1022" w:hanging="440"/>
      </w:pPr>
    </w:lvl>
    <w:lvl w:ilvl="2" w:tentative="0">
      <w:start w:val="1"/>
      <w:numFmt w:val="lowerRoman"/>
      <w:lvlText w:val="%3."/>
      <w:lvlJc w:val="right"/>
      <w:pPr>
        <w:ind w:left="1462" w:hanging="440"/>
      </w:pPr>
    </w:lvl>
    <w:lvl w:ilvl="3" w:tentative="0">
      <w:start w:val="1"/>
      <w:numFmt w:val="decimal"/>
      <w:lvlText w:val="%4."/>
      <w:lvlJc w:val="left"/>
      <w:pPr>
        <w:ind w:left="1902" w:hanging="440"/>
      </w:pPr>
    </w:lvl>
    <w:lvl w:ilvl="4" w:tentative="0">
      <w:start w:val="1"/>
      <w:numFmt w:val="lowerLetter"/>
      <w:lvlText w:val="%5)"/>
      <w:lvlJc w:val="left"/>
      <w:pPr>
        <w:ind w:left="2342" w:hanging="440"/>
      </w:pPr>
    </w:lvl>
    <w:lvl w:ilvl="5" w:tentative="0">
      <w:start w:val="1"/>
      <w:numFmt w:val="lowerRoman"/>
      <w:lvlText w:val="%6."/>
      <w:lvlJc w:val="right"/>
      <w:pPr>
        <w:ind w:left="2782" w:hanging="440"/>
      </w:pPr>
    </w:lvl>
    <w:lvl w:ilvl="6" w:tentative="0">
      <w:start w:val="1"/>
      <w:numFmt w:val="decimal"/>
      <w:lvlText w:val="%7."/>
      <w:lvlJc w:val="left"/>
      <w:pPr>
        <w:ind w:left="3222" w:hanging="440"/>
      </w:pPr>
    </w:lvl>
    <w:lvl w:ilvl="7" w:tentative="0">
      <w:start w:val="1"/>
      <w:numFmt w:val="lowerLetter"/>
      <w:lvlText w:val="%8)"/>
      <w:lvlJc w:val="left"/>
      <w:pPr>
        <w:ind w:left="3662" w:hanging="440"/>
      </w:pPr>
    </w:lvl>
    <w:lvl w:ilvl="8" w:tentative="0">
      <w:start w:val="1"/>
      <w:numFmt w:val="lowerRoman"/>
      <w:lvlText w:val="%9."/>
      <w:lvlJc w:val="right"/>
      <w:pPr>
        <w:ind w:left="4102" w:hanging="440"/>
      </w:pPr>
    </w:lvl>
  </w:abstractNum>
  <w:abstractNum w:abstractNumId="25">
    <w:nsid w:val="609E4A0D"/>
    <w:multiLevelType w:val="multilevel"/>
    <w:tmpl w:val="609E4A0D"/>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6B085DFD"/>
    <w:multiLevelType w:val="multilevel"/>
    <w:tmpl w:val="6B085DFD"/>
    <w:lvl w:ilvl="0" w:tentative="0">
      <w:start w:val="1"/>
      <w:numFmt w:val="decimal"/>
      <w:lvlText w:val="%1"/>
      <w:lvlJc w:val="center"/>
      <w:pPr>
        <w:ind w:left="582" w:hanging="440"/>
      </w:pPr>
      <w:rPr>
        <w:rFonts w:hint="eastAsia"/>
      </w:rPr>
    </w:lvl>
    <w:lvl w:ilvl="1" w:tentative="0">
      <w:start w:val="1"/>
      <w:numFmt w:val="lowerLetter"/>
      <w:lvlText w:val="%2)"/>
      <w:lvlJc w:val="left"/>
      <w:pPr>
        <w:ind w:left="1022" w:hanging="440"/>
      </w:pPr>
    </w:lvl>
    <w:lvl w:ilvl="2" w:tentative="0">
      <w:start w:val="1"/>
      <w:numFmt w:val="lowerRoman"/>
      <w:lvlText w:val="%3."/>
      <w:lvlJc w:val="right"/>
      <w:pPr>
        <w:ind w:left="1462" w:hanging="440"/>
      </w:pPr>
    </w:lvl>
    <w:lvl w:ilvl="3" w:tentative="0">
      <w:start w:val="1"/>
      <w:numFmt w:val="decimal"/>
      <w:lvlText w:val="%4."/>
      <w:lvlJc w:val="left"/>
      <w:pPr>
        <w:ind w:left="1902" w:hanging="440"/>
      </w:pPr>
    </w:lvl>
    <w:lvl w:ilvl="4" w:tentative="0">
      <w:start w:val="1"/>
      <w:numFmt w:val="lowerLetter"/>
      <w:lvlText w:val="%5)"/>
      <w:lvlJc w:val="left"/>
      <w:pPr>
        <w:ind w:left="2342" w:hanging="440"/>
      </w:pPr>
    </w:lvl>
    <w:lvl w:ilvl="5" w:tentative="0">
      <w:start w:val="1"/>
      <w:numFmt w:val="lowerRoman"/>
      <w:lvlText w:val="%6."/>
      <w:lvlJc w:val="right"/>
      <w:pPr>
        <w:ind w:left="2782" w:hanging="440"/>
      </w:pPr>
    </w:lvl>
    <w:lvl w:ilvl="6" w:tentative="0">
      <w:start w:val="1"/>
      <w:numFmt w:val="decimal"/>
      <w:lvlText w:val="%7."/>
      <w:lvlJc w:val="left"/>
      <w:pPr>
        <w:ind w:left="3222" w:hanging="440"/>
      </w:pPr>
    </w:lvl>
    <w:lvl w:ilvl="7" w:tentative="0">
      <w:start w:val="1"/>
      <w:numFmt w:val="lowerLetter"/>
      <w:lvlText w:val="%8)"/>
      <w:lvlJc w:val="left"/>
      <w:pPr>
        <w:ind w:left="3662" w:hanging="440"/>
      </w:pPr>
    </w:lvl>
    <w:lvl w:ilvl="8" w:tentative="0">
      <w:start w:val="1"/>
      <w:numFmt w:val="lowerRoman"/>
      <w:lvlText w:val="%9."/>
      <w:lvlJc w:val="right"/>
      <w:pPr>
        <w:ind w:left="4102" w:hanging="440"/>
      </w:pPr>
    </w:lvl>
  </w:abstractNum>
  <w:abstractNum w:abstractNumId="27">
    <w:nsid w:val="6EC301E2"/>
    <w:multiLevelType w:val="multilevel"/>
    <w:tmpl w:val="6EC301E2"/>
    <w:lvl w:ilvl="0" w:tentative="0">
      <w:start w:val="1"/>
      <w:numFmt w:val="decimal"/>
      <w:lvlText w:val="%1"/>
      <w:lvlJc w:val="left"/>
      <w:pPr>
        <w:ind w:left="425" w:hanging="425"/>
      </w:pPr>
      <w:rPr>
        <w:rFonts w:hint="default" w:ascii="Times New Roman" w:hAnsi="Times New Roman" w:eastAsia="宋体" w:cs="宋体"/>
      </w:rPr>
    </w:lvl>
    <w:lvl w:ilvl="1" w:tentative="0">
      <w:start w:val="1"/>
      <w:numFmt w:val="decimal"/>
      <w:lvlText w:val="%1.%2"/>
      <w:lvlJc w:val="left"/>
      <w:pPr>
        <w:ind w:left="567" w:hanging="567"/>
      </w:pPr>
      <w:rPr>
        <w:rFonts w:hint="default" w:ascii="Times New Roman" w:hAnsi="Times New Roman" w:eastAsia="宋体" w:cs="宋体"/>
      </w:rPr>
    </w:lvl>
    <w:lvl w:ilvl="2" w:tentative="0">
      <w:start w:val="1"/>
      <w:numFmt w:val="decimal"/>
      <w:lvlText w:val="%1.%2.%3"/>
      <w:lvlJc w:val="left"/>
      <w:pPr>
        <w:ind w:left="709" w:hanging="709"/>
      </w:pPr>
      <w:rPr>
        <w:rFonts w:hint="default" w:ascii="Times New Roman" w:hAnsi="Times New Roman" w:eastAsia="宋体" w:cs="宋体"/>
      </w:rPr>
    </w:lvl>
    <w:lvl w:ilvl="3" w:tentative="0">
      <w:start w:val="1"/>
      <w:numFmt w:val="decimal"/>
      <w:lvlText w:val="%1.%2.%3.%4"/>
      <w:lvlJc w:val="left"/>
      <w:pPr>
        <w:ind w:left="850" w:hanging="850"/>
      </w:pPr>
      <w:rPr>
        <w:rFonts w:hint="default" w:ascii="Times New Roman" w:hAnsi="Times New Roman"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8">
    <w:nsid w:val="73060283"/>
    <w:multiLevelType w:val="multilevel"/>
    <w:tmpl w:val="73060283"/>
    <w:lvl w:ilvl="0" w:tentative="0">
      <w:start w:val="1"/>
      <w:numFmt w:val="decimal"/>
      <w:lvlText w:val="%1"/>
      <w:lvlJc w:val="left"/>
      <w:pPr>
        <w:ind w:left="425" w:hanging="425"/>
      </w:pPr>
      <w:rPr>
        <w:rFonts w:hint="default" w:ascii="Times New Roman" w:hAnsi="Times New Roman" w:eastAsia="宋体" w:cs="宋体"/>
      </w:rPr>
    </w:lvl>
    <w:lvl w:ilvl="1" w:tentative="0">
      <w:start w:val="1"/>
      <w:numFmt w:val="decimal"/>
      <w:lvlText w:val="%1.%2"/>
      <w:lvlJc w:val="left"/>
      <w:pPr>
        <w:ind w:left="567" w:hanging="567"/>
      </w:pPr>
      <w:rPr>
        <w:rFonts w:hint="default" w:ascii="Times New Roman" w:hAnsi="Times New Roman" w:eastAsia="宋体" w:cs="宋体"/>
      </w:rPr>
    </w:lvl>
    <w:lvl w:ilvl="2" w:tentative="0">
      <w:start w:val="1"/>
      <w:numFmt w:val="decimal"/>
      <w:lvlText w:val="%1.%2.%3"/>
      <w:lvlJc w:val="left"/>
      <w:pPr>
        <w:ind w:left="709" w:hanging="709"/>
      </w:pPr>
      <w:rPr>
        <w:rFonts w:hint="default" w:ascii="Times New Roman" w:hAnsi="Times New Roman" w:eastAsia="宋体" w:cs="宋体"/>
      </w:rPr>
    </w:lvl>
    <w:lvl w:ilvl="3" w:tentative="0">
      <w:start w:val="1"/>
      <w:numFmt w:val="decimal"/>
      <w:lvlText w:val="%1.%2.%3.%4"/>
      <w:lvlJc w:val="left"/>
      <w:pPr>
        <w:ind w:left="850" w:hanging="850"/>
      </w:pPr>
      <w:rPr>
        <w:rFonts w:hint="default" w:ascii="Times New Roman" w:hAnsi="Times New Roman"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9">
    <w:nsid w:val="7539F2A7"/>
    <w:multiLevelType w:val="multilevel"/>
    <w:tmpl w:val="7539F2A7"/>
    <w:lvl w:ilvl="0" w:tentative="0">
      <w:start w:val="1"/>
      <w:numFmt w:val="decimal"/>
      <w:lvlText w:val="%1"/>
      <w:lvlJc w:val="left"/>
      <w:pPr>
        <w:ind w:left="432" w:hanging="432"/>
      </w:pPr>
      <w:rPr>
        <w:rFonts w:hint="default" w:cs="Times New Roman"/>
      </w:rPr>
    </w:lvl>
    <w:lvl w:ilvl="1" w:tentative="0">
      <w:start w:val="1"/>
      <w:numFmt w:val="decimal"/>
      <w:lvlText w:val="%1.%2"/>
      <w:lvlJc w:val="left"/>
      <w:pPr>
        <w:ind w:left="576" w:hanging="576"/>
      </w:pPr>
      <w:rPr>
        <w:rFonts w:hint="eastAsia"/>
        <w:sz w:val="28"/>
        <w:szCs w:val="28"/>
      </w:rPr>
    </w:lvl>
    <w:lvl w:ilvl="2" w:tentative="0">
      <w:start w:val="1"/>
      <w:numFmt w:val="decimal"/>
      <w:lvlText w:val="%1.%2.%3"/>
      <w:lvlJc w:val="left"/>
      <w:pPr>
        <w:ind w:left="720" w:hanging="720"/>
      </w:pPr>
      <w:rPr>
        <w:rFonts w:hint="eastAsia"/>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30">
    <w:nsid w:val="7962717B"/>
    <w:multiLevelType w:val="multilevel"/>
    <w:tmpl w:val="7962717B"/>
    <w:lvl w:ilvl="0" w:tentative="0">
      <w:start w:val="1"/>
      <w:numFmt w:val="decimal"/>
      <w:lvlText w:val="%1"/>
      <w:lvlJc w:val="center"/>
      <w:pPr>
        <w:ind w:left="582" w:hanging="440"/>
      </w:pPr>
      <w:rPr>
        <w:rFonts w:hint="eastAsia"/>
      </w:rPr>
    </w:lvl>
    <w:lvl w:ilvl="1" w:tentative="0">
      <w:start w:val="1"/>
      <w:numFmt w:val="lowerLetter"/>
      <w:lvlText w:val="%2)"/>
      <w:lvlJc w:val="left"/>
      <w:pPr>
        <w:ind w:left="1022" w:hanging="440"/>
      </w:pPr>
    </w:lvl>
    <w:lvl w:ilvl="2" w:tentative="0">
      <w:start w:val="1"/>
      <w:numFmt w:val="lowerRoman"/>
      <w:lvlText w:val="%3."/>
      <w:lvlJc w:val="right"/>
      <w:pPr>
        <w:ind w:left="1462" w:hanging="440"/>
      </w:pPr>
    </w:lvl>
    <w:lvl w:ilvl="3" w:tentative="0">
      <w:start w:val="1"/>
      <w:numFmt w:val="decimal"/>
      <w:lvlText w:val="%4."/>
      <w:lvlJc w:val="left"/>
      <w:pPr>
        <w:ind w:left="1902" w:hanging="440"/>
      </w:pPr>
    </w:lvl>
    <w:lvl w:ilvl="4" w:tentative="0">
      <w:start w:val="1"/>
      <w:numFmt w:val="lowerLetter"/>
      <w:lvlText w:val="%5)"/>
      <w:lvlJc w:val="left"/>
      <w:pPr>
        <w:ind w:left="2342" w:hanging="440"/>
      </w:pPr>
    </w:lvl>
    <w:lvl w:ilvl="5" w:tentative="0">
      <w:start w:val="1"/>
      <w:numFmt w:val="lowerRoman"/>
      <w:lvlText w:val="%6."/>
      <w:lvlJc w:val="right"/>
      <w:pPr>
        <w:ind w:left="2782" w:hanging="440"/>
      </w:pPr>
    </w:lvl>
    <w:lvl w:ilvl="6" w:tentative="0">
      <w:start w:val="1"/>
      <w:numFmt w:val="decimal"/>
      <w:lvlText w:val="%7."/>
      <w:lvlJc w:val="left"/>
      <w:pPr>
        <w:ind w:left="3222" w:hanging="440"/>
      </w:pPr>
    </w:lvl>
    <w:lvl w:ilvl="7" w:tentative="0">
      <w:start w:val="1"/>
      <w:numFmt w:val="lowerLetter"/>
      <w:lvlText w:val="%8)"/>
      <w:lvlJc w:val="left"/>
      <w:pPr>
        <w:ind w:left="3662" w:hanging="440"/>
      </w:pPr>
    </w:lvl>
    <w:lvl w:ilvl="8" w:tentative="0">
      <w:start w:val="1"/>
      <w:numFmt w:val="lowerRoman"/>
      <w:lvlText w:val="%9."/>
      <w:lvlJc w:val="right"/>
      <w:pPr>
        <w:ind w:left="4102" w:hanging="440"/>
      </w:pPr>
    </w:lvl>
  </w:abstractNum>
  <w:abstractNum w:abstractNumId="31">
    <w:nsid w:val="7B135F87"/>
    <w:multiLevelType w:val="multilevel"/>
    <w:tmpl w:val="7B135F87"/>
    <w:lvl w:ilvl="0" w:tentative="0">
      <w:start w:val="1"/>
      <w:numFmt w:val="decimal"/>
      <w:lvlText w:val="%1"/>
      <w:lvlJc w:val="left"/>
      <w:pPr>
        <w:ind w:left="425" w:hanging="425"/>
      </w:pPr>
      <w:rPr>
        <w:rFonts w:hint="default" w:ascii="Times New Roman" w:hAnsi="Times New Roman" w:eastAsia="宋体" w:cs="宋体"/>
      </w:rPr>
    </w:lvl>
    <w:lvl w:ilvl="1" w:tentative="0">
      <w:start w:val="1"/>
      <w:numFmt w:val="decimal"/>
      <w:lvlText w:val="%1.%2"/>
      <w:lvlJc w:val="left"/>
      <w:pPr>
        <w:ind w:left="567" w:hanging="567"/>
      </w:pPr>
      <w:rPr>
        <w:rFonts w:hint="default" w:ascii="Times New Roman" w:hAnsi="Times New Roman" w:eastAsia="宋体" w:cs="宋体"/>
      </w:rPr>
    </w:lvl>
    <w:lvl w:ilvl="2" w:tentative="0">
      <w:start w:val="1"/>
      <w:numFmt w:val="decimal"/>
      <w:lvlText w:val="%1.%2.%3"/>
      <w:lvlJc w:val="left"/>
      <w:pPr>
        <w:ind w:left="709" w:hanging="709"/>
      </w:pPr>
      <w:rPr>
        <w:rFonts w:hint="default" w:ascii="Times New Roman" w:hAnsi="Times New Roman" w:eastAsia="宋体" w:cs="宋体"/>
      </w:rPr>
    </w:lvl>
    <w:lvl w:ilvl="3" w:tentative="0">
      <w:start w:val="1"/>
      <w:numFmt w:val="decimal"/>
      <w:lvlText w:val="%1.%2.%3.%4"/>
      <w:lvlJc w:val="left"/>
      <w:pPr>
        <w:ind w:left="850" w:hanging="850"/>
      </w:pPr>
      <w:rPr>
        <w:rFonts w:hint="default" w:ascii="Times New Roman" w:hAnsi="Times New Roman"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2">
    <w:nsid w:val="7E3CDB82"/>
    <w:multiLevelType w:val="singleLevel"/>
    <w:tmpl w:val="7E3CDB82"/>
    <w:lvl w:ilvl="0" w:tentative="0">
      <w:start w:val="1"/>
      <w:numFmt w:val="decimal"/>
      <w:lvlText w:val="%1"/>
      <w:lvlJc w:val="center"/>
      <w:pPr>
        <w:tabs>
          <w:tab w:val="left" w:pos="420"/>
        </w:tabs>
        <w:ind w:left="635" w:hanging="425"/>
      </w:pPr>
      <w:rPr>
        <w:rFonts w:hint="default" w:ascii="Times New Roman" w:hAnsi="Times New Roman" w:cs="Times New Roman"/>
      </w:rPr>
    </w:lvl>
  </w:abstractNum>
  <w:num w:numId="1">
    <w:abstractNumId w:val="2"/>
  </w:num>
  <w:num w:numId="2">
    <w:abstractNumId w:val="4"/>
  </w:num>
  <w:num w:numId="3">
    <w:abstractNumId w:val="3"/>
  </w:num>
  <w:num w:numId="4">
    <w:abstractNumId w:val="21"/>
  </w:num>
  <w:num w:numId="5">
    <w:abstractNumId w:val="5"/>
  </w:num>
  <w:num w:numId="6">
    <w:abstractNumId w:val="32"/>
  </w:num>
  <w:num w:numId="7">
    <w:abstractNumId w:val="27"/>
  </w:num>
  <w:num w:numId="8">
    <w:abstractNumId w:val="9"/>
  </w:num>
  <w:num w:numId="9">
    <w:abstractNumId w:val="0"/>
  </w:num>
  <w:num w:numId="10">
    <w:abstractNumId w:val="17"/>
  </w:num>
  <w:num w:numId="11">
    <w:abstractNumId w:val="8"/>
  </w:num>
  <w:num w:numId="12">
    <w:abstractNumId w:val="18"/>
  </w:num>
  <w:num w:numId="13">
    <w:abstractNumId w:val="26"/>
  </w:num>
  <w:num w:numId="14">
    <w:abstractNumId w:val="20"/>
  </w:num>
  <w:num w:numId="15">
    <w:abstractNumId w:val="13"/>
  </w:num>
  <w:num w:numId="16">
    <w:abstractNumId w:val="24"/>
  </w:num>
  <w:num w:numId="17">
    <w:abstractNumId w:val="6"/>
  </w:num>
  <w:num w:numId="18">
    <w:abstractNumId w:val="11"/>
  </w:num>
  <w:num w:numId="19">
    <w:abstractNumId w:val="22"/>
  </w:num>
  <w:num w:numId="20">
    <w:abstractNumId w:val="31"/>
  </w:num>
  <w:num w:numId="21">
    <w:abstractNumId w:val="28"/>
  </w:num>
  <w:num w:numId="22">
    <w:abstractNumId w:val="1"/>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4"/>
  </w:num>
  <w:num w:numId="26">
    <w:abstractNumId w:val="7"/>
  </w:num>
  <w:num w:numId="27">
    <w:abstractNumId w:val="16"/>
  </w:num>
  <w:num w:numId="28">
    <w:abstractNumId w:val="29"/>
  </w:num>
  <w:num w:numId="29">
    <w:abstractNumId w:val="25"/>
  </w:num>
  <w:num w:numId="30">
    <w:abstractNumId w:val="10"/>
  </w:num>
  <w:num w:numId="31">
    <w:abstractNumId w:val="23"/>
  </w:num>
  <w:num w:numId="32">
    <w:abstractNumId w:val="12"/>
  </w:num>
  <w:num w:numId="33">
    <w:abstractNumId w:val="30"/>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M3Njg3YTY2OWU2OWFkYmJkYjNmMjg1N2FlMDQ5MjMifQ=="/>
  </w:docVars>
  <w:rsids>
    <w:rsidRoot w:val="00172A27"/>
    <w:rsid w:val="00000D98"/>
    <w:rsid w:val="00001532"/>
    <w:rsid w:val="00001CED"/>
    <w:rsid w:val="00001E67"/>
    <w:rsid w:val="00002014"/>
    <w:rsid w:val="00003CD8"/>
    <w:rsid w:val="00004159"/>
    <w:rsid w:val="000054C0"/>
    <w:rsid w:val="00005722"/>
    <w:rsid w:val="00006B49"/>
    <w:rsid w:val="000078CD"/>
    <w:rsid w:val="00007DE9"/>
    <w:rsid w:val="00010E37"/>
    <w:rsid w:val="00010F1E"/>
    <w:rsid w:val="00012E65"/>
    <w:rsid w:val="00013BBC"/>
    <w:rsid w:val="00013BF0"/>
    <w:rsid w:val="00014965"/>
    <w:rsid w:val="0001523A"/>
    <w:rsid w:val="00015A0F"/>
    <w:rsid w:val="00015E32"/>
    <w:rsid w:val="0001683D"/>
    <w:rsid w:val="00016DCA"/>
    <w:rsid w:val="00016ECB"/>
    <w:rsid w:val="00017253"/>
    <w:rsid w:val="00020613"/>
    <w:rsid w:val="000229B7"/>
    <w:rsid w:val="00022D3B"/>
    <w:rsid w:val="0002350B"/>
    <w:rsid w:val="00023C42"/>
    <w:rsid w:val="0002684C"/>
    <w:rsid w:val="000269F6"/>
    <w:rsid w:val="0002705E"/>
    <w:rsid w:val="000277F2"/>
    <w:rsid w:val="00027DEF"/>
    <w:rsid w:val="00030A03"/>
    <w:rsid w:val="00030A0B"/>
    <w:rsid w:val="00031939"/>
    <w:rsid w:val="00031B73"/>
    <w:rsid w:val="00032746"/>
    <w:rsid w:val="00032D25"/>
    <w:rsid w:val="000342BA"/>
    <w:rsid w:val="00034557"/>
    <w:rsid w:val="00034E11"/>
    <w:rsid w:val="00036043"/>
    <w:rsid w:val="00040D75"/>
    <w:rsid w:val="000410E5"/>
    <w:rsid w:val="00041C5A"/>
    <w:rsid w:val="0004240A"/>
    <w:rsid w:val="000434FF"/>
    <w:rsid w:val="00043C4C"/>
    <w:rsid w:val="000452B9"/>
    <w:rsid w:val="00045AF5"/>
    <w:rsid w:val="00046F7C"/>
    <w:rsid w:val="000510E9"/>
    <w:rsid w:val="00051A34"/>
    <w:rsid w:val="00051FD3"/>
    <w:rsid w:val="0005219D"/>
    <w:rsid w:val="000522C7"/>
    <w:rsid w:val="00052A70"/>
    <w:rsid w:val="00054646"/>
    <w:rsid w:val="00054DA3"/>
    <w:rsid w:val="00054F5B"/>
    <w:rsid w:val="0005568F"/>
    <w:rsid w:val="00055C4E"/>
    <w:rsid w:val="0006004C"/>
    <w:rsid w:val="00060C57"/>
    <w:rsid w:val="0006153D"/>
    <w:rsid w:val="00061B1F"/>
    <w:rsid w:val="00061DCD"/>
    <w:rsid w:val="00061E8B"/>
    <w:rsid w:val="00062024"/>
    <w:rsid w:val="000621DA"/>
    <w:rsid w:val="00062D16"/>
    <w:rsid w:val="00062D8D"/>
    <w:rsid w:val="000651A5"/>
    <w:rsid w:val="00065ABF"/>
    <w:rsid w:val="000664DB"/>
    <w:rsid w:val="00067C85"/>
    <w:rsid w:val="00067F65"/>
    <w:rsid w:val="00067FD7"/>
    <w:rsid w:val="00070B1C"/>
    <w:rsid w:val="00071164"/>
    <w:rsid w:val="0007127D"/>
    <w:rsid w:val="00071AE5"/>
    <w:rsid w:val="00073AFC"/>
    <w:rsid w:val="000741ED"/>
    <w:rsid w:val="00074783"/>
    <w:rsid w:val="000747E7"/>
    <w:rsid w:val="000749BA"/>
    <w:rsid w:val="00075C06"/>
    <w:rsid w:val="00076A95"/>
    <w:rsid w:val="000801E0"/>
    <w:rsid w:val="00080241"/>
    <w:rsid w:val="0008066C"/>
    <w:rsid w:val="00080CF0"/>
    <w:rsid w:val="00080E13"/>
    <w:rsid w:val="0008191F"/>
    <w:rsid w:val="00082A29"/>
    <w:rsid w:val="00082C78"/>
    <w:rsid w:val="0008331D"/>
    <w:rsid w:val="00083389"/>
    <w:rsid w:val="00083C18"/>
    <w:rsid w:val="0008428C"/>
    <w:rsid w:val="0008466F"/>
    <w:rsid w:val="00086283"/>
    <w:rsid w:val="00090F35"/>
    <w:rsid w:val="00091202"/>
    <w:rsid w:val="00091610"/>
    <w:rsid w:val="00092217"/>
    <w:rsid w:val="00092899"/>
    <w:rsid w:val="00092D2C"/>
    <w:rsid w:val="00092FDB"/>
    <w:rsid w:val="00094BD8"/>
    <w:rsid w:val="000951B2"/>
    <w:rsid w:val="000952CC"/>
    <w:rsid w:val="00095326"/>
    <w:rsid w:val="00095F3C"/>
    <w:rsid w:val="00096CE2"/>
    <w:rsid w:val="00096DC8"/>
    <w:rsid w:val="00096FCA"/>
    <w:rsid w:val="0009712E"/>
    <w:rsid w:val="00097DF7"/>
    <w:rsid w:val="000A098C"/>
    <w:rsid w:val="000A178E"/>
    <w:rsid w:val="000A276D"/>
    <w:rsid w:val="000A2D65"/>
    <w:rsid w:val="000A31C4"/>
    <w:rsid w:val="000A39B1"/>
    <w:rsid w:val="000A46B0"/>
    <w:rsid w:val="000A4929"/>
    <w:rsid w:val="000A4E13"/>
    <w:rsid w:val="000A557E"/>
    <w:rsid w:val="000A5B6E"/>
    <w:rsid w:val="000A6DE8"/>
    <w:rsid w:val="000A77B3"/>
    <w:rsid w:val="000A7840"/>
    <w:rsid w:val="000B02C8"/>
    <w:rsid w:val="000B058F"/>
    <w:rsid w:val="000B33E3"/>
    <w:rsid w:val="000B373C"/>
    <w:rsid w:val="000B5093"/>
    <w:rsid w:val="000B5B5A"/>
    <w:rsid w:val="000B693F"/>
    <w:rsid w:val="000C005D"/>
    <w:rsid w:val="000C06CB"/>
    <w:rsid w:val="000C09AC"/>
    <w:rsid w:val="000C0A63"/>
    <w:rsid w:val="000C1B18"/>
    <w:rsid w:val="000C437E"/>
    <w:rsid w:val="000C50D9"/>
    <w:rsid w:val="000C514E"/>
    <w:rsid w:val="000C5B5F"/>
    <w:rsid w:val="000C765F"/>
    <w:rsid w:val="000C7FB7"/>
    <w:rsid w:val="000D0E67"/>
    <w:rsid w:val="000D1447"/>
    <w:rsid w:val="000D1ABF"/>
    <w:rsid w:val="000D1BE7"/>
    <w:rsid w:val="000D24B9"/>
    <w:rsid w:val="000D2F57"/>
    <w:rsid w:val="000D39B0"/>
    <w:rsid w:val="000D461B"/>
    <w:rsid w:val="000D46B9"/>
    <w:rsid w:val="000D6AC3"/>
    <w:rsid w:val="000D7C88"/>
    <w:rsid w:val="000D7FE0"/>
    <w:rsid w:val="000E30A4"/>
    <w:rsid w:val="000E3791"/>
    <w:rsid w:val="000E47E6"/>
    <w:rsid w:val="000E515A"/>
    <w:rsid w:val="000E5F16"/>
    <w:rsid w:val="000E64D7"/>
    <w:rsid w:val="000E7F3F"/>
    <w:rsid w:val="000F0381"/>
    <w:rsid w:val="000F1E3D"/>
    <w:rsid w:val="000F23EF"/>
    <w:rsid w:val="000F2604"/>
    <w:rsid w:val="000F2668"/>
    <w:rsid w:val="000F4452"/>
    <w:rsid w:val="000F4FF6"/>
    <w:rsid w:val="000F50E6"/>
    <w:rsid w:val="000F514A"/>
    <w:rsid w:val="000F57C8"/>
    <w:rsid w:val="000F6DA1"/>
    <w:rsid w:val="000F701B"/>
    <w:rsid w:val="000F7312"/>
    <w:rsid w:val="001015F5"/>
    <w:rsid w:val="00103522"/>
    <w:rsid w:val="00103C8E"/>
    <w:rsid w:val="00103F2F"/>
    <w:rsid w:val="0010417F"/>
    <w:rsid w:val="00104749"/>
    <w:rsid w:val="00104AFB"/>
    <w:rsid w:val="001056A0"/>
    <w:rsid w:val="00105F20"/>
    <w:rsid w:val="00106037"/>
    <w:rsid w:val="00106590"/>
    <w:rsid w:val="00110060"/>
    <w:rsid w:val="00110C67"/>
    <w:rsid w:val="001118C7"/>
    <w:rsid w:val="00111BDF"/>
    <w:rsid w:val="00112902"/>
    <w:rsid w:val="0011435B"/>
    <w:rsid w:val="00114D49"/>
    <w:rsid w:val="00114FC7"/>
    <w:rsid w:val="00115279"/>
    <w:rsid w:val="00117114"/>
    <w:rsid w:val="00117459"/>
    <w:rsid w:val="0011749A"/>
    <w:rsid w:val="00117CC8"/>
    <w:rsid w:val="00120A2B"/>
    <w:rsid w:val="00121890"/>
    <w:rsid w:val="001223E4"/>
    <w:rsid w:val="00122FA8"/>
    <w:rsid w:val="001238FC"/>
    <w:rsid w:val="00123D16"/>
    <w:rsid w:val="00123E70"/>
    <w:rsid w:val="00124594"/>
    <w:rsid w:val="00124BD9"/>
    <w:rsid w:val="001253A0"/>
    <w:rsid w:val="001257D5"/>
    <w:rsid w:val="00126B10"/>
    <w:rsid w:val="00127A68"/>
    <w:rsid w:val="001309F9"/>
    <w:rsid w:val="00130A64"/>
    <w:rsid w:val="00130ACE"/>
    <w:rsid w:val="00131F13"/>
    <w:rsid w:val="00132374"/>
    <w:rsid w:val="00132407"/>
    <w:rsid w:val="00133819"/>
    <w:rsid w:val="00134920"/>
    <w:rsid w:val="00135F6C"/>
    <w:rsid w:val="00140927"/>
    <w:rsid w:val="001409B1"/>
    <w:rsid w:val="00140B13"/>
    <w:rsid w:val="00141B68"/>
    <w:rsid w:val="00141FFC"/>
    <w:rsid w:val="00142F51"/>
    <w:rsid w:val="0014339A"/>
    <w:rsid w:val="00144B63"/>
    <w:rsid w:val="00145BF2"/>
    <w:rsid w:val="00145F20"/>
    <w:rsid w:val="001466DA"/>
    <w:rsid w:val="00146BEB"/>
    <w:rsid w:val="001474D9"/>
    <w:rsid w:val="00150718"/>
    <w:rsid w:val="00151218"/>
    <w:rsid w:val="00153C28"/>
    <w:rsid w:val="00154B77"/>
    <w:rsid w:val="00154DE1"/>
    <w:rsid w:val="0015557F"/>
    <w:rsid w:val="00155B40"/>
    <w:rsid w:val="00157435"/>
    <w:rsid w:val="001574C5"/>
    <w:rsid w:val="00157F77"/>
    <w:rsid w:val="0016082A"/>
    <w:rsid w:val="00161DBF"/>
    <w:rsid w:val="00161EB9"/>
    <w:rsid w:val="00163EEA"/>
    <w:rsid w:val="00164469"/>
    <w:rsid w:val="00164D13"/>
    <w:rsid w:val="0016548A"/>
    <w:rsid w:val="00165778"/>
    <w:rsid w:val="00166F1C"/>
    <w:rsid w:val="00167603"/>
    <w:rsid w:val="00167A07"/>
    <w:rsid w:val="0017005A"/>
    <w:rsid w:val="0017046A"/>
    <w:rsid w:val="001704A3"/>
    <w:rsid w:val="001707AD"/>
    <w:rsid w:val="00172510"/>
    <w:rsid w:val="00172525"/>
    <w:rsid w:val="00172A27"/>
    <w:rsid w:val="0017504D"/>
    <w:rsid w:val="001752B6"/>
    <w:rsid w:val="001756B9"/>
    <w:rsid w:val="0017657B"/>
    <w:rsid w:val="00177229"/>
    <w:rsid w:val="00177422"/>
    <w:rsid w:val="00177590"/>
    <w:rsid w:val="0018040E"/>
    <w:rsid w:val="001814E1"/>
    <w:rsid w:val="00184CDD"/>
    <w:rsid w:val="00184F10"/>
    <w:rsid w:val="00185546"/>
    <w:rsid w:val="001856BD"/>
    <w:rsid w:val="0019019E"/>
    <w:rsid w:val="00190655"/>
    <w:rsid w:val="0019146B"/>
    <w:rsid w:val="001918D6"/>
    <w:rsid w:val="00191E12"/>
    <w:rsid w:val="001924AD"/>
    <w:rsid w:val="001931BD"/>
    <w:rsid w:val="00193DAB"/>
    <w:rsid w:val="00194398"/>
    <w:rsid w:val="001945CE"/>
    <w:rsid w:val="001952FF"/>
    <w:rsid w:val="00195A79"/>
    <w:rsid w:val="001961BD"/>
    <w:rsid w:val="0019678E"/>
    <w:rsid w:val="00196A83"/>
    <w:rsid w:val="00197666"/>
    <w:rsid w:val="00197940"/>
    <w:rsid w:val="00197A64"/>
    <w:rsid w:val="00197E18"/>
    <w:rsid w:val="001A039A"/>
    <w:rsid w:val="001A0A52"/>
    <w:rsid w:val="001A160B"/>
    <w:rsid w:val="001A1674"/>
    <w:rsid w:val="001A1E2C"/>
    <w:rsid w:val="001A2C3D"/>
    <w:rsid w:val="001A2E11"/>
    <w:rsid w:val="001A302A"/>
    <w:rsid w:val="001A3996"/>
    <w:rsid w:val="001A3B87"/>
    <w:rsid w:val="001A493E"/>
    <w:rsid w:val="001A4F89"/>
    <w:rsid w:val="001A4FF8"/>
    <w:rsid w:val="001A51A5"/>
    <w:rsid w:val="001A6249"/>
    <w:rsid w:val="001A6C45"/>
    <w:rsid w:val="001A7D2A"/>
    <w:rsid w:val="001A7D93"/>
    <w:rsid w:val="001B105F"/>
    <w:rsid w:val="001B196B"/>
    <w:rsid w:val="001B1D06"/>
    <w:rsid w:val="001B2522"/>
    <w:rsid w:val="001B2E38"/>
    <w:rsid w:val="001B41C6"/>
    <w:rsid w:val="001B4267"/>
    <w:rsid w:val="001B536C"/>
    <w:rsid w:val="001B574C"/>
    <w:rsid w:val="001B5C54"/>
    <w:rsid w:val="001B61E2"/>
    <w:rsid w:val="001C0AF9"/>
    <w:rsid w:val="001C155A"/>
    <w:rsid w:val="001C2371"/>
    <w:rsid w:val="001C30A4"/>
    <w:rsid w:val="001C36AE"/>
    <w:rsid w:val="001C43D6"/>
    <w:rsid w:val="001C48C0"/>
    <w:rsid w:val="001C56CC"/>
    <w:rsid w:val="001C64D5"/>
    <w:rsid w:val="001C6F65"/>
    <w:rsid w:val="001D041B"/>
    <w:rsid w:val="001D2779"/>
    <w:rsid w:val="001D3A16"/>
    <w:rsid w:val="001D3D35"/>
    <w:rsid w:val="001D4C3A"/>
    <w:rsid w:val="001D592F"/>
    <w:rsid w:val="001D60E3"/>
    <w:rsid w:val="001D6726"/>
    <w:rsid w:val="001D6AFA"/>
    <w:rsid w:val="001D6CAB"/>
    <w:rsid w:val="001E0208"/>
    <w:rsid w:val="001E0877"/>
    <w:rsid w:val="001E0DD7"/>
    <w:rsid w:val="001E126A"/>
    <w:rsid w:val="001E137B"/>
    <w:rsid w:val="001E2488"/>
    <w:rsid w:val="001E3C67"/>
    <w:rsid w:val="001E4285"/>
    <w:rsid w:val="001E5908"/>
    <w:rsid w:val="001E6F58"/>
    <w:rsid w:val="001E75D8"/>
    <w:rsid w:val="001E7F5A"/>
    <w:rsid w:val="001E7F69"/>
    <w:rsid w:val="001F17DF"/>
    <w:rsid w:val="001F225C"/>
    <w:rsid w:val="001F3347"/>
    <w:rsid w:val="001F3A5F"/>
    <w:rsid w:val="001F417C"/>
    <w:rsid w:val="001F4440"/>
    <w:rsid w:val="001F449B"/>
    <w:rsid w:val="001F4915"/>
    <w:rsid w:val="001F53B9"/>
    <w:rsid w:val="001F5958"/>
    <w:rsid w:val="001F69E4"/>
    <w:rsid w:val="00201BCD"/>
    <w:rsid w:val="00202CAE"/>
    <w:rsid w:val="00204F9B"/>
    <w:rsid w:val="00206967"/>
    <w:rsid w:val="00206A65"/>
    <w:rsid w:val="00206BD9"/>
    <w:rsid w:val="00206EEA"/>
    <w:rsid w:val="002078B6"/>
    <w:rsid w:val="00207E9B"/>
    <w:rsid w:val="0021011B"/>
    <w:rsid w:val="0021075E"/>
    <w:rsid w:val="00212D31"/>
    <w:rsid w:val="002130C7"/>
    <w:rsid w:val="002132BF"/>
    <w:rsid w:val="0021350E"/>
    <w:rsid w:val="00214F00"/>
    <w:rsid w:val="002152FB"/>
    <w:rsid w:val="002158B2"/>
    <w:rsid w:val="00216B44"/>
    <w:rsid w:val="00217562"/>
    <w:rsid w:val="00217731"/>
    <w:rsid w:val="0021790F"/>
    <w:rsid w:val="00217DE9"/>
    <w:rsid w:val="002202EE"/>
    <w:rsid w:val="002203C3"/>
    <w:rsid w:val="002206D0"/>
    <w:rsid w:val="002207D0"/>
    <w:rsid w:val="00221819"/>
    <w:rsid w:val="002218A8"/>
    <w:rsid w:val="0022306D"/>
    <w:rsid w:val="0022349D"/>
    <w:rsid w:val="00223D4A"/>
    <w:rsid w:val="002248AE"/>
    <w:rsid w:val="00224B0B"/>
    <w:rsid w:val="00224FEC"/>
    <w:rsid w:val="00225F1F"/>
    <w:rsid w:val="00226574"/>
    <w:rsid w:val="00226A17"/>
    <w:rsid w:val="002278EC"/>
    <w:rsid w:val="00230425"/>
    <w:rsid w:val="00230FF4"/>
    <w:rsid w:val="00232DDA"/>
    <w:rsid w:val="0023450D"/>
    <w:rsid w:val="0023468E"/>
    <w:rsid w:val="002353B5"/>
    <w:rsid w:val="002357C7"/>
    <w:rsid w:val="00235808"/>
    <w:rsid w:val="00235FFF"/>
    <w:rsid w:val="00236476"/>
    <w:rsid w:val="002367C4"/>
    <w:rsid w:val="0023699C"/>
    <w:rsid w:val="00237EFF"/>
    <w:rsid w:val="002406A0"/>
    <w:rsid w:val="00240A13"/>
    <w:rsid w:val="00240A84"/>
    <w:rsid w:val="00242A8D"/>
    <w:rsid w:val="0024309A"/>
    <w:rsid w:val="002446E6"/>
    <w:rsid w:val="00245C26"/>
    <w:rsid w:val="002461F1"/>
    <w:rsid w:val="00247DF9"/>
    <w:rsid w:val="002505B6"/>
    <w:rsid w:val="0025346B"/>
    <w:rsid w:val="0025382F"/>
    <w:rsid w:val="00254620"/>
    <w:rsid w:val="0025483A"/>
    <w:rsid w:val="00255480"/>
    <w:rsid w:val="00255946"/>
    <w:rsid w:val="00255A1F"/>
    <w:rsid w:val="00255A30"/>
    <w:rsid w:val="0025679E"/>
    <w:rsid w:val="00257951"/>
    <w:rsid w:val="00260C68"/>
    <w:rsid w:val="002617E0"/>
    <w:rsid w:val="002628CA"/>
    <w:rsid w:val="00262FD5"/>
    <w:rsid w:val="002648B0"/>
    <w:rsid w:val="0026539B"/>
    <w:rsid w:val="00265A39"/>
    <w:rsid w:val="002669E9"/>
    <w:rsid w:val="00267244"/>
    <w:rsid w:val="002676A8"/>
    <w:rsid w:val="00271D7F"/>
    <w:rsid w:val="00271DF8"/>
    <w:rsid w:val="002724AD"/>
    <w:rsid w:val="00275271"/>
    <w:rsid w:val="0027535E"/>
    <w:rsid w:val="00275AA6"/>
    <w:rsid w:val="00275B37"/>
    <w:rsid w:val="00275BC1"/>
    <w:rsid w:val="002770D1"/>
    <w:rsid w:val="002803A8"/>
    <w:rsid w:val="002807D5"/>
    <w:rsid w:val="00280AD3"/>
    <w:rsid w:val="00281176"/>
    <w:rsid w:val="0028118E"/>
    <w:rsid w:val="002811E1"/>
    <w:rsid w:val="00281F12"/>
    <w:rsid w:val="0028202B"/>
    <w:rsid w:val="002827B3"/>
    <w:rsid w:val="00282CCD"/>
    <w:rsid w:val="00282F8E"/>
    <w:rsid w:val="002833E1"/>
    <w:rsid w:val="00283795"/>
    <w:rsid w:val="0028595F"/>
    <w:rsid w:val="00286658"/>
    <w:rsid w:val="002872AD"/>
    <w:rsid w:val="00291196"/>
    <w:rsid w:val="00292381"/>
    <w:rsid w:val="0029315E"/>
    <w:rsid w:val="00293976"/>
    <w:rsid w:val="0029433E"/>
    <w:rsid w:val="00295058"/>
    <w:rsid w:val="00297E72"/>
    <w:rsid w:val="002A0142"/>
    <w:rsid w:val="002A0C63"/>
    <w:rsid w:val="002A0F32"/>
    <w:rsid w:val="002A106A"/>
    <w:rsid w:val="002A1591"/>
    <w:rsid w:val="002A168C"/>
    <w:rsid w:val="002A173C"/>
    <w:rsid w:val="002A18E1"/>
    <w:rsid w:val="002A1A3C"/>
    <w:rsid w:val="002A1DBB"/>
    <w:rsid w:val="002A2BC3"/>
    <w:rsid w:val="002A2C48"/>
    <w:rsid w:val="002A3239"/>
    <w:rsid w:val="002A3EED"/>
    <w:rsid w:val="002A3F13"/>
    <w:rsid w:val="002A432A"/>
    <w:rsid w:val="002A4A39"/>
    <w:rsid w:val="002A5A17"/>
    <w:rsid w:val="002A6425"/>
    <w:rsid w:val="002A6DA6"/>
    <w:rsid w:val="002A7D0D"/>
    <w:rsid w:val="002A7DB6"/>
    <w:rsid w:val="002B1AEC"/>
    <w:rsid w:val="002B2273"/>
    <w:rsid w:val="002B2500"/>
    <w:rsid w:val="002B3B69"/>
    <w:rsid w:val="002B4519"/>
    <w:rsid w:val="002B458E"/>
    <w:rsid w:val="002B49E2"/>
    <w:rsid w:val="002B4F65"/>
    <w:rsid w:val="002B5188"/>
    <w:rsid w:val="002B5B84"/>
    <w:rsid w:val="002B6556"/>
    <w:rsid w:val="002B6905"/>
    <w:rsid w:val="002B6C7B"/>
    <w:rsid w:val="002B6E5F"/>
    <w:rsid w:val="002B705F"/>
    <w:rsid w:val="002B7132"/>
    <w:rsid w:val="002B7380"/>
    <w:rsid w:val="002B79DD"/>
    <w:rsid w:val="002B7A3A"/>
    <w:rsid w:val="002B7B00"/>
    <w:rsid w:val="002B7C44"/>
    <w:rsid w:val="002C1388"/>
    <w:rsid w:val="002C143F"/>
    <w:rsid w:val="002C204E"/>
    <w:rsid w:val="002C3C6A"/>
    <w:rsid w:val="002C3C78"/>
    <w:rsid w:val="002C3D8C"/>
    <w:rsid w:val="002C523B"/>
    <w:rsid w:val="002D24A8"/>
    <w:rsid w:val="002D2CA5"/>
    <w:rsid w:val="002D30AD"/>
    <w:rsid w:val="002D42DB"/>
    <w:rsid w:val="002D4DA7"/>
    <w:rsid w:val="002D4EA2"/>
    <w:rsid w:val="002E1109"/>
    <w:rsid w:val="002E1F3A"/>
    <w:rsid w:val="002E232E"/>
    <w:rsid w:val="002E2666"/>
    <w:rsid w:val="002E298A"/>
    <w:rsid w:val="002E51E3"/>
    <w:rsid w:val="002E570C"/>
    <w:rsid w:val="002E73A9"/>
    <w:rsid w:val="002F02A4"/>
    <w:rsid w:val="002F2208"/>
    <w:rsid w:val="002F272B"/>
    <w:rsid w:val="002F2904"/>
    <w:rsid w:val="002F2D93"/>
    <w:rsid w:val="002F3DB4"/>
    <w:rsid w:val="002F3DBE"/>
    <w:rsid w:val="002F51B8"/>
    <w:rsid w:val="002F5617"/>
    <w:rsid w:val="002F7C6D"/>
    <w:rsid w:val="002F7D99"/>
    <w:rsid w:val="00300026"/>
    <w:rsid w:val="00300365"/>
    <w:rsid w:val="003003DA"/>
    <w:rsid w:val="00300D27"/>
    <w:rsid w:val="00300F0C"/>
    <w:rsid w:val="003027E4"/>
    <w:rsid w:val="00302ACD"/>
    <w:rsid w:val="0030332C"/>
    <w:rsid w:val="00305E19"/>
    <w:rsid w:val="00306AF1"/>
    <w:rsid w:val="00307037"/>
    <w:rsid w:val="0030789A"/>
    <w:rsid w:val="00307C05"/>
    <w:rsid w:val="00310B37"/>
    <w:rsid w:val="00310F67"/>
    <w:rsid w:val="0031192B"/>
    <w:rsid w:val="00311BEE"/>
    <w:rsid w:val="00312296"/>
    <w:rsid w:val="00312C4F"/>
    <w:rsid w:val="00312E08"/>
    <w:rsid w:val="003132A9"/>
    <w:rsid w:val="003132D0"/>
    <w:rsid w:val="0031340E"/>
    <w:rsid w:val="00314919"/>
    <w:rsid w:val="00315B69"/>
    <w:rsid w:val="00316464"/>
    <w:rsid w:val="00317F33"/>
    <w:rsid w:val="003200D4"/>
    <w:rsid w:val="0032073A"/>
    <w:rsid w:val="00320964"/>
    <w:rsid w:val="00320969"/>
    <w:rsid w:val="003217D5"/>
    <w:rsid w:val="00321D8E"/>
    <w:rsid w:val="00323D6A"/>
    <w:rsid w:val="00324310"/>
    <w:rsid w:val="003248F4"/>
    <w:rsid w:val="00325ED7"/>
    <w:rsid w:val="0032603F"/>
    <w:rsid w:val="00326A97"/>
    <w:rsid w:val="00327D8C"/>
    <w:rsid w:val="00327DFA"/>
    <w:rsid w:val="0033280E"/>
    <w:rsid w:val="00334996"/>
    <w:rsid w:val="00335299"/>
    <w:rsid w:val="00335496"/>
    <w:rsid w:val="00336969"/>
    <w:rsid w:val="00336C52"/>
    <w:rsid w:val="003378FF"/>
    <w:rsid w:val="003403A7"/>
    <w:rsid w:val="00340A98"/>
    <w:rsid w:val="00341B3E"/>
    <w:rsid w:val="00341B42"/>
    <w:rsid w:val="00342664"/>
    <w:rsid w:val="0034459A"/>
    <w:rsid w:val="00344879"/>
    <w:rsid w:val="00344D7A"/>
    <w:rsid w:val="00345154"/>
    <w:rsid w:val="0034560E"/>
    <w:rsid w:val="00346922"/>
    <w:rsid w:val="00350523"/>
    <w:rsid w:val="0035081C"/>
    <w:rsid w:val="00352975"/>
    <w:rsid w:val="00352E00"/>
    <w:rsid w:val="00353F4C"/>
    <w:rsid w:val="003552C4"/>
    <w:rsid w:val="00356457"/>
    <w:rsid w:val="00356868"/>
    <w:rsid w:val="00356E42"/>
    <w:rsid w:val="00360FBD"/>
    <w:rsid w:val="00361B18"/>
    <w:rsid w:val="0036485B"/>
    <w:rsid w:val="00365867"/>
    <w:rsid w:val="00365CEC"/>
    <w:rsid w:val="00366285"/>
    <w:rsid w:val="00373B0D"/>
    <w:rsid w:val="003747AC"/>
    <w:rsid w:val="0037538E"/>
    <w:rsid w:val="00375664"/>
    <w:rsid w:val="00375A21"/>
    <w:rsid w:val="00375ED2"/>
    <w:rsid w:val="00376988"/>
    <w:rsid w:val="00380120"/>
    <w:rsid w:val="003805FC"/>
    <w:rsid w:val="00380C3F"/>
    <w:rsid w:val="003813DE"/>
    <w:rsid w:val="00381A72"/>
    <w:rsid w:val="00381FD9"/>
    <w:rsid w:val="00382EA6"/>
    <w:rsid w:val="00385CCD"/>
    <w:rsid w:val="00387075"/>
    <w:rsid w:val="00387BC7"/>
    <w:rsid w:val="00387BF7"/>
    <w:rsid w:val="00387FFA"/>
    <w:rsid w:val="003904CE"/>
    <w:rsid w:val="003906EE"/>
    <w:rsid w:val="00391DC7"/>
    <w:rsid w:val="00392441"/>
    <w:rsid w:val="003925DF"/>
    <w:rsid w:val="00394736"/>
    <w:rsid w:val="003948B9"/>
    <w:rsid w:val="00394D60"/>
    <w:rsid w:val="00394D7A"/>
    <w:rsid w:val="00394EEC"/>
    <w:rsid w:val="0039601E"/>
    <w:rsid w:val="003963A9"/>
    <w:rsid w:val="0039652C"/>
    <w:rsid w:val="00396DC4"/>
    <w:rsid w:val="00397148"/>
    <w:rsid w:val="00397529"/>
    <w:rsid w:val="00397FA2"/>
    <w:rsid w:val="003A0543"/>
    <w:rsid w:val="003A1948"/>
    <w:rsid w:val="003A4073"/>
    <w:rsid w:val="003A45A0"/>
    <w:rsid w:val="003A58A1"/>
    <w:rsid w:val="003A6B83"/>
    <w:rsid w:val="003A799C"/>
    <w:rsid w:val="003A7FDE"/>
    <w:rsid w:val="003B0401"/>
    <w:rsid w:val="003B152A"/>
    <w:rsid w:val="003B19BF"/>
    <w:rsid w:val="003B264D"/>
    <w:rsid w:val="003B29DC"/>
    <w:rsid w:val="003B3B9A"/>
    <w:rsid w:val="003B4D9B"/>
    <w:rsid w:val="003B545B"/>
    <w:rsid w:val="003B5967"/>
    <w:rsid w:val="003B758D"/>
    <w:rsid w:val="003C0AAD"/>
    <w:rsid w:val="003C19F8"/>
    <w:rsid w:val="003C2C3D"/>
    <w:rsid w:val="003C300D"/>
    <w:rsid w:val="003C384F"/>
    <w:rsid w:val="003C4316"/>
    <w:rsid w:val="003C520A"/>
    <w:rsid w:val="003C55DE"/>
    <w:rsid w:val="003C5A36"/>
    <w:rsid w:val="003C5A5B"/>
    <w:rsid w:val="003C65FF"/>
    <w:rsid w:val="003C6F55"/>
    <w:rsid w:val="003C71A0"/>
    <w:rsid w:val="003C7417"/>
    <w:rsid w:val="003C7428"/>
    <w:rsid w:val="003C7D30"/>
    <w:rsid w:val="003D1C9E"/>
    <w:rsid w:val="003D331F"/>
    <w:rsid w:val="003D3EE9"/>
    <w:rsid w:val="003D53F3"/>
    <w:rsid w:val="003D5898"/>
    <w:rsid w:val="003D60F7"/>
    <w:rsid w:val="003D6FC0"/>
    <w:rsid w:val="003D780B"/>
    <w:rsid w:val="003D7A5A"/>
    <w:rsid w:val="003E091E"/>
    <w:rsid w:val="003E0AE0"/>
    <w:rsid w:val="003E1925"/>
    <w:rsid w:val="003E1ACA"/>
    <w:rsid w:val="003E1F7B"/>
    <w:rsid w:val="003E2258"/>
    <w:rsid w:val="003E36E9"/>
    <w:rsid w:val="003E7681"/>
    <w:rsid w:val="003E7847"/>
    <w:rsid w:val="003F0809"/>
    <w:rsid w:val="003F1F23"/>
    <w:rsid w:val="003F2123"/>
    <w:rsid w:val="003F3AAF"/>
    <w:rsid w:val="003F4AD2"/>
    <w:rsid w:val="003F4B74"/>
    <w:rsid w:val="003F58EC"/>
    <w:rsid w:val="003F5F2B"/>
    <w:rsid w:val="003F611C"/>
    <w:rsid w:val="003F6491"/>
    <w:rsid w:val="003F6F42"/>
    <w:rsid w:val="003F755C"/>
    <w:rsid w:val="003F7625"/>
    <w:rsid w:val="00400C6C"/>
    <w:rsid w:val="00400F25"/>
    <w:rsid w:val="00401060"/>
    <w:rsid w:val="0040192B"/>
    <w:rsid w:val="0040528A"/>
    <w:rsid w:val="0040573B"/>
    <w:rsid w:val="004059A2"/>
    <w:rsid w:val="004062C4"/>
    <w:rsid w:val="00406F01"/>
    <w:rsid w:val="004101F1"/>
    <w:rsid w:val="004106C3"/>
    <w:rsid w:val="00410891"/>
    <w:rsid w:val="00410B0B"/>
    <w:rsid w:val="00410E18"/>
    <w:rsid w:val="00411B36"/>
    <w:rsid w:val="004121D7"/>
    <w:rsid w:val="00413440"/>
    <w:rsid w:val="00413B41"/>
    <w:rsid w:val="00413D5B"/>
    <w:rsid w:val="0041422A"/>
    <w:rsid w:val="004143BB"/>
    <w:rsid w:val="00414F63"/>
    <w:rsid w:val="0041689A"/>
    <w:rsid w:val="00416D50"/>
    <w:rsid w:val="00417772"/>
    <w:rsid w:val="004177FB"/>
    <w:rsid w:val="0041782D"/>
    <w:rsid w:val="00420E6A"/>
    <w:rsid w:val="00421361"/>
    <w:rsid w:val="0042142E"/>
    <w:rsid w:val="00422AD8"/>
    <w:rsid w:val="004249DA"/>
    <w:rsid w:val="00424A03"/>
    <w:rsid w:val="00424BBC"/>
    <w:rsid w:val="00425C7B"/>
    <w:rsid w:val="00426F80"/>
    <w:rsid w:val="0042737A"/>
    <w:rsid w:val="00427FF8"/>
    <w:rsid w:val="00431D7F"/>
    <w:rsid w:val="00431DC5"/>
    <w:rsid w:val="00432462"/>
    <w:rsid w:val="004328BF"/>
    <w:rsid w:val="004328F2"/>
    <w:rsid w:val="00433BC7"/>
    <w:rsid w:val="00433CA9"/>
    <w:rsid w:val="00434B1E"/>
    <w:rsid w:val="0043521D"/>
    <w:rsid w:val="00435C92"/>
    <w:rsid w:val="00435CAA"/>
    <w:rsid w:val="00435CC5"/>
    <w:rsid w:val="00436671"/>
    <w:rsid w:val="004369DB"/>
    <w:rsid w:val="004375F7"/>
    <w:rsid w:val="00437EE4"/>
    <w:rsid w:val="00440D34"/>
    <w:rsid w:val="00442024"/>
    <w:rsid w:val="0044254C"/>
    <w:rsid w:val="00442B15"/>
    <w:rsid w:val="00443755"/>
    <w:rsid w:val="00443A2A"/>
    <w:rsid w:val="00443F29"/>
    <w:rsid w:val="00443F6A"/>
    <w:rsid w:val="004441EC"/>
    <w:rsid w:val="00444442"/>
    <w:rsid w:val="004457CD"/>
    <w:rsid w:val="004464B8"/>
    <w:rsid w:val="004504DE"/>
    <w:rsid w:val="00450502"/>
    <w:rsid w:val="00450A17"/>
    <w:rsid w:val="00451754"/>
    <w:rsid w:val="0045177B"/>
    <w:rsid w:val="0045183E"/>
    <w:rsid w:val="00451BA2"/>
    <w:rsid w:val="0045244A"/>
    <w:rsid w:val="00452A37"/>
    <w:rsid w:val="00453E24"/>
    <w:rsid w:val="00455F94"/>
    <w:rsid w:val="00456403"/>
    <w:rsid w:val="00456523"/>
    <w:rsid w:val="00460384"/>
    <w:rsid w:val="0046039D"/>
    <w:rsid w:val="004604D9"/>
    <w:rsid w:val="00461368"/>
    <w:rsid w:val="00461A2A"/>
    <w:rsid w:val="00463872"/>
    <w:rsid w:val="004638B8"/>
    <w:rsid w:val="00463E70"/>
    <w:rsid w:val="004644BC"/>
    <w:rsid w:val="00464B36"/>
    <w:rsid w:val="00464BAE"/>
    <w:rsid w:val="00464EC5"/>
    <w:rsid w:val="004654DC"/>
    <w:rsid w:val="00465EEA"/>
    <w:rsid w:val="004661C2"/>
    <w:rsid w:val="00466321"/>
    <w:rsid w:val="00466902"/>
    <w:rsid w:val="004669F5"/>
    <w:rsid w:val="004672AF"/>
    <w:rsid w:val="00470D15"/>
    <w:rsid w:val="00471548"/>
    <w:rsid w:val="004727B0"/>
    <w:rsid w:val="00472848"/>
    <w:rsid w:val="00473984"/>
    <w:rsid w:val="00473E38"/>
    <w:rsid w:val="0047446F"/>
    <w:rsid w:val="004746D2"/>
    <w:rsid w:val="004766EE"/>
    <w:rsid w:val="00476AF7"/>
    <w:rsid w:val="004774E7"/>
    <w:rsid w:val="00480094"/>
    <w:rsid w:val="00480247"/>
    <w:rsid w:val="0048081D"/>
    <w:rsid w:val="00480BD5"/>
    <w:rsid w:val="0048101B"/>
    <w:rsid w:val="0048117E"/>
    <w:rsid w:val="004816EE"/>
    <w:rsid w:val="004832F4"/>
    <w:rsid w:val="00484F94"/>
    <w:rsid w:val="004855F6"/>
    <w:rsid w:val="00486F0C"/>
    <w:rsid w:val="004878CF"/>
    <w:rsid w:val="0049079E"/>
    <w:rsid w:val="00490C80"/>
    <w:rsid w:val="004910E7"/>
    <w:rsid w:val="00491138"/>
    <w:rsid w:val="004912AF"/>
    <w:rsid w:val="00491482"/>
    <w:rsid w:val="00492B93"/>
    <w:rsid w:val="00492D9B"/>
    <w:rsid w:val="0049327A"/>
    <w:rsid w:val="00493445"/>
    <w:rsid w:val="00493869"/>
    <w:rsid w:val="00494439"/>
    <w:rsid w:val="00494670"/>
    <w:rsid w:val="00494A27"/>
    <w:rsid w:val="004957AC"/>
    <w:rsid w:val="00497C5C"/>
    <w:rsid w:val="004A01A7"/>
    <w:rsid w:val="004A0248"/>
    <w:rsid w:val="004A0264"/>
    <w:rsid w:val="004A0EB4"/>
    <w:rsid w:val="004A19D1"/>
    <w:rsid w:val="004A22D8"/>
    <w:rsid w:val="004A2D3D"/>
    <w:rsid w:val="004A35F9"/>
    <w:rsid w:val="004A3646"/>
    <w:rsid w:val="004A3823"/>
    <w:rsid w:val="004A45CB"/>
    <w:rsid w:val="004A48C5"/>
    <w:rsid w:val="004A4E53"/>
    <w:rsid w:val="004A58D8"/>
    <w:rsid w:val="004A59BB"/>
    <w:rsid w:val="004A78DC"/>
    <w:rsid w:val="004B25D1"/>
    <w:rsid w:val="004B3DD7"/>
    <w:rsid w:val="004B4030"/>
    <w:rsid w:val="004B43A3"/>
    <w:rsid w:val="004B4C49"/>
    <w:rsid w:val="004B4DAD"/>
    <w:rsid w:val="004B57A8"/>
    <w:rsid w:val="004B58A5"/>
    <w:rsid w:val="004B63D9"/>
    <w:rsid w:val="004B6835"/>
    <w:rsid w:val="004B7299"/>
    <w:rsid w:val="004C0882"/>
    <w:rsid w:val="004C2AD5"/>
    <w:rsid w:val="004C3184"/>
    <w:rsid w:val="004C4AB7"/>
    <w:rsid w:val="004C5383"/>
    <w:rsid w:val="004C55BE"/>
    <w:rsid w:val="004C585B"/>
    <w:rsid w:val="004C5DA1"/>
    <w:rsid w:val="004C5ED4"/>
    <w:rsid w:val="004C6D59"/>
    <w:rsid w:val="004C6D67"/>
    <w:rsid w:val="004C7525"/>
    <w:rsid w:val="004C77CC"/>
    <w:rsid w:val="004D0C24"/>
    <w:rsid w:val="004D10D7"/>
    <w:rsid w:val="004D269E"/>
    <w:rsid w:val="004D2D62"/>
    <w:rsid w:val="004D6175"/>
    <w:rsid w:val="004E07F5"/>
    <w:rsid w:val="004E2555"/>
    <w:rsid w:val="004E2D7B"/>
    <w:rsid w:val="004E3E24"/>
    <w:rsid w:val="004E4C3E"/>
    <w:rsid w:val="004E4C92"/>
    <w:rsid w:val="004E5ADC"/>
    <w:rsid w:val="004E5B30"/>
    <w:rsid w:val="004E6308"/>
    <w:rsid w:val="004E662E"/>
    <w:rsid w:val="004E6BDB"/>
    <w:rsid w:val="004E6D47"/>
    <w:rsid w:val="004E7CF9"/>
    <w:rsid w:val="004F0779"/>
    <w:rsid w:val="004F1230"/>
    <w:rsid w:val="004F156F"/>
    <w:rsid w:val="004F173F"/>
    <w:rsid w:val="004F177C"/>
    <w:rsid w:val="004F2665"/>
    <w:rsid w:val="004F2DCE"/>
    <w:rsid w:val="004F4F53"/>
    <w:rsid w:val="004F6A2E"/>
    <w:rsid w:val="004F7875"/>
    <w:rsid w:val="0050017A"/>
    <w:rsid w:val="005039CB"/>
    <w:rsid w:val="00504492"/>
    <w:rsid w:val="0050558F"/>
    <w:rsid w:val="005057E0"/>
    <w:rsid w:val="00505B44"/>
    <w:rsid w:val="00506286"/>
    <w:rsid w:val="005064F9"/>
    <w:rsid w:val="00506527"/>
    <w:rsid w:val="00507F1C"/>
    <w:rsid w:val="005102AD"/>
    <w:rsid w:val="00510813"/>
    <w:rsid w:val="00510BB5"/>
    <w:rsid w:val="00511148"/>
    <w:rsid w:val="00511DE0"/>
    <w:rsid w:val="00511DE6"/>
    <w:rsid w:val="0051222E"/>
    <w:rsid w:val="00512ED6"/>
    <w:rsid w:val="00515A7E"/>
    <w:rsid w:val="00515D97"/>
    <w:rsid w:val="005166D7"/>
    <w:rsid w:val="00516C66"/>
    <w:rsid w:val="005179F6"/>
    <w:rsid w:val="00517F02"/>
    <w:rsid w:val="00522034"/>
    <w:rsid w:val="005234F6"/>
    <w:rsid w:val="00523EA2"/>
    <w:rsid w:val="00524547"/>
    <w:rsid w:val="00524663"/>
    <w:rsid w:val="005257DB"/>
    <w:rsid w:val="005258A2"/>
    <w:rsid w:val="00526003"/>
    <w:rsid w:val="005277DD"/>
    <w:rsid w:val="00527E90"/>
    <w:rsid w:val="00530155"/>
    <w:rsid w:val="00530787"/>
    <w:rsid w:val="00530CE5"/>
    <w:rsid w:val="00530F7C"/>
    <w:rsid w:val="0053149F"/>
    <w:rsid w:val="00531DB2"/>
    <w:rsid w:val="005340E4"/>
    <w:rsid w:val="00534567"/>
    <w:rsid w:val="00534F43"/>
    <w:rsid w:val="00535A84"/>
    <w:rsid w:val="00535C0A"/>
    <w:rsid w:val="00535D73"/>
    <w:rsid w:val="00535E21"/>
    <w:rsid w:val="00536889"/>
    <w:rsid w:val="00540E6B"/>
    <w:rsid w:val="005416B1"/>
    <w:rsid w:val="005416DA"/>
    <w:rsid w:val="00541F0E"/>
    <w:rsid w:val="00542DC8"/>
    <w:rsid w:val="00542E07"/>
    <w:rsid w:val="005438D5"/>
    <w:rsid w:val="00543936"/>
    <w:rsid w:val="00543A12"/>
    <w:rsid w:val="00543D37"/>
    <w:rsid w:val="0054432E"/>
    <w:rsid w:val="005444D8"/>
    <w:rsid w:val="00544728"/>
    <w:rsid w:val="00544CA4"/>
    <w:rsid w:val="00545266"/>
    <w:rsid w:val="005455F9"/>
    <w:rsid w:val="00545C4D"/>
    <w:rsid w:val="005461CC"/>
    <w:rsid w:val="00546A34"/>
    <w:rsid w:val="0054709F"/>
    <w:rsid w:val="005474D5"/>
    <w:rsid w:val="0054769C"/>
    <w:rsid w:val="00550517"/>
    <w:rsid w:val="005508C5"/>
    <w:rsid w:val="00551F42"/>
    <w:rsid w:val="00552D02"/>
    <w:rsid w:val="0055302E"/>
    <w:rsid w:val="00553D83"/>
    <w:rsid w:val="0055481D"/>
    <w:rsid w:val="005549FE"/>
    <w:rsid w:val="00554A7B"/>
    <w:rsid w:val="00554E0A"/>
    <w:rsid w:val="0055572C"/>
    <w:rsid w:val="0055671B"/>
    <w:rsid w:val="0055757F"/>
    <w:rsid w:val="00557615"/>
    <w:rsid w:val="005603EC"/>
    <w:rsid w:val="00560647"/>
    <w:rsid w:val="0056064F"/>
    <w:rsid w:val="00561B84"/>
    <w:rsid w:val="0056295D"/>
    <w:rsid w:val="005631A8"/>
    <w:rsid w:val="00563336"/>
    <w:rsid w:val="0056440D"/>
    <w:rsid w:val="00564FFC"/>
    <w:rsid w:val="00565EDA"/>
    <w:rsid w:val="005660B0"/>
    <w:rsid w:val="005662B5"/>
    <w:rsid w:val="00570297"/>
    <w:rsid w:val="00570CFD"/>
    <w:rsid w:val="00571657"/>
    <w:rsid w:val="00571D98"/>
    <w:rsid w:val="005720AE"/>
    <w:rsid w:val="005726D6"/>
    <w:rsid w:val="0057271C"/>
    <w:rsid w:val="00572DD8"/>
    <w:rsid w:val="00572E23"/>
    <w:rsid w:val="00574947"/>
    <w:rsid w:val="00574FA8"/>
    <w:rsid w:val="0058030D"/>
    <w:rsid w:val="005804BE"/>
    <w:rsid w:val="00581156"/>
    <w:rsid w:val="005817A1"/>
    <w:rsid w:val="00581E10"/>
    <w:rsid w:val="00581E1A"/>
    <w:rsid w:val="00582045"/>
    <w:rsid w:val="005845FD"/>
    <w:rsid w:val="00584BEE"/>
    <w:rsid w:val="00587977"/>
    <w:rsid w:val="00590520"/>
    <w:rsid w:val="00590525"/>
    <w:rsid w:val="00590AE3"/>
    <w:rsid w:val="005918F1"/>
    <w:rsid w:val="00592064"/>
    <w:rsid w:val="005925CD"/>
    <w:rsid w:val="005926B0"/>
    <w:rsid w:val="00593380"/>
    <w:rsid w:val="00593D03"/>
    <w:rsid w:val="00593D2D"/>
    <w:rsid w:val="00595839"/>
    <w:rsid w:val="00595D7D"/>
    <w:rsid w:val="00595E84"/>
    <w:rsid w:val="00596430"/>
    <w:rsid w:val="005978A3"/>
    <w:rsid w:val="005A06B7"/>
    <w:rsid w:val="005A0885"/>
    <w:rsid w:val="005A1759"/>
    <w:rsid w:val="005A232F"/>
    <w:rsid w:val="005A2446"/>
    <w:rsid w:val="005A3110"/>
    <w:rsid w:val="005A3BEC"/>
    <w:rsid w:val="005A3CE6"/>
    <w:rsid w:val="005A3EAA"/>
    <w:rsid w:val="005A413C"/>
    <w:rsid w:val="005A47C3"/>
    <w:rsid w:val="005A4D25"/>
    <w:rsid w:val="005A5653"/>
    <w:rsid w:val="005A7033"/>
    <w:rsid w:val="005A7094"/>
    <w:rsid w:val="005A7675"/>
    <w:rsid w:val="005B17B5"/>
    <w:rsid w:val="005B21B8"/>
    <w:rsid w:val="005B2236"/>
    <w:rsid w:val="005B2A5D"/>
    <w:rsid w:val="005B33C9"/>
    <w:rsid w:val="005B3CD2"/>
    <w:rsid w:val="005B446E"/>
    <w:rsid w:val="005B4DF5"/>
    <w:rsid w:val="005B59DD"/>
    <w:rsid w:val="005B6087"/>
    <w:rsid w:val="005C234C"/>
    <w:rsid w:val="005C3194"/>
    <w:rsid w:val="005C3ADB"/>
    <w:rsid w:val="005C3B65"/>
    <w:rsid w:val="005C3F2F"/>
    <w:rsid w:val="005C426F"/>
    <w:rsid w:val="005C4A27"/>
    <w:rsid w:val="005C4C50"/>
    <w:rsid w:val="005C584A"/>
    <w:rsid w:val="005D0369"/>
    <w:rsid w:val="005D1A65"/>
    <w:rsid w:val="005D2002"/>
    <w:rsid w:val="005D2222"/>
    <w:rsid w:val="005D32BA"/>
    <w:rsid w:val="005D4574"/>
    <w:rsid w:val="005D53FE"/>
    <w:rsid w:val="005D582B"/>
    <w:rsid w:val="005D5A88"/>
    <w:rsid w:val="005D5B57"/>
    <w:rsid w:val="005D6521"/>
    <w:rsid w:val="005D719B"/>
    <w:rsid w:val="005D7A0F"/>
    <w:rsid w:val="005D7C87"/>
    <w:rsid w:val="005E0438"/>
    <w:rsid w:val="005E0718"/>
    <w:rsid w:val="005E1445"/>
    <w:rsid w:val="005E1791"/>
    <w:rsid w:val="005E17E1"/>
    <w:rsid w:val="005E185A"/>
    <w:rsid w:val="005E1BE6"/>
    <w:rsid w:val="005E2C66"/>
    <w:rsid w:val="005E2CE6"/>
    <w:rsid w:val="005E5A54"/>
    <w:rsid w:val="005E6324"/>
    <w:rsid w:val="005E6E30"/>
    <w:rsid w:val="005E733D"/>
    <w:rsid w:val="005F0674"/>
    <w:rsid w:val="005F1E2B"/>
    <w:rsid w:val="005F228B"/>
    <w:rsid w:val="005F29CD"/>
    <w:rsid w:val="005F38EC"/>
    <w:rsid w:val="005F47A7"/>
    <w:rsid w:val="005F49C0"/>
    <w:rsid w:val="005F4DFB"/>
    <w:rsid w:val="005F5217"/>
    <w:rsid w:val="005F5D4E"/>
    <w:rsid w:val="005F5FF7"/>
    <w:rsid w:val="005F61DE"/>
    <w:rsid w:val="005F6CC0"/>
    <w:rsid w:val="005F7441"/>
    <w:rsid w:val="00601C55"/>
    <w:rsid w:val="0060229E"/>
    <w:rsid w:val="006032EC"/>
    <w:rsid w:val="00603B40"/>
    <w:rsid w:val="00603B91"/>
    <w:rsid w:val="00603E5B"/>
    <w:rsid w:val="00604720"/>
    <w:rsid w:val="00604BC8"/>
    <w:rsid w:val="00605528"/>
    <w:rsid w:val="006059EF"/>
    <w:rsid w:val="006061C5"/>
    <w:rsid w:val="00606929"/>
    <w:rsid w:val="00610349"/>
    <w:rsid w:val="00610599"/>
    <w:rsid w:val="006108E1"/>
    <w:rsid w:val="00610AF2"/>
    <w:rsid w:val="006122F7"/>
    <w:rsid w:val="00613F77"/>
    <w:rsid w:val="00614AEE"/>
    <w:rsid w:val="00614C20"/>
    <w:rsid w:val="00614EEA"/>
    <w:rsid w:val="00615B4C"/>
    <w:rsid w:val="00615B5D"/>
    <w:rsid w:val="00616241"/>
    <w:rsid w:val="0061624B"/>
    <w:rsid w:val="00616628"/>
    <w:rsid w:val="006166C0"/>
    <w:rsid w:val="00616BE6"/>
    <w:rsid w:val="00617A90"/>
    <w:rsid w:val="00620DC4"/>
    <w:rsid w:val="00621246"/>
    <w:rsid w:val="00621456"/>
    <w:rsid w:val="0062146F"/>
    <w:rsid w:val="00622E2E"/>
    <w:rsid w:val="00624569"/>
    <w:rsid w:val="00624BC3"/>
    <w:rsid w:val="00624C91"/>
    <w:rsid w:val="006253AB"/>
    <w:rsid w:val="00625D87"/>
    <w:rsid w:val="0062648E"/>
    <w:rsid w:val="006268BF"/>
    <w:rsid w:val="00626D14"/>
    <w:rsid w:val="00626D32"/>
    <w:rsid w:val="00627180"/>
    <w:rsid w:val="006301FC"/>
    <w:rsid w:val="00630A5B"/>
    <w:rsid w:val="0063300E"/>
    <w:rsid w:val="0063352D"/>
    <w:rsid w:val="00633750"/>
    <w:rsid w:val="006343AF"/>
    <w:rsid w:val="0063459C"/>
    <w:rsid w:val="006347AF"/>
    <w:rsid w:val="00635E19"/>
    <w:rsid w:val="0063634A"/>
    <w:rsid w:val="00636E45"/>
    <w:rsid w:val="006377DE"/>
    <w:rsid w:val="00640864"/>
    <w:rsid w:val="006415E6"/>
    <w:rsid w:val="0064250D"/>
    <w:rsid w:val="0064576B"/>
    <w:rsid w:val="00645A21"/>
    <w:rsid w:val="00646039"/>
    <w:rsid w:val="00650418"/>
    <w:rsid w:val="006505F7"/>
    <w:rsid w:val="006510EE"/>
    <w:rsid w:val="0065126F"/>
    <w:rsid w:val="0065152A"/>
    <w:rsid w:val="00652211"/>
    <w:rsid w:val="00652DA4"/>
    <w:rsid w:val="00652F0C"/>
    <w:rsid w:val="006535EB"/>
    <w:rsid w:val="00654812"/>
    <w:rsid w:val="00654915"/>
    <w:rsid w:val="00655A9E"/>
    <w:rsid w:val="006561FC"/>
    <w:rsid w:val="0065653B"/>
    <w:rsid w:val="00656DA1"/>
    <w:rsid w:val="00657100"/>
    <w:rsid w:val="0066007E"/>
    <w:rsid w:val="006611B9"/>
    <w:rsid w:val="0066166A"/>
    <w:rsid w:val="00662678"/>
    <w:rsid w:val="00662694"/>
    <w:rsid w:val="006626E0"/>
    <w:rsid w:val="00662EE3"/>
    <w:rsid w:val="00662F20"/>
    <w:rsid w:val="00663016"/>
    <w:rsid w:val="00663B64"/>
    <w:rsid w:val="00664ABD"/>
    <w:rsid w:val="00664FAC"/>
    <w:rsid w:val="00665FC3"/>
    <w:rsid w:val="006667C0"/>
    <w:rsid w:val="0067190E"/>
    <w:rsid w:val="00671F0F"/>
    <w:rsid w:val="00674282"/>
    <w:rsid w:val="00674605"/>
    <w:rsid w:val="006746C8"/>
    <w:rsid w:val="00674745"/>
    <w:rsid w:val="006748B8"/>
    <w:rsid w:val="006751BD"/>
    <w:rsid w:val="00675FF3"/>
    <w:rsid w:val="00677006"/>
    <w:rsid w:val="006771B9"/>
    <w:rsid w:val="00680F3F"/>
    <w:rsid w:val="006817B1"/>
    <w:rsid w:val="00681B31"/>
    <w:rsid w:val="006826E5"/>
    <w:rsid w:val="00682B1E"/>
    <w:rsid w:val="00683398"/>
    <w:rsid w:val="0068355D"/>
    <w:rsid w:val="006836C2"/>
    <w:rsid w:val="00684152"/>
    <w:rsid w:val="0068448E"/>
    <w:rsid w:val="006845D0"/>
    <w:rsid w:val="006852E3"/>
    <w:rsid w:val="0068535B"/>
    <w:rsid w:val="0068736E"/>
    <w:rsid w:val="0068762D"/>
    <w:rsid w:val="00691254"/>
    <w:rsid w:val="0069290A"/>
    <w:rsid w:val="006935CE"/>
    <w:rsid w:val="00693FA4"/>
    <w:rsid w:val="006958F4"/>
    <w:rsid w:val="00696197"/>
    <w:rsid w:val="00696A0C"/>
    <w:rsid w:val="00697032"/>
    <w:rsid w:val="006975AC"/>
    <w:rsid w:val="00697AE1"/>
    <w:rsid w:val="00697BAA"/>
    <w:rsid w:val="006A0654"/>
    <w:rsid w:val="006A1062"/>
    <w:rsid w:val="006A13D7"/>
    <w:rsid w:val="006A15FB"/>
    <w:rsid w:val="006A1D4E"/>
    <w:rsid w:val="006A3DE7"/>
    <w:rsid w:val="006A4610"/>
    <w:rsid w:val="006A4A01"/>
    <w:rsid w:val="006A63C2"/>
    <w:rsid w:val="006A72BF"/>
    <w:rsid w:val="006B00D9"/>
    <w:rsid w:val="006B169F"/>
    <w:rsid w:val="006B332A"/>
    <w:rsid w:val="006B33BD"/>
    <w:rsid w:val="006B45C7"/>
    <w:rsid w:val="006B5837"/>
    <w:rsid w:val="006B5A4A"/>
    <w:rsid w:val="006B67F0"/>
    <w:rsid w:val="006C0DA5"/>
    <w:rsid w:val="006C24E1"/>
    <w:rsid w:val="006C2FAE"/>
    <w:rsid w:val="006C2FCE"/>
    <w:rsid w:val="006C332B"/>
    <w:rsid w:val="006C3F75"/>
    <w:rsid w:val="006C4F6C"/>
    <w:rsid w:val="006D0123"/>
    <w:rsid w:val="006D1137"/>
    <w:rsid w:val="006D170E"/>
    <w:rsid w:val="006D215F"/>
    <w:rsid w:val="006D2397"/>
    <w:rsid w:val="006D3739"/>
    <w:rsid w:val="006D532B"/>
    <w:rsid w:val="006D576A"/>
    <w:rsid w:val="006D67FF"/>
    <w:rsid w:val="006E010C"/>
    <w:rsid w:val="006E0202"/>
    <w:rsid w:val="006E06AF"/>
    <w:rsid w:val="006E086D"/>
    <w:rsid w:val="006E2443"/>
    <w:rsid w:val="006E41E0"/>
    <w:rsid w:val="006E5FE7"/>
    <w:rsid w:val="006E60E1"/>
    <w:rsid w:val="006E695B"/>
    <w:rsid w:val="006E6AD1"/>
    <w:rsid w:val="006E6B0E"/>
    <w:rsid w:val="006F135A"/>
    <w:rsid w:val="006F1789"/>
    <w:rsid w:val="006F3007"/>
    <w:rsid w:val="006F4E64"/>
    <w:rsid w:val="006F5112"/>
    <w:rsid w:val="006F55B6"/>
    <w:rsid w:val="006F5668"/>
    <w:rsid w:val="006F5826"/>
    <w:rsid w:val="006F703B"/>
    <w:rsid w:val="007006EC"/>
    <w:rsid w:val="00700B6E"/>
    <w:rsid w:val="00700D86"/>
    <w:rsid w:val="00700F6A"/>
    <w:rsid w:val="007011EE"/>
    <w:rsid w:val="0070333D"/>
    <w:rsid w:val="007035EF"/>
    <w:rsid w:val="00703D18"/>
    <w:rsid w:val="00706C5D"/>
    <w:rsid w:val="00706E90"/>
    <w:rsid w:val="007101F7"/>
    <w:rsid w:val="00710A28"/>
    <w:rsid w:val="00711474"/>
    <w:rsid w:val="007118E6"/>
    <w:rsid w:val="00712CF1"/>
    <w:rsid w:val="0071305A"/>
    <w:rsid w:val="00714C19"/>
    <w:rsid w:val="007152DA"/>
    <w:rsid w:val="00715636"/>
    <w:rsid w:val="007156EF"/>
    <w:rsid w:val="00716356"/>
    <w:rsid w:val="0071792E"/>
    <w:rsid w:val="00720AA7"/>
    <w:rsid w:val="00720C02"/>
    <w:rsid w:val="00720F19"/>
    <w:rsid w:val="00721AC7"/>
    <w:rsid w:val="00721E1F"/>
    <w:rsid w:val="00721F57"/>
    <w:rsid w:val="007225C9"/>
    <w:rsid w:val="0072319D"/>
    <w:rsid w:val="00723396"/>
    <w:rsid w:val="00723ED9"/>
    <w:rsid w:val="00725AE4"/>
    <w:rsid w:val="00725CF7"/>
    <w:rsid w:val="00730B62"/>
    <w:rsid w:val="00731888"/>
    <w:rsid w:val="00731E71"/>
    <w:rsid w:val="00731F8A"/>
    <w:rsid w:val="00732173"/>
    <w:rsid w:val="007331DE"/>
    <w:rsid w:val="00734195"/>
    <w:rsid w:val="007344C4"/>
    <w:rsid w:val="0073487C"/>
    <w:rsid w:val="00734D9D"/>
    <w:rsid w:val="00735CD7"/>
    <w:rsid w:val="00736895"/>
    <w:rsid w:val="00740023"/>
    <w:rsid w:val="0074094A"/>
    <w:rsid w:val="007412E9"/>
    <w:rsid w:val="00741771"/>
    <w:rsid w:val="00741C18"/>
    <w:rsid w:val="007445FF"/>
    <w:rsid w:val="0074749A"/>
    <w:rsid w:val="00750988"/>
    <w:rsid w:val="00750AB2"/>
    <w:rsid w:val="00752AB1"/>
    <w:rsid w:val="00752BF3"/>
    <w:rsid w:val="00752F02"/>
    <w:rsid w:val="00753045"/>
    <w:rsid w:val="00754034"/>
    <w:rsid w:val="00754BF1"/>
    <w:rsid w:val="00755A30"/>
    <w:rsid w:val="00755D9F"/>
    <w:rsid w:val="00755E1C"/>
    <w:rsid w:val="00755F8C"/>
    <w:rsid w:val="00756556"/>
    <w:rsid w:val="00756B94"/>
    <w:rsid w:val="00756DB6"/>
    <w:rsid w:val="00757857"/>
    <w:rsid w:val="0076132B"/>
    <w:rsid w:val="007623AE"/>
    <w:rsid w:val="0076310A"/>
    <w:rsid w:val="00763331"/>
    <w:rsid w:val="007633E0"/>
    <w:rsid w:val="00764B04"/>
    <w:rsid w:val="00766297"/>
    <w:rsid w:val="00767157"/>
    <w:rsid w:val="007700F1"/>
    <w:rsid w:val="0077065B"/>
    <w:rsid w:val="007709B3"/>
    <w:rsid w:val="00770B19"/>
    <w:rsid w:val="00771093"/>
    <w:rsid w:val="0077171E"/>
    <w:rsid w:val="00772118"/>
    <w:rsid w:val="00772893"/>
    <w:rsid w:val="00773717"/>
    <w:rsid w:val="00774FA0"/>
    <w:rsid w:val="00775410"/>
    <w:rsid w:val="007757B2"/>
    <w:rsid w:val="0077648E"/>
    <w:rsid w:val="00776620"/>
    <w:rsid w:val="007776D7"/>
    <w:rsid w:val="0077797A"/>
    <w:rsid w:val="00777B6D"/>
    <w:rsid w:val="00781DB2"/>
    <w:rsid w:val="007821D1"/>
    <w:rsid w:val="007827CD"/>
    <w:rsid w:val="00783969"/>
    <w:rsid w:val="00784445"/>
    <w:rsid w:val="007846B2"/>
    <w:rsid w:val="00784855"/>
    <w:rsid w:val="00784F39"/>
    <w:rsid w:val="00785314"/>
    <w:rsid w:val="007853B2"/>
    <w:rsid w:val="0078545C"/>
    <w:rsid w:val="007854B5"/>
    <w:rsid w:val="007864A6"/>
    <w:rsid w:val="007867A2"/>
    <w:rsid w:val="00786A8F"/>
    <w:rsid w:val="0078751B"/>
    <w:rsid w:val="007878BB"/>
    <w:rsid w:val="007906C4"/>
    <w:rsid w:val="0079150A"/>
    <w:rsid w:val="007940EA"/>
    <w:rsid w:val="00794331"/>
    <w:rsid w:val="00795152"/>
    <w:rsid w:val="007967E8"/>
    <w:rsid w:val="00796ECC"/>
    <w:rsid w:val="007970B8"/>
    <w:rsid w:val="00797939"/>
    <w:rsid w:val="00797FB3"/>
    <w:rsid w:val="007A07AE"/>
    <w:rsid w:val="007A1C5C"/>
    <w:rsid w:val="007A45C3"/>
    <w:rsid w:val="007A4AB3"/>
    <w:rsid w:val="007A4FA3"/>
    <w:rsid w:val="007A5CF2"/>
    <w:rsid w:val="007A63F2"/>
    <w:rsid w:val="007A641C"/>
    <w:rsid w:val="007A6455"/>
    <w:rsid w:val="007A6993"/>
    <w:rsid w:val="007A69B6"/>
    <w:rsid w:val="007A7069"/>
    <w:rsid w:val="007A733E"/>
    <w:rsid w:val="007A7643"/>
    <w:rsid w:val="007B0FDC"/>
    <w:rsid w:val="007B2020"/>
    <w:rsid w:val="007B2B3C"/>
    <w:rsid w:val="007B3296"/>
    <w:rsid w:val="007B3FA1"/>
    <w:rsid w:val="007B40BB"/>
    <w:rsid w:val="007B51A0"/>
    <w:rsid w:val="007B5D18"/>
    <w:rsid w:val="007B5E42"/>
    <w:rsid w:val="007B6603"/>
    <w:rsid w:val="007B6754"/>
    <w:rsid w:val="007B68DE"/>
    <w:rsid w:val="007B78BC"/>
    <w:rsid w:val="007C1631"/>
    <w:rsid w:val="007C1857"/>
    <w:rsid w:val="007C3C8C"/>
    <w:rsid w:val="007C4012"/>
    <w:rsid w:val="007C483B"/>
    <w:rsid w:val="007C514F"/>
    <w:rsid w:val="007C685D"/>
    <w:rsid w:val="007C734D"/>
    <w:rsid w:val="007D0A33"/>
    <w:rsid w:val="007D0F95"/>
    <w:rsid w:val="007D164E"/>
    <w:rsid w:val="007D19CC"/>
    <w:rsid w:val="007D25C2"/>
    <w:rsid w:val="007D2AC4"/>
    <w:rsid w:val="007D33DC"/>
    <w:rsid w:val="007D360E"/>
    <w:rsid w:val="007D3A53"/>
    <w:rsid w:val="007D43B2"/>
    <w:rsid w:val="007D58E3"/>
    <w:rsid w:val="007D5BE6"/>
    <w:rsid w:val="007D723A"/>
    <w:rsid w:val="007D74E4"/>
    <w:rsid w:val="007D7ECB"/>
    <w:rsid w:val="007E0799"/>
    <w:rsid w:val="007E0D9D"/>
    <w:rsid w:val="007E183B"/>
    <w:rsid w:val="007E25A1"/>
    <w:rsid w:val="007E2687"/>
    <w:rsid w:val="007E4069"/>
    <w:rsid w:val="007E42E5"/>
    <w:rsid w:val="007E4BD2"/>
    <w:rsid w:val="007E575A"/>
    <w:rsid w:val="007E5AEC"/>
    <w:rsid w:val="007E7145"/>
    <w:rsid w:val="007F01BA"/>
    <w:rsid w:val="007F05C6"/>
    <w:rsid w:val="007F0F36"/>
    <w:rsid w:val="007F3916"/>
    <w:rsid w:val="007F3CE1"/>
    <w:rsid w:val="007F4269"/>
    <w:rsid w:val="007F5C68"/>
    <w:rsid w:val="007F6C08"/>
    <w:rsid w:val="00800823"/>
    <w:rsid w:val="00801179"/>
    <w:rsid w:val="00801555"/>
    <w:rsid w:val="0080183D"/>
    <w:rsid w:val="00802401"/>
    <w:rsid w:val="00802479"/>
    <w:rsid w:val="008026E3"/>
    <w:rsid w:val="00802D1B"/>
    <w:rsid w:val="00805372"/>
    <w:rsid w:val="00805B7B"/>
    <w:rsid w:val="00806DBC"/>
    <w:rsid w:val="00807660"/>
    <w:rsid w:val="00810C6E"/>
    <w:rsid w:val="00810D07"/>
    <w:rsid w:val="00810D39"/>
    <w:rsid w:val="008112E2"/>
    <w:rsid w:val="008123F1"/>
    <w:rsid w:val="0081293E"/>
    <w:rsid w:val="0081413D"/>
    <w:rsid w:val="00814CB3"/>
    <w:rsid w:val="00814FFB"/>
    <w:rsid w:val="0081507E"/>
    <w:rsid w:val="00815E21"/>
    <w:rsid w:val="0081703B"/>
    <w:rsid w:val="00817F88"/>
    <w:rsid w:val="00820568"/>
    <w:rsid w:val="00821A52"/>
    <w:rsid w:val="00822294"/>
    <w:rsid w:val="008228E0"/>
    <w:rsid w:val="008235F2"/>
    <w:rsid w:val="00824811"/>
    <w:rsid w:val="00824F0E"/>
    <w:rsid w:val="00826185"/>
    <w:rsid w:val="008266E7"/>
    <w:rsid w:val="0082732F"/>
    <w:rsid w:val="00827608"/>
    <w:rsid w:val="00830670"/>
    <w:rsid w:val="00831670"/>
    <w:rsid w:val="00831A80"/>
    <w:rsid w:val="00831F67"/>
    <w:rsid w:val="008332C8"/>
    <w:rsid w:val="00833743"/>
    <w:rsid w:val="008340A4"/>
    <w:rsid w:val="00834F73"/>
    <w:rsid w:val="00836799"/>
    <w:rsid w:val="008367D4"/>
    <w:rsid w:val="00837028"/>
    <w:rsid w:val="00837131"/>
    <w:rsid w:val="008378B7"/>
    <w:rsid w:val="00841AC0"/>
    <w:rsid w:val="008423EF"/>
    <w:rsid w:val="00844DAB"/>
    <w:rsid w:val="00844DDB"/>
    <w:rsid w:val="00845F57"/>
    <w:rsid w:val="00846563"/>
    <w:rsid w:val="00847BB1"/>
    <w:rsid w:val="00850C8B"/>
    <w:rsid w:val="00851AA3"/>
    <w:rsid w:val="008521E0"/>
    <w:rsid w:val="008525B0"/>
    <w:rsid w:val="00852B29"/>
    <w:rsid w:val="0085350A"/>
    <w:rsid w:val="00855422"/>
    <w:rsid w:val="00855A5F"/>
    <w:rsid w:val="00856B81"/>
    <w:rsid w:val="008572FC"/>
    <w:rsid w:val="008607E0"/>
    <w:rsid w:val="0086154D"/>
    <w:rsid w:val="00862228"/>
    <w:rsid w:val="008625F2"/>
    <w:rsid w:val="00862D8E"/>
    <w:rsid w:val="00864ADB"/>
    <w:rsid w:val="00865186"/>
    <w:rsid w:val="008652DB"/>
    <w:rsid w:val="008655CC"/>
    <w:rsid w:val="00865B50"/>
    <w:rsid w:val="00866327"/>
    <w:rsid w:val="00867CBC"/>
    <w:rsid w:val="00867DD2"/>
    <w:rsid w:val="00867EA1"/>
    <w:rsid w:val="00870A0E"/>
    <w:rsid w:val="00871119"/>
    <w:rsid w:val="008714DB"/>
    <w:rsid w:val="008715D4"/>
    <w:rsid w:val="0087179A"/>
    <w:rsid w:val="008719FE"/>
    <w:rsid w:val="00873B10"/>
    <w:rsid w:val="00875055"/>
    <w:rsid w:val="0087596C"/>
    <w:rsid w:val="00875E66"/>
    <w:rsid w:val="00876C30"/>
    <w:rsid w:val="00877017"/>
    <w:rsid w:val="008772CD"/>
    <w:rsid w:val="008773C0"/>
    <w:rsid w:val="00877554"/>
    <w:rsid w:val="00877D3F"/>
    <w:rsid w:val="00877D7C"/>
    <w:rsid w:val="00877E2E"/>
    <w:rsid w:val="00880122"/>
    <w:rsid w:val="0088034A"/>
    <w:rsid w:val="00880364"/>
    <w:rsid w:val="00880AFF"/>
    <w:rsid w:val="00881930"/>
    <w:rsid w:val="00882D67"/>
    <w:rsid w:val="008843CF"/>
    <w:rsid w:val="0088479B"/>
    <w:rsid w:val="00884AAD"/>
    <w:rsid w:val="00885542"/>
    <w:rsid w:val="00886C4C"/>
    <w:rsid w:val="00886E56"/>
    <w:rsid w:val="0088711C"/>
    <w:rsid w:val="0088757E"/>
    <w:rsid w:val="00891212"/>
    <w:rsid w:val="008922B5"/>
    <w:rsid w:val="00892ECF"/>
    <w:rsid w:val="00892F06"/>
    <w:rsid w:val="0089322A"/>
    <w:rsid w:val="00894285"/>
    <w:rsid w:val="00894C1E"/>
    <w:rsid w:val="00894F3D"/>
    <w:rsid w:val="00895210"/>
    <w:rsid w:val="00895705"/>
    <w:rsid w:val="008959C4"/>
    <w:rsid w:val="00895EAD"/>
    <w:rsid w:val="00896CB4"/>
    <w:rsid w:val="00897FFD"/>
    <w:rsid w:val="008A21C3"/>
    <w:rsid w:val="008A355F"/>
    <w:rsid w:val="008A3B81"/>
    <w:rsid w:val="008A401F"/>
    <w:rsid w:val="008A40AE"/>
    <w:rsid w:val="008A4E19"/>
    <w:rsid w:val="008A563E"/>
    <w:rsid w:val="008A67C5"/>
    <w:rsid w:val="008A7B6A"/>
    <w:rsid w:val="008B1CCA"/>
    <w:rsid w:val="008B22E1"/>
    <w:rsid w:val="008B3028"/>
    <w:rsid w:val="008B3847"/>
    <w:rsid w:val="008B3C78"/>
    <w:rsid w:val="008B3E12"/>
    <w:rsid w:val="008B41C5"/>
    <w:rsid w:val="008B4766"/>
    <w:rsid w:val="008B4AE9"/>
    <w:rsid w:val="008B5230"/>
    <w:rsid w:val="008B5E4E"/>
    <w:rsid w:val="008B6B2D"/>
    <w:rsid w:val="008B6E40"/>
    <w:rsid w:val="008B719D"/>
    <w:rsid w:val="008C01C0"/>
    <w:rsid w:val="008C12A4"/>
    <w:rsid w:val="008C2A03"/>
    <w:rsid w:val="008C30AD"/>
    <w:rsid w:val="008C3C09"/>
    <w:rsid w:val="008C45B3"/>
    <w:rsid w:val="008C4BA0"/>
    <w:rsid w:val="008C4BFA"/>
    <w:rsid w:val="008C6682"/>
    <w:rsid w:val="008D068E"/>
    <w:rsid w:val="008D0D09"/>
    <w:rsid w:val="008D0F7A"/>
    <w:rsid w:val="008D1323"/>
    <w:rsid w:val="008D2525"/>
    <w:rsid w:val="008D28AB"/>
    <w:rsid w:val="008D301A"/>
    <w:rsid w:val="008D3A08"/>
    <w:rsid w:val="008D3CA2"/>
    <w:rsid w:val="008D4CE2"/>
    <w:rsid w:val="008D4EBA"/>
    <w:rsid w:val="008D62BE"/>
    <w:rsid w:val="008D63BE"/>
    <w:rsid w:val="008D6470"/>
    <w:rsid w:val="008D671F"/>
    <w:rsid w:val="008D7F51"/>
    <w:rsid w:val="008E009F"/>
    <w:rsid w:val="008E04C1"/>
    <w:rsid w:val="008E0CFF"/>
    <w:rsid w:val="008E0E4D"/>
    <w:rsid w:val="008E32B6"/>
    <w:rsid w:val="008E3646"/>
    <w:rsid w:val="008E4D59"/>
    <w:rsid w:val="008E5D6B"/>
    <w:rsid w:val="008E689B"/>
    <w:rsid w:val="008E76F0"/>
    <w:rsid w:val="008F15FE"/>
    <w:rsid w:val="008F1E33"/>
    <w:rsid w:val="008F2449"/>
    <w:rsid w:val="008F2A94"/>
    <w:rsid w:val="008F33B6"/>
    <w:rsid w:val="008F48F8"/>
    <w:rsid w:val="008F50FE"/>
    <w:rsid w:val="008F5187"/>
    <w:rsid w:val="008F5F2A"/>
    <w:rsid w:val="008F6794"/>
    <w:rsid w:val="008F6F28"/>
    <w:rsid w:val="008F709C"/>
    <w:rsid w:val="0090052E"/>
    <w:rsid w:val="00900685"/>
    <w:rsid w:val="00900CA3"/>
    <w:rsid w:val="009017EE"/>
    <w:rsid w:val="00901EDB"/>
    <w:rsid w:val="009024B9"/>
    <w:rsid w:val="0090312B"/>
    <w:rsid w:val="009033CE"/>
    <w:rsid w:val="009038AF"/>
    <w:rsid w:val="00904961"/>
    <w:rsid w:val="00904A7B"/>
    <w:rsid w:val="009059B5"/>
    <w:rsid w:val="0090692B"/>
    <w:rsid w:val="00910807"/>
    <w:rsid w:val="00910E9D"/>
    <w:rsid w:val="00912863"/>
    <w:rsid w:val="00912D97"/>
    <w:rsid w:val="0091392B"/>
    <w:rsid w:val="00916CAE"/>
    <w:rsid w:val="0091736D"/>
    <w:rsid w:val="0092196F"/>
    <w:rsid w:val="00921F05"/>
    <w:rsid w:val="00921F71"/>
    <w:rsid w:val="00922F5E"/>
    <w:rsid w:val="00923723"/>
    <w:rsid w:val="009277B7"/>
    <w:rsid w:val="00930137"/>
    <w:rsid w:val="0093099F"/>
    <w:rsid w:val="00931001"/>
    <w:rsid w:val="009316B4"/>
    <w:rsid w:val="00931863"/>
    <w:rsid w:val="00931FCF"/>
    <w:rsid w:val="0093279E"/>
    <w:rsid w:val="00933386"/>
    <w:rsid w:val="00933524"/>
    <w:rsid w:val="00933C45"/>
    <w:rsid w:val="00933DFC"/>
    <w:rsid w:val="009403D4"/>
    <w:rsid w:val="00940623"/>
    <w:rsid w:val="009407D0"/>
    <w:rsid w:val="0094106D"/>
    <w:rsid w:val="009414CA"/>
    <w:rsid w:val="0094278D"/>
    <w:rsid w:val="009428B6"/>
    <w:rsid w:val="0094378E"/>
    <w:rsid w:val="009440EB"/>
    <w:rsid w:val="00944ACD"/>
    <w:rsid w:val="009463CE"/>
    <w:rsid w:val="009470A5"/>
    <w:rsid w:val="009474AF"/>
    <w:rsid w:val="00950DDE"/>
    <w:rsid w:val="0095177F"/>
    <w:rsid w:val="0095251D"/>
    <w:rsid w:val="0095308A"/>
    <w:rsid w:val="009535A3"/>
    <w:rsid w:val="00953F0D"/>
    <w:rsid w:val="00954BA2"/>
    <w:rsid w:val="00954E2A"/>
    <w:rsid w:val="00955305"/>
    <w:rsid w:val="0095585B"/>
    <w:rsid w:val="00955A58"/>
    <w:rsid w:val="00955AEE"/>
    <w:rsid w:val="00956F14"/>
    <w:rsid w:val="00956F50"/>
    <w:rsid w:val="009573A9"/>
    <w:rsid w:val="00957530"/>
    <w:rsid w:val="00957FAE"/>
    <w:rsid w:val="009602B7"/>
    <w:rsid w:val="009607F1"/>
    <w:rsid w:val="00960E0D"/>
    <w:rsid w:val="009614B4"/>
    <w:rsid w:val="009620FD"/>
    <w:rsid w:val="0096247A"/>
    <w:rsid w:val="00962AFB"/>
    <w:rsid w:val="00962B1D"/>
    <w:rsid w:val="00962C0F"/>
    <w:rsid w:val="00963669"/>
    <w:rsid w:val="00963C2A"/>
    <w:rsid w:val="0096418F"/>
    <w:rsid w:val="00964917"/>
    <w:rsid w:val="00964EFF"/>
    <w:rsid w:val="00965F4B"/>
    <w:rsid w:val="00966064"/>
    <w:rsid w:val="009665BE"/>
    <w:rsid w:val="00966C8A"/>
    <w:rsid w:val="00967FFC"/>
    <w:rsid w:val="00970F8A"/>
    <w:rsid w:val="00971692"/>
    <w:rsid w:val="00971F83"/>
    <w:rsid w:val="00971FB5"/>
    <w:rsid w:val="0097250A"/>
    <w:rsid w:val="00972C66"/>
    <w:rsid w:val="00972CEF"/>
    <w:rsid w:val="00972D2A"/>
    <w:rsid w:val="00973D4D"/>
    <w:rsid w:val="00973DD3"/>
    <w:rsid w:val="00975CC5"/>
    <w:rsid w:val="00976328"/>
    <w:rsid w:val="00976B4E"/>
    <w:rsid w:val="00977044"/>
    <w:rsid w:val="0097752F"/>
    <w:rsid w:val="009775B0"/>
    <w:rsid w:val="009812DD"/>
    <w:rsid w:val="00981B7E"/>
    <w:rsid w:val="00981CA7"/>
    <w:rsid w:val="00981D7D"/>
    <w:rsid w:val="00982C65"/>
    <w:rsid w:val="00982FCC"/>
    <w:rsid w:val="00983052"/>
    <w:rsid w:val="00983153"/>
    <w:rsid w:val="00983660"/>
    <w:rsid w:val="009838AD"/>
    <w:rsid w:val="00983D5F"/>
    <w:rsid w:val="00984458"/>
    <w:rsid w:val="009846B2"/>
    <w:rsid w:val="00984811"/>
    <w:rsid w:val="00985283"/>
    <w:rsid w:val="009854F7"/>
    <w:rsid w:val="009857E9"/>
    <w:rsid w:val="00986DB4"/>
    <w:rsid w:val="0098731D"/>
    <w:rsid w:val="00987322"/>
    <w:rsid w:val="00987727"/>
    <w:rsid w:val="00987789"/>
    <w:rsid w:val="00987AAF"/>
    <w:rsid w:val="009905E3"/>
    <w:rsid w:val="00990975"/>
    <w:rsid w:val="00990BF1"/>
    <w:rsid w:val="0099116A"/>
    <w:rsid w:val="009911AF"/>
    <w:rsid w:val="00991532"/>
    <w:rsid w:val="00992F3D"/>
    <w:rsid w:val="00993B26"/>
    <w:rsid w:val="009949D9"/>
    <w:rsid w:val="00994A5C"/>
    <w:rsid w:val="00996136"/>
    <w:rsid w:val="0099632F"/>
    <w:rsid w:val="009A05E2"/>
    <w:rsid w:val="009A0F3B"/>
    <w:rsid w:val="009A1497"/>
    <w:rsid w:val="009A16F1"/>
    <w:rsid w:val="009A20E3"/>
    <w:rsid w:val="009A2BB8"/>
    <w:rsid w:val="009A44B5"/>
    <w:rsid w:val="009A4511"/>
    <w:rsid w:val="009A47C4"/>
    <w:rsid w:val="009A4A0C"/>
    <w:rsid w:val="009A4B23"/>
    <w:rsid w:val="009A4CFE"/>
    <w:rsid w:val="009A559F"/>
    <w:rsid w:val="009A58F3"/>
    <w:rsid w:val="009A72C7"/>
    <w:rsid w:val="009A76BE"/>
    <w:rsid w:val="009A76E2"/>
    <w:rsid w:val="009A7DEA"/>
    <w:rsid w:val="009B0169"/>
    <w:rsid w:val="009B0897"/>
    <w:rsid w:val="009B2CC7"/>
    <w:rsid w:val="009B359E"/>
    <w:rsid w:val="009B36B1"/>
    <w:rsid w:val="009B3C8F"/>
    <w:rsid w:val="009B5C08"/>
    <w:rsid w:val="009B67FE"/>
    <w:rsid w:val="009B6CB1"/>
    <w:rsid w:val="009B712B"/>
    <w:rsid w:val="009B7EF8"/>
    <w:rsid w:val="009C0A63"/>
    <w:rsid w:val="009C340E"/>
    <w:rsid w:val="009C3D3E"/>
    <w:rsid w:val="009C3DCD"/>
    <w:rsid w:val="009C50AD"/>
    <w:rsid w:val="009C5747"/>
    <w:rsid w:val="009C58BC"/>
    <w:rsid w:val="009C5A24"/>
    <w:rsid w:val="009C6811"/>
    <w:rsid w:val="009C6914"/>
    <w:rsid w:val="009C7048"/>
    <w:rsid w:val="009C7AE9"/>
    <w:rsid w:val="009D0852"/>
    <w:rsid w:val="009D1587"/>
    <w:rsid w:val="009D1BD1"/>
    <w:rsid w:val="009D1FBF"/>
    <w:rsid w:val="009D3AA4"/>
    <w:rsid w:val="009D48C0"/>
    <w:rsid w:val="009D4CA6"/>
    <w:rsid w:val="009D5182"/>
    <w:rsid w:val="009D6198"/>
    <w:rsid w:val="009D7234"/>
    <w:rsid w:val="009D738A"/>
    <w:rsid w:val="009E0BD1"/>
    <w:rsid w:val="009E1D5F"/>
    <w:rsid w:val="009E26A0"/>
    <w:rsid w:val="009E270D"/>
    <w:rsid w:val="009E2AE0"/>
    <w:rsid w:val="009E3282"/>
    <w:rsid w:val="009E399C"/>
    <w:rsid w:val="009E3A7C"/>
    <w:rsid w:val="009E43C1"/>
    <w:rsid w:val="009E51D8"/>
    <w:rsid w:val="009E5954"/>
    <w:rsid w:val="009E7D40"/>
    <w:rsid w:val="009E7E95"/>
    <w:rsid w:val="009F116F"/>
    <w:rsid w:val="009F2AC4"/>
    <w:rsid w:val="009F3271"/>
    <w:rsid w:val="009F329E"/>
    <w:rsid w:val="009F45F9"/>
    <w:rsid w:val="009F4A48"/>
    <w:rsid w:val="009F553B"/>
    <w:rsid w:val="009F5C7A"/>
    <w:rsid w:val="009F6DEA"/>
    <w:rsid w:val="009F74F2"/>
    <w:rsid w:val="009F7ED3"/>
    <w:rsid w:val="00A016E9"/>
    <w:rsid w:val="00A01942"/>
    <w:rsid w:val="00A03607"/>
    <w:rsid w:val="00A03DFB"/>
    <w:rsid w:val="00A04185"/>
    <w:rsid w:val="00A047FF"/>
    <w:rsid w:val="00A04B18"/>
    <w:rsid w:val="00A04FEF"/>
    <w:rsid w:val="00A054C9"/>
    <w:rsid w:val="00A0589B"/>
    <w:rsid w:val="00A0661E"/>
    <w:rsid w:val="00A06744"/>
    <w:rsid w:val="00A070F9"/>
    <w:rsid w:val="00A071E4"/>
    <w:rsid w:val="00A122CD"/>
    <w:rsid w:val="00A12A32"/>
    <w:rsid w:val="00A1404B"/>
    <w:rsid w:val="00A14248"/>
    <w:rsid w:val="00A14947"/>
    <w:rsid w:val="00A17CA2"/>
    <w:rsid w:val="00A22E1F"/>
    <w:rsid w:val="00A23DC5"/>
    <w:rsid w:val="00A24C98"/>
    <w:rsid w:val="00A2571C"/>
    <w:rsid w:val="00A25843"/>
    <w:rsid w:val="00A26ED2"/>
    <w:rsid w:val="00A27544"/>
    <w:rsid w:val="00A3019D"/>
    <w:rsid w:val="00A302C4"/>
    <w:rsid w:val="00A321B1"/>
    <w:rsid w:val="00A34028"/>
    <w:rsid w:val="00A34907"/>
    <w:rsid w:val="00A34986"/>
    <w:rsid w:val="00A35568"/>
    <w:rsid w:val="00A35B83"/>
    <w:rsid w:val="00A36649"/>
    <w:rsid w:val="00A367AC"/>
    <w:rsid w:val="00A36833"/>
    <w:rsid w:val="00A36CD0"/>
    <w:rsid w:val="00A37056"/>
    <w:rsid w:val="00A40A56"/>
    <w:rsid w:val="00A41105"/>
    <w:rsid w:val="00A42F3D"/>
    <w:rsid w:val="00A4358F"/>
    <w:rsid w:val="00A43777"/>
    <w:rsid w:val="00A45322"/>
    <w:rsid w:val="00A45A2A"/>
    <w:rsid w:val="00A45C41"/>
    <w:rsid w:val="00A4606A"/>
    <w:rsid w:val="00A46346"/>
    <w:rsid w:val="00A46F67"/>
    <w:rsid w:val="00A47CF0"/>
    <w:rsid w:val="00A502CF"/>
    <w:rsid w:val="00A5127C"/>
    <w:rsid w:val="00A52275"/>
    <w:rsid w:val="00A5294A"/>
    <w:rsid w:val="00A52D0F"/>
    <w:rsid w:val="00A5473E"/>
    <w:rsid w:val="00A54AA1"/>
    <w:rsid w:val="00A55F8E"/>
    <w:rsid w:val="00A568FF"/>
    <w:rsid w:val="00A57124"/>
    <w:rsid w:val="00A5729D"/>
    <w:rsid w:val="00A60FC0"/>
    <w:rsid w:val="00A61496"/>
    <w:rsid w:val="00A61833"/>
    <w:rsid w:val="00A61F01"/>
    <w:rsid w:val="00A624C6"/>
    <w:rsid w:val="00A626E6"/>
    <w:rsid w:val="00A62A5B"/>
    <w:rsid w:val="00A63CEC"/>
    <w:rsid w:val="00A6659A"/>
    <w:rsid w:val="00A6754A"/>
    <w:rsid w:val="00A67CBE"/>
    <w:rsid w:val="00A67E98"/>
    <w:rsid w:val="00A700B5"/>
    <w:rsid w:val="00A7031E"/>
    <w:rsid w:val="00A7121F"/>
    <w:rsid w:val="00A71295"/>
    <w:rsid w:val="00A7274D"/>
    <w:rsid w:val="00A72826"/>
    <w:rsid w:val="00A728B1"/>
    <w:rsid w:val="00A728C4"/>
    <w:rsid w:val="00A72A90"/>
    <w:rsid w:val="00A72ACF"/>
    <w:rsid w:val="00A730C0"/>
    <w:rsid w:val="00A73428"/>
    <w:rsid w:val="00A73885"/>
    <w:rsid w:val="00A74780"/>
    <w:rsid w:val="00A748D7"/>
    <w:rsid w:val="00A74C35"/>
    <w:rsid w:val="00A75108"/>
    <w:rsid w:val="00A763DE"/>
    <w:rsid w:val="00A76425"/>
    <w:rsid w:val="00A76D02"/>
    <w:rsid w:val="00A771FA"/>
    <w:rsid w:val="00A77750"/>
    <w:rsid w:val="00A77E60"/>
    <w:rsid w:val="00A8032C"/>
    <w:rsid w:val="00A803D6"/>
    <w:rsid w:val="00A80F32"/>
    <w:rsid w:val="00A81282"/>
    <w:rsid w:val="00A812FE"/>
    <w:rsid w:val="00A83B7D"/>
    <w:rsid w:val="00A83E61"/>
    <w:rsid w:val="00A85291"/>
    <w:rsid w:val="00A8711C"/>
    <w:rsid w:val="00A8713F"/>
    <w:rsid w:val="00A87B55"/>
    <w:rsid w:val="00A9066A"/>
    <w:rsid w:val="00A906D4"/>
    <w:rsid w:val="00A91167"/>
    <w:rsid w:val="00A9171C"/>
    <w:rsid w:val="00A92080"/>
    <w:rsid w:val="00A9247B"/>
    <w:rsid w:val="00A926DB"/>
    <w:rsid w:val="00A92FFD"/>
    <w:rsid w:val="00A93141"/>
    <w:rsid w:val="00A9377C"/>
    <w:rsid w:val="00A944C1"/>
    <w:rsid w:val="00A94702"/>
    <w:rsid w:val="00A95975"/>
    <w:rsid w:val="00A961DA"/>
    <w:rsid w:val="00A96DC7"/>
    <w:rsid w:val="00A9708D"/>
    <w:rsid w:val="00AA0013"/>
    <w:rsid w:val="00AA06F2"/>
    <w:rsid w:val="00AA06F5"/>
    <w:rsid w:val="00AA2AF8"/>
    <w:rsid w:val="00AA2C17"/>
    <w:rsid w:val="00AA2E91"/>
    <w:rsid w:val="00AA3038"/>
    <w:rsid w:val="00AA3399"/>
    <w:rsid w:val="00AA3F7C"/>
    <w:rsid w:val="00AA4172"/>
    <w:rsid w:val="00AA5C3E"/>
    <w:rsid w:val="00AA5FD1"/>
    <w:rsid w:val="00AA608C"/>
    <w:rsid w:val="00AA67CF"/>
    <w:rsid w:val="00AA6F75"/>
    <w:rsid w:val="00AA73DF"/>
    <w:rsid w:val="00AA76F2"/>
    <w:rsid w:val="00AA7D3F"/>
    <w:rsid w:val="00AB0767"/>
    <w:rsid w:val="00AB1914"/>
    <w:rsid w:val="00AB212C"/>
    <w:rsid w:val="00AB2243"/>
    <w:rsid w:val="00AB23C4"/>
    <w:rsid w:val="00AB37CB"/>
    <w:rsid w:val="00AB3B02"/>
    <w:rsid w:val="00AB3B30"/>
    <w:rsid w:val="00AB3FFF"/>
    <w:rsid w:val="00AB4BFE"/>
    <w:rsid w:val="00AB52B5"/>
    <w:rsid w:val="00AB5330"/>
    <w:rsid w:val="00AB69ED"/>
    <w:rsid w:val="00AB75C7"/>
    <w:rsid w:val="00AB7747"/>
    <w:rsid w:val="00AC1EDA"/>
    <w:rsid w:val="00AC205C"/>
    <w:rsid w:val="00AC2532"/>
    <w:rsid w:val="00AC2AA6"/>
    <w:rsid w:val="00AC3145"/>
    <w:rsid w:val="00AC344F"/>
    <w:rsid w:val="00AC36AE"/>
    <w:rsid w:val="00AC3F30"/>
    <w:rsid w:val="00AC5B20"/>
    <w:rsid w:val="00AC6A38"/>
    <w:rsid w:val="00AC6E0E"/>
    <w:rsid w:val="00AC716D"/>
    <w:rsid w:val="00AD0EF9"/>
    <w:rsid w:val="00AD1149"/>
    <w:rsid w:val="00AD12E7"/>
    <w:rsid w:val="00AD1507"/>
    <w:rsid w:val="00AD1F68"/>
    <w:rsid w:val="00AD3915"/>
    <w:rsid w:val="00AD3948"/>
    <w:rsid w:val="00AD396A"/>
    <w:rsid w:val="00AD3DEB"/>
    <w:rsid w:val="00AD41BB"/>
    <w:rsid w:val="00AD4538"/>
    <w:rsid w:val="00AD4C87"/>
    <w:rsid w:val="00AD56D4"/>
    <w:rsid w:val="00AD5A70"/>
    <w:rsid w:val="00AD5E55"/>
    <w:rsid w:val="00AD69EB"/>
    <w:rsid w:val="00AD738B"/>
    <w:rsid w:val="00AE08A6"/>
    <w:rsid w:val="00AE0DE3"/>
    <w:rsid w:val="00AE1BF4"/>
    <w:rsid w:val="00AE2247"/>
    <w:rsid w:val="00AE227D"/>
    <w:rsid w:val="00AE26AB"/>
    <w:rsid w:val="00AE315E"/>
    <w:rsid w:val="00AE4780"/>
    <w:rsid w:val="00AE5AB2"/>
    <w:rsid w:val="00AE5C48"/>
    <w:rsid w:val="00AE5D97"/>
    <w:rsid w:val="00AE652A"/>
    <w:rsid w:val="00AE65C9"/>
    <w:rsid w:val="00AE6794"/>
    <w:rsid w:val="00AE6905"/>
    <w:rsid w:val="00AE71B0"/>
    <w:rsid w:val="00AF2031"/>
    <w:rsid w:val="00AF2AE7"/>
    <w:rsid w:val="00AF3D0E"/>
    <w:rsid w:val="00AF5E3B"/>
    <w:rsid w:val="00AF60F6"/>
    <w:rsid w:val="00AF6472"/>
    <w:rsid w:val="00AF6485"/>
    <w:rsid w:val="00B00252"/>
    <w:rsid w:val="00B00443"/>
    <w:rsid w:val="00B00652"/>
    <w:rsid w:val="00B0105F"/>
    <w:rsid w:val="00B01110"/>
    <w:rsid w:val="00B02191"/>
    <w:rsid w:val="00B02262"/>
    <w:rsid w:val="00B0306D"/>
    <w:rsid w:val="00B033F2"/>
    <w:rsid w:val="00B034F3"/>
    <w:rsid w:val="00B03BDC"/>
    <w:rsid w:val="00B03CEC"/>
    <w:rsid w:val="00B04E94"/>
    <w:rsid w:val="00B05810"/>
    <w:rsid w:val="00B05A0C"/>
    <w:rsid w:val="00B05C7E"/>
    <w:rsid w:val="00B1120D"/>
    <w:rsid w:val="00B116D0"/>
    <w:rsid w:val="00B11817"/>
    <w:rsid w:val="00B11BCB"/>
    <w:rsid w:val="00B1209F"/>
    <w:rsid w:val="00B12A84"/>
    <w:rsid w:val="00B12AD0"/>
    <w:rsid w:val="00B16280"/>
    <w:rsid w:val="00B16858"/>
    <w:rsid w:val="00B20424"/>
    <w:rsid w:val="00B20506"/>
    <w:rsid w:val="00B2095A"/>
    <w:rsid w:val="00B20D18"/>
    <w:rsid w:val="00B215D9"/>
    <w:rsid w:val="00B21701"/>
    <w:rsid w:val="00B22442"/>
    <w:rsid w:val="00B22DAB"/>
    <w:rsid w:val="00B239EF"/>
    <w:rsid w:val="00B23D11"/>
    <w:rsid w:val="00B24110"/>
    <w:rsid w:val="00B24E88"/>
    <w:rsid w:val="00B24F30"/>
    <w:rsid w:val="00B252FE"/>
    <w:rsid w:val="00B2732E"/>
    <w:rsid w:val="00B30021"/>
    <w:rsid w:val="00B31ABF"/>
    <w:rsid w:val="00B32550"/>
    <w:rsid w:val="00B32A9D"/>
    <w:rsid w:val="00B335AE"/>
    <w:rsid w:val="00B33C6F"/>
    <w:rsid w:val="00B349AB"/>
    <w:rsid w:val="00B35EBA"/>
    <w:rsid w:val="00B37098"/>
    <w:rsid w:val="00B378E1"/>
    <w:rsid w:val="00B37B16"/>
    <w:rsid w:val="00B37C14"/>
    <w:rsid w:val="00B37CE1"/>
    <w:rsid w:val="00B37CF8"/>
    <w:rsid w:val="00B37F76"/>
    <w:rsid w:val="00B40ACF"/>
    <w:rsid w:val="00B41945"/>
    <w:rsid w:val="00B41C4B"/>
    <w:rsid w:val="00B42D29"/>
    <w:rsid w:val="00B43735"/>
    <w:rsid w:val="00B4376A"/>
    <w:rsid w:val="00B46BAA"/>
    <w:rsid w:val="00B46D88"/>
    <w:rsid w:val="00B509BA"/>
    <w:rsid w:val="00B50B5F"/>
    <w:rsid w:val="00B51C62"/>
    <w:rsid w:val="00B52019"/>
    <w:rsid w:val="00B52067"/>
    <w:rsid w:val="00B5328C"/>
    <w:rsid w:val="00B532A8"/>
    <w:rsid w:val="00B534C3"/>
    <w:rsid w:val="00B53E47"/>
    <w:rsid w:val="00B54128"/>
    <w:rsid w:val="00B55826"/>
    <w:rsid w:val="00B56909"/>
    <w:rsid w:val="00B56B12"/>
    <w:rsid w:val="00B570B2"/>
    <w:rsid w:val="00B57DAD"/>
    <w:rsid w:val="00B60426"/>
    <w:rsid w:val="00B606D1"/>
    <w:rsid w:val="00B622DD"/>
    <w:rsid w:val="00B625EA"/>
    <w:rsid w:val="00B63522"/>
    <w:rsid w:val="00B63E4A"/>
    <w:rsid w:val="00B64B82"/>
    <w:rsid w:val="00B65180"/>
    <w:rsid w:val="00B661F9"/>
    <w:rsid w:val="00B6664B"/>
    <w:rsid w:val="00B704FF"/>
    <w:rsid w:val="00B71761"/>
    <w:rsid w:val="00B71824"/>
    <w:rsid w:val="00B7363F"/>
    <w:rsid w:val="00B745B8"/>
    <w:rsid w:val="00B74C29"/>
    <w:rsid w:val="00B754D9"/>
    <w:rsid w:val="00B756CB"/>
    <w:rsid w:val="00B75DFC"/>
    <w:rsid w:val="00B76F1D"/>
    <w:rsid w:val="00B8122D"/>
    <w:rsid w:val="00B81388"/>
    <w:rsid w:val="00B81BF9"/>
    <w:rsid w:val="00B846E9"/>
    <w:rsid w:val="00B84EAE"/>
    <w:rsid w:val="00B863CA"/>
    <w:rsid w:val="00B866C8"/>
    <w:rsid w:val="00B86E46"/>
    <w:rsid w:val="00B86ED1"/>
    <w:rsid w:val="00B87DC2"/>
    <w:rsid w:val="00B90465"/>
    <w:rsid w:val="00B925B1"/>
    <w:rsid w:val="00B92A19"/>
    <w:rsid w:val="00B92FA6"/>
    <w:rsid w:val="00B942A8"/>
    <w:rsid w:val="00B9544C"/>
    <w:rsid w:val="00B96162"/>
    <w:rsid w:val="00B964A5"/>
    <w:rsid w:val="00B974AC"/>
    <w:rsid w:val="00BA09EA"/>
    <w:rsid w:val="00BA11A5"/>
    <w:rsid w:val="00BA29E9"/>
    <w:rsid w:val="00BA3079"/>
    <w:rsid w:val="00BA4EA7"/>
    <w:rsid w:val="00BA6470"/>
    <w:rsid w:val="00BA6A11"/>
    <w:rsid w:val="00BA7812"/>
    <w:rsid w:val="00BB0CEE"/>
    <w:rsid w:val="00BB0D8C"/>
    <w:rsid w:val="00BB10BD"/>
    <w:rsid w:val="00BB23B1"/>
    <w:rsid w:val="00BB2C25"/>
    <w:rsid w:val="00BB3618"/>
    <w:rsid w:val="00BB37B6"/>
    <w:rsid w:val="00BB3DD7"/>
    <w:rsid w:val="00BB441E"/>
    <w:rsid w:val="00BB4B66"/>
    <w:rsid w:val="00BB501C"/>
    <w:rsid w:val="00BB50B2"/>
    <w:rsid w:val="00BB7248"/>
    <w:rsid w:val="00BC0B54"/>
    <w:rsid w:val="00BC0C9E"/>
    <w:rsid w:val="00BC1264"/>
    <w:rsid w:val="00BC32DC"/>
    <w:rsid w:val="00BC4128"/>
    <w:rsid w:val="00BC4885"/>
    <w:rsid w:val="00BC4D59"/>
    <w:rsid w:val="00BC5439"/>
    <w:rsid w:val="00BC6058"/>
    <w:rsid w:val="00BC7067"/>
    <w:rsid w:val="00BD08DD"/>
    <w:rsid w:val="00BD1B51"/>
    <w:rsid w:val="00BD375A"/>
    <w:rsid w:val="00BD47F6"/>
    <w:rsid w:val="00BD4910"/>
    <w:rsid w:val="00BD6524"/>
    <w:rsid w:val="00BE01AE"/>
    <w:rsid w:val="00BE0276"/>
    <w:rsid w:val="00BE0307"/>
    <w:rsid w:val="00BE07C7"/>
    <w:rsid w:val="00BE312D"/>
    <w:rsid w:val="00BE36DF"/>
    <w:rsid w:val="00BE3E42"/>
    <w:rsid w:val="00BE3FCA"/>
    <w:rsid w:val="00BE4A28"/>
    <w:rsid w:val="00BE4FB5"/>
    <w:rsid w:val="00BE5933"/>
    <w:rsid w:val="00BE65B0"/>
    <w:rsid w:val="00BE6783"/>
    <w:rsid w:val="00BE67E1"/>
    <w:rsid w:val="00BE705B"/>
    <w:rsid w:val="00BE757D"/>
    <w:rsid w:val="00BE7614"/>
    <w:rsid w:val="00BF09DD"/>
    <w:rsid w:val="00BF10E6"/>
    <w:rsid w:val="00BF31E4"/>
    <w:rsid w:val="00BF47AE"/>
    <w:rsid w:val="00BF4FE8"/>
    <w:rsid w:val="00BF533D"/>
    <w:rsid w:val="00BF5DE9"/>
    <w:rsid w:val="00BF5E0D"/>
    <w:rsid w:val="00BF713E"/>
    <w:rsid w:val="00BF7BCB"/>
    <w:rsid w:val="00C006DA"/>
    <w:rsid w:val="00C00D71"/>
    <w:rsid w:val="00C02D61"/>
    <w:rsid w:val="00C02D6A"/>
    <w:rsid w:val="00C031FF"/>
    <w:rsid w:val="00C050F5"/>
    <w:rsid w:val="00C05719"/>
    <w:rsid w:val="00C10578"/>
    <w:rsid w:val="00C107A0"/>
    <w:rsid w:val="00C1154A"/>
    <w:rsid w:val="00C12346"/>
    <w:rsid w:val="00C12C50"/>
    <w:rsid w:val="00C14885"/>
    <w:rsid w:val="00C14C2B"/>
    <w:rsid w:val="00C14E58"/>
    <w:rsid w:val="00C16AB9"/>
    <w:rsid w:val="00C171AE"/>
    <w:rsid w:val="00C17D62"/>
    <w:rsid w:val="00C17ED5"/>
    <w:rsid w:val="00C2026B"/>
    <w:rsid w:val="00C20546"/>
    <w:rsid w:val="00C2059E"/>
    <w:rsid w:val="00C212C3"/>
    <w:rsid w:val="00C21FDC"/>
    <w:rsid w:val="00C22639"/>
    <w:rsid w:val="00C237FD"/>
    <w:rsid w:val="00C24EE7"/>
    <w:rsid w:val="00C2596A"/>
    <w:rsid w:val="00C259D5"/>
    <w:rsid w:val="00C25B6F"/>
    <w:rsid w:val="00C2706C"/>
    <w:rsid w:val="00C271BE"/>
    <w:rsid w:val="00C27425"/>
    <w:rsid w:val="00C3123B"/>
    <w:rsid w:val="00C31AD9"/>
    <w:rsid w:val="00C31F26"/>
    <w:rsid w:val="00C328FE"/>
    <w:rsid w:val="00C33A05"/>
    <w:rsid w:val="00C33B20"/>
    <w:rsid w:val="00C359DB"/>
    <w:rsid w:val="00C36D40"/>
    <w:rsid w:val="00C37E7E"/>
    <w:rsid w:val="00C421EB"/>
    <w:rsid w:val="00C42500"/>
    <w:rsid w:val="00C4258A"/>
    <w:rsid w:val="00C43522"/>
    <w:rsid w:val="00C4363E"/>
    <w:rsid w:val="00C436D8"/>
    <w:rsid w:val="00C43929"/>
    <w:rsid w:val="00C43B09"/>
    <w:rsid w:val="00C43BDB"/>
    <w:rsid w:val="00C4409D"/>
    <w:rsid w:val="00C445B0"/>
    <w:rsid w:val="00C44D25"/>
    <w:rsid w:val="00C455BE"/>
    <w:rsid w:val="00C45D15"/>
    <w:rsid w:val="00C46047"/>
    <w:rsid w:val="00C460BB"/>
    <w:rsid w:val="00C46365"/>
    <w:rsid w:val="00C46D26"/>
    <w:rsid w:val="00C4760B"/>
    <w:rsid w:val="00C47826"/>
    <w:rsid w:val="00C5046E"/>
    <w:rsid w:val="00C50E8E"/>
    <w:rsid w:val="00C50F4D"/>
    <w:rsid w:val="00C51E2A"/>
    <w:rsid w:val="00C51E5F"/>
    <w:rsid w:val="00C52912"/>
    <w:rsid w:val="00C53576"/>
    <w:rsid w:val="00C53E39"/>
    <w:rsid w:val="00C55911"/>
    <w:rsid w:val="00C55A00"/>
    <w:rsid w:val="00C56CAD"/>
    <w:rsid w:val="00C57F47"/>
    <w:rsid w:val="00C604C2"/>
    <w:rsid w:val="00C60BC1"/>
    <w:rsid w:val="00C60D94"/>
    <w:rsid w:val="00C60F10"/>
    <w:rsid w:val="00C61E4B"/>
    <w:rsid w:val="00C623E7"/>
    <w:rsid w:val="00C627E1"/>
    <w:rsid w:val="00C62914"/>
    <w:rsid w:val="00C62E0E"/>
    <w:rsid w:val="00C62E3A"/>
    <w:rsid w:val="00C64231"/>
    <w:rsid w:val="00C64503"/>
    <w:rsid w:val="00C64A1F"/>
    <w:rsid w:val="00C64BFF"/>
    <w:rsid w:val="00C662DB"/>
    <w:rsid w:val="00C668B2"/>
    <w:rsid w:val="00C67BD8"/>
    <w:rsid w:val="00C67CE8"/>
    <w:rsid w:val="00C70038"/>
    <w:rsid w:val="00C70149"/>
    <w:rsid w:val="00C70238"/>
    <w:rsid w:val="00C70F3A"/>
    <w:rsid w:val="00C717FB"/>
    <w:rsid w:val="00C72A44"/>
    <w:rsid w:val="00C73E57"/>
    <w:rsid w:val="00C75418"/>
    <w:rsid w:val="00C75E29"/>
    <w:rsid w:val="00C75F78"/>
    <w:rsid w:val="00C763C9"/>
    <w:rsid w:val="00C76F9A"/>
    <w:rsid w:val="00C77421"/>
    <w:rsid w:val="00C77700"/>
    <w:rsid w:val="00C77E2B"/>
    <w:rsid w:val="00C80057"/>
    <w:rsid w:val="00C802EC"/>
    <w:rsid w:val="00C825E4"/>
    <w:rsid w:val="00C82C25"/>
    <w:rsid w:val="00C82C79"/>
    <w:rsid w:val="00C82FD7"/>
    <w:rsid w:val="00C830ED"/>
    <w:rsid w:val="00C84581"/>
    <w:rsid w:val="00C84753"/>
    <w:rsid w:val="00C8630C"/>
    <w:rsid w:val="00C87C2E"/>
    <w:rsid w:val="00C87C60"/>
    <w:rsid w:val="00C91012"/>
    <w:rsid w:val="00C91611"/>
    <w:rsid w:val="00C9223B"/>
    <w:rsid w:val="00C9439D"/>
    <w:rsid w:val="00C94A50"/>
    <w:rsid w:val="00C951D7"/>
    <w:rsid w:val="00C95AED"/>
    <w:rsid w:val="00C970B0"/>
    <w:rsid w:val="00CA1719"/>
    <w:rsid w:val="00CA1B88"/>
    <w:rsid w:val="00CA3585"/>
    <w:rsid w:val="00CA3809"/>
    <w:rsid w:val="00CA3A65"/>
    <w:rsid w:val="00CA3D5A"/>
    <w:rsid w:val="00CA410E"/>
    <w:rsid w:val="00CA4C7C"/>
    <w:rsid w:val="00CA5928"/>
    <w:rsid w:val="00CA5B39"/>
    <w:rsid w:val="00CB0183"/>
    <w:rsid w:val="00CB160E"/>
    <w:rsid w:val="00CB1EA3"/>
    <w:rsid w:val="00CB2BD4"/>
    <w:rsid w:val="00CB31BC"/>
    <w:rsid w:val="00CB3314"/>
    <w:rsid w:val="00CB4B78"/>
    <w:rsid w:val="00CB552C"/>
    <w:rsid w:val="00CB5717"/>
    <w:rsid w:val="00CB5A51"/>
    <w:rsid w:val="00CB5FB0"/>
    <w:rsid w:val="00CB68A9"/>
    <w:rsid w:val="00CB6A9E"/>
    <w:rsid w:val="00CB6F5F"/>
    <w:rsid w:val="00CB732D"/>
    <w:rsid w:val="00CB7E38"/>
    <w:rsid w:val="00CB7EB7"/>
    <w:rsid w:val="00CB7FFC"/>
    <w:rsid w:val="00CC0D26"/>
    <w:rsid w:val="00CC1539"/>
    <w:rsid w:val="00CC18BE"/>
    <w:rsid w:val="00CC1D24"/>
    <w:rsid w:val="00CC3B1A"/>
    <w:rsid w:val="00CC3B87"/>
    <w:rsid w:val="00CC3E7B"/>
    <w:rsid w:val="00CC52FD"/>
    <w:rsid w:val="00CC6181"/>
    <w:rsid w:val="00CC64EC"/>
    <w:rsid w:val="00CC682C"/>
    <w:rsid w:val="00CC6D4B"/>
    <w:rsid w:val="00CC71AE"/>
    <w:rsid w:val="00CC72B7"/>
    <w:rsid w:val="00CC7ECE"/>
    <w:rsid w:val="00CD06B8"/>
    <w:rsid w:val="00CD0E0E"/>
    <w:rsid w:val="00CD17C8"/>
    <w:rsid w:val="00CD1D5F"/>
    <w:rsid w:val="00CD2BCD"/>
    <w:rsid w:val="00CD33A6"/>
    <w:rsid w:val="00CD348B"/>
    <w:rsid w:val="00CD36AA"/>
    <w:rsid w:val="00CD3791"/>
    <w:rsid w:val="00CD37F0"/>
    <w:rsid w:val="00CD3BEF"/>
    <w:rsid w:val="00CD4DDF"/>
    <w:rsid w:val="00CD4F37"/>
    <w:rsid w:val="00CD638B"/>
    <w:rsid w:val="00CD65B0"/>
    <w:rsid w:val="00CD6EAC"/>
    <w:rsid w:val="00CD765B"/>
    <w:rsid w:val="00CD7AAE"/>
    <w:rsid w:val="00CE02CD"/>
    <w:rsid w:val="00CE10E9"/>
    <w:rsid w:val="00CE1C24"/>
    <w:rsid w:val="00CE1C75"/>
    <w:rsid w:val="00CE2493"/>
    <w:rsid w:val="00CE3222"/>
    <w:rsid w:val="00CE7FC3"/>
    <w:rsid w:val="00CF221B"/>
    <w:rsid w:val="00CF4965"/>
    <w:rsid w:val="00CF69CC"/>
    <w:rsid w:val="00CF7977"/>
    <w:rsid w:val="00D00327"/>
    <w:rsid w:val="00D003D0"/>
    <w:rsid w:val="00D0072E"/>
    <w:rsid w:val="00D01289"/>
    <w:rsid w:val="00D0208C"/>
    <w:rsid w:val="00D02E2F"/>
    <w:rsid w:val="00D03A38"/>
    <w:rsid w:val="00D0408C"/>
    <w:rsid w:val="00D04D41"/>
    <w:rsid w:val="00D06092"/>
    <w:rsid w:val="00D069F9"/>
    <w:rsid w:val="00D106DA"/>
    <w:rsid w:val="00D10930"/>
    <w:rsid w:val="00D127B2"/>
    <w:rsid w:val="00D12EF7"/>
    <w:rsid w:val="00D1373A"/>
    <w:rsid w:val="00D13EAD"/>
    <w:rsid w:val="00D14130"/>
    <w:rsid w:val="00D15310"/>
    <w:rsid w:val="00D15727"/>
    <w:rsid w:val="00D15FAF"/>
    <w:rsid w:val="00D16332"/>
    <w:rsid w:val="00D165ED"/>
    <w:rsid w:val="00D17349"/>
    <w:rsid w:val="00D17FEC"/>
    <w:rsid w:val="00D20EE1"/>
    <w:rsid w:val="00D214E0"/>
    <w:rsid w:val="00D21571"/>
    <w:rsid w:val="00D2247A"/>
    <w:rsid w:val="00D225EF"/>
    <w:rsid w:val="00D22706"/>
    <w:rsid w:val="00D23D19"/>
    <w:rsid w:val="00D24972"/>
    <w:rsid w:val="00D2515E"/>
    <w:rsid w:val="00D2680E"/>
    <w:rsid w:val="00D269BD"/>
    <w:rsid w:val="00D307B9"/>
    <w:rsid w:val="00D308ED"/>
    <w:rsid w:val="00D31B76"/>
    <w:rsid w:val="00D325A6"/>
    <w:rsid w:val="00D32F02"/>
    <w:rsid w:val="00D33F48"/>
    <w:rsid w:val="00D35003"/>
    <w:rsid w:val="00D37137"/>
    <w:rsid w:val="00D377EB"/>
    <w:rsid w:val="00D37988"/>
    <w:rsid w:val="00D37BFE"/>
    <w:rsid w:val="00D41C0D"/>
    <w:rsid w:val="00D42B67"/>
    <w:rsid w:val="00D4489A"/>
    <w:rsid w:val="00D45165"/>
    <w:rsid w:val="00D459B2"/>
    <w:rsid w:val="00D459FC"/>
    <w:rsid w:val="00D45A20"/>
    <w:rsid w:val="00D4612E"/>
    <w:rsid w:val="00D46559"/>
    <w:rsid w:val="00D465FF"/>
    <w:rsid w:val="00D4738A"/>
    <w:rsid w:val="00D4754D"/>
    <w:rsid w:val="00D47741"/>
    <w:rsid w:val="00D50E82"/>
    <w:rsid w:val="00D510D6"/>
    <w:rsid w:val="00D51BFA"/>
    <w:rsid w:val="00D51D01"/>
    <w:rsid w:val="00D52865"/>
    <w:rsid w:val="00D528AB"/>
    <w:rsid w:val="00D54343"/>
    <w:rsid w:val="00D54443"/>
    <w:rsid w:val="00D54C15"/>
    <w:rsid w:val="00D552FD"/>
    <w:rsid w:val="00D55422"/>
    <w:rsid w:val="00D55BE6"/>
    <w:rsid w:val="00D56178"/>
    <w:rsid w:val="00D5667D"/>
    <w:rsid w:val="00D56CF0"/>
    <w:rsid w:val="00D56F5C"/>
    <w:rsid w:val="00D61CE4"/>
    <w:rsid w:val="00D622BC"/>
    <w:rsid w:val="00D63ADF"/>
    <w:rsid w:val="00D64E43"/>
    <w:rsid w:val="00D64EA1"/>
    <w:rsid w:val="00D65901"/>
    <w:rsid w:val="00D65D19"/>
    <w:rsid w:val="00D66222"/>
    <w:rsid w:val="00D66B98"/>
    <w:rsid w:val="00D67008"/>
    <w:rsid w:val="00D70117"/>
    <w:rsid w:val="00D704B1"/>
    <w:rsid w:val="00D709FE"/>
    <w:rsid w:val="00D70B63"/>
    <w:rsid w:val="00D715E2"/>
    <w:rsid w:val="00D72A6A"/>
    <w:rsid w:val="00D72B92"/>
    <w:rsid w:val="00D72ED4"/>
    <w:rsid w:val="00D7327D"/>
    <w:rsid w:val="00D73F61"/>
    <w:rsid w:val="00D74860"/>
    <w:rsid w:val="00D7504A"/>
    <w:rsid w:val="00D75421"/>
    <w:rsid w:val="00D754C0"/>
    <w:rsid w:val="00D75B2E"/>
    <w:rsid w:val="00D75E35"/>
    <w:rsid w:val="00D761A5"/>
    <w:rsid w:val="00D76646"/>
    <w:rsid w:val="00D776A2"/>
    <w:rsid w:val="00D801C4"/>
    <w:rsid w:val="00D80240"/>
    <w:rsid w:val="00D80AB4"/>
    <w:rsid w:val="00D81A38"/>
    <w:rsid w:val="00D81E87"/>
    <w:rsid w:val="00D81F02"/>
    <w:rsid w:val="00D82D8E"/>
    <w:rsid w:val="00D8386B"/>
    <w:rsid w:val="00D84FF0"/>
    <w:rsid w:val="00D851E7"/>
    <w:rsid w:val="00D8557B"/>
    <w:rsid w:val="00D90836"/>
    <w:rsid w:val="00D91D0A"/>
    <w:rsid w:val="00D92C9C"/>
    <w:rsid w:val="00D92D05"/>
    <w:rsid w:val="00D9376F"/>
    <w:rsid w:val="00D954F4"/>
    <w:rsid w:val="00D95896"/>
    <w:rsid w:val="00D95CC6"/>
    <w:rsid w:val="00D960CE"/>
    <w:rsid w:val="00D97BBC"/>
    <w:rsid w:val="00DA0233"/>
    <w:rsid w:val="00DA0438"/>
    <w:rsid w:val="00DA0B89"/>
    <w:rsid w:val="00DA1F10"/>
    <w:rsid w:val="00DA20B8"/>
    <w:rsid w:val="00DA20BC"/>
    <w:rsid w:val="00DA2244"/>
    <w:rsid w:val="00DA2990"/>
    <w:rsid w:val="00DA29EC"/>
    <w:rsid w:val="00DA2CB8"/>
    <w:rsid w:val="00DA2DA3"/>
    <w:rsid w:val="00DA428D"/>
    <w:rsid w:val="00DA4FB0"/>
    <w:rsid w:val="00DA5F7A"/>
    <w:rsid w:val="00DA6615"/>
    <w:rsid w:val="00DA76AE"/>
    <w:rsid w:val="00DA7B41"/>
    <w:rsid w:val="00DB0252"/>
    <w:rsid w:val="00DB1257"/>
    <w:rsid w:val="00DB146F"/>
    <w:rsid w:val="00DB162F"/>
    <w:rsid w:val="00DB181E"/>
    <w:rsid w:val="00DB1C7A"/>
    <w:rsid w:val="00DB207D"/>
    <w:rsid w:val="00DB2983"/>
    <w:rsid w:val="00DB2A5A"/>
    <w:rsid w:val="00DB2A8B"/>
    <w:rsid w:val="00DB343D"/>
    <w:rsid w:val="00DB3494"/>
    <w:rsid w:val="00DB4098"/>
    <w:rsid w:val="00DB41B6"/>
    <w:rsid w:val="00DB4D9D"/>
    <w:rsid w:val="00DB5579"/>
    <w:rsid w:val="00DB57D1"/>
    <w:rsid w:val="00DB5CFE"/>
    <w:rsid w:val="00DB63B8"/>
    <w:rsid w:val="00DB6F26"/>
    <w:rsid w:val="00DC06DB"/>
    <w:rsid w:val="00DC1356"/>
    <w:rsid w:val="00DC163D"/>
    <w:rsid w:val="00DC27A4"/>
    <w:rsid w:val="00DC3889"/>
    <w:rsid w:val="00DC6022"/>
    <w:rsid w:val="00DC63F9"/>
    <w:rsid w:val="00DC6E55"/>
    <w:rsid w:val="00DC72A6"/>
    <w:rsid w:val="00DD0321"/>
    <w:rsid w:val="00DD03D0"/>
    <w:rsid w:val="00DD14C2"/>
    <w:rsid w:val="00DD1527"/>
    <w:rsid w:val="00DD1E28"/>
    <w:rsid w:val="00DD2113"/>
    <w:rsid w:val="00DD265E"/>
    <w:rsid w:val="00DD26FA"/>
    <w:rsid w:val="00DD297B"/>
    <w:rsid w:val="00DD3708"/>
    <w:rsid w:val="00DD3B75"/>
    <w:rsid w:val="00DD3DF8"/>
    <w:rsid w:val="00DD59B3"/>
    <w:rsid w:val="00DD5D70"/>
    <w:rsid w:val="00DD6514"/>
    <w:rsid w:val="00DD6A41"/>
    <w:rsid w:val="00DD6B6F"/>
    <w:rsid w:val="00DE0C8E"/>
    <w:rsid w:val="00DE0D63"/>
    <w:rsid w:val="00DE1313"/>
    <w:rsid w:val="00DE1DBD"/>
    <w:rsid w:val="00DE2202"/>
    <w:rsid w:val="00DE231D"/>
    <w:rsid w:val="00DE3D77"/>
    <w:rsid w:val="00DE602E"/>
    <w:rsid w:val="00DE67FA"/>
    <w:rsid w:val="00DF0C8B"/>
    <w:rsid w:val="00DF1930"/>
    <w:rsid w:val="00DF1ED1"/>
    <w:rsid w:val="00DF3324"/>
    <w:rsid w:val="00DF37C6"/>
    <w:rsid w:val="00DF514A"/>
    <w:rsid w:val="00DF6625"/>
    <w:rsid w:val="00DF7E4C"/>
    <w:rsid w:val="00E00637"/>
    <w:rsid w:val="00E0142A"/>
    <w:rsid w:val="00E016CF"/>
    <w:rsid w:val="00E018F2"/>
    <w:rsid w:val="00E019E5"/>
    <w:rsid w:val="00E02765"/>
    <w:rsid w:val="00E0358D"/>
    <w:rsid w:val="00E036E3"/>
    <w:rsid w:val="00E036F5"/>
    <w:rsid w:val="00E0429B"/>
    <w:rsid w:val="00E052DC"/>
    <w:rsid w:val="00E06283"/>
    <w:rsid w:val="00E06327"/>
    <w:rsid w:val="00E06AAA"/>
    <w:rsid w:val="00E06E2B"/>
    <w:rsid w:val="00E073DE"/>
    <w:rsid w:val="00E100E6"/>
    <w:rsid w:val="00E10FF8"/>
    <w:rsid w:val="00E11408"/>
    <w:rsid w:val="00E11B20"/>
    <w:rsid w:val="00E12417"/>
    <w:rsid w:val="00E125BD"/>
    <w:rsid w:val="00E12DE0"/>
    <w:rsid w:val="00E13FEA"/>
    <w:rsid w:val="00E14266"/>
    <w:rsid w:val="00E14293"/>
    <w:rsid w:val="00E1497E"/>
    <w:rsid w:val="00E14B66"/>
    <w:rsid w:val="00E1504D"/>
    <w:rsid w:val="00E15B08"/>
    <w:rsid w:val="00E1650D"/>
    <w:rsid w:val="00E2064B"/>
    <w:rsid w:val="00E212AB"/>
    <w:rsid w:val="00E21526"/>
    <w:rsid w:val="00E2194F"/>
    <w:rsid w:val="00E2281E"/>
    <w:rsid w:val="00E231C4"/>
    <w:rsid w:val="00E232FD"/>
    <w:rsid w:val="00E2379A"/>
    <w:rsid w:val="00E2406B"/>
    <w:rsid w:val="00E245C4"/>
    <w:rsid w:val="00E25239"/>
    <w:rsid w:val="00E259CF"/>
    <w:rsid w:val="00E265B1"/>
    <w:rsid w:val="00E2745C"/>
    <w:rsid w:val="00E275B0"/>
    <w:rsid w:val="00E30E47"/>
    <w:rsid w:val="00E311F7"/>
    <w:rsid w:val="00E315F6"/>
    <w:rsid w:val="00E34D89"/>
    <w:rsid w:val="00E35603"/>
    <w:rsid w:val="00E363D8"/>
    <w:rsid w:val="00E372EE"/>
    <w:rsid w:val="00E37B6A"/>
    <w:rsid w:val="00E37DBC"/>
    <w:rsid w:val="00E40120"/>
    <w:rsid w:val="00E412D0"/>
    <w:rsid w:val="00E41FAF"/>
    <w:rsid w:val="00E4269C"/>
    <w:rsid w:val="00E43FE4"/>
    <w:rsid w:val="00E44374"/>
    <w:rsid w:val="00E44C12"/>
    <w:rsid w:val="00E4518F"/>
    <w:rsid w:val="00E45A72"/>
    <w:rsid w:val="00E46BE0"/>
    <w:rsid w:val="00E47010"/>
    <w:rsid w:val="00E47206"/>
    <w:rsid w:val="00E47B6A"/>
    <w:rsid w:val="00E47CDB"/>
    <w:rsid w:val="00E52028"/>
    <w:rsid w:val="00E52605"/>
    <w:rsid w:val="00E52777"/>
    <w:rsid w:val="00E53BA7"/>
    <w:rsid w:val="00E53F05"/>
    <w:rsid w:val="00E54421"/>
    <w:rsid w:val="00E550B0"/>
    <w:rsid w:val="00E5513B"/>
    <w:rsid w:val="00E5525E"/>
    <w:rsid w:val="00E55618"/>
    <w:rsid w:val="00E55E36"/>
    <w:rsid w:val="00E566BC"/>
    <w:rsid w:val="00E567C6"/>
    <w:rsid w:val="00E60982"/>
    <w:rsid w:val="00E60C8D"/>
    <w:rsid w:val="00E6162F"/>
    <w:rsid w:val="00E61CE3"/>
    <w:rsid w:val="00E6265F"/>
    <w:rsid w:val="00E6311B"/>
    <w:rsid w:val="00E63163"/>
    <w:rsid w:val="00E63199"/>
    <w:rsid w:val="00E64394"/>
    <w:rsid w:val="00E6586E"/>
    <w:rsid w:val="00E65D97"/>
    <w:rsid w:val="00E662AE"/>
    <w:rsid w:val="00E6636C"/>
    <w:rsid w:val="00E67EFD"/>
    <w:rsid w:val="00E70291"/>
    <w:rsid w:val="00E702DC"/>
    <w:rsid w:val="00E71831"/>
    <w:rsid w:val="00E71FFB"/>
    <w:rsid w:val="00E730C9"/>
    <w:rsid w:val="00E736DE"/>
    <w:rsid w:val="00E742EE"/>
    <w:rsid w:val="00E7545C"/>
    <w:rsid w:val="00E760F7"/>
    <w:rsid w:val="00E763BD"/>
    <w:rsid w:val="00E76453"/>
    <w:rsid w:val="00E76D1D"/>
    <w:rsid w:val="00E77511"/>
    <w:rsid w:val="00E806F8"/>
    <w:rsid w:val="00E8147C"/>
    <w:rsid w:val="00E83810"/>
    <w:rsid w:val="00E83F10"/>
    <w:rsid w:val="00E8464A"/>
    <w:rsid w:val="00E85068"/>
    <w:rsid w:val="00E852C4"/>
    <w:rsid w:val="00E85AB4"/>
    <w:rsid w:val="00E874C3"/>
    <w:rsid w:val="00E87752"/>
    <w:rsid w:val="00E87802"/>
    <w:rsid w:val="00E8793B"/>
    <w:rsid w:val="00E90823"/>
    <w:rsid w:val="00E90F81"/>
    <w:rsid w:val="00E91971"/>
    <w:rsid w:val="00E91A6D"/>
    <w:rsid w:val="00E91DBE"/>
    <w:rsid w:val="00E9242D"/>
    <w:rsid w:val="00E93344"/>
    <w:rsid w:val="00E94898"/>
    <w:rsid w:val="00E94AD1"/>
    <w:rsid w:val="00E956C8"/>
    <w:rsid w:val="00E960AC"/>
    <w:rsid w:val="00E9621E"/>
    <w:rsid w:val="00E96DB2"/>
    <w:rsid w:val="00E97211"/>
    <w:rsid w:val="00E97A91"/>
    <w:rsid w:val="00E97DFA"/>
    <w:rsid w:val="00EA072A"/>
    <w:rsid w:val="00EA07E3"/>
    <w:rsid w:val="00EA239E"/>
    <w:rsid w:val="00EA3535"/>
    <w:rsid w:val="00EA4126"/>
    <w:rsid w:val="00EA656F"/>
    <w:rsid w:val="00EB02EC"/>
    <w:rsid w:val="00EB041C"/>
    <w:rsid w:val="00EB143B"/>
    <w:rsid w:val="00EB196B"/>
    <w:rsid w:val="00EB24E7"/>
    <w:rsid w:val="00EB2612"/>
    <w:rsid w:val="00EB2909"/>
    <w:rsid w:val="00EB358D"/>
    <w:rsid w:val="00EB3B58"/>
    <w:rsid w:val="00EB65EB"/>
    <w:rsid w:val="00EB7641"/>
    <w:rsid w:val="00EC0BB0"/>
    <w:rsid w:val="00EC13E4"/>
    <w:rsid w:val="00EC2A7F"/>
    <w:rsid w:val="00EC2BE6"/>
    <w:rsid w:val="00EC3816"/>
    <w:rsid w:val="00EC3DCA"/>
    <w:rsid w:val="00EC5874"/>
    <w:rsid w:val="00EC5A5F"/>
    <w:rsid w:val="00EC5EF9"/>
    <w:rsid w:val="00EC74B8"/>
    <w:rsid w:val="00ED14E1"/>
    <w:rsid w:val="00ED192D"/>
    <w:rsid w:val="00ED1EF3"/>
    <w:rsid w:val="00ED2764"/>
    <w:rsid w:val="00ED30B4"/>
    <w:rsid w:val="00ED31F5"/>
    <w:rsid w:val="00ED3BB1"/>
    <w:rsid w:val="00ED400C"/>
    <w:rsid w:val="00ED4BF1"/>
    <w:rsid w:val="00ED5457"/>
    <w:rsid w:val="00ED5647"/>
    <w:rsid w:val="00ED7194"/>
    <w:rsid w:val="00ED76AA"/>
    <w:rsid w:val="00ED7A6B"/>
    <w:rsid w:val="00EE1029"/>
    <w:rsid w:val="00EE1081"/>
    <w:rsid w:val="00EE1D3B"/>
    <w:rsid w:val="00EE29D0"/>
    <w:rsid w:val="00EE43FA"/>
    <w:rsid w:val="00EE498E"/>
    <w:rsid w:val="00EE5433"/>
    <w:rsid w:val="00EE6B13"/>
    <w:rsid w:val="00EE6C1A"/>
    <w:rsid w:val="00EE76F7"/>
    <w:rsid w:val="00EF070D"/>
    <w:rsid w:val="00EF1184"/>
    <w:rsid w:val="00EF25D5"/>
    <w:rsid w:val="00EF2759"/>
    <w:rsid w:val="00EF2785"/>
    <w:rsid w:val="00EF45EB"/>
    <w:rsid w:val="00EF4F43"/>
    <w:rsid w:val="00EF5099"/>
    <w:rsid w:val="00EF5E33"/>
    <w:rsid w:val="00EF66F8"/>
    <w:rsid w:val="00EF6781"/>
    <w:rsid w:val="00EF6E1D"/>
    <w:rsid w:val="00EF768F"/>
    <w:rsid w:val="00F00075"/>
    <w:rsid w:val="00F00D1B"/>
    <w:rsid w:val="00F01209"/>
    <w:rsid w:val="00F01DED"/>
    <w:rsid w:val="00F0231C"/>
    <w:rsid w:val="00F038A1"/>
    <w:rsid w:val="00F043DD"/>
    <w:rsid w:val="00F0522E"/>
    <w:rsid w:val="00F06778"/>
    <w:rsid w:val="00F0765F"/>
    <w:rsid w:val="00F07822"/>
    <w:rsid w:val="00F1039B"/>
    <w:rsid w:val="00F10783"/>
    <w:rsid w:val="00F11DF8"/>
    <w:rsid w:val="00F11E18"/>
    <w:rsid w:val="00F14379"/>
    <w:rsid w:val="00F15C95"/>
    <w:rsid w:val="00F15D17"/>
    <w:rsid w:val="00F15F2E"/>
    <w:rsid w:val="00F1661E"/>
    <w:rsid w:val="00F21E7F"/>
    <w:rsid w:val="00F225D8"/>
    <w:rsid w:val="00F22985"/>
    <w:rsid w:val="00F22F9C"/>
    <w:rsid w:val="00F23046"/>
    <w:rsid w:val="00F23B5D"/>
    <w:rsid w:val="00F23CF0"/>
    <w:rsid w:val="00F241AB"/>
    <w:rsid w:val="00F25798"/>
    <w:rsid w:val="00F26D9B"/>
    <w:rsid w:val="00F3007C"/>
    <w:rsid w:val="00F302C9"/>
    <w:rsid w:val="00F30910"/>
    <w:rsid w:val="00F31382"/>
    <w:rsid w:val="00F32A2B"/>
    <w:rsid w:val="00F32B38"/>
    <w:rsid w:val="00F33905"/>
    <w:rsid w:val="00F35276"/>
    <w:rsid w:val="00F354F2"/>
    <w:rsid w:val="00F35829"/>
    <w:rsid w:val="00F36FA4"/>
    <w:rsid w:val="00F4198D"/>
    <w:rsid w:val="00F41A10"/>
    <w:rsid w:val="00F420EE"/>
    <w:rsid w:val="00F42868"/>
    <w:rsid w:val="00F43007"/>
    <w:rsid w:val="00F435D1"/>
    <w:rsid w:val="00F43D81"/>
    <w:rsid w:val="00F4403E"/>
    <w:rsid w:val="00F44344"/>
    <w:rsid w:val="00F465A7"/>
    <w:rsid w:val="00F474EE"/>
    <w:rsid w:val="00F47E98"/>
    <w:rsid w:val="00F504EB"/>
    <w:rsid w:val="00F50B7C"/>
    <w:rsid w:val="00F5202D"/>
    <w:rsid w:val="00F5225D"/>
    <w:rsid w:val="00F52CF6"/>
    <w:rsid w:val="00F53B1B"/>
    <w:rsid w:val="00F53CBB"/>
    <w:rsid w:val="00F54496"/>
    <w:rsid w:val="00F5494C"/>
    <w:rsid w:val="00F561B5"/>
    <w:rsid w:val="00F56F8E"/>
    <w:rsid w:val="00F57544"/>
    <w:rsid w:val="00F60D41"/>
    <w:rsid w:val="00F61097"/>
    <w:rsid w:val="00F62512"/>
    <w:rsid w:val="00F63ECC"/>
    <w:rsid w:val="00F647EC"/>
    <w:rsid w:val="00F648ED"/>
    <w:rsid w:val="00F6504C"/>
    <w:rsid w:val="00F656FB"/>
    <w:rsid w:val="00F67495"/>
    <w:rsid w:val="00F67BAC"/>
    <w:rsid w:val="00F70AD2"/>
    <w:rsid w:val="00F71A71"/>
    <w:rsid w:val="00F71E5D"/>
    <w:rsid w:val="00F72012"/>
    <w:rsid w:val="00F73AF0"/>
    <w:rsid w:val="00F74345"/>
    <w:rsid w:val="00F74441"/>
    <w:rsid w:val="00F74E83"/>
    <w:rsid w:val="00F7603A"/>
    <w:rsid w:val="00F764BE"/>
    <w:rsid w:val="00F76CDC"/>
    <w:rsid w:val="00F76CEC"/>
    <w:rsid w:val="00F76DA9"/>
    <w:rsid w:val="00F77F30"/>
    <w:rsid w:val="00F8074D"/>
    <w:rsid w:val="00F80B11"/>
    <w:rsid w:val="00F811E9"/>
    <w:rsid w:val="00F8144F"/>
    <w:rsid w:val="00F815AB"/>
    <w:rsid w:val="00F81823"/>
    <w:rsid w:val="00F81C49"/>
    <w:rsid w:val="00F82589"/>
    <w:rsid w:val="00F825E6"/>
    <w:rsid w:val="00F827E5"/>
    <w:rsid w:val="00F8286D"/>
    <w:rsid w:val="00F82B19"/>
    <w:rsid w:val="00F82DA3"/>
    <w:rsid w:val="00F8536D"/>
    <w:rsid w:val="00F853EC"/>
    <w:rsid w:val="00F866FB"/>
    <w:rsid w:val="00F86E3C"/>
    <w:rsid w:val="00F870E7"/>
    <w:rsid w:val="00F90161"/>
    <w:rsid w:val="00F90AA7"/>
    <w:rsid w:val="00F91085"/>
    <w:rsid w:val="00F9212D"/>
    <w:rsid w:val="00F92200"/>
    <w:rsid w:val="00F92465"/>
    <w:rsid w:val="00F932B7"/>
    <w:rsid w:val="00F9461D"/>
    <w:rsid w:val="00F95D5A"/>
    <w:rsid w:val="00F9662F"/>
    <w:rsid w:val="00F96AAC"/>
    <w:rsid w:val="00F96F98"/>
    <w:rsid w:val="00F975C4"/>
    <w:rsid w:val="00FA0278"/>
    <w:rsid w:val="00FA1C50"/>
    <w:rsid w:val="00FA301A"/>
    <w:rsid w:val="00FA3BA1"/>
    <w:rsid w:val="00FA406A"/>
    <w:rsid w:val="00FA5CB6"/>
    <w:rsid w:val="00FB0A4C"/>
    <w:rsid w:val="00FB0DB5"/>
    <w:rsid w:val="00FB12B0"/>
    <w:rsid w:val="00FB12C5"/>
    <w:rsid w:val="00FB2438"/>
    <w:rsid w:val="00FB2504"/>
    <w:rsid w:val="00FB3064"/>
    <w:rsid w:val="00FB4C97"/>
    <w:rsid w:val="00FB5E4B"/>
    <w:rsid w:val="00FC0C38"/>
    <w:rsid w:val="00FC1897"/>
    <w:rsid w:val="00FC2937"/>
    <w:rsid w:val="00FC2C76"/>
    <w:rsid w:val="00FC3446"/>
    <w:rsid w:val="00FC3C8D"/>
    <w:rsid w:val="00FC542C"/>
    <w:rsid w:val="00FC5CED"/>
    <w:rsid w:val="00FC6633"/>
    <w:rsid w:val="00FC66AC"/>
    <w:rsid w:val="00FC78AD"/>
    <w:rsid w:val="00FD18F4"/>
    <w:rsid w:val="00FD1A2A"/>
    <w:rsid w:val="00FD33C7"/>
    <w:rsid w:val="00FD34E9"/>
    <w:rsid w:val="00FD3C40"/>
    <w:rsid w:val="00FD3FB5"/>
    <w:rsid w:val="00FD4AC0"/>
    <w:rsid w:val="00FD4CF5"/>
    <w:rsid w:val="00FD592E"/>
    <w:rsid w:val="00FD5C83"/>
    <w:rsid w:val="00FD609B"/>
    <w:rsid w:val="00FD74B4"/>
    <w:rsid w:val="00FE0AC6"/>
    <w:rsid w:val="00FE3068"/>
    <w:rsid w:val="00FE3622"/>
    <w:rsid w:val="00FE4AA9"/>
    <w:rsid w:val="00FE5130"/>
    <w:rsid w:val="00FE7194"/>
    <w:rsid w:val="00FF0DB5"/>
    <w:rsid w:val="00FF38DF"/>
    <w:rsid w:val="00FF458F"/>
    <w:rsid w:val="00FF477D"/>
    <w:rsid w:val="00FF4A8A"/>
    <w:rsid w:val="00FF59D9"/>
    <w:rsid w:val="00FF6FCE"/>
    <w:rsid w:val="00FF7518"/>
    <w:rsid w:val="00FF7D3D"/>
    <w:rsid w:val="00FF7FD8"/>
    <w:rsid w:val="016C58A7"/>
    <w:rsid w:val="01BD2D8E"/>
    <w:rsid w:val="02CB3FCC"/>
    <w:rsid w:val="033E2358"/>
    <w:rsid w:val="035E6FA6"/>
    <w:rsid w:val="037003B2"/>
    <w:rsid w:val="03E03FC4"/>
    <w:rsid w:val="03FD5018"/>
    <w:rsid w:val="04167F2D"/>
    <w:rsid w:val="04295F9B"/>
    <w:rsid w:val="047A6918"/>
    <w:rsid w:val="050A301A"/>
    <w:rsid w:val="05335ADB"/>
    <w:rsid w:val="05742AC8"/>
    <w:rsid w:val="06352F05"/>
    <w:rsid w:val="063E7D85"/>
    <w:rsid w:val="068E513A"/>
    <w:rsid w:val="06BB30B7"/>
    <w:rsid w:val="070875E0"/>
    <w:rsid w:val="070B22A8"/>
    <w:rsid w:val="07293586"/>
    <w:rsid w:val="07295285"/>
    <w:rsid w:val="07727FD6"/>
    <w:rsid w:val="07770C56"/>
    <w:rsid w:val="07A85981"/>
    <w:rsid w:val="07B33C94"/>
    <w:rsid w:val="07D83973"/>
    <w:rsid w:val="08291002"/>
    <w:rsid w:val="087F5054"/>
    <w:rsid w:val="089F4936"/>
    <w:rsid w:val="08D2695D"/>
    <w:rsid w:val="08F45803"/>
    <w:rsid w:val="0900156C"/>
    <w:rsid w:val="092217DD"/>
    <w:rsid w:val="09363C57"/>
    <w:rsid w:val="093A7294"/>
    <w:rsid w:val="09ED5DC5"/>
    <w:rsid w:val="0A17497A"/>
    <w:rsid w:val="0A8C2F33"/>
    <w:rsid w:val="0AC229C7"/>
    <w:rsid w:val="0B170A38"/>
    <w:rsid w:val="0BD27BF6"/>
    <w:rsid w:val="0CDF1002"/>
    <w:rsid w:val="0CE90DA3"/>
    <w:rsid w:val="0CEE7F6A"/>
    <w:rsid w:val="0D1531E8"/>
    <w:rsid w:val="0DD13055"/>
    <w:rsid w:val="0E110D06"/>
    <w:rsid w:val="0E47362E"/>
    <w:rsid w:val="0E4F3310"/>
    <w:rsid w:val="0E57276D"/>
    <w:rsid w:val="0EB62480"/>
    <w:rsid w:val="0F13775A"/>
    <w:rsid w:val="0F466A9D"/>
    <w:rsid w:val="0F9A112B"/>
    <w:rsid w:val="0FDF2210"/>
    <w:rsid w:val="0FE7165D"/>
    <w:rsid w:val="102F0C5A"/>
    <w:rsid w:val="10566AFC"/>
    <w:rsid w:val="106D2F64"/>
    <w:rsid w:val="109460A5"/>
    <w:rsid w:val="10B63710"/>
    <w:rsid w:val="10E76115"/>
    <w:rsid w:val="10FD5001"/>
    <w:rsid w:val="111C2F7A"/>
    <w:rsid w:val="113013DE"/>
    <w:rsid w:val="113C7F55"/>
    <w:rsid w:val="11F9392E"/>
    <w:rsid w:val="11FE7E6C"/>
    <w:rsid w:val="120F0980"/>
    <w:rsid w:val="122B06C2"/>
    <w:rsid w:val="122D5300"/>
    <w:rsid w:val="12747624"/>
    <w:rsid w:val="136D4B7D"/>
    <w:rsid w:val="13951726"/>
    <w:rsid w:val="13A079D9"/>
    <w:rsid w:val="13F52475"/>
    <w:rsid w:val="14090E8A"/>
    <w:rsid w:val="14396509"/>
    <w:rsid w:val="1447165C"/>
    <w:rsid w:val="14770ED7"/>
    <w:rsid w:val="14B618BC"/>
    <w:rsid w:val="14D47916"/>
    <w:rsid w:val="14EB22AE"/>
    <w:rsid w:val="159D2375"/>
    <w:rsid w:val="167A5CB5"/>
    <w:rsid w:val="16AD1B3E"/>
    <w:rsid w:val="174A2B48"/>
    <w:rsid w:val="17735226"/>
    <w:rsid w:val="178F37EF"/>
    <w:rsid w:val="17DD6C03"/>
    <w:rsid w:val="182D09B4"/>
    <w:rsid w:val="186E7023"/>
    <w:rsid w:val="188820EB"/>
    <w:rsid w:val="189F36BD"/>
    <w:rsid w:val="18EC56F3"/>
    <w:rsid w:val="18F43EED"/>
    <w:rsid w:val="199365FF"/>
    <w:rsid w:val="1A1C66C0"/>
    <w:rsid w:val="1A42393B"/>
    <w:rsid w:val="1AC2061C"/>
    <w:rsid w:val="1AC71E55"/>
    <w:rsid w:val="1B046F80"/>
    <w:rsid w:val="1B0A178C"/>
    <w:rsid w:val="1B3267B5"/>
    <w:rsid w:val="1B3640C6"/>
    <w:rsid w:val="1BC25DC8"/>
    <w:rsid w:val="1BCF6769"/>
    <w:rsid w:val="1BE10D9D"/>
    <w:rsid w:val="1BED2FB7"/>
    <w:rsid w:val="1C1C74B2"/>
    <w:rsid w:val="1C4A048A"/>
    <w:rsid w:val="1C5E7925"/>
    <w:rsid w:val="1C761BAC"/>
    <w:rsid w:val="1C887FC8"/>
    <w:rsid w:val="1CFB47E0"/>
    <w:rsid w:val="1D017F47"/>
    <w:rsid w:val="1D5F6196"/>
    <w:rsid w:val="1D6132A5"/>
    <w:rsid w:val="1D8E56D5"/>
    <w:rsid w:val="1DBD04DA"/>
    <w:rsid w:val="1E1E39F6"/>
    <w:rsid w:val="1E261B55"/>
    <w:rsid w:val="1E7A43DA"/>
    <w:rsid w:val="1E7D12FB"/>
    <w:rsid w:val="1EAA00C4"/>
    <w:rsid w:val="1EB277FE"/>
    <w:rsid w:val="1ED20205"/>
    <w:rsid w:val="1F185EBD"/>
    <w:rsid w:val="1F604943"/>
    <w:rsid w:val="1F6903CB"/>
    <w:rsid w:val="1F695351"/>
    <w:rsid w:val="1FD14903"/>
    <w:rsid w:val="1FE7539E"/>
    <w:rsid w:val="20633E04"/>
    <w:rsid w:val="20963CB8"/>
    <w:rsid w:val="20A77DFF"/>
    <w:rsid w:val="20B07FB6"/>
    <w:rsid w:val="20EF6AB1"/>
    <w:rsid w:val="20F967EA"/>
    <w:rsid w:val="21012044"/>
    <w:rsid w:val="21232679"/>
    <w:rsid w:val="213B74B1"/>
    <w:rsid w:val="21556F5C"/>
    <w:rsid w:val="215A2310"/>
    <w:rsid w:val="21BD10FA"/>
    <w:rsid w:val="21DE318A"/>
    <w:rsid w:val="21EF5B80"/>
    <w:rsid w:val="220F2DD2"/>
    <w:rsid w:val="22201E20"/>
    <w:rsid w:val="22576990"/>
    <w:rsid w:val="227F6D2B"/>
    <w:rsid w:val="228A571F"/>
    <w:rsid w:val="229C4EAB"/>
    <w:rsid w:val="229D5C86"/>
    <w:rsid w:val="22AA3538"/>
    <w:rsid w:val="22CE7A34"/>
    <w:rsid w:val="22E908EE"/>
    <w:rsid w:val="23256CB7"/>
    <w:rsid w:val="23AD5F88"/>
    <w:rsid w:val="23CB7EF9"/>
    <w:rsid w:val="2412672A"/>
    <w:rsid w:val="24137ABA"/>
    <w:rsid w:val="24440AF7"/>
    <w:rsid w:val="24987FBD"/>
    <w:rsid w:val="252D53FE"/>
    <w:rsid w:val="25AF001B"/>
    <w:rsid w:val="25C81111"/>
    <w:rsid w:val="25C916B4"/>
    <w:rsid w:val="25EC2D81"/>
    <w:rsid w:val="25F14B7B"/>
    <w:rsid w:val="263B5C93"/>
    <w:rsid w:val="264528BD"/>
    <w:rsid w:val="26C06299"/>
    <w:rsid w:val="27B72E5F"/>
    <w:rsid w:val="27D15DD1"/>
    <w:rsid w:val="28236790"/>
    <w:rsid w:val="28365928"/>
    <w:rsid w:val="28615DFA"/>
    <w:rsid w:val="28A76295"/>
    <w:rsid w:val="29206EB8"/>
    <w:rsid w:val="29357A83"/>
    <w:rsid w:val="29506658"/>
    <w:rsid w:val="29AC36EE"/>
    <w:rsid w:val="29E325E0"/>
    <w:rsid w:val="29ED1E63"/>
    <w:rsid w:val="29FE44E7"/>
    <w:rsid w:val="2A2053CF"/>
    <w:rsid w:val="2A452503"/>
    <w:rsid w:val="2ABD182A"/>
    <w:rsid w:val="2B13297E"/>
    <w:rsid w:val="2B257FF4"/>
    <w:rsid w:val="2B8D320E"/>
    <w:rsid w:val="2B8D793E"/>
    <w:rsid w:val="2B9F3F51"/>
    <w:rsid w:val="2BA936A8"/>
    <w:rsid w:val="2C315A5A"/>
    <w:rsid w:val="2CBA03F2"/>
    <w:rsid w:val="2D540E2C"/>
    <w:rsid w:val="2D580BA0"/>
    <w:rsid w:val="2D5B387D"/>
    <w:rsid w:val="2D9D5428"/>
    <w:rsid w:val="2D9E56F5"/>
    <w:rsid w:val="2DB94F6D"/>
    <w:rsid w:val="2DF12319"/>
    <w:rsid w:val="2E136BDB"/>
    <w:rsid w:val="2E2B0661"/>
    <w:rsid w:val="2E667F96"/>
    <w:rsid w:val="2E7A0C30"/>
    <w:rsid w:val="2E8226AB"/>
    <w:rsid w:val="2EA7010F"/>
    <w:rsid w:val="2EBB6621"/>
    <w:rsid w:val="2EED5808"/>
    <w:rsid w:val="2F3A6E2E"/>
    <w:rsid w:val="2F4306E5"/>
    <w:rsid w:val="2F492943"/>
    <w:rsid w:val="2F832C79"/>
    <w:rsid w:val="2F84580A"/>
    <w:rsid w:val="2F852301"/>
    <w:rsid w:val="2FBC513F"/>
    <w:rsid w:val="2FEE43F2"/>
    <w:rsid w:val="2FEF2D58"/>
    <w:rsid w:val="30480A29"/>
    <w:rsid w:val="30580BC9"/>
    <w:rsid w:val="3068035B"/>
    <w:rsid w:val="30710D70"/>
    <w:rsid w:val="308E4484"/>
    <w:rsid w:val="311E2ED7"/>
    <w:rsid w:val="31461EF1"/>
    <w:rsid w:val="315C449C"/>
    <w:rsid w:val="3165707A"/>
    <w:rsid w:val="31B82709"/>
    <w:rsid w:val="32046628"/>
    <w:rsid w:val="32400B34"/>
    <w:rsid w:val="329E6876"/>
    <w:rsid w:val="329F4EDB"/>
    <w:rsid w:val="32F03778"/>
    <w:rsid w:val="335412E5"/>
    <w:rsid w:val="33C433F7"/>
    <w:rsid w:val="33C878ED"/>
    <w:rsid w:val="33D93134"/>
    <w:rsid w:val="33D934D4"/>
    <w:rsid w:val="33FE2F6A"/>
    <w:rsid w:val="34B9662A"/>
    <w:rsid w:val="34DF3206"/>
    <w:rsid w:val="34E277A4"/>
    <w:rsid w:val="354016EB"/>
    <w:rsid w:val="35B32FEA"/>
    <w:rsid w:val="35C07A3B"/>
    <w:rsid w:val="35FF410C"/>
    <w:rsid w:val="36074A7F"/>
    <w:rsid w:val="36923549"/>
    <w:rsid w:val="36B47233"/>
    <w:rsid w:val="36B75FBF"/>
    <w:rsid w:val="36FB4891"/>
    <w:rsid w:val="377C1E98"/>
    <w:rsid w:val="385A57C6"/>
    <w:rsid w:val="387B5697"/>
    <w:rsid w:val="38EC476B"/>
    <w:rsid w:val="38F12CD3"/>
    <w:rsid w:val="38F94775"/>
    <w:rsid w:val="39253398"/>
    <w:rsid w:val="392971ED"/>
    <w:rsid w:val="393524AC"/>
    <w:rsid w:val="39415C83"/>
    <w:rsid w:val="394C4818"/>
    <w:rsid w:val="397511E8"/>
    <w:rsid w:val="3987236F"/>
    <w:rsid w:val="39A6062B"/>
    <w:rsid w:val="39F24C0A"/>
    <w:rsid w:val="3A620DD9"/>
    <w:rsid w:val="3A630B62"/>
    <w:rsid w:val="3A9722F7"/>
    <w:rsid w:val="3AB26166"/>
    <w:rsid w:val="3AC40E20"/>
    <w:rsid w:val="3B3763D1"/>
    <w:rsid w:val="3BB12518"/>
    <w:rsid w:val="3BBA760F"/>
    <w:rsid w:val="3C283231"/>
    <w:rsid w:val="3CDA245A"/>
    <w:rsid w:val="3CEE0A37"/>
    <w:rsid w:val="3D3E22BC"/>
    <w:rsid w:val="3D4B5047"/>
    <w:rsid w:val="3D803EAC"/>
    <w:rsid w:val="3E601709"/>
    <w:rsid w:val="3E650AB9"/>
    <w:rsid w:val="3E7E32EB"/>
    <w:rsid w:val="3E8879CA"/>
    <w:rsid w:val="3F5E6C02"/>
    <w:rsid w:val="3F660E74"/>
    <w:rsid w:val="3FDB4427"/>
    <w:rsid w:val="407A6407"/>
    <w:rsid w:val="40B23B0B"/>
    <w:rsid w:val="41016453"/>
    <w:rsid w:val="414A1D13"/>
    <w:rsid w:val="41C0567F"/>
    <w:rsid w:val="41D32BD9"/>
    <w:rsid w:val="422417DC"/>
    <w:rsid w:val="423A3BCC"/>
    <w:rsid w:val="424115D9"/>
    <w:rsid w:val="425F2298"/>
    <w:rsid w:val="42A514A1"/>
    <w:rsid w:val="42B346FB"/>
    <w:rsid w:val="42CE70B2"/>
    <w:rsid w:val="433A6FE6"/>
    <w:rsid w:val="4350713C"/>
    <w:rsid w:val="4357231E"/>
    <w:rsid w:val="436653E0"/>
    <w:rsid w:val="442B74D7"/>
    <w:rsid w:val="44CD14E0"/>
    <w:rsid w:val="44DB2E7E"/>
    <w:rsid w:val="453D3726"/>
    <w:rsid w:val="458946E9"/>
    <w:rsid w:val="458A67FF"/>
    <w:rsid w:val="45B47435"/>
    <w:rsid w:val="45BC4440"/>
    <w:rsid w:val="45CD3467"/>
    <w:rsid w:val="4678706D"/>
    <w:rsid w:val="46D955A7"/>
    <w:rsid w:val="47133957"/>
    <w:rsid w:val="4725384C"/>
    <w:rsid w:val="47363475"/>
    <w:rsid w:val="47613FA5"/>
    <w:rsid w:val="4779329E"/>
    <w:rsid w:val="47A07E0C"/>
    <w:rsid w:val="47B800C3"/>
    <w:rsid w:val="47B84039"/>
    <w:rsid w:val="47F913CB"/>
    <w:rsid w:val="48062D7A"/>
    <w:rsid w:val="480C7E92"/>
    <w:rsid w:val="4870272E"/>
    <w:rsid w:val="49183B9F"/>
    <w:rsid w:val="49390315"/>
    <w:rsid w:val="49BA18BC"/>
    <w:rsid w:val="49BE1CE1"/>
    <w:rsid w:val="49CA0350"/>
    <w:rsid w:val="49DC7715"/>
    <w:rsid w:val="4A023139"/>
    <w:rsid w:val="4A726D3B"/>
    <w:rsid w:val="4A7B576F"/>
    <w:rsid w:val="4B4B199F"/>
    <w:rsid w:val="4BA23F8E"/>
    <w:rsid w:val="4BA40C10"/>
    <w:rsid w:val="4BBA0706"/>
    <w:rsid w:val="4BD07893"/>
    <w:rsid w:val="4C4A0649"/>
    <w:rsid w:val="4CA26C19"/>
    <w:rsid w:val="4CE470D3"/>
    <w:rsid w:val="4D616F3F"/>
    <w:rsid w:val="4DE056DD"/>
    <w:rsid w:val="4DEC4FB0"/>
    <w:rsid w:val="4E00625B"/>
    <w:rsid w:val="4E075D8A"/>
    <w:rsid w:val="4E687349"/>
    <w:rsid w:val="4E855AB1"/>
    <w:rsid w:val="4F6B41A5"/>
    <w:rsid w:val="4FC62A8C"/>
    <w:rsid w:val="4FC759E4"/>
    <w:rsid w:val="4FD42F3F"/>
    <w:rsid w:val="4FE20F0D"/>
    <w:rsid w:val="50041387"/>
    <w:rsid w:val="502027CD"/>
    <w:rsid w:val="503C2C04"/>
    <w:rsid w:val="50504C4B"/>
    <w:rsid w:val="507B5DE4"/>
    <w:rsid w:val="508F3C37"/>
    <w:rsid w:val="509C6E7C"/>
    <w:rsid w:val="50BC5616"/>
    <w:rsid w:val="50D654B6"/>
    <w:rsid w:val="51061D56"/>
    <w:rsid w:val="5162104E"/>
    <w:rsid w:val="529B0814"/>
    <w:rsid w:val="529B5672"/>
    <w:rsid w:val="52B94C95"/>
    <w:rsid w:val="53565F14"/>
    <w:rsid w:val="539663F5"/>
    <w:rsid w:val="53A039CC"/>
    <w:rsid w:val="53A1505A"/>
    <w:rsid w:val="53A72D40"/>
    <w:rsid w:val="540370CC"/>
    <w:rsid w:val="54063E08"/>
    <w:rsid w:val="54211CF7"/>
    <w:rsid w:val="543437E8"/>
    <w:rsid w:val="548B1D84"/>
    <w:rsid w:val="54D55184"/>
    <w:rsid w:val="550F0E7B"/>
    <w:rsid w:val="55972C22"/>
    <w:rsid w:val="559B174B"/>
    <w:rsid w:val="559C3CE7"/>
    <w:rsid w:val="55B10A76"/>
    <w:rsid w:val="55CE0CF4"/>
    <w:rsid w:val="564256D0"/>
    <w:rsid w:val="56612142"/>
    <w:rsid w:val="56682991"/>
    <w:rsid w:val="56891149"/>
    <w:rsid w:val="568F506D"/>
    <w:rsid w:val="56B22A9C"/>
    <w:rsid w:val="57195385"/>
    <w:rsid w:val="57AE2B30"/>
    <w:rsid w:val="57B72A76"/>
    <w:rsid w:val="57BD3467"/>
    <w:rsid w:val="57FE15C4"/>
    <w:rsid w:val="58150CDE"/>
    <w:rsid w:val="58955AC1"/>
    <w:rsid w:val="58C5141A"/>
    <w:rsid w:val="58CB6B9B"/>
    <w:rsid w:val="58D17D99"/>
    <w:rsid w:val="590265C6"/>
    <w:rsid w:val="591244B6"/>
    <w:rsid w:val="592912FE"/>
    <w:rsid w:val="59686BAC"/>
    <w:rsid w:val="596953BF"/>
    <w:rsid w:val="59944D57"/>
    <w:rsid w:val="59AF13E5"/>
    <w:rsid w:val="5A21405F"/>
    <w:rsid w:val="5A3C747D"/>
    <w:rsid w:val="5A7610F3"/>
    <w:rsid w:val="5AAD5D22"/>
    <w:rsid w:val="5ABE2233"/>
    <w:rsid w:val="5ACA2EB0"/>
    <w:rsid w:val="5B0A3CD8"/>
    <w:rsid w:val="5B0E1CCC"/>
    <w:rsid w:val="5B276D18"/>
    <w:rsid w:val="5B4B1173"/>
    <w:rsid w:val="5B875832"/>
    <w:rsid w:val="5BB374AB"/>
    <w:rsid w:val="5BDF1611"/>
    <w:rsid w:val="5BDF5D95"/>
    <w:rsid w:val="5BE73590"/>
    <w:rsid w:val="5C3A37FB"/>
    <w:rsid w:val="5C6B574B"/>
    <w:rsid w:val="5C931A08"/>
    <w:rsid w:val="5C9A634F"/>
    <w:rsid w:val="5CF519CA"/>
    <w:rsid w:val="5D514C25"/>
    <w:rsid w:val="5D745E23"/>
    <w:rsid w:val="5DB667A0"/>
    <w:rsid w:val="5DF87A0F"/>
    <w:rsid w:val="5E0919F9"/>
    <w:rsid w:val="5E2208FA"/>
    <w:rsid w:val="5E561DE3"/>
    <w:rsid w:val="5E981DC0"/>
    <w:rsid w:val="5F1A2B43"/>
    <w:rsid w:val="5F4B63C2"/>
    <w:rsid w:val="5FB837BB"/>
    <w:rsid w:val="60180C16"/>
    <w:rsid w:val="604C75BF"/>
    <w:rsid w:val="60822846"/>
    <w:rsid w:val="61035BC2"/>
    <w:rsid w:val="61297A63"/>
    <w:rsid w:val="616E7F97"/>
    <w:rsid w:val="622369C6"/>
    <w:rsid w:val="62364782"/>
    <w:rsid w:val="63C83F8D"/>
    <w:rsid w:val="63D40BE9"/>
    <w:rsid w:val="63E0211F"/>
    <w:rsid w:val="64277DBE"/>
    <w:rsid w:val="642E417E"/>
    <w:rsid w:val="65203883"/>
    <w:rsid w:val="65373578"/>
    <w:rsid w:val="65C26E3E"/>
    <w:rsid w:val="65E833EF"/>
    <w:rsid w:val="664F7340"/>
    <w:rsid w:val="673F2C7A"/>
    <w:rsid w:val="67451179"/>
    <w:rsid w:val="67B243DF"/>
    <w:rsid w:val="681F6961"/>
    <w:rsid w:val="68413C8C"/>
    <w:rsid w:val="68463E38"/>
    <w:rsid w:val="68610A2F"/>
    <w:rsid w:val="68805514"/>
    <w:rsid w:val="68C5521B"/>
    <w:rsid w:val="694E2071"/>
    <w:rsid w:val="697A3B33"/>
    <w:rsid w:val="699E2456"/>
    <w:rsid w:val="69A96386"/>
    <w:rsid w:val="6ACA1B48"/>
    <w:rsid w:val="6AF1152D"/>
    <w:rsid w:val="6B0F6D1C"/>
    <w:rsid w:val="6B322639"/>
    <w:rsid w:val="6BC76103"/>
    <w:rsid w:val="6BD1273E"/>
    <w:rsid w:val="6C1135E5"/>
    <w:rsid w:val="6C636C38"/>
    <w:rsid w:val="6C8F2EFB"/>
    <w:rsid w:val="6D145692"/>
    <w:rsid w:val="6D600942"/>
    <w:rsid w:val="6D6A2F73"/>
    <w:rsid w:val="6D853DB6"/>
    <w:rsid w:val="6D89015A"/>
    <w:rsid w:val="6DB34098"/>
    <w:rsid w:val="6DB545B6"/>
    <w:rsid w:val="6DE17D30"/>
    <w:rsid w:val="6E023365"/>
    <w:rsid w:val="6E0D7C15"/>
    <w:rsid w:val="6E0E333F"/>
    <w:rsid w:val="6E4375A0"/>
    <w:rsid w:val="6E514CED"/>
    <w:rsid w:val="6E79491A"/>
    <w:rsid w:val="6E992E30"/>
    <w:rsid w:val="6EB563D5"/>
    <w:rsid w:val="6EE5172D"/>
    <w:rsid w:val="6F225983"/>
    <w:rsid w:val="6F304FEB"/>
    <w:rsid w:val="6FA81986"/>
    <w:rsid w:val="6FFC5590"/>
    <w:rsid w:val="70231744"/>
    <w:rsid w:val="70301DA3"/>
    <w:rsid w:val="706D1DD0"/>
    <w:rsid w:val="70856B87"/>
    <w:rsid w:val="70B76B7F"/>
    <w:rsid w:val="70D527EE"/>
    <w:rsid w:val="70FC0268"/>
    <w:rsid w:val="714109EC"/>
    <w:rsid w:val="7153205F"/>
    <w:rsid w:val="715B5300"/>
    <w:rsid w:val="715C41C6"/>
    <w:rsid w:val="715F4BD7"/>
    <w:rsid w:val="716668DA"/>
    <w:rsid w:val="719D7ABD"/>
    <w:rsid w:val="71CB3726"/>
    <w:rsid w:val="71D27F8A"/>
    <w:rsid w:val="71F744C6"/>
    <w:rsid w:val="71F960CF"/>
    <w:rsid w:val="72D059FA"/>
    <w:rsid w:val="72E852C5"/>
    <w:rsid w:val="731F5D5E"/>
    <w:rsid w:val="73F078B9"/>
    <w:rsid w:val="74141439"/>
    <w:rsid w:val="741E793C"/>
    <w:rsid w:val="74276D7B"/>
    <w:rsid w:val="74861417"/>
    <w:rsid w:val="74B16A46"/>
    <w:rsid w:val="74BE0E93"/>
    <w:rsid w:val="750B5C77"/>
    <w:rsid w:val="755107B5"/>
    <w:rsid w:val="75754BF5"/>
    <w:rsid w:val="758D75E2"/>
    <w:rsid w:val="75A50A54"/>
    <w:rsid w:val="75C30153"/>
    <w:rsid w:val="75F13ECD"/>
    <w:rsid w:val="75F90556"/>
    <w:rsid w:val="761D7F16"/>
    <w:rsid w:val="762B3E72"/>
    <w:rsid w:val="76731931"/>
    <w:rsid w:val="769C1D2A"/>
    <w:rsid w:val="76A740B6"/>
    <w:rsid w:val="76C26E3C"/>
    <w:rsid w:val="76DA5479"/>
    <w:rsid w:val="77160B65"/>
    <w:rsid w:val="772C6482"/>
    <w:rsid w:val="773D5A97"/>
    <w:rsid w:val="77762421"/>
    <w:rsid w:val="780F09F4"/>
    <w:rsid w:val="789639A1"/>
    <w:rsid w:val="789C4F47"/>
    <w:rsid w:val="78A90480"/>
    <w:rsid w:val="78BA162E"/>
    <w:rsid w:val="78D07CF1"/>
    <w:rsid w:val="78D87F49"/>
    <w:rsid w:val="79811327"/>
    <w:rsid w:val="79F13415"/>
    <w:rsid w:val="7A305422"/>
    <w:rsid w:val="7A364017"/>
    <w:rsid w:val="7A8265E1"/>
    <w:rsid w:val="7AC8706C"/>
    <w:rsid w:val="7AE8187D"/>
    <w:rsid w:val="7B3413B3"/>
    <w:rsid w:val="7B686D42"/>
    <w:rsid w:val="7B841746"/>
    <w:rsid w:val="7BFB2A4A"/>
    <w:rsid w:val="7C060640"/>
    <w:rsid w:val="7C282869"/>
    <w:rsid w:val="7C290B46"/>
    <w:rsid w:val="7C3D77B5"/>
    <w:rsid w:val="7C4B003D"/>
    <w:rsid w:val="7C6325EF"/>
    <w:rsid w:val="7CD06D8B"/>
    <w:rsid w:val="7D0239FF"/>
    <w:rsid w:val="7D4B3D2C"/>
    <w:rsid w:val="7D514F7E"/>
    <w:rsid w:val="7D5E40CD"/>
    <w:rsid w:val="7D693BED"/>
    <w:rsid w:val="7D733D8C"/>
    <w:rsid w:val="7D762090"/>
    <w:rsid w:val="7DA6003D"/>
    <w:rsid w:val="7DE5583A"/>
    <w:rsid w:val="7DED1CAB"/>
    <w:rsid w:val="7E2800E1"/>
    <w:rsid w:val="7E310155"/>
    <w:rsid w:val="7E3E68DB"/>
    <w:rsid w:val="7F321C91"/>
    <w:rsid w:val="7F52490D"/>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ocked="1"/>
    <w:lsdException w:qFormat="1" w:unhideWhenUsed="0" w:uiPriority="0" w:semiHidden="0" w:name="heading 3" w:locked="1"/>
    <w:lsdException w:qFormat="1" w:unhideWhenUsed="0" w:uiPriority="9" w:semiHidden="0" w:name="heading 4" w:locked="1"/>
    <w:lsdException w:qFormat="1" w:unhideWhenUsed="0" w:uiPriority="9" w:semiHidden="0" w:name="heading 5" w:locked="1"/>
    <w:lsdException w:qFormat="1" w:unhideWhenUsed="0" w:uiPriority="9" w:semiHidden="0" w:name="heading 6" w:locked="1"/>
    <w:lsdException w:qFormat="1" w:unhideWhenUsed="0" w:uiPriority="9" w:semiHidden="0" w:name="heading 7" w:locked="1"/>
    <w:lsdException w:qFormat="1" w:unhideWhenUsed="0" w:uiPriority="9" w:semiHidden="0" w:name="heading 8" w:locked="1"/>
    <w:lsdException w:qFormat="1" w:unhideWhenUsed="0" w:uiPriority="9" w:semiHidden="0" w:name="heading 9" w:locked="1"/>
    <w:lsdException w:qFormat="1"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ocked="1"/>
    <w:lsdException w:qFormat="1" w:uiPriority="39" w:semiHidden="0" w:name="toc 2" w:locked="1"/>
    <w:lsdException w:qFormat="1" w:uiPriority="39" w:semiHidden="0" w:name="toc 3" w:locked="1"/>
    <w:lsdException w:qFormat="1" w:uiPriority="39" w:semiHidden="0" w:name="toc 4" w:locked="1"/>
    <w:lsdException w:qFormat="1" w:uiPriority="39" w:semiHidden="0" w:name="toc 5" w:locked="1"/>
    <w:lsdException w:qFormat="1" w:uiPriority="39" w:semiHidden="0" w:name="toc 6" w:locked="1"/>
    <w:lsdException w:qFormat="1" w:uiPriority="39" w:semiHidden="0" w:name="toc 7" w:locked="1"/>
    <w:lsdException w:qFormat="1" w:uiPriority="39" w:semiHidden="0" w:name="toc 8" w:locked="1"/>
    <w:lsdException w:qFormat="1" w:uiPriority="39" w:semiHidden="0" w:name="toc 9" w:locked="1"/>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ocked="1"/>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qFormat="1"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121"/>
    <w:qFormat/>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link w:val="95"/>
    <w:qFormat/>
    <w:locked/>
    <w:uiPriority w:val="9"/>
    <w:pPr>
      <w:keepNext/>
      <w:keepLines/>
      <w:spacing w:before="260" w:after="260" w:line="416" w:lineRule="auto"/>
      <w:outlineLvl w:val="1"/>
    </w:pPr>
    <w:rPr>
      <w:rFonts w:ascii="Calibri Light" w:hAnsi="Calibri Light"/>
      <w:b/>
      <w:bCs/>
      <w:sz w:val="32"/>
      <w:szCs w:val="32"/>
    </w:rPr>
  </w:style>
  <w:style w:type="paragraph" w:styleId="7">
    <w:name w:val="heading 3"/>
    <w:basedOn w:val="1"/>
    <w:next w:val="1"/>
    <w:link w:val="58"/>
    <w:qFormat/>
    <w:locked/>
    <w:uiPriority w:val="0"/>
    <w:pPr>
      <w:keepNext/>
      <w:keepLines/>
      <w:spacing w:before="260" w:after="260" w:line="416" w:lineRule="auto"/>
      <w:outlineLvl w:val="2"/>
    </w:pPr>
    <w:rPr>
      <w:b/>
      <w:bCs/>
      <w:sz w:val="32"/>
      <w:szCs w:val="32"/>
    </w:rPr>
  </w:style>
  <w:style w:type="paragraph" w:styleId="8">
    <w:name w:val="heading 4"/>
    <w:basedOn w:val="1"/>
    <w:next w:val="1"/>
    <w:link w:val="149"/>
    <w:qFormat/>
    <w:locked/>
    <w:uiPriority w:val="9"/>
    <w:pPr>
      <w:keepNext/>
      <w:keepLines/>
      <w:numPr>
        <w:ilvl w:val="3"/>
        <w:numId w:val="1"/>
      </w:numPr>
      <w:adjustRightInd w:val="0"/>
      <w:snapToGrid w:val="0"/>
      <w:spacing w:before="93" w:beforeLines="30" w:line="360" w:lineRule="auto"/>
      <w:jc w:val="left"/>
      <w:outlineLvl w:val="3"/>
    </w:pPr>
    <w:rPr>
      <w:rFonts w:ascii="Arial" w:hAnsi="Arial" w:eastAsia="黑体"/>
      <w:color w:val="000000"/>
      <w:sz w:val="30"/>
    </w:rPr>
  </w:style>
  <w:style w:type="paragraph" w:styleId="9">
    <w:name w:val="heading 5"/>
    <w:basedOn w:val="10"/>
    <w:next w:val="11"/>
    <w:link w:val="142"/>
    <w:qFormat/>
    <w:locked/>
    <w:uiPriority w:val="9"/>
    <w:pPr>
      <w:keepNext/>
      <w:keepLines/>
      <w:adjustRightInd w:val="0"/>
      <w:snapToGrid w:val="0"/>
      <w:spacing w:line="360" w:lineRule="auto"/>
      <w:ind w:left="1008" w:hanging="1008"/>
      <w:outlineLvl w:val="4"/>
    </w:pPr>
    <w:rPr>
      <w:rFonts w:ascii="Arial Unicode MS" w:hAnsi="幼圆" w:cs="幼圆"/>
      <w:b/>
      <w:bCs/>
      <w:sz w:val="24"/>
      <w:szCs w:val="28"/>
    </w:rPr>
  </w:style>
  <w:style w:type="paragraph" w:styleId="12">
    <w:name w:val="heading 6"/>
    <w:basedOn w:val="10"/>
    <w:next w:val="11"/>
    <w:link w:val="143"/>
    <w:qFormat/>
    <w:locked/>
    <w:uiPriority w:val="9"/>
    <w:pPr>
      <w:keepNext/>
      <w:keepLines/>
      <w:adjustRightInd w:val="0"/>
      <w:snapToGrid w:val="0"/>
      <w:spacing w:line="360" w:lineRule="auto"/>
      <w:ind w:left="1152" w:hanging="1152"/>
      <w:outlineLvl w:val="5"/>
    </w:pPr>
    <w:rPr>
      <w:rFonts w:ascii="Calibri Light" w:hAnsi="Calibri Light"/>
      <w:b/>
      <w:bCs/>
      <w:sz w:val="24"/>
      <w:szCs w:val="24"/>
    </w:rPr>
  </w:style>
  <w:style w:type="paragraph" w:styleId="13">
    <w:name w:val="heading 7"/>
    <w:basedOn w:val="1"/>
    <w:next w:val="1"/>
    <w:link w:val="144"/>
    <w:qFormat/>
    <w:locked/>
    <w:uiPriority w:val="9"/>
    <w:pPr>
      <w:keepNext/>
      <w:keepLines/>
      <w:spacing w:before="240" w:after="64" w:line="320" w:lineRule="auto"/>
      <w:ind w:left="1296" w:hanging="1296"/>
      <w:outlineLvl w:val="6"/>
    </w:pPr>
    <w:rPr>
      <w:rFonts w:ascii="ˎ̥" w:hAnsi="ˎ̥" w:cs="ˎ̥"/>
      <w:b/>
      <w:bCs/>
      <w:sz w:val="24"/>
    </w:rPr>
  </w:style>
  <w:style w:type="paragraph" w:styleId="14">
    <w:name w:val="heading 8"/>
    <w:basedOn w:val="1"/>
    <w:next w:val="1"/>
    <w:link w:val="145"/>
    <w:qFormat/>
    <w:locked/>
    <w:uiPriority w:val="9"/>
    <w:pPr>
      <w:keepNext/>
      <w:keepLines/>
      <w:spacing w:before="240" w:after="64" w:line="320" w:lineRule="auto"/>
      <w:ind w:left="1440" w:hanging="1440"/>
      <w:outlineLvl w:val="7"/>
    </w:pPr>
    <w:rPr>
      <w:rFonts w:ascii="Calibri Light" w:hAnsi="Calibri Light"/>
      <w:sz w:val="24"/>
    </w:rPr>
  </w:style>
  <w:style w:type="paragraph" w:styleId="15">
    <w:name w:val="heading 9"/>
    <w:basedOn w:val="1"/>
    <w:next w:val="1"/>
    <w:link w:val="146"/>
    <w:qFormat/>
    <w:locked/>
    <w:uiPriority w:val="9"/>
    <w:pPr>
      <w:keepNext/>
      <w:keepLines/>
      <w:spacing w:before="240" w:after="64" w:line="320" w:lineRule="auto"/>
      <w:ind w:left="1584" w:hanging="1584"/>
      <w:outlineLvl w:val="8"/>
    </w:pPr>
    <w:rPr>
      <w:rFonts w:ascii="Calibri Light" w:hAnsi="Calibri Light"/>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3"/>
    <w:unhideWhenUsed/>
    <w:qFormat/>
    <w:uiPriority w:val="99"/>
    <w:pPr>
      <w:ind w:firstLine="420"/>
    </w:pPr>
  </w:style>
  <w:style w:type="paragraph" w:styleId="3">
    <w:name w:val="Body Text Indent"/>
    <w:basedOn w:val="1"/>
    <w:next w:val="4"/>
    <w:link w:val="83"/>
    <w:qFormat/>
    <w:uiPriority w:val="0"/>
    <w:pPr>
      <w:spacing w:after="120"/>
      <w:ind w:left="420" w:leftChars="200"/>
    </w:pPr>
    <w:rPr>
      <w:kern w:val="0"/>
      <w:sz w:val="24"/>
    </w:rPr>
  </w:style>
  <w:style w:type="paragraph" w:styleId="4">
    <w:name w:val="envelope return"/>
    <w:basedOn w:val="1"/>
    <w:qFormat/>
    <w:uiPriority w:val="0"/>
    <w:pPr>
      <w:snapToGrid w:val="0"/>
    </w:pPr>
  </w:style>
  <w:style w:type="paragraph" w:styleId="10">
    <w:name w:val="Plain Text"/>
    <w:basedOn w:val="1"/>
    <w:link w:val="94"/>
    <w:qFormat/>
    <w:uiPriority w:val="0"/>
    <w:rPr>
      <w:rFonts w:ascii="宋体" w:hAnsi="Courier New"/>
      <w:szCs w:val="21"/>
    </w:rPr>
  </w:style>
  <w:style w:type="paragraph" w:customStyle="1" w:styleId="11">
    <w:name w:val="zw"/>
    <w:basedOn w:val="10"/>
    <w:link w:val="64"/>
    <w:qFormat/>
    <w:uiPriority w:val="0"/>
    <w:pPr>
      <w:spacing w:line="360" w:lineRule="auto"/>
      <w:ind w:firstLine="480" w:firstLineChars="200"/>
    </w:pPr>
    <w:rPr>
      <w:rFonts w:ascii="Times New Roman" w:hAnsi="Times New Roman"/>
      <w:sz w:val="24"/>
      <w:szCs w:val="20"/>
    </w:rPr>
  </w:style>
  <w:style w:type="paragraph" w:styleId="16">
    <w:name w:val="toc 7"/>
    <w:basedOn w:val="1"/>
    <w:next w:val="1"/>
    <w:unhideWhenUsed/>
    <w:qFormat/>
    <w:locked/>
    <w:uiPriority w:val="39"/>
    <w:pPr>
      <w:ind w:left="2520" w:leftChars="1200"/>
    </w:pPr>
    <w:rPr>
      <w:rFonts w:ascii="Calibri" w:hAnsi="Calibri"/>
      <w:szCs w:val="22"/>
    </w:rPr>
  </w:style>
  <w:style w:type="paragraph" w:styleId="17">
    <w:name w:val="Normal Indent"/>
    <w:basedOn w:val="1"/>
    <w:link w:val="76"/>
    <w:qFormat/>
    <w:uiPriority w:val="0"/>
    <w:pPr>
      <w:spacing w:line="560" w:lineRule="exact"/>
      <w:ind w:firstLine="200" w:firstLineChars="200"/>
    </w:pPr>
  </w:style>
  <w:style w:type="paragraph" w:styleId="18">
    <w:name w:val="caption"/>
    <w:basedOn w:val="10"/>
    <w:next w:val="11"/>
    <w:link w:val="79"/>
    <w:qFormat/>
    <w:locked/>
    <w:uiPriority w:val="0"/>
    <w:pPr>
      <w:adjustRightInd w:val="0"/>
      <w:snapToGrid w:val="0"/>
    </w:pPr>
    <w:rPr>
      <w:rFonts w:ascii="Calibri Light" w:hAnsi="Calibri Light" w:eastAsia="黑体"/>
      <w:szCs w:val="20"/>
    </w:rPr>
  </w:style>
  <w:style w:type="paragraph" w:styleId="19">
    <w:name w:val="List Bullet"/>
    <w:basedOn w:val="1"/>
    <w:qFormat/>
    <w:uiPriority w:val="0"/>
    <w:pPr>
      <w:numPr>
        <w:ilvl w:val="0"/>
        <w:numId w:val="2"/>
      </w:numPr>
    </w:pPr>
    <w:rPr>
      <w:rFonts w:eastAsia="仿宋_GB2312"/>
      <w:sz w:val="28"/>
    </w:rPr>
  </w:style>
  <w:style w:type="paragraph" w:styleId="20">
    <w:name w:val="Document Map"/>
    <w:basedOn w:val="1"/>
    <w:link w:val="70"/>
    <w:qFormat/>
    <w:uiPriority w:val="0"/>
    <w:rPr>
      <w:rFonts w:ascii="宋体"/>
      <w:sz w:val="18"/>
      <w:szCs w:val="18"/>
    </w:rPr>
  </w:style>
  <w:style w:type="paragraph" w:styleId="21">
    <w:name w:val="annotation text"/>
    <w:basedOn w:val="1"/>
    <w:link w:val="62"/>
    <w:qFormat/>
    <w:uiPriority w:val="99"/>
    <w:pPr>
      <w:jc w:val="left"/>
    </w:pPr>
    <w:rPr>
      <w:kern w:val="0"/>
      <w:sz w:val="24"/>
      <w:szCs w:val="20"/>
    </w:rPr>
  </w:style>
  <w:style w:type="paragraph" w:styleId="22">
    <w:name w:val="Body Text"/>
    <w:basedOn w:val="1"/>
    <w:link w:val="65"/>
    <w:qFormat/>
    <w:uiPriority w:val="0"/>
    <w:pPr>
      <w:widowControl/>
      <w:snapToGrid w:val="0"/>
      <w:spacing w:before="60" w:after="160" w:line="259" w:lineRule="auto"/>
      <w:ind w:right="113"/>
    </w:pPr>
    <w:rPr>
      <w:kern w:val="0"/>
      <w:sz w:val="18"/>
      <w:szCs w:val="20"/>
    </w:rPr>
  </w:style>
  <w:style w:type="paragraph" w:styleId="23">
    <w:name w:val="index 4"/>
    <w:basedOn w:val="1"/>
    <w:next w:val="1"/>
    <w:qFormat/>
    <w:uiPriority w:val="0"/>
    <w:pPr>
      <w:adjustRightInd w:val="0"/>
      <w:spacing w:line="360" w:lineRule="atLeast"/>
      <w:ind w:left="1260"/>
      <w:textAlignment w:val="baseline"/>
    </w:pPr>
    <w:rPr>
      <w:rFonts w:eastAsia="Times New Roman"/>
      <w:szCs w:val="20"/>
    </w:rPr>
  </w:style>
  <w:style w:type="paragraph" w:styleId="24">
    <w:name w:val="toc 5"/>
    <w:basedOn w:val="1"/>
    <w:next w:val="1"/>
    <w:unhideWhenUsed/>
    <w:qFormat/>
    <w:locked/>
    <w:uiPriority w:val="39"/>
    <w:pPr>
      <w:ind w:left="1680" w:leftChars="800"/>
    </w:pPr>
    <w:rPr>
      <w:rFonts w:ascii="Calibri" w:hAnsi="Calibri"/>
      <w:szCs w:val="22"/>
    </w:rPr>
  </w:style>
  <w:style w:type="paragraph" w:styleId="25">
    <w:name w:val="toc 3"/>
    <w:basedOn w:val="1"/>
    <w:next w:val="1"/>
    <w:unhideWhenUsed/>
    <w:qFormat/>
    <w:locked/>
    <w:uiPriority w:val="39"/>
    <w:pPr>
      <w:ind w:left="840" w:leftChars="400"/>
    </w:pPr>
    <w:rPr>
      <w:rFonts w:ascii="Calibri" w:hAnsi="Calibri"/>
      <w:szCs w:val="22"/>
    </w:rPr>
  </w:style>
  <w:style w:type="paragraph" w:styleId="26">
    <w:name w:val="List Bullet 5"/>
    <w:basedOn w:val="1"/>
    <w:qFormat/>
    <w:uiPriority w:val="0"/>
    <w:pPr>
      <w:numPr>
        <w:ilvl w:val="0"/>
        <w:numId w:val="3"/>
      </w:numPr>
      <w:contextualSpacing/>
    </w:pPr>
  </w:style>
  <w:style w:type="paragraph" w:styleId="27">
    <w:name w:val="toc 8"/>
    <w:basedOn w:val="1"/>
    <w:next w:val="1"/>
    <w:unhideWhenUsed/>
    <w:qFormat/>
    <w:locked/>
    <w:uiPriority w:val="39"/>
    <w:pPr>
      <w:ind w:left="2940" w:leftChars="1400"/>
    </w:pPr>
    <w:rPr>
      <w:rFonts w:ascii="Calibri" w:hAnsi="Calibri"/>
      <w:szCs w:val="22"/>
    </w:rPr>
  </w:style>
  <w:style w:type="paragraph" w:styleId="28">
    <w:name w:val="Date"/>
    <w:basedOn w:val="1"/>
    <w:next w:val="1"/>
    <w:link w:val="57"/>
    <w:qFormat/>
    <w:uiPriority w:val="0"/>
    <w:pPr>
      <w:ind w:left="100" w:leftChars="2500"/>
    </w:pPr>
    <w:rPr>
      <w:kern w:val="0"/>
      <w:sz w:val="24"/>
      <w:szCs w:val="20"/>
    </w:rPr>
  </w:style>
  <w:style w:type="paragraph" w:styleId="29">
    <w:name w:val="Balloon Text"/>
    <w:basedOn w:val="1"/>
    <w:link w:val="56"/>
    <w:qFormat/>
    <w:uiPriority w:val="0"/>
    <w:rPr>
      <w:kern w:val="0"/>
      <w:sz w:val="18"/>
      <w:szCs w:val="18"/>
    </w:rPr>
  </w:style>
  <w:style w:type="paragraph" w:styleId="30">
    <w:name w:val="footer"/>
    <w:basedOn w:val="1"/>
    <w:next w:val="1"/>
    <w:link w:val="60"/>
    <w:qFormat/>
    <w:uiPriority w:val="99"/>
    <w:pPr>
      <w:tabs>
        <w:tab w:val="center" w:pos="4153"/>
        <w:tab w:val="right" w:pos="8306"/>
      </w:tabs>
      <w:snapToGrid w:val="0"/>
      <w:jc w:val="left"/>
    </w:pPr>
    <w:rPr>
      <w:kern w:val="0"/>
      <w:sz w:val="18"/>
      <w:szCs w:val="18"/>
    </w:rPr>
  </w:style>
  <w:style w:type="paragraph" w:styleId="31">
    <w:name w:val="header"/>
    <w:basedOn w:val="1"/>
    <w:link w:val="61"/>
    <w:qFormat/>
    <w:uiPriority w:val="99"/>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qFormat/>
    <w:locked/>
    <w:uiPriority w:val="39"/>
    <w:pPr>
      <w:spacing w:line="360" w:lineRule="auto"/>
      <w:jc w:val="left"/>
    </w:pPr>
    <w:rPr>
      <w:b/>
      <w:bCs/>
      <w:caps/>
      <w:sz w:val="28"/>
      <w:szCs w:val="20"/>
    </w:rPr>
  </w:style>
  <w:style w:type="paragraph" w:styleId="33">
    <w:name w:val="toc 4"/>
    <w:basedOn w:val="1"/>
    <w:next w:val="1"/>
    <w:unhideWhenUsed/>
    <w:qFormat/>
    <w:locked/>
    <w:uiPriority w:val="39"/>
    <w:pPr>
      <w:ind w:left="1260" w:leftChars="600"/>
    </w:pPr>
    <w:rPr>
      <w:rFonts w:ascii="Calibri" w:hAnsi="Calibri"/>
      <w:szCs w:val="22"/>
    </w:rPr>
  </w:style>
  <w:style w:type="paragraph" w:styleId="34">
    <w:name w:val="footnote text"/>
    <w:basedOn w:val="1"/>
    <w:link w:val="147"/>
    <w:qFormat/>
    <w:uiPriority w:val="0"/>
    <w:pPr>
      <w:snapToGrid w:val="0"/>
      <w:jc w:val="left"/>
    </w:pPr>
    <w:rPr>
      <w:rFonts w:ascii="Tahoma" w:hAnsi="Tahoma" w:eastAsia="仿宋_GB2312" w:cs="ˎ̥"/>
      <w:sz w:val="18"/>
      <w:szCs w:val="18"/>
    </w:rPr>
  </w:style>
  <w:style w:type="paragraph" w:styleId="35">
    <w:name w:val="toc 6"/>
    <w:basedOn w:val="1"/>
    <w:next w:val="1"/>
    <w:unhideWhenUsed/>
    <w:qFormat/>
    <w:locked/>
    <w:uiPriority w:val="39"/>
    <w:pPr>
      <w:ind w:left="2100" w:leftChars="1000"/>
    </w:pPr>
    <w:rPr>
      <w:rFonts w:ascii="Calibri" w:hAnsi="Calibri"/>
      <w:szCs w:val="22"/>
    </w:rPr>
  </w:style>
  <w:style w:type="paragraph" w:styleId="36">
    <w:name w:val="toc 2"/>
    <w:basedOn w:val="1"/>
    <w:next w:val="1"/>
    <w:unhideWhenUsed/>
    <w:qFormat/>
    <w:locked/>
    <w:uiPriority w:val="39"/>
    <w:pPr>
      <w:ind w:left="420" w:leftChars="200"/>
    </w:pPr>
    <w:rPr>
      <w:rFonts w:ascii="Calibri" w:hAnsi="Calibri"/>
      <w:szCs w:val="22"/>
    </w:rPr>
  </w:style>
  <w:style w:type="paragraph" w:styleId="37">
    <w:name w:val="toc 9"/>
    <w:basedOn w:val="1"/>
    <w:next w:val="1"/>
    <w:unhideWhenUsed/>
    <w:qFormat/>
    <w:locked/>
    <w:uiPriority w:val="39"/>
    <w:pPr>
      <w:ind w:left="3360" w:leftChars="1600"/>
    </w:pPr>
    <w:rPr>
      <w:rFonts w:ascii="Calibri" w:hAnsi="Calibri"/>
      <w:szCs w:val="22"/>
    </w:rPr>
  </w:style>
  <w:style w:type="paragraph" w:styleId="38">
    <w:name w:val="HTML Preformatted"/>
    <w:basedOn w:val="1"/>
    <w:link w:val="10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39">
    <w:name w:val="Normal (Web)"/>
    <w:basedOn w:val="1"/>
    <w:link w:val="88"/>
    <w:qFormat/>
    <w:uiPriority w:val="99"/>
    <w:pPr>
      <w:widowControl/>
      <w:spacing w:before="100" w:beforeAutospacing="1" w:after="100" w:afterAutospacing="1"/>
      <w:jc w:val="left"/>
    </w:pPr>
    <w:rPr>
      <w:rFonts w:ascii="宋体" w:hAnsi="宋体"/>
      <w:kern w:val="0"/>
      <w:sz w:val="24"/>
      <w:szCs w:val="20"/>
    </w:rPr>
  </w:style>
  <w:style w:type="paragraph" w:styleId="40">
    <w:name w:val="index 1"/>
    <w:next w:val="1"/>
    <w:unhideWhenUsed/>
    <w:qFormat/>
    <w:uiPriority w:val="0"/>
    <w:pPr>
      <w:widowControl w:val="0"/>
      <w:adjustRightInd w:val="0"/>
      <w:snapToGrid w:val="0"/>
      <w:spacing w:line="440" w:lineRule="atLeast"/>
      <w:ind w:left="240" w:hanging="240"/>
    </w:pPr>
    <w:rPr>
      <w:rFonts w:ascii="宋体" w:hAnsi="Times New Roman" w:eastAsia="宋体" w:cs="Times New Roman"/>
      <w:kern w:val="2"/>
      <w:sz w:val="18"/>
      <w:szCs w:val="18"/>
      <w:lang w:val="en-US" w:eastAsia="zh-CN" w:bidi="ar-SA"/>
    </w:rPr>
  </w:style>
  <w:style w:type="paragraph" w:styleId="41">
    <w:name w:val="Title"/>
    <w:basedOn w:val="1"/>
    <w:link w:val="148"/>
    <w:qFormat/>
    <w:locked/>
    <w:uiPriority w:val="10"/>
    <w:pPr>
      <w:spacing w:before="240" w:after="60"/>
      <w:jc w:val="center"/>
      <w:outlineLvl w:val="0"/>
    </w:pPr>
    <w:rPr>
      <w:rFonts w:ascii="Calibri Light" w:hAnsi="Calibri Light"/>
      <w:b/>
      <w:bCs/>
      <w:sz w:val="32"/>
      <w:szCs w:val="32"/>
    </w:rPr>
  </w:style>
  <w:style w:type="paragraph" w:styleId="42">
    <w:name w:val="annotation subject"/>
    <w:basedOn w:val="21"/>
    <w:next w:val="21"/>
    <w:link w:val="87"/>
    <w:semiHidden/>
    <w:qFormat/>
    <w:uiPriority w:val="0"/>
    <w:rPr>
      <w:b/>
      <w:bCs/>
      <w:kern w:val="2"/>
      <w:szCs w:val="24"/>
    </w:rPr>
  </w:style>
  <w:style w:type="table" w:styleId="44">
    <w:name w:val="Table Grid"/>
    <w:basedOn w:val="4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page number"/>
    <w:qFormat/>
    <w:uiPriority w:val="0"/>
  </w:style>
  <w:style w:type="character" w:styleId="47">
    <w:name w:val="HTML Definition"/>
    <w:qFormat/>
    <w:uiPriority w:val="0"/>
    <w:rPr>
      <w:i/>
      <w:iCs/>
    </w:rPr>
  </w:style>
  <w:style w:type="character" w:styleId="48">
    <w:name w:val="HTML Acronym"/>
    <w:qFormat/>
    <w:uiPriority w:val="0"/>
    <w:rPr>
      <w:rFonts w:ascii="ˎ̥" w:hAnsi="ˎ̥" w:eastAsia="宋体" w:cs="宋体"/>
      <w:color w:val="51585D"/>
      <w:sz w:val="21"/>
      <w:szCs w:val="18"/>
      <w:lang w:val="en-US" w:eastAsia="zh-CN" w:bidi="ar-SA"/>
    </w:rPr>
  </w:style>
  <w:style w:type="character" w:styleId="49">
    <w:name w:val="Hyperlink"/>
    <w:qFormat/>
    <w:uiPriority w:val="99"/>
    <w:rPr>
      <w:color w:val="0000FF"/>
      <w:u w:val="single"/>
    </w:rPr>
  </w:style>
  <w:style w:type="character" w:styleId="50">
    <w:name w:val="annotation reference"/>
    <w:qFormat/>
    <w:uiPriority w:val="99"/>
    <w:rPr>
      <w:sz w:val="21"/>
    </w:rPr>
  </w:style>
  <w:style w:type="paragraph" w:customStyle="1" w:styleId="5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2">
    <w:name w:val="NormalIndent"/>
    <w:basedOn w:val="1"/>
    <w:qFormat/>
    <w:uiPriority w:val="0"/>
    <w:pPr>
      <w:ind w:firstLine="420" w:firstLineChars="200"/>
    </w:pPr>
  </w:style>
  <w:style w:type="character" w:customStyle="1" w:styleId="53">
    <w:name w:val="日期 字符"/>
    <w:qFormat/>
    <w:uiPriority w:val="0"/>
    <w:rPr>
      <w:rFonts w:ascii="Times New Roman" w:hAnsi="Times New Roman" w:eastAsia="宋体" w:cs="Times New Roman"/>
      <w:sz w:val="24"/>
      <w:szCs w:val="24"/>
    </w:rPr>
  </w:style>
  <w:style w:type="character" w:customStyle="1" w:styleId="54">
    <w:name w:val="批注文字 字符"/>
    <w:qFormat/>
    <w:uiPriority w:val="99"/>
    <w:rPr>
      <w:rFonts w:eastAsia="Arial"/>
      <w:kern w:val="2"/>
      <w:sz w:val="28"/>
      <w:szCs w:val="24"/>
    </w:rPr>
  </w:style>
  <w:style w:type="character" w:customStyle="1" w:styleId="55">
    <w:name w:val="正文文本 字符1"/>
    <w:semiHidden/>
    <w:qFormat/>
    <w:uiPriority w:val="0"/>
    <w:rPr>
      <w:rFonts w:ascii="Times New Roman" w:hAnsi="Times New Roman" w:eastAsia="宋体" w:cs="Times New Roman"/>
      <w:sz w:val="24"/>
      <w:szCs w:val="24"/>
    </w:rPr>
  </w:style>
  <w:style w:type="character" w:customStyle="1" w:styleId="56">
    <w:name w:val="批注框文本 字符"/>
    <w:link w:val="29"/>
    <w:qFormat/>
    <w:locked/>
    <w:uiPriority w:val="0"/>
    <w:rPr>
      <w:rFonts w:ascii="Times New Roman" w:hAnsi="Times New Roman" w:eastAsia="宋体" w:cs="Times New Roman"/>
      <w:sz w:val="18"/>
      <w:szCs w:val="18"/>
    </w:rPr>
  </w:style>
  <w:style w:type="character" w:customStyle="1" w:styleId="57">
    <w:name w:val="日期 字符1"/>
    <w:link w:val="28"/>
    <w:qFormat/>
    <w:locked/>
    <w:uiPriority w:val="0"/>
    <w:rPr>
      <w:rFonts w:ascii="Times New Roman" w:hAnsi="Times New Roman" w:eastAsia="宋体"/>
      <w:sz w:val="24"/>
    </w:rPr>
  </w:style>
  <w:style w:type="character" w:customStyle="1" w:styleId="58">
    <w:name w:val="标题 3 字符"/>
    <w:link w:val="7"/>
    <w:qFormat/>
    <w:uiPriority w:val="0"/>
    <w:rPr>
      <w:b/>
      <w:bCs/>
      <w:kern w:val="2"/>
      <w:sz w:val="32"/>
      <w:szCs w:val="32"/>
    </w:rPr>
  </w:style>
  <w:style w:type="character" w:customStyle="1" w:styleId="59">
    <w:name w:val="zw Char"/>
    <w:qFormat/>
    <w:uiPriority w:val="0"/>
    <w:rPr>
      <w:rFonts w:ascii="Times New Roman" w:hAnsi="Times New Roman" w:eastAsia="宋体" w:cs="Courier New"/>
      <w:kern w:val="0"/>
      <w:sz w:val="24"/>
    </w:rPr>
  </w:style>
  <w:style w:type="character" w:customStyle="1" w:styleId="60">
    <w:name w:val="页脚 字符"/>
    <w:link w:val="30"/>
    <w:qFormat/>
    <w:locked/>
    <w:uiPriority w:val="99"/>
    <w:rPr>
      <w:rFonts w:cs="Times New Roman"/>
      <w:sz w:val="18"/>
      <w:szCs w:val="18"/>
    </w:rPr>
  </w:style>
  <w:style w:type="character" w:customStyle="1" w:styleId="61">
    <w:name w:val="页眉 字符"/>
    <w:link w:val="31"/>
    <w:qFormat/>
    <w:locked/>
    <w:uiPriority w:val="99"/>
    <w:rPr>
      <w:rFonts w:cs="Times New Roman"/>
      <w:sz w:val="18"/>
      <w:szCs w:val="18"/>
    </w:rPr>
  </w:style>
  <w:style w:type="character" w:customStyle="1" w:styleId="62">
    <w:name w:val="批注文字 字符2"/>
    <w:link w:val="21"/>
    <w:qFormat/>
    <w:locked/>
    <w:uiPriority w:val="99"/>
    <w:rPr>
      <w:rFonts w:ascii="Times New Roman" w:hAnsi="Times New Roman" w:eastAsia="宋体"/>
      <w:sz w:val="24"/>
    </w:rPr>
  </w:style>
  <w:style w:type="character" w:customStyle="1" w:styleId="63">
    <w:name w:val="普通(网站) Char"/>
    <w:qFormat/>
    <w:locked/>
    <w:uiPriority w:val="0"/>
    <w:rPr>
      <w:rFonts w:ascii="宋体" w:hAnsi="宋体" w:eastAsia="宋体"/>
      <w:sz w:val="24"/>
    </w:rPr>
  </w:style>
  <w:style w:type="character" w:customStyle="1" w:styleId="64">
    <w:name w:val="zw Char Char"/>
    <w:link w:val="11"/>
    <w:qFormat/>
    <w:uiPriority w:val="0"/>
    <w:rPr>
      <w:kern w:val="2"/>
      <w:sz w:val="24"/>
    </w:rPr>
  </w:style>
  <w:style w:type="character" w:customStyle="1" w:styleId="65">
    <w:name w:val="正文文本 字符"/>
    <w:link w:val="22"/>
    <w:qFormat/>
    <w:locked/>
    <w:uiPriority w:val="0"/>
    <w:rPr>
      <w:sz w:val="18"/>
    </w:rPr>
  </w:style>
  <w:style w:type="character" w:customStyle="1" w:styleId="66">
    <w:name w:val="样式 样式 样式 样式 正文缩进s4 + 首行缩进:  2 字符 + 首行缩进:  2 字符 + Char + 仿宋_GB231..."/>
    <w:qFormat/>
    <w:uiPriority w:val="0"/>
    <w:rPr>
      <w:rFonts w:ascii="Wingdings" w:eastAsia="Wingdings" w:cs="Wingdings"/>
      <w:color w:val="auto"/>
      <w:kern w:val="2"/>
      <w:sz w:val="24"/>
      <w:szCs w:val="28"/>
      <w:lang w:val="en-US" w:eastAsia="zh-CN" w:bidi="ar-SA"/>
    </w:rPr>
  </w:style>
  <w:style w:type="character" w:customStyle="1" w:styleId="67">
    <w:name w:val="表格 Char"/>
    <w:link w:val="68"/>
    <w:qFormat/>
    <w:locked/>
    <w:uiPriority w:val="0"/>
    <w:rPr>
      <w:rFonts w:ascii="宋体"/>
      <w:sz w:val="21"/>
    </w:rPr>
  </w:style>
  <w:style w:type="paragraph" w:customStyle="1" w:styleId="68">
    <w:name w:val="表格"/>
    <w:basedOn w:val="1"/>
    <w:next w:val="1"/>
    <w:link w:val="67"/>
    <w:qFormat/>
    <w:uiPriority w:val="0"/>
    <w:pPr>
      <w:adjustRightInd w:val="0"/>
      <w:snapToGrid w:val="0"/>
      <w:spacing w:beforeLines="10" w:afterLines="10" w:line="259" w:lineRule="auto"/>
      <w:jc w:val="center"/>
    </w:pPr>
    <w:rPr>
      <w:rFonts w:ascii="宋体"/>
      <w:kern w:val="0"/>
      <w:szCs w:val="20"/>
    </w:rPr>
  </w:style>
  <w:style w:type="character" w:customStyle="1" w:styleId="69">
    <w:name w:val="fontstyle21"/>
    <w:qFormat/>
    <w:uiPriority w:val="0"/>
    <w:rPr>
      <w:rFonts w:ascii="仿宋_GB2312" w:eastAsia="仿宋_GB2312" w:cs="仿宋_GB2312"/>
      <w:color w:val="000000"/>
      <w:sz w:val="28"/>
      <w:szCs w:val="28"/>
    </w:rPr>
  </w:style>
  <w:style w:type="character" w:customStyle="1" w:styleId="70">
    <w:name w:val="文档结构图 字符"/>
    <w:link w:val="20"/>
    <w:qFormat/>
    <w:uiPriority w:val="0"/>
    <w:rPr>
      <w:rFonts w:ascii="宋体"/>
      <w:kern w:val="2"/>
      <w:sz w:val="18"/>
      <w:szCs w:val="18"/>
    </w:rPr>
  </w:style>
  <w:style w:type="character" w:customStyle="1" w:styleId="71">
    <w:name w:val="批注文字 字符1"/>
    <w:semiHidden/>
    <w:qFormat/>
    <w:uiPriority w:val="0"/>
    <w:rPr>
      <w:rFonts w:ascii="Times New Roman" w:hAnsi="Times New Roman" w:eastAsia="宋体" w:cs="Times New Roman"/>
      <w:sz w:val="24"/>
      <w:szCs w:val="24"/>
    </w:rPr>
  </w:style>
  <w:style w:type="character" w:customStyle="1" w:styleId="72">
    <w:name w:val="正文 宋体 小四 Char"/>
    <w:link w:val="73"/>
    <w:qFormat/>
    <w:uiPriority w:val="0"/>
    <w:rPr>
      <w:sz w:val="24"/>
      <w:szCs w:val="24"/>
    </w:rPr>
  </w:style>
  <w:style w:type="paragraph" w:customStyle="1" w:styleId="73">
    <w:name w:val="正文 宋体 小四"/>
    <w:basedOn w:val="1"/>
    <w:link w:val="72"/>
    <w:qFormat/>
    <w:uiPriority w:val="0"/>
    <w:pPr>
      <w:widowControl/>
      <w:spacing w:line="360" w:lineRule="auto"/>
      <w:ind w:firstLine="200" w:firstLineChars="200"/>
    </w:pPr>
    <w:rPr>
      <w:kern w:val="0"/>
      <w:sz w:val="24"/>
    </w:rPr>
  </w:style>
  <w:style w:type="character" w:customStyle="1" w:styleId="74">
    <w:name w:val="正文文本首行缩进 2 字符"/>
    <w:link w:val="75"/>
    <w:qFormat/>
    <w:uiPriority w:val="99"/>
    <w:rPr>
      <w:sz w:val="24"/>
      <w:szCs w:val="24"/>
    </w:rPr>
  </w:style>
  <w:style w:type="paragraph" w:customStyle="1" w:styleId="75">
    <w:name w:val="1"/>
    <w:basedOn w:val="3"/>
    <w:next w:val="2"/>
    <w:link w:val="74"/>
    <w:unhideWhenUsed/>
    <w:qFormat/>
    <w:uiPriority w:val="99"/>
    <w:pPr>
      <w:ind w:firstLine="420"/>
    </w:pPr>
  </w:style>
  <w:style w:type="character" w:customStyle="1" w:styleId="76">
    <w:name w:val="正文缩进 字符"/>
    <w:link w:val="17"/>
    <w:qFormat/>
    <w:uiPriority w:val="0"/>
    <w:rPr>
      <w:kern w:val="2"/>
      <w:sz w:val="21"/>
      <w:szCs w:val="24"/>
    </w:rPr>
  </w:style>
  <w:style w:type="character" w:customStyle="1" w:styleId="77">
    <w:name w:val="表格文字   居中 Char Char"/>
    <w:link w:val="78"/>
    <w:qFormat/>
    <w:uiPriority w:val="0"/>
    <w:rPr>
      <w:rFonts w:ascii="ˎ̥" w:hAnsi="ˎ̥" w:cs="宋体"/>
      <w:color w:val="51585D"/>
      <w:sz w:val="21"/>
      <w:szCs w:val="21"/>
      <w:shd w:val="clear" w:color="auto" w:fill="FFFFFF"/>
    </w:rPr>
  </w:style>
  <w:style w:type="paragraph" w:customStyle="1" w:styleId="78">
    <w:name w:val="表格文字   居中"/>
    <w:basedOn w:val="1"/>
    <w:link w:val="77"/>
    <w:qFormat/>
    <w:uiPriority w:val="0"/>
    <w:pPr>
      <w:shd w:val="clear" w:color="auto" w:fill="FFFFFF"/>
      <w:adjustRightInd w:val="0"/>
      <w:snapToGrid w:val="0"/>
      <w:jc w:val="center"/>
    </w:pPr>
    <w:rPr>
      <w:rFonts w:ascii="ˎ̥" w:hAnsi="ˎ̥" w:cs="宋体"/>
      <w:color w:val="51585D"/>
      <w:kern w:val="0"/>
      <w:szCs w:val="21"/>
    </w:rPr>
  </w:style>
  <w:style w:type="character" w:customStyle="1" w:styleId="79">
    <w:name w:val="题注 字符1"/>
    <w:link w:val="18"/>
    <w:qFormat/>
    <w:uiPriority w:val="0"/>
    <w:rPr>
      <w:rFonts w:ascii="Calibri Light" w:hAnsi="Calibri Light" w:eastAsia="黑体"/>
      <w:kern w:val="2"/>
      <w:sz w:val="21"/>
    </w:rPr>
  </w:style>
  <w:style w:type="character" w:customStyle="1" w:styleId="80">
    <w:name w:val="题注 字符"/>
    <w:qFormat/>
    <w:uiPriority w:val="35"/>
    <w:rPr>
      <w:rFonts w:ascii="Calibri Light" w:hAnsi="Calibri Light" w:eastAsia="黑体"/>
      <w:kern w:val="2"/>
      <w:sz w:val="21"/>
    </w:rPr>
  </w:style>
  <w:style w:type="character" w:customStyle="1" w:styleId="81">
    <w:name w:val="表格文字 Char"/>
    <w:link w:val="82"/>
    <w:qFormat/>
    <w:uiPriority w:val="0"/>
    <w:rPr>
      <w:rFonts w:cs="幼圆"/>
      <w:sz w:val="21"/>
    </w:rPr>
  </w:style>
  <w:style w:type="paragraph" w:customStyle="1" w:styleId="82">
    <w:name w:val="表格文字"/>
    <w:basedOn w:val="10"/>
    <w:next w:val="1"/>
    <w:link w:val="81"/>
    <w:qFormat/>
    <w:uiPriority w:val="0"/>
    <w:pPr>
      <w:tabs>
        <w:tab w:val="left" w:pos="3720"/>
      </w:tabs>
      <w:topLinePunct/>
      <w:adjustRightInd w:val="0"/>
      <w:snapToGrid w:val="0"/>
      <w:jc w:val="center"/>
      <w:textAlignment w:val="center"/>
    </w:pPr>
    <w:rPr>
      <w:rFonts w:ascii="Times New Roman" w:hAnsi="Times New Roman"/>
      <w:kern w:val="0"/>
      <w:szCs w:val="20"/>
    </w:rPr>
  </w:style>
  <w:style w:type="character" w:customStyle="1" w:styleId="83">
    <w:name w:val="正文文本缩进 字符"/>
    <w:link w:val="3"/>
    <w:qFormat/>
    <w:locked/>
    <w:uiPriority w:val="0"/>
    <w:rPr>
      <w:rFonts w:ascii="Times New Roman" w:hAnsi="Times New Roman" w:eastAsia="宋体" w:cs="Times New Roman"/>
      <w:sz w:val="24"/>
      <w:szCs w:val="24"/>
    </w:rPr>
  </w:style>
  <w:style w:type="character" w:customStyle="1" w:styleId="84">
    <w:name w:val="样式 样式 样式 正文缩进s4 + 首行缩进:  2 字符 + 首行缩进:  2 字符 + Char1"/>
    <w:link w:val="85"/>
    <w:qFormat/>
    <w:uiPriority w:val="0"/>
    <w:rPr>
      <w:rFonts w:ascii="Wingdings" w:hAnsi="Wingdings" w:eastAsia="Wingdings"/>
      <w:color w:val="000000"/>
      <w:kern w:val="2"/>
      <w:sz w:val="21"/>
      <w:szCs w:val="28"/>
    </w:rPr>
  </w:style>
  <w:style w:type="paragraph" w:customStyle="1" w:styleId="85">
    <w:name w:val="样式 样式 样式 正文缩进s4 + 首行缩进:  2 字符 + 首行缩进:  2 字符 +"/>
    <w:basedOn w:val="1"/>
    <w:link w:val="84"/>
    <w:qFormat/>
    <w:uiPriority w:val="0"/>
    <w:pPr>
      <w:adjustRightInd w:val="0"/>
      <w:snapToGrid w:val="0"/>
      <w:spacing w:line="360" w:lineRule="auto"/>
      <w:ind w:firstLine="480" w:firstLineChars="200"/>
    </w:pPr>
    <w:rPr>
      <w:rFonts w:ascii="Wingdings" w:hAnsi="Wingdings" w:eastAsia="Wingdings"/>
      <w:color w:val="000000"/>
      <w:szCs w:val="28"/>
    </w:rPr>
  </w:style>
  <w:style w:type="character" w:customStyle="1" w:styleId="86">
    <w:name w:val="表格文字 Char Char"/>
    <w:qFormat/>
    <w:uiPriority w:val="0"/>
    <w:rPr>
      <w:rFonts w:ascii="宋体" w:hAnsi="宋体" w:eastAsia="宋体" w:cs="Times New Roman"/>
      <w:kern w:val="0"/>
      <w:szCs w:val="20"/>
    </w:rPr>
  </w:style>
  <w:style w:type="character" w:customStyle="1" w:styleId="87">
    <w:name w:val="批注主题 字符"/>
    <w:link w:val="42"/>
    <w:semiHidden/>
    <w:qFormat/>
    <w:locked/>
    <w:uiPriority w:val="0"/>
    <w:rPr>
      <w:rFonts w:ascii="Times New Roman" w:hAnsi="Times New Roman" w:eastAsia="宋体" w:cs="Times New Roman"/>
      <w:b/>
      <w:bCs/>
      <w:kern w:val="2"/>
      <w:sz w:val="24"/>
      <w:szCs w:val="24"/>
    </w:rPr>
  </w:style>
  <w:style w:type="character" w:customStyle="1" w:styleId="88">
    <w:name w:val="普通(网站) 字符"/>
    <w:link w:val="39"/>
    <w:qFormat/>
    <w:locked/>
    <w:uiPriority w:val="99"/>
    <w:rPr>
      <w:rFonts w:ascii="宋体" w:hAnsi="宋体" w:eastAsia="宋体"/>
      <w:sz w:val="24"/>
    </w:rPr>
  </w:style>
  <w:style w:type="character" w:customStyle="1" w:styleId="89">
    <w:name w:val="zw居中 Char"/>
    <w:link w:val="90"/>
    <w:qFormat/>
    <w:uiPriority w:val="0"/>
    <w:rPr>
      <w:rFonts w:cs="幼圆"/>
      <w:kern w:val="2"/>
      <w:sz w:val="24"/>
      <w:szCs w:val="21"/>
    </w:rPr>
  </w:style>
  <w:style w:type="paragraph" w:customStyle="1" w:styleId="90">
    <w:name w:val="zw居中"/>
    <w:basedOn w:val="10"/>
    <w:link w:val="89"/>
    <w:qFormat/>
    <w:uiPriority w:val="0"/>
    <w:pPr>
      <w:adjustRightInd w:val="0"/>
      <w:snapToGrid w:val="0"/>
      <w:jc w:val="center"/>
    </w:pPr>
    <w:rPr>
      <w:rFonts w:ascii="Times New Roman" w:hAnsi="Times New Roman"/>
      <w:sz w:val="24"/>
    </w:rPr>
  </w:style>
  <w:style w:type="character" w:customStyle="1" w:styleId="91">
    <w:name w:val="fontstyle01"/>
    <w:qFormat/>
    <w:uiPriority w:val="0"/>
    <w:rPr>
      <w:rFonts w:ascii="仿宋_GB2312" w:eastAsia="仿宋_GB2312" w:cs="仿宋_GB2312"/>
      <w:color w:val="000000"/>
      <w:sz w:val="28"/>
      <w:szCs w:val="28"/>
    </w:rPr>
  </w:style>
  <w:style w:type="character" w:customStyle="1" w:styleId="92">
    <w:name w:val="样式 样式 首行缩进:  2 字符 + 首行缩进:  2 字符 Char Char"/>
    <w:link w:val="93"/>
    <w:qFormat/>
    <w:uiPriority w:val="0"/>
    <w:rPr>
      <w:rFonts w:eastAsia="仿宋_GB2312" w:cs="宋体"/>
      <w:sz w:val="28"/>
      <w:szCs w:val="28"/>
    </w:rPr>
  </w:style>
  <w:style w:type="paragraph" w:customStyle="1" w:styleId="93">
    <w:name w:val="样式 样式 首行缩进:  2 字符 + 首行缩进:  2 字符"/>
    <w:basedOn w:val="1"/>
    <w:link w:val="92"/>
    <w:qFormat/>
    <w:uiPriority w:val="0"/>
    <w:pPr>
      <w:widowControl/>
      <w:tabs>
        <w:tab w:val="left" w:pos="3735"/>
      </w:tabs>
      <w:spacing w:line="510" w:lineRule="exact"/>
      <w:ind w:firstLine="560" w:firstLineChars="200"/>
    </w:pPr>
    <w:rPr>
      <w:rFonts w:eastAsia="仿宋_GB2312" w:cs="宋体"/>
      <w:kern w:val="0"/>
      <w:sz w:val="28"/>
      <w:szCs w:val="28"/>
    </w:rPr>
  </w:style>
  <w:style w:type="character" w:customStyle="1" w:styleId="94">
    <w:name w:val="纯文本 字符"/>
    <w:link w:val="10"/>
    <w:qFormat/>
    <w:uiPriority w:val="0"/>
    <w:rPr>
      <w:rFonts w:ascii="宋体" w:hAnsi="Courier New" w:cs="Courier New"/>
      <w:kern w:val="2"/>
      <w:sz w:val="21"/>
      <w:szCs w:val="21"/>
    </w:rPr>
  </w:style>
  <w:style w:type="character" w:customStyle="1" w:styleId="95">
    <w:name w:val="标题 2 字符"/>
    <w:link w:val="6"/>
    <w:qFormat/>
    <w:uiPriority w:val="9"/>
    <w:rPr>
      <w:rFonts w:ascii="Calibri Light" w:hAnsi="Calibri Light" w:eastAsia="宋体" w:cs="Times New Roman"/>
      <w:b/>
      <w:bCs/>
      <w:kern w:val="2"/>
      <w:sz w:val="32"/>
      <w:szCs w:val="32"/>
    </w:rPr>
  </w:style>
  <w:style w:type="character" w:customStyle="1" w:styleId="96">
    <w:name w:val="样式 左侧:  0.98 厘米 Char1"/>
    <w:link w:val="97"/>
    <w:qFormat/>
    <w:uiPriority w:val="0"/>
    <w:rPr>
      <w:rFonts w:eastAsia="仿宋_GB2312"/>
      <w:kern w:val="2"/>
      <w:sz w:val="28"/>
    </w:rPr>
  </w:style>
  <w:style w:type="paragraph" w:customStyle="1" w:styleId="97">
    <w:name w:val="样式 左侧:  0.98 厘米"/>
    <w:basedOn w:val="1"/>
    <w:link w:val="96"/>
    <w:qFormat/>
    <w:uiPriority w:val="0"/>
    <w:pPr>
      <w:adjustRightInd w:val="0"/>
      <w:snapToGrid w:val="0"/>
      <w:spacing w:line="490" w:lineRule="exact"/>
      <w:ind w:firstLine="560" w:firstLineChars="200"/>
    </w:pPr>
    <w:rPr>
      <w:rFonts w:eastAsia="仿宋_GB2312"/>
      <w:sz w:val="28"/>
      <w:szCs w:val="20"/>
    </w:rPr>
  </w:style>
  <w:style w:type="character" w:customStyle="1" w:styleId="98">
    <w:name w:val="表格文字（小五） Char"/>
    <w:link w:val="99"/>
    <w:qFormat/>
    <w:uiPriority w:val="0"/>
    <w:rPr>
      <w:rFonts w:ascii="Arial" w:hAnsi="Arial"/>
      <w:kern w:val="2"/>
      <w:sz w:val="21"/>
    </w:rPr>
  </w:style>
  <w:style w:type="paragraph" w:customStyle="1" w:styleId="99">
    <w:name w:val="表格文字（小五）"/>
    <w:basedOn w:val="1"/>
    <w:next w:val="17"/>
    <w:link w:val="98"/>
    <w:qFormat/>
    <w:uiPriority w:val="0"/>
    <w:pPr>
      <w:tabs>
        <w:tab w:val="left" w:pos="746"/>
      </w:tabs>
      <w:spacing w:line="360" w:lineRule="exact"/>
      <w:jc w:val="center"/>
      <w:textAlignment w:val="center"/>
    </w:pPr>
    <w:rPr>
      <w:rFonts w:ascii="Arial" w:hAnsi="Arial"/>
      <w:szCs w:val="20"/>
    </w:rPr>
  </w:style>
  <w:style w:type="character" w:customStyle="1" w:styleId="100">
    <w:name w:val="fontstyle11"/>
    <w:qFormat/>
    <w:uiPriority w:val="0"/>
    <w:rPr>
      <w:rFonts w:hint="default" w:ascii="Times New Roman" w:hAnsi="Times New Roman" w:cs="Times New Roman"/>
      <w:color w:val="000000"/>
      <w:sz w:val="28"/>
      <w:szCs w:val="28"/>
    </w:rPr>
  </w:style>
  <w:style w:type="character" w:customStyle="1" w:styleId="101">
    <w:name w:val="题注 Char1"/>
    <w:qFormat/>
    <w:uiPriority w:val="35"/>
    <w:rPr>
      <w:rFonts w:ascii="Arial" w:hAnsi="Arial" w:eastAsia="黑体" w:cs="Arial"/>
      <w:sz w:val="20"/>
      <w:szCs w:val="20"/>
    </w:rPr>
  </w:style>
  <w:style w:type="character" w:customStyle="1" w:styleId="102">
    <w:name w:val="HTML 预设格式 字符"/>
    <w:link w:val="38"/>
    <w:qFormat/>
    <w:uiPriority w:val="0"/>
    <w:rPr>
      <w:rFonts w:ascii="宋体" w:hAnsi="宋体"/>
      <w:sz w:val="24"/>
      <w:szCs w:val="24"/>
    </w:rPr>
  </w:style>
  <w:style w:type="character" w:customStyle="1" w:styleId="103">
    <w:name w:val="项目编号 Char"/>
    <w:link w:val="104"/>
    <w:qFormat/>
    <w:locked/>
    <w:uiPriority w:val="0"/>
    <w:rPr>
      <w:b/>
      <w:bCs/>
      <w:kern w:val="2"/>
      <w:sz w:val="28"/>
      <w:szCs w:val="28"/>
    </w:rPr>
  </w:style>
  <w:style w:type="paragraph" w:customStyle="1" w:styleId="104">
    <w:name w:val="项目编号"/>
    <w:basedOn w:val="10"/>
    <w:next w:val="1"/>
    <w:link w:val="103"/>
    <w:qFormat/>
    <w:uiPriority w:val="0"/>
    <w:rPr>
      <w:rFonts w:ascii="Times New Roman" w:hAnsi="Times New Roman"/>
      <w:b/>
      <w:bCs/>
      <w:sz w:val="28"/>
      <w:szCs w:val="28"/>
    </w:rPr>
  </w:style>
  <w:style w:type="paragraph" w:customStyle="1" w:styleId="105">
    <w:name w:val="表中"/>
    <w:basedOn w:val="1"/>
    <w:qFormat/>
    <w:uiPriority w:val="0"/>
    <w:pPr>
      <w:adjustRightInd w:val="0"/>
      <w:snapToGrid w:val="0"/>
      <w:spacing w:line="360" w:lineRule="atLeast"/>
      <w:jc w:val="center"/>
    </w:pPr>
    <w:rPr>
      <w:rFonts w:ascii="宋体" w:hAnsi="宋体" w:cs="宋体"/>
      <w:snapToGrid w:val="0"/>
      <w:kern w:val="0"/>
      <w:szCs w:val="21"/>
    </w:rPr>
  </w:style>
  <w:style w:type="paragraph" w:customStyle="1" w:styleId="106">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107">
    <w:name w:val="修改索引"/>
    <w:basedOn w:val="10"/>
    <w:qFormat/>
    <w:uiPriority w:val="0"/>
    <w:pPr>
      <w:adjustRightInd w:val="0"/>
      <w:snapToGrid w:val="0"/>
      <w:jc w:val="left"/>
    </w:pPr>
    <w:rPr>
      <w:rFonts w:ascii="Arial" w:hAnsi="Arial" w:cs="宋体"/>
      <w:sz w:val="24"/>
    </w:rPr>
  </w:style>
  <w:style w:type="paragraph" w:customStyle="1" w:styleId="108">
    <w:name w:val="样式 (中文) 宋体 小四 行距: 1.5 倍行距 首行缩进:  2 字符"/>
    <w:basedOn w:val="1"/>
    <w:qFormat/>
    <w:uiPriority w:val="0"/>
    <w:pPr>
      <w:spacing w:line="360" w:lineRule="auto"/>
      <w:ind w:firstLine="200" w:firstLineChars="200"/>
    </w:pPr>
    <w:rPr>
      <w:sz w:val="24"/>
      <w:szCs w:val="20"/>
    </w:rPr>
  </w:style>
  <w:style w:type="paragraph" w:customStyle="1" w:styleId="109">
    <w:name w:val="样式 正文缩进s4标题4表正文正文非缩进图标题段1Body Text(ch)缩进ALT+Z特点四号正文不..."/>
    <w:basedOn w:val="17"/>
    <w:qFormat/>
    <w:uiPriority w:val="0"/>
    <w:pPr>
      <w:adjustRightInd w:val="0"/>
      <w:snapToGrid w:val="0"/>
      <w:spacing w:line="360" w:lineRule="auto"/>
      <w:ind w:firstLine="480"/>
    </w:pPr>
    <w:rPr>
      <w:sz w:val="24"/>
    </w:rPr>
  </w:style>
  <w:style w:type="paragraph" w:customStyle="1" w:styleId="110">
    <w:name w:val="编制说明"/>
    <w:basedOn w:val="10"/>
    <w:next w:val="11"/>
    <w:qFormat/>
    <w:uiPriority w:val="0"/>
    <w:pPr>
      <w:spacing w:before="120"/>
      <w:jc w:val="center"/>
    </w:pPr>
    <w:rPr>
      <w:rFonts w:hAnsi="宋体" w:eastAsia="微软雅黑"/>
      <w:b/>
      <w:sz w:val="32"/>
    </w:rPr>
  </w:style>
  <w:style w:type="paragraph" w:customStyle="1" w:styleId="111">
    <w:name w:val="Char Char20"/>
    <w:basedOn w:val="1"/>
    <w:qFormat/>
    <w:uiPriority w:val="0"/>
    <w:pPr>
      <w:widowControl/>
      <w:spacing w:after="160" w:line="240" w:lineRule="exact"/>
      <w:jc w:val="left"/>
    </w:pPr>
    <w:rPr>
      <w:rFonts w:eastAsia="仿宋_GB2312"/>
      <w:sz w:val="28"/>
    </w:rPr>
  </w:style>
  <w:style w:type="paragraph" w:customStyle="1" w:styleId="112">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13">
    <w:name w:val="样式（ 表格 ）"/>
    <w:basedOn w:val="68"/>
    <w:qFormat/>
    <w:uiPriority w:val="0"/>
    <w:pPr>
      <w:spacing w:beforeLines="0" w:afterLines="0" w:line="320" w:lineRule="exact"/>
    </w:pPr>
    <w:rPr>
      <w:rFonts w:cs="宋体"/>
      <w:color w:val="0000FF"/>
    </w:rPr>
  </w:style>
  <w:style w:type="paragraph" w:styleId="114">
    <w:name w:val="List Paragraph"/>
    <w:basedOn w:val="1"/>
    <w:link w:val="141"/>
    <w:qFormat/>
    <w:uiPriority w:val="99"/>
    <w:pPr>
      <w:ind w:firstLine="420" w:firstLineChars="200"/>
    </w:pPr>
  </w:style>
  <w:style w:type="paragraph" w:customStyle="1" w:styleId="115">
    <w:name w:val="证书编号"/>
    <w:basedOn w:val="1"/>
    <w:qFormat/>
    <w:uiPriority w:val="0"/>
    <w:pPr>
      <w:adjustRightInd w:val="0"/>
      <w:snapToGrid w:val="0"/>
    </w:pPr>
    <w:rPr>
      <w:rFonts w:ascii="黑体" w:hAnsi="宋体" w:eastAsia="黑体"/>
      <w:szCs w:val="21"/>
    </w:rPr>
  </w:style>
  <w:style w:type="paragraph" w:customStyle="1" w:styleId="116">
    <w:name w:val="2 Char Char Char Char Char Char Char Char Char Char Char Char Char Char Char Char"/>
    <w:basedOn w:val="1"/>
    <w:qFormat/>
    <w:uiPriority w:val="0"/>
    <w:pPr>
      <w:spacing w:line="360" w:lineRule="auto"/>
      <w:ind w:firstLine="200" w:firstLineChars="200"/>
    </w:pPr>
  </w:style>
  <w:style w:type="paragraph" w:customStyle="1" w:styleId="117">
    <w:name w:val="编制日期"/>
    <w:basedOn w:val="1"/>
    <w:next w:val="11"/>
    <w:qFormat/>
    <w:uiPriority w:val="0"/>
    <w:pPr>
      <w:jc w:val="center"/>
    </w:pPr>
    <w:rPr>
      <w:rFonts w:eastAsia="仿宋_GB2312"/>
      <w:sz w:val="32"/>
    </w:rPr>
  </w:style>
  <w:style w:type="paragraph" w:customStyle="1" w:styleId="11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19">
    <w:name w:val="正文缩进1"/>
    <w:basedOn w:val="1"/>
    <w:qFormat/>
    <w:uiPriority w:val="0"/>
    <w:pPr>
      <w:ind w:firstLine="420" w:firstLineChars="200"/>
    </w:pPr>
    <w:rPr>
      <w:sz w:val="24"/>
    </w:rPr>
  </w:style>
  <w:style w:type="paragraph" w:customStyle="1" w:styleId="120">
    <w:name w:val="正文 + 首行缩进:  2 字符"/>
    <w:basedOn w:val="1"/>
    <w:qFormat/>
    <w:uiPriority w:val="0"/>
    <w:pPr>
      <w:tabs>
        <w:tab w:val="left" w:pos="2940"/>
      </w:tabs>
      <w:adjustRightInd w:val="0"/>
      <w:snapToGrid w:val="0"/>
      <w:spacing w:line="360" w:lineRule="auto"/>
      <w:ind w:firstLine="480" w:firstLineChars="200"/>
    </w:pPr>
    <w:rPr>
      <w:snapToGrid w:val="0"/>
      <w:sz w:val="24"/>
    </w:rPr>
  </w:style>
  <w:style w:type="character" w:customStyle="1" w:styleId="121">
    <w:name w:val="标题 1 字符"/>
    <w:link w:val="5"/>
    <w:qFormat/>
    <w:uiPriority w:val="9"/>
    <w:rPr>
      <w:rFonts w:eastAsia="黑体"/>
      <w:b/>
      <w:bCs/>
      <w:color w:val="000000"/>
      <w:kern w:val="44"/>
      <w:sz w:val="30"/>
      <w:szCs w:val="30"/>
    </w:rPr>
  </w:style>
  <w:style w:type="character" w:customStyle="1" w:styleId="122">
    <w:name w:val="font11"/>
    <w:basedOn w:val="45"/>
    <w:qFormat/>
    <w:uiPriority w:val="0"/>
    <w:rPr>
      <w:rFonts w:hint="eastAsia" w:ascii="宋体" w:hAnsi="宋体" w:eastAsia="宋体" w:cs="宋体"/>
      <w:color w:val="000000"/>
      <w:sz w:val="21"/>
      <w:szCs w:val="21"/>
      <w:u w:val="none"/>
    </w:rPr>
  </w:style>
  <w:style w:type="character" w:customStyle="1" w:styleId="123">
    <w:name w:val="font21"/>
    <w:basedOn w:val="45"/>
    <w:qFormat/>
    <w:uiPriority w:val="0"/>
    <w:rPr>
      <w:rFonts w:hint="eastAsia" w:ascii="宋体" w:hAnsi="宋体" w:eastAsia="宋体"/>
      <w:color w:val="000000"/>
      <w:sz w:val="22"/>
      <w:szCs w:val="22"/>
      <w:u w:val="none"/>
    </w:rPr>
  </w:style>
  <w:style w:type="character" w:customStyle="1" w:styleId="124">
    <w:name w:val="font31"/>
    <w:basedOn w:val="45"/>
    <w:qFormat/>
    <w:uiPriority w:val="0"/>
    <w:rPr>
      <w:rFonts w:hint="eastAsia" w:ascii="宋体" w:hAnsi="宋体" w:eastAsia="宋体"/>
      <w:color w:val="000000"/>
      <w:sz w:val="21"/>
      <w:szCs w:val="21"/>
      <w:u w:val="none"/>
    </w:rPr>
  </w:style>
  <w:style w:type="paragraph" w:customStyle="1" w:styleId="125">
    <w:name w:val="样式 四号"/>
    <w:qFormat/>
    <w:uiPriority w:val="0"/>
    <w:pPr>
      <w:widowControl w:val="0"/>
      <w:autoSpaceDE w:val="0"/>
      <w:autoSpaceDN w:val="0"/>
      <w:spacing w:line="360" w:lineRule="auto"/>
      <w:ind w:firstLine="480" w:firstLineChars="200"/>
    </w:pPr>
    <w:rPr>
      <w:rFonts w:ascii="宋体" w:hAnsi="宋体" w:eastAsia="宋体" w:cs="宋体"/>
      <w:sz w:val="24"/>
      <w:lang w:val="zh-CN" w:eastAsia="zh-CN" w:bidi="zh-CN"/>
    </w:rPr>
  </w:style>
  <w:style w:type="paragraph" w:customStyle="1" w:styleId="126">
    <w:name w:val="样式（ 题注 ）"/>
    <w:basedOn w:val="1"/>
    <w:qFormat/>
    <w:uiPriority w:val="0"/>
    <w:pPr>
      <w:adjustRightInd w:val="0"/>
      <w:snapToGrid w:val="0"/>
    </w:pPr>
    <w:rPr>
      <w:rFonts w:hAnsi="黑体" w:eastAsia="黑体"/>
      <w:snapToGrid w:val="0"/>
      <w:kern w:val="0"/>
    </w:rPr>
  </w:style>
  <w:style w:type="paragraph" w:customStyle="1" w:styleId="127">
    <w:name w:val="样式 样式 首行缩进:  1.92 字符 + 仿宋_GB2312 首行缩进:  2 字符"/>
    <w:basedOn w:val="1"/>
    <w:qFormat/>
    <w:uiPriority w:val="0"/>
    <w:pPr>
      <w:adjustRightInd w:val="0"/>
      <w:snapToGrid w:val="0"/>
      <w:spacing w:line="360" w:lineRule="auto"/>
      <w:ind w:firstLine="480" w:firstLineChars="200"/>
    </w:pPr>
    <w:rPr>
      <w:sz w:val="24"/>
    </w:rPr>
  </w:style>
  <w:style w:type="character" w:customStyle="1" w:styleId="128">
    <w:name w:val="样式 样式 样式 首行缩进:  2 字符3 + 首行缩进:  2 字符 + 首行缩进:  2 字符 Char Char"/>
    <w:link w:val="129"/>
    <w:qFormat/>
    <w:uiPriority w:val="0"/>
    <w:rPr>
      <w:rFonts w:ascii="宋体" w:hAnsi="宋体" w:cs="幼圆"/>
      <w:sz w:val="24"/>
    </w:rPr>
  </w:style>
  <w:style w:type="paragraph" w:customStyle="1" w:styleId="129">
    <w:name w:val="样式 样式 样式 首行缩进:  2 字符3 + 首行缩进:  2 字符 + 首行缩进:  2 字符"/>
    <w:basedOn w:val="1"/>
    <w:link w:val="128"/>
    <w:qFormat/>
    <w:uiPriority w:val="0"/>
    <w:pPr>
      <w:tabs>
        <w:tab w:val="left" w:pos="9070"/>
      </w:tabs>
      <w:adjustRightInd w:val="0"/>
      <w:snapToGrid w:val="0"/>
      <w:spacing w:line="360" w:lineRule="auto"/>
      <w:ind w:right="-2" w:firstLine="480" w:firstLineChars="200"/>
      <w:textAlignment w:val="baseline"/>
    </w:pPr>
    <w:rPr>
      <w:rFonts w:ascii="宋体" w:hAnsi="宋体" w:cs="幼圆"/>
      <w:kern w:val="0"/>
      <w:sz w:val="24"/>
      <w:szCs w:val="20"/>
    </w:rPr>
  </w:style>
  <w:style w:type="paragraph" w:customStyle="1" w:styleId="130">
    <w:name w:val="_Style 119"/>
    <w:basedOn w:val="3"/>
    <w:next w:val="2"/>
    <w:unhideWhenUsed/>
    <w:qFormat/>
    <w:uiPriority w:val="99"/>
    <w:pPr>
      <w:ind w:firstLine="420"/>
    </w:pPr>
  </w:style>
  <w:style w:type="paragraph" w:customStyle="1" w:styleId="131">
    <w:name w:val="_Style 13"/>
    <w:basedOn w:val="1"/>
    <w:qFormat/>
    <w:uiPriority w:val="0"/>
    <w:pPr>
      <w:adjustRightInd w:val="0"/>
      <w:snapToGrid w:val="0"/>
      <w:spacing w:line="360" w:lineRule="auto"/>
      <w:ind w:firstLine="643" w:firstLineChars="200"/>
    </w:pPr>
    <w:rPr>
      <w:szCs w:val="20"/>
    </w:rPr>
  </w:style>
  <w:style w:type="paragraph" w:customStyle="1" w:styleId="132">
    <w:name w:val="_Style 121"/>
    <w:basedOn w:val="3"/>
    <w:next w:val="2"/>
    <w:unhideWhenUsed/>
    <w:qFormat/>
    <w:uiPriority w:val="99"/>
    <w:pPr>
      <w:ind w:firstLine="420"/>
    </w:pPr>
  </w:style>
  <w:style w:type="paragraph" w:customStyle="1" w:styleId="133">
    <w:name w:val="表格xz"/>
    <w:basedOn w:val="1"/>
    <w:qFormat/>
    <w:uiPriority w:val="0"/>
    <w:pPr>
      <w:widowControl/>
      <w:adjustRightInd w:val="0"/>
      <w:snapToGrid w:val="0"/>
      <w:jc w:val="center"/>
    </w:pPr>
    <w:rPr>
      <w:color w:val="000000"/>
      <w:szCs w:val="21"/>
    </w:rPr>
  </w:style>
  <w:style w:type="paragraph" w:customStyle="1" w:styleId="134">
    <w:name w:val="表（标题）"/>
    <w:qFormat/>
    <w:uiPriority w:val="0"/>
    <w:pPr>
      <w:widowControl w:val="0"/>
      <w:spacing w:line="490" w:lineRule="exact"/>
      <w:jc w:val="center"/>
    </w:pPr>
    <w:rPr>
      <w:rFonts w:ascii="楷体_GB2312" w:hAnsi="Times New Roman" w:eastAsia="楷体_GB2312" w:cs="宋体"/>
      <w:b/>
      <w:bCs/>
      <w:sz w:val="32"/>
      <w:szCs w:val="21"/>
      <w:lang w:val="en-US" w:eastAsia="zh-CN" w:bidi="ar-SA"/>
    </w:rPr>
  </w:style>
  <w:style w:type="paragraph" w:customStyle="1" w:styleId="135">
    <w:name w:val="列出段落91"/>
    <w:basedOn w:val="1"/>
    <w:qFormat/>
    <w:uiPriority w:val="99"/>
    <w:pPr>
      <w:spacing w:line="360" w:lineRule="auto"/>
      <w:ind w:firstLine="420"/>
    </w:pPr>
    <w:rPr>
      <w:rFonts w:ascii="宋体" w:hAnsi="宋体" w:cs="宋体"/>
    </w:rPr>
  </w:style>
  <w:style w:type="paragraph" w:customStyle="1" w:styleId="136">
    <w:name w:val="Table Paragraph"/>
    <w:basedOn w:val="1"/>
    <w:qFormat/>
    <w:uiPriority w:val="1"/>
    <w:rPr>
      <w:rFonts w:ascii="宋体" w:hAnsi="宋体" w:cs="宋体"/>
    </w:rPr>
  </w:style>
  <w:style w:type="character" w:customStyle="1" w:styleId="137">
    <w:name w:val="font71"/>
    <w:basedOn w:val="45"/>
    <w:qFormat/>
    <w:uiPriority w:val="0"/>
    <w:rPr>
      <w:rFonts w:ascii="Microsoft JhengHei" w:hAnsi="Microsoft JhengHei" w:eastAsia="Microsoft JhengHei" w:cs="Microsoft JhengHei"/>
      <w:b/>
      <w:bCs/>
      <w:color w:val="000000"/>
      <w:sz w:val="21"/>
      <w:szCs w:val="21"/>
      <w:u w:val="none"/>
    </w:rPr>
  </w:style>
  <w:style w:type="character" w:customStyle="1" w:styleId="138">
    <w:name w:val="font81"/>
    <w:basedOn w:val="45"/>
    <w:qFormat/>
    <w:uiPriority w:val="0"/>
    <w:rPr>
      <w:rFonts w:hint="eastAsia" w:ascii="宋体" w:hAnsi="宋体" w:eastAsia="宋体" w:cs="宋体"/>
      <w:color w:val="000000"/>
      <w:sz w:val="21"/>
      <w:szCs w:val="21"/>
      <w:u w:val="none"/>
    </w:rPr>
  </w:style>
  <w:style w:type="paragraph" w:customStyle="1" w:styleId="139">
    <w:name w:val="表格文字1"/>
    <w:basedOn w:val="10"/>
    <w:qFormat/>
    <w:uiPriority w:val="0"/>
    <w:pPr>
      <w:widowControl/>
      <w:topLinePunct/>
      <w:adjustRightInd w:val="0"/>
      <w:snapToGrid w:val="0"/>
      <w:jc w:val="center"/>
    </w:pPr>
    <w:rPr>
      <w:rFonts w:hAnsi="宋体" w:cs="Arial"/>
    </w:rPr>
  </w:style>
  <w:style w:type="paragraph" w:customStyle="1" w:styleId="140">
    <w:name w:val="Char"/>
    <w:next w:val="1"/>
    <w:qFormat/>
    <w:uiPriority w:val="0"/>
    <w:pPr>
      <w:widowControl w:val="0"/>
      <w:overflowPunct w:val="0"/>
      <w:snapToGrid w:val="0"/>
      <w:spacing w:line="360" w:lineRule="auto"/>
      <w:ind w:firstLine="480" w:firstLineChars="200"/>
    </w:pPr>
    <w:rPr>
      <w:rFonts w:ascii="仿宋_GB2312" w:hAnsi="宋体" w:eastAsia="仿宋_GB2312" w:cs="Times New Roman"/>
      <w:sz w:val="24"/>
      <w:szCs w:val="24"/>
      <w:lang w:val="en-US" w:eastAsia="zh-CN" w:bidi="ar-SA"/>
    </w:rPr>
  </w:style>
  <w:style w:type="character" w:customStyle="1" w:styleId="141">
    <w:name w:val="列表段落 字符"/>
    <w:link w:val="114"/>
    <w:qFormat/>
    <w:locked/>
    <w:uiPriority w:val="0"/>
    <w:rPr>
      <w:kern w:val="2"/>
      <w:sz w:val="21"/>
      <w:szCs w:val="24"/>
    </w:rPr>
  </w:style>
  <w:style w:type="character" w:customStyle="1" w:styleId="142">
    <w:name w:val="标题 5 字符"/>
    <w:basedOn w:val="45"/>
    <w:link w:val="9"/>
    <w:qFormat/>
    <w:uiPriority w:val="9"/>
    <w:rPr>
      <w:rFonts w:ascii="Arial Unicode MS" w:hAnsi="幼圆" w:cs="幼圆"/>
      <w:b/>
      <w:bCs/>
      <w:kern w:val="2"/>
      <w:sz w:val="24"/>
      <w:szCs w:val="28"/>
    </w:rPr>
  </w:style>
  <w:style w:type="character" w:customStyle="1" w:styleId="143">
    <w:name w:val="标题 6 字符"/>
    <w:basedOn w:val="45"/>
    <w:link w:val="12"/>
    <w:qFormat/>
    <w:uiPriority w:val="9"/>
    <w:rPr>
      <w:rFonts w:ascii="Calibri Light" w:hAnsi="Calibri Light"/>
      <w:b/>
      <w:bCs/>
      <w:kern w:val="2"/>
      <w:sz w:val="24"/>
      <w:szCs w:val="24"/>
    </w:rPr>
  </w:style>
  <w:style w:type="character" w:customStyle="1" w:styleId="144">
    <w:name w:val="标题 7 字符"/>
    <w:basedOn w:val="45"/>
    <w:link w:val="13"/>
    <w:qFormat/>
    <w:uiPriority w:val="9"/>
    <w:rPr>
      <w:rFonts w:ascii="ˎ̥" w:hAnsi="ˎ̥" w:cs="ˎ̥"/>
      <w:b/>
      <w:bCs/>
      <w:kern w:val="2"/>
      <w:sz w:val="24"/>
      <w:szCs w:val="24"/>
    </w:rPr>
  </w:style>
  <w:style w:type="character" w:customStyle="1" w:styleId="145">
    <w:name w:val="标题 8 字符"/>
    <w:basedOn w:val="45"/>
    <w:link w:val="14"/>
    <w:qFormat/>
    <w:uiPriority w:val="9"/>
    <w:rPr>
      <w:rFonts w:ascii="Calibri Light" w:hAnsi="Calibri Light"/>
      <w:kern w:val="2"/>
      <w:sz w:val="24"/>
      <w:szCs w:val="24"/>
    </w:rPr>
  </w:style>
  <w:style w:type="character" w:customStyle="1" w:styleId="146">
    <w:name w:val="标题 9 字符"/>
    <w:basedOn w:val="45"/>
    <w:link w:val="15"/>
    <w:qFormat/>
    <w:uiPriority w:val="9"/>
    <w:rPr>
      <w:rFonts w:ascii="Calibri Light" w:hAnsi="Calibri Light"/>
      <w:kern w:val="2"/>
      <w:sz w:val="21"/>
      <w:szCs w:val="21"/>
    </w:rPr>
  </w:style>
  <w:style w:type="character" w:customStyle="1" w:styleId="147">
    <w:name w:val="脚注文本 字符"/>
    <w:basedOn w:val="45"/>
    <w:link w:val="34"/>
    <w:qFormat/>
    <w:uiPriority w:val="0"/>
    <w:rPr>
      <w:rFonts w:ascii="Tahoma" w:hAnsi="Tahoma" w:eastAsia="仿宋_GB2312" w:cs="ˎ̥"/>
      <w:kern w:val="2"/>
      <w:sz w:val="18"/>
      <w:szCs w:val="18"/>
    </w:rPr>
  </w:style>
  <w:style w:type="character" w:customStyle="1" w:styleId="148">
    <w:name w:val="标题 字符"/>
    <w:basedOn w:val="45"/>
    <w:link w:val="41"/>
    <w:qFormat/>
    <w:uiPriority w:val="10"/>
    <w:rPr>
      <w:rFonts w:ascii="Calibri Light" w:hAnsi="Calibri Light"/>
      <w:b/>
      <w:bCs/>
      <w:kern w:val="2"/>
      <w:sz w:val="32"/>
      <w:szCs w:val="32"/>
    </w:rPr>
  </w:style>
  <w:style w:type="character" w:customStyle="1" w:styleId="149">
    <w:name w:val="标题 4 字符"/>
    <w:link w:val="8"/>
    <w:qFormat/>
    <w:uiPriority w:val="9"/>
    <w:rPr>
      <w:rFonts w:ascii="Arial" w:hAnsi="Arial" w:eastAsia="黑体"/>
      <w:color w:val="000000"/>
      <w:kern w:val="2"/>
      <w:sz w:val="30"/>
      <w:szCs w:val="24"/>
    </w:rPr>
  </w:style>
  <w:style w:type="character" w:customStyle="1" w:styleId="150">
    <w:name w:val="黑体三号"/>
    <w:qFormat/>
    <w:uiPriority w:val="0"/>
    <w:rPr>
      <w:rFonts w:eastAsia="黑体"/>
      <w:sz w:val="32"/>
    </w:rPr>
  </w:style>
  <w:style w:type="character" w:customStyle="1" w:styleId="151">
    <w:name w:val="评价单位 Char"/>
    <w:link w:val="152"/>
    <w:qFormat/>
    <w:uiPriority w:val="0"/>
    <w:rPr>
      <w:rFonts w:ascii="ˎ̥" w:hAnsi="ˎ̥" w:eastAsia="黑体" w:cs="宋体"/>
      <w:color w:val="51585D"/>
      <w:kern w:val="2"/>
      <w:sz w:val="30"/>
      <w:szCs w:val="22"/>
    </w:rPr>
  </w:style>
  <w:style w:type="paragraph" w:customStyle="1" w:styleId="152">
    <w:name w:val="评价单位"/>
    <w:basedOn w:val="1"/>
    <w:link w:val="151"/>
    <w:qFormat/>
    <w:uiPriority w:val="0"/>
    <w:pPr>
      <w:adjustRightInd w:val="0"/>
      <w:snapToGrid w:val="0"/>
      <w:ind w:firstLine="600" w:firstLineChars="200"/>
    </w:pPr>
    <w:rPr>
      <w:rFonts w:ascii="ˎ̥" w:hAnsi="ˎ̥" w:eastAsia="黑体" w:cs="宋体"/>
      <w:color w:val="51585D"/>
      <w:sz w:val="30"/>
      <w:szCs w:val="22"/>
    </w:rPr>
  </w:style>
  <w:style w:type="character" w:customStyle="1" w:styleId="153">
    <w:name w:val="项目名称2 Char"/>
    <w:link w:val="154"/>
    <w:qFormat/>
    <w:uiPriority w:val="0"/>
    <w:rPr>
      <w:rFonts w:ascii="Arial" w:hAnsi="Arial" w:eastAsia="黑体" w:cs="宋体"/>
      <w:color w:val="51585D"/>
      <w:sz w:val="30"/>
      <w:szCs w:val="30"/>
      <w:u w:val="single"/>
    </w:rPr>
  </w:style>
  <w:style w:type="paragraph" w:customStyle="1" w:styleId="154">
    <w:name w:val="项目名称2"/>
    <w:basedOn w:val="1"/>
    <w:link w:val="153"/>
    <w:qFormat/>
    <w:uiPriority w:val="0"/>
    <w:pPr>
      <w:adjustRightInd w:val="0"/>
      <w:snapToGrid w:val="0"/>
      <w:spacing w:line="480" w:lineRule="auto"/>
      <w:ind w:firstLine="2400" w:firstLineChars="800"/>
    </w:pPr>
    <w:rPr>
      <w:rFonts w:ascii="Arial" w:hAnsi="Arial" w:eastAsia="黑体" w:cs="宋体"/>
      <w:color w:val="51585D"/>
      <w:kern w:val="0"/>
      <w:sz w:val="30"/>
      <w:szCs w:val="30"/>
      <w:u w:val="single"/>
    </w:rPr>
  </w:style>
  <w:style w:type="character" w:customStyle="1" w:styleId="155">
    <w:name w:val="黑体 八号"/>
    <w:qFormat/>
    <w:uiPriority w:val="0"/>
    <w:rPr>
      <w:rFonts w:ascii="ˎ̥" w:hAnsi="ˎ̥" w:eastAsia="黑体" w:cs="宋体"/>
      <w:bCs/>
      <w:color w:val="51585D"/>
      <w:sz w:val="10"/>
      <w:szCs w:val="18"/>
      <w:lang w:val="en-US" w:eastAsia="zh-CN" w:bidi="ar-SA"/>
    </w:rPr>
  </w:style>
  <w:style w:type="character" w:customStyle="1" w:styleId="156">
    <w:name w:val="评价单位2 Char"/>
    <w:link w:val="157"/>
    <w:qFormat/>
    <w:uiPriority w:val="0"/>
    <w:rPr>
      <w:rFonts w:ascii="ˎ̥" w:hAnsi="ˎ̥" w:eastAsia="仿宋_GB2312" w:cs="宋体"/>
      <w:color w:val="51585D"/>
      <w:kern w:val="2"/>
      <w:sz w:val="30"/>
      <w:szCs w:val="22"/>
    </w:rPr>
  </w:style>
  <w:style w:type="paragraph" w:customStyle="1" w:styleId="157">
    <w:name w:val="评价单位2"/>
    <w:basedOn w:val="1"/>
    <w:next w:val="152"/>
    <w:link w:val="156"/>
    <w:qFormat/>
    <w:uiPriority w:val="0"/>
    <w:rPr>
      <w:rFonts w:ascii="ˎ̥" w:hAnsi="ˎ̥" w:eastAsia="仿宋_GB2312" w:cs="宋体"/>
      <w:color w:val="51585D"/>
      <w:sz w:val="30"/>
      <w:szCs w:val="22"/>
    </w:rPr>
  </w:style>
  <w:style w:type="paragraph" w:customStyle="1" w:styleId="158">
    <w:name w:val="TOC 标题1"/>
    <w:basedOn w:val="5"/>
    <w:next w:val="1"/>
    <w:unhideWhenUsed/>
    <w:qFormat/>
    <w:uiPriority w:val="39"/>
    <w:pPr>
      <w:keepNext w:val="0"/>
      <w:widowControl/>
      <w:overflowPunct/>
      <w:topLinePunct/>
      <w:snapToGrid/>
      <w:spacing w:before="240" w:after="0" w:line="360" w:lineRule="auto"/>
      <w:ind w:left="0" w:firstLine="0"/>
      <w:jc w:val="left"/>
      <w:outlineLvl w:val="9"/>
    </w:pPr>
    <w:rPr>
      <w:rFonts w:asciiTheme="majorHAnsi" w:hAnsiTheme="majorHAnsi" w:eastAsiaTheme="majorEastAsia" w:cstheme="majorBidi"/>
      <w:color w:val="2E75B6" w:themeColor="accent1" w:themeShade="BF"/>
      <w:kern w:val="0"/>
      <w:sz w:val="24"/>
      <w:szCs w:val="32"/>
    </w:rPr>
  </w:style>
  <w:style w:type="paragraph" w:customStyle="1" w:styleId="159">
    <w:name w:val="zw（两端对齐）"/>
    <w:basedOn w:val="1"/>
    <w:next w:val="1"/>
    <w:qFormat/>
    <w:uiPriority w:val="0"/>
    <w:pPr>
      <w:jc w:val="center"/>
    </w:pPr>
    <w:rPr>
      <w:rFonts w:ascii="Arial Unicode MS" w:hAnsi="Arial Unicode MS" w:cs="Arial Unicode MS"/>
      <w:sz w:val="24"/>
      <w:szCs w:val="21"/>
    </w:rPr>
  </w:style>
  <w:style w:type="paragraph" w:customStyle="1" w:styleId="160">
    <w:name w:val="楷体三号"/>
    <w:basedOn w:val="10"/>
    <w:qFormat/>
    <w:uiPriority w:val="0"/>
    <w:pPr>
      <w:shd w:val="clear" w:color="auto" w:fill="FFFFFF"/>
      <w:adjustRightInd w:val="0"/>
      <w:snapToGrid w:val="0"/>
      <w:spacing w:line="300" w:lineRule="auto"/>
      <w:outlineLvl w:val="1"/>
    </w:pPr>
    <w:rPr>
      <w:rFonts w:ascii="楷体_GB2312" w:hAnsi="宋体" w:eastAsia="楷体_GB2312"/>
      <w:b/>
      <w:sz w:val="32"/>
      <w:szCs w:val="28"/>
    </w:rPr>
  </w:style>
  <w:style w:type="paragraph" w:customStyle="1" w:styleId="161">
    <w:name w:val="二级"/>
    <w:basedOn w:val="1"/>
    <w:next w:val="11"/>
    <w:qFormat/>
    <w:uiPriority w:val="0"/>
    <w:pPr>
      <w:shd w:val="clear" w:color="auto" w:fill="FFFFFF"/>
      <w:spacing w:line="300" w:lineRule="auto"/>
    </w:pPr>
    <w:rPr>
      <w:rFonts w:ascii="楷体_GB2312" w:hAnsi="宋体" w:eastAsia="楷体_GB2312" w:cs="ˎ̥"/>
      <w:b/>
      <w:bCs/>
      <w:sz w:val="30"/>
    </w:rPr>
  </w:style>
  <w:style w:type="paragraph" w:customStyle="1" w:styleId="162">
    <w:name w:val="三级"/>
    <w:basedOn w:val="10"/>
    <w:next w:val="11"/>
    <w:qFormat/>
    <w:uiPriority w:val="0"/>
    <w:pPr>
      <w:shd w:val="clear" w:color="auto" w:fill="FFFFFF"/>
      <w:adjustRightInd w:val="0"/>
      <w:snapToGrid w:val="0"/>
      <w:spacing w:line="300" w:lineRule="auto"/>
      <w:jc w:val="left"/>
    </w:pPr>
    <w:rPr>
      <w:rFonts w:ascii="Times New Roman" w:hAnsi="Times New Roman"/>
      <w:b/>
      <w:bCs/>
      <w:snapToGrid w:val="0"/>
      <w:kern w:val="0"/>
      <w:sz w:val="24"/>
      <w:szCs w:val="28"/>
    </w:rPr>
  </w:style>
  <w:style w:type="paragraph" w:customStyle="1" w:styleId="163">
    <w:name w:val="表格文字+右对齐"/>
    <w:basedOn w:val="1"/>
    <w:qFormat/>
    <w:uiPriority w:val="0"/>
    <w:pPr>
      <w:shd w:val="clear" w:color="auto" w:fill="FFFFFF"/>
      <w:jc w:val="right"/>
    </w:pPr>
    <w:rPr>
      <w:rFonts w:ascii="ˎ̥" w:hAnsi="ˎ̥" w:cs="ˎ̥"/>
      <w:szCs w:val="21"/>
    </w:rPr>
  </w:style>
  <w:style w:type="paragraph" w:customStyle="1" w:styleId="164">
    <w:name w:val="报告表"/>
    <w:basedOn w:val="1"/>
    <w:next w:val="11"/>
    <w:qFormat/>
    <w:uiPriority w:val="0"/>
    <w:pPr>
      <w:adjustRightInd w:val="0"/>
      <w:snapToGrid w:val="0"/>
      <w:jc w:val="center"/>
    </w:pPr>
    <w:rPr>
      <w:rFonts w:eastAsia="仿宋_GB2312"/>
      <w:b/>
      <w:sz w:val="72"/>
      <w:szCs w:val="22"/>
    </w:rPr>
  </w:style>
  <w:style w:type="paragraph" w:customStyle="1" w:styleId="165">
    <w:name w:val="项目名称1"/>
    <w:basedOn w:val="1"/>
    <w:qFormat/>
    <w:uiPriority w:val="0"/>
    <w:pPr>
      <w:adjustRightInd w:val="0"/>
      <w:snapToGrid w:val="0"/>
      <w:spacing w:line="480" w:lineRule="auto"/>
      <w:jc w:val="right"/>
    </w:pPr>
    <w:rPr>
      <w:rFonts w:ascii="楷体_GB2312" w:eastAsia="楷体_GB2312"/>
      <w:b/>
      <w:szCs w:val="22"/>
    </w:rPr>
  </w:style>
  <w:style w:type="paragraph" w:customStyle="1" w:styleId="166">
    <w:name w:val="基本情况表"/>
    <w:basedOn w:val="10"/>
    <w:qFormat/>
    <w:uiPriority w:val="0"/>
    <w:pPr>
      <w:adjustRightInd w:val="0"/>
      <w:snapToGrid w:val="0"/>
      <w:spacing w:line="288" w:lineRule="auto"/>
      <w:jc w:val="center"/>
    </w:pPr>
    <w:rPr>
      <w:rFonts w:ascii="Times New Roman" w:hAnsi="Times New Roman"/>
      <w:sz w:val="24"/>
    </w:rPr>
  </w:style>
  <w:style w:type="paragraph" w:customStyle="1" w:styleId="167">
    <w:name w:val="基本情况表  居中"/>
    <w:basedOn w:val="166"/>
    <w:qFormat/>
    <w:uiPriority w:val="0"/>
  </w:style>
  <w:style w:type="paragraph" w:customStyle="1" w:styleId="168">
    <w:name w:val="表格文字+左对齐"/>
    <w:basedOn w:val="1"/>
    <w:qFormat/>
    <w:uiPriority w:val="0"/>
    <w:pPr>
      <w:shd w:val="clear" w:color="auto" w:fill="FFFFFF"/>
      <w:adjustRightInd w:val="0"/>
      <w:snapToGrid w:val="0"/>
      <w:jc w:val="left"/>
    </w:pPr>
    <w:rPr>
      <w:rFonts w:ascii="ˎ̥" w:hAnsi="ˎ̥" w:cs="ˎ̥"/>
      <w:szCs w:val="21"/>
    </w:rPr>
  </w:style>
  <w:style w:type="paragraph" w:customStyle="1" w:styleId="169">
    <w:name w:val="四级"/>
    <w:basedOn w:val="1"/>
    <w:next w:val="11"/>
    <w:qFormat/>
    <w:uiPriority w:val="0"/>
    <w:rPr>
      <w:rFonts w:eastAsia="楷体_GB2312"/>
      <w:b/>
      <w:sz w:val="24"/>
      <w:szCs w:val="22"/>
    </w:rPr>
  </w:style>
  <w:style w:type="paragraph" w:customStyle="1" w:styleId="170">
    <w:name w:val="修订11"/>
    <w:hidden/>
    <w:unhideWhenUsed/>
    <w:qFormat/>
    <w:uiPriority w:val="99"/>
    <w:rPr>
      <w:rFonts w:ascii="Times New Roman" w:hAnsi="Times New Roman" w:eastAsia="宋体" w:cs="Times New Roman"/>
      <w:kern w:val="2"/>
      <w:sz w:val="24"/>
      <w:lang w:val="en-US" w:eastAsia="zh-CN" w:bidi="ar-SA"/>
    </w:rPr>
  </w:style>
  <w:style w:type="character" w:customStyle="1" w:styleId="171">
    <w:name w:val="标题 Char1"/>
    <w:basedOn w:val="45"/>
    <w:qFormat/>
    <w:uiPriority w:val="10"/>
    <w:rPr>
      <w:rFonts w:asciiTheme="majorHAnsi" w:hAnsiTheme="majorHAnsi" w:cstheme="majorBidi"/>
      <w:b/>
      <w:bCs/>
      <w:kern w:val="2"/>
      <w:sz w:val="32"/>
      <w:szCs w:val="32"/>
    </w:rPr>
  </w:style>
  <w:style w:type="paragraph" w:customStyle="1" w:styleId="172">
    <w:name w:val="zw（居中）"/>
    <w:basedOn w:val="1"/>
    <w:next w:val="11"/>
    <w:qFormat/>
    <w:uiPriority w:val="0"/>
    <w:pPr>
      <w:adjustRightInd w:val="0"/>
      <w:spacing w:line="360" w:lineRule="auto"/>
      <w:jc w:val="center"/>
    </w:pPr>
    <w:rPr>
      <w:rFonts w:ascii="汉仪大宋简" w:hAnsi="汉仪大宋简" w:eastAsia="Arial Unicode MS" w:cs="幼圆"/>
      <w:sz w:val="24"/>
      <w:szCs w:val="22"/>
    </w:rPr>
  </w:style>
  <w:style w:type="paragraph" w:customStyle="1" w:styleId="173">
    <w:name w:val="zw2"/>
    <w:basedOn w:val="1"/>
    <w:qFormat/>
    <w:uiPriority w:val="0"/>
    <w:pPr>
      <w:shd w:val="clear" w:color="auto" w:fill="FFFFFF"/>
      <w:adjustRightInd w:val="0"/>
      <w:snapToGrid w:val="0"/>
      <w:jc w:val="center"/>
    </w:pPr>
    <w:rPr>
      <w:sz w:val="24"/>
      <w:szCs w:val="22"/>
    </w:rPr>
  </w:style>
  <w:style w:type="paragraph" w:customStyle="1" w:styleId="174">
    <w:name w:val="zw左对齐"/>
    <w:basedOn w:val="1"/>
    <w:next w:val="11"/>
    <w:qFormat/>
    <w:uiPriority w:val="0"/>
    <w:pPr>
      <w:adjustRightInd w:val="0"/>
      <w:snapToGrid w:val="0"/>
      <w:jc w:val="left"/>
    </w:pPr>
    <w:rPr>
      <w:rFonts w:ascii="Arial Unicode MS" w:hAnsi="Arial Unicode MS" w:eastAsia="Arial Unicode MS" w:cs="Arial Unicode MS"/>
      <w:sz w:val="24"/>
      <w:szCs w:val="22"/>
    </w:rPr>
  </w:style>
  <w:style w:type="paragraph" w:customStyle="1" w:styleId="175">
    <w:name w:val="报告表正文"/>
    <w:basedOn w:val="1"/>
    <w:link w:val="176"/>
    <w:qFormat/>
    <w:uiPriority w:val="0"/>
    <w:pPr>
      <w:adjustRightInd w:val="0"/>
      <w:spacing w:line="360" w:lineRule="auto"/>
      <w:ind w:left="113" w:right="113" w:firstLine="482"/>
      <w:textAlignment w:val="baseline"/>
    </w:pPr>
    <w:rPr>
      <w:rFonts w:ascii="ˎ̥" w:hAnsi="ˎ̥" w:cs="ˎ̥"/>
      <w:kern w:val="0"/>
      <w:sz w:val="24"/>
      <w:szCs w:val="20"/>
    </w:rPr>
  </w:style>
  <w:style w:type="character" w:customStyle="1" w:styleId="176">
    <w:name w:val="报告表正文 Char Char"/>
    <w:link w:val="175"/>
    <w:qFormat/>
    <w:uiPriority w:val="0"/>
    <w:rPr>
      <w:rFonts w:ascii="ˎ̥" w:hAnsi="ˎ̥" w:cs="ˎ̥"/>
      <w:sz w:val="24"/>
    </w:rPr>
  </w:style>
  <w:style w:type="paragraph" w:customStyle="1" w:styleId="177">
    <w:name w:val="表格文字  两端对齐"/>
    <w:basedOn w:val="1"/>
    <w:qFormat/>
    <w:uiPriority w:val="0"/>
    <w:pPr>
      <w:shd w:val="clear" w:color="auto" w:fill="FFFFFF"/>
      <w:adjustRightInd w:val="0"/>
      <w:snapToGrid w:val="0"/>
    </w:pPr>
    <w:rPr>
      <w:szCs w:val="22"/>
    </w:rPr>
  </w:style>
  <w:style w:type="paragraph" w:customStyle="1" w:styleId="178">
    <w:name w:val="二级标题"/>
    <w:basedOn w:val="41"/>
    <w:next w:val="1"/>
    <w:qFormat/>
    <w:uiPriority w:val="0"/>
    <w:rPr>
      <w:rFonts w:eastAsia="五"/>
    </w:rPr>
  </w:style>
  <w:style w:type="paragraph" w:customStyle="1" w:styleId="179">
    <w:name w:val="公示标题"/>
    <w:basedOn w:val="10"/>
    <w:qFormat/>
    <w:uiPriority w:val="0"/>
    <w:pPr>
      <w:adjustRightInd w:val="0"/>
      <w:snapToGrid w:val="0"/>
      <w:spacing w:line="360" w:lineRule="exact"/>
      <w:jc w:val="center"/>
    </w:pPr>
    <w:rPr>
      <w:rFonts w:ascii="Arial Unicode MS" w:hAnsi="幼圆" w:eastAsia="Arial Unicode MS" w:cs="幼圆"/>
      <w:b/>
      <w:sz w:val="36"/>
    </w:rPr>
  </w:style>
  <w:style w:type="paragraph" w:customStyle="1" w:styleId="180">
    <w:name w:val="公示内容"/>
    <w:basedOn w:val="10"/>
    <w:qFormat/>
    <w:uiPriority w:val="0"/>
    <w:pPr>
      <w:adjustRightInd w:val="0"/>
      <w:snapToGrid w:val="0"/>
      <w:ind w:firstLine="200" w:firstLineChars="200"/>
    </w:pPr>
    <w:rPr>
      <w:rFonts w:ascii="Arial Unicode MS" w:hAnsi="幼圆" w:eastAsia="Arial Unicode MS" w:cs="幼圆"/>
    </w:rPr>
  </w:style>
  <w:style w:type="paragraph" w:customStyle="1" w:styleId="181">
    <w:name w:val="评价人员情况"/>
    <w:basedOn w:val="1"/>
    <w:qFormat/>
    <w:uiPriority w:val="0"/>
    <w:pPr>
      <w:jc w:val="center"/>
    </w:pPr>
    <w:rPr>
      <w:rFonts w:eastAsia="仿宋_GB2312"/>
      <w:b/>
      <w:szCs w:val="22"/>
    </w:rPr>
  </w:style>
  <w:style w:type="paragraph" w:customStyle="1" w:styleId="182">
    <w:name w:val="宋体小三"/>
    <w:basedOn w:val="1"/>
    <w:qFormat/>
    <w:uiPriority w:val="0"/>
    <w:pPr>
      <w:spacing w:line="240" w:lineRule="atLeast"/>
      <w:ind w:firstLine="560"/>
    </w:pPr>
    <w:rPr>
      <w:rFonts w:ascii="宋体" w:hAnsi="宋体"/>
      <w:sz w:val="30"/>
      <w:szCs w:val="22"/>
    </w:rPr>
  </w:style>
  <w:style w:type="paragraph" w:customStyle="1" w:styleId="183">
    <w:name w:val="题注（居中）"/>
    <w:basedOn w:val="18"/>
    <w:next w:val="11"/>
    <w:qFormat/>
    <w:uiPriority w:val="0"/>
    <w:pPr>
      <w:keepNext/>
    </w:pPr>
    <w:rPr>
      <w:rFonts w:ascii="Times New Roman" w:hAnsi="Times New Roman"/>
      <w:b/>
      <w:color w:val="000000" w:themeColor="text1"/>
      <w:szCs w:val="24"/>
      <w:u w:val="single"/>
      <w14:textFill>
        <w14:solidFill>
          <w14:schemeClr w14:val="tx1"/>
        </w14:solidFill>
      </w14:textFill>
    </w:rPr>
  </w:style>
  <w:style w:type="paragraph" w:customStyle="1" w:styleId="184">
    <w:name w:val="一级标题"/>
    <w:basedOn w:val="5"/>
    <w:qFormat/>
    <w:uiPriority w:val="0"/>
    <w:pPr>
      <w:keepNext w:val="0"/>
      <w:tabs>
        <w:tab w:val="left" w:pos="432"/>
      </w:tabs>
      <w:overflowPunct/>
      <w:topLinePunct/>
      <w:snapToGrid/>
      <w:spacing w:before="0" w:after="0" w:line="360" w:lineRule="auto"/>
      <w:ind w:left="0" w:firstLine="0"/>
      <w:jc w:val="left"/>
    </w:pPr>
    <w:rPr>
      <w:rFonts w:eastAsia="宋体" w:cs="幼圆"/>
      <w:color w:val="auto"/>
      <w:sz w:val="24"/>
      <w:szCs w:val="44"/>
    </w:rPr>
  </w:style>
  <w:style w:type="paragraph" w:customStyle="1" w:styleId="185">
    <w:name w:val="正文样式1"/>
    <w:basedOn w:val="1"/>
    <w:link w:val="186"/>
    <w:qFormat/>
    <w:uiPriority w:val="0"/>
    <w:pPr>
      <w:adjustRightInd w:val="0"/>
      <w:spacing w:line="490" w:lineRule="exact"/>
      <w:ind w:firstLine="567"/>
      <w:jc w:val="left"/>
      <w:textAlignment w:val="baseline"/>
    </w:pPr>
    <w:rPr>
      <w:kern w:val="28"/>
      <w:szCs w:val="20"/>
    </w:rPr>
  </w:style>
  <w:style w:type="character" w:customStyle="1" w:styleId="186">
    <w:name w:val="正文样式1 Char"/>
    <w:link w:val="185"/>
    <w:qFormat/>
    <w:uiPriority w:val="0"/>
    <w:rPr>
      <w:kern w:val="28"/>
      <w:sz w:val="21"/>
    </w:rPr>
  </w:style>
  <w:style w:type="character" w:customStyle="1" w:styleId="187">
    <w:name w:val="上标 Char Char"/>
    <w:link w:val="188"/>
    <w:qFormat/>
    <w:uiPriority w:val="0"/>
    <w:rPr>
      <w:rFonts w:ascii="Arial" w:hAnsi="Arial" w:cs="Courier New"/>
      <w:kern w:val="2"/>
      <w:sz w:val="24"/>
      <w:szCs w:val="24"/>
      <w:vertAlign w:val="superscript"/>
    </w:rPr>
  </w:style>
  <w:style w:type="paragraph" w:customStyle="1" w:styleId="188">
    <w:name w:val="上标"/>
    <w:basedOn w:val="1"/>
    <w:next w:val="11"/>
    <w:link w:val="187"/>
    <w:qFormat/>
    <w:uiPriority w:val="0"/>
    <w:pPr>
      <w:adjustRightInd w:val="0"/>
      <w:snapToGrid w:val="0"/>
    </w:pPr>
    <w:rPr>
      <w:rFonts w:ascii="Arial" w:hAnsi="Arial" w:cs="Courier New"/>
      <w:sz w:val="24"/>
      <w:vertAlign w:val="superscript"/>
    </w:rPr>
  </w:style>
  <w:style w:type="paragraph" w:customStyle="1" w:styleId="189">
    <w:name w:val="样式 样式 正文 + 仿宋_GB2312 自动设置 首行缩进:  2 字符2"/>
    <w:basedOn w:val="1"/>
    <w:qFormat/>
    <w:uiPriority w:val="0"/>
    <w:pPr>
      <w:adjustRightInd w:val="0"/>
      <w:snapToGrid w:val="0"/>
      <w:spacing w:line="360" w:lineRule="auto"/>
      <w:ind w:firstLine="560" w:firstLineChars="200"/>
      <w:textAlignment w:val="baseline"/>
    </w:pPr>
    <w:rPr>
      <w:rFonts w:ascii="黑体" w:hAnsi="Arial" w:eastAsia="黑体" w:cs="Arial"/>
      <w:color w:val="0000FF"/>
      <w:kern w:val="0"/>
      <w:sz w:val="24"/>
      <w:szCs w:val="20"/>
    </w:rPr>
  </w:style>
  <w:style w:type="paragraph" w:customStyle="1" w:styleId="190">
    <w:name w:val="B表格文字"/>
    <w:qFormat/>
    <w:uiPriority w:val="0"/>
    <w:pPr>
      <w:jc w:val="center"/>
    </w:pPr>
    <w:rPr>
      <w:rFonts w:ascii="Times New Roman" w:hAnsi="Times New Roman" w:eastAsia="宋体" w:cs="Times New Roman"/>
      <w:kern w:val="2"/>
      <w:sz w:val="21"/>
      <w:szCs w:val="24"/>
      <w:lang w:val="en-US" w:eastAsia="zh-CN" w:bidi="ar-SA"/>
    </w:rPr>
  </w:style>
  <w:style w:type="paragraph" w:customStyle="1" w:styleId="191">
    <w:name w:val="B表头"/>
    <w:qFormat/>
    <w:uiPriority w:val="0"/>
    <w:pPr>
      <w:spacing w:before="50" w:beforeLines="50"/>
      <w:jc w:val="center"/>
    </w:pPr>
    <w:rPr>
      <w:rFonts w:ascii="Times New Roman" w:hAnsi="Times New Roman" w:eastAsia="宋体" w:cs="Times New Roman"/>
      <w:b/>
      <w:kern w:val="2"/>
      <w:sz w:val="24"/>
      <w:szCs w:val="24"/>
      <w:lang w:val="en-US" w:eastAsia="zh-CN" w:bidi="ar-SA"/>
    </w:rPr>
  </w:style>
  <w:style w:type="character" w:customStyle="1" w:styleId="192">
    <w:name w:val="表格 Char Char"/>
    <w:qFormat/>
    <w:uiPriority w:val="0"/>
    <w:rPr>
      <w:rFonts w:ascii="Calibri Light" w:hAnsi="Calibri Light" w:eastAsia="黑体"/>
      <w:sz w:val="24"/>
    </w:rPr>
  </w:style>
  <w:style w:type="character" w:customStyle="1" w:styleId="193">
    <w:name w:val="样式 (西文) Arial (中文) 宋体"/>
    <w:qFormat/>
    <w:uiPriority w:val="0"/>
    <w:rPr>
      <w:rFonts w:ascii="Times New Roman" w:hAnsi="Times New Roman" w:eastAsia="宋体"/>
      <w:kern w:val="2"/>
      <w:sz w:val="24"/>
      <w:szCs w:val="24"/>
      <w:lang w:val="en-US" w:eastAsia="zh-CN" w:bidi="ar-SA"/>
    </w:rPr>
  </w:style>
  <w:style w:type="character" w:customStyle="1" w:styleId="194">
    <w:name w:val="正文缩进 Char2"/>
    <w:qFormat/>
    <w:uiPriority w:val="0"/>
    <w:rPr>
      <w:rFonts w:ascii="宋体" w:hAnsi="宋体" w:eastAsia="宋体" w:cs="宋体"/>
      <w:bCs/>
      <w:snapToGrid w:val="0"/>
      <w:color w:val="800080"/>
      <w:kern w:val="16"/>
      <w:sz w:val="24"/>
      <w:szCs w:val="32"/>
      <w:lang w:val="en-US" w:eastAsia="zh-CN" w:bidi="ar-SA"/>
    </w:rPr>
  </w:style>
  <w:style w:type="table" w:customStyle="1" w:styleId="195">
    <w:name w:val="网格型1"/>
    <w:basedOn w:val="43"/>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6">
    <w:name w:val="我的表格文字"/>
    <w:basedOn w:val="1"/>
    <w:qFormat/>
    <w:uiPriority w:val="0"/>
    <w:pPr>
      <w:jc w:val="center"/>
    </w:pPr>
    <w:rPr>
      <w:rFonts w:ascii="Calibri" w:hAnsi="宋体" w:eastAsia="Times New Roman" w:cs="宋体"/>
      <w:color w:val="000000"/>
      <w:szCs w:val="21"/>
    </w:rPr>
  </w:style>
  <w:style w:type="character" w:customStyle="1" w:styleId="197">
    <w:name w:val="样式 标题 2节标题 1.11.1标题2 + 四号 非加粗 Char"/>
    <w:link w:val="198"/>
    <w:qFormat/>
    <w:uiPriority w:val="0"/>
    <w:rPr>
      <w:b/>
      <w:kern w:val="44"/>
      <w:sz w:val="28"/>
    </w:rPr>
  </w:style>
  <w:style w:type="paragraph" w:customStyle="1" w:styleId="198">
    <w:name w:val="样式 标题 2节标题 1.11.1标题2 + 四号 非加粗"/>
    <w:basedOn w:val="6"/>
    <w:link w:val="197"/>
    <w:qFormat/>
    <w:uiPriority w:val="0"/>
    <w:pPr>
      <w:keepLines w:val="0"/>
      <w:widowControl/>
      <w:tabs>
        <w:tab w:val="left" w:pos="567"/>
        <w:tab w:val="left" w:pos="720"/>
        <w:tab w:val="left" w:pos="5528"/>
      </w:tabs>
      <w:adjustRightInd w:val="0"/>
      <w:spacing w:before="0" w:after="0" w:line="460" w:lineRule="exact"/>
      <w:ind w:left="720" w:hanging="720"/>
      <w:jc w:val="left"/>
      <w:textAlignment w:val="baseline"/>
    </w:pPr>
    <w:rPr>
      <w:rFonts w:ascii="Times New Roman" w:hAnsi="Times New Roman"/>
      <w:bCs w:val="0"/>
      <w:kern w:val="44"/>
      <w:sz w:val="28"/>
      <w:szCs w:val="20"/>
    </w:rPr>
  </w:style>
  <w:style w:type="paragraph" w:customStyle="1" w:styleId="199">
    <w:name w:val="样式 样式 正文文本缩进 + 仿宋_GB2312 四号 段后: 0 磅 行距: 1.5 倍行距 + (符号) Times New..."/>
    <w:basedOn w:val="1"/>
    <w:qFormat/>
    <w:uiPriority w:val="0"/>
    <w:pPr>
      <w:widowControl/>
      <w:adjustRightInd w:val="0"/>
      <w:snapToGrid w:val="0"/>
      <w:spacing w:line="360" w:lineRule="auto"/>
      <w:ind w:firstLine="480" w:firstLineChars="200"/>
      <w:jc w:val="left"/>
    </w:pPr>
    <w:rPr>
      <w:kern w:val="0"/>
      <w:sz w:val="24"/>
    </w:rPr>
  </w:style>
  <w:style w:type="character" w:customStyle="1" w:styleId="200">
    <w:name w:val="正文文本缩进 2 Char"/>
    <w:qFormat/>
    <w:uiPriority w:val="0"/>
    <w:rPr>
      <w:rFonts w:ascii="Arial" w:eastAsia="Arial"/>
      <w:kern w:val="2"/>
      <w:sz w:val="28"/>
      <w:szCs w:val="24"/>
      <w:lang w:val="en-US" w:eastAsia="zh-CN" w:bidi="ar-SA"/>
    </w:rPr>
  </w:style>
  <w:style w:type="paragraph" w:customStyle="1" w:styleId="201">
    <w:name w:val="TOC 标题2"/>
    <w:basedOn w:val="5"/>
    <w:next w:val="1"/>
    <w:unhideWhenUsed/>
    <w:qFormat/>
    <w:uiPriority w:val="39"/>
    <w:pPr>
      <w:keepLines/>
      <w:widowControl/>
      <w:overflowPunct/>
      <w:snapToGrid/>
      <w:spacing w:before="240" w:after="0"/>
      <w:ind w:left="0" w:firstLine="0"/>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202">
    <w:name w:val="Char Char Char Char Char Char Char"/>
    <w:basedOn w:val="1"/>
    <w:next w:val="1"/>
    <w:qFormat/>
    <w:uiPriority w:val="0"/>
    <w:pPr>
      <w:spacing w:line="360" w:lineRule="auto"/>
      <w:ind w:firstLine="200" w:firstLineChars="200"/>
    </w:pPr>
  </w:style>
  <w:style w:type="paragraph" w:customStyle="1" w:styleId="203">
    <w:name w:val="修订2"/>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46.wmf"/><Relationship Id="rId98" Type="http://schemas.openxmlformats.org/officeDocument/2006/relationships/oleObject" Target="embeddings/oleObject39.bin"/><Relationship Id="rId97" Type="http://schemas.openxmlformats.org/officeDocument/2006/relationships/image" Target="media/image45.wmf"/><Relationship Id="rId96" Type="http://schemas.openxmlformats.org/officeDocument/2006/relationships/oleObject" Target="embeddings/oleObject38.bin"/><Relationship Id="rId95" Type="http://schemas.openxmlformats.org/officeDocument/2006/relationships/image" Target="media/image44.wmf"/><Relationship Id="rId94" Type="http://schemas.openxmlformats.org/officeDocument/2006/relationships/oleObject" Target="embeddings/oleObject37.bin"/><Relationship Id="rId93" Type="http://schemas.openxmlformats.org/officeDocument/2006/relationships/image" Target="media/image43.wmf"/><Relationship Id="rId92" Type="http://schemas.openxmlformats.org/officeDocument/2006/relationships/oleObject" Target="embeddings/oleObject36.bin"/><Relationship Id="rId91" Type="http://schemas.openxmlformats.org/officeDocument/2006/relationships/image" Target="media/image42.wmf"/><Relationship Id="rId90" Type="http://schemas.openxmlformats.org/officeDocument/2006/relationships/oleObject" Target="embeddings/oleObject35.bin"/><Relationship Id="rId9" Type="http://schemas.openxmlformats.org/officeDocument/2006/relationships/header" Target="header4.xml"/><Relationship Id="rId89" Type="http://schemas.openxmlformats.org/officeDocument/2006/relationships/image" Target="media/image41.wmf"/><Relationship Id="rId88" Type="http://schemas.openxmlformats.org/officeDocument/2006/relationships/oleObject" Target="embeddings/oleObject34.bin"/><Relationship Id="rId87" Type="http://schemas.openxmlformats.org/officeDocument/2006/relationships/image" Target="media/image40.wmf"/><Relationship Id="rId86" Type="http://schemas.openxmlformats.org/officeDocument/2006/relationships/oleObject" Target="embeddings/oleObject33.bin"/><Relationship Id="rId85" Type="http://schemas.openxmlformats.org/officeDocument/2006/relationships/image" Target="media/image39.png"/><Relationship Id="rId84" Type="http://schemas.openxmlformats.org/officeDocument/2006/relationships/image" Target="media/image38.wmf"/><Relationship Id="rId83" Type="http://schemas.openxmlformats.org/officeDocument/2006/relationships/oleObject" Target="embeddings/oleObject32.bin"/><Relationship Id="rId82" Type="http://schemas.openxmlformats.org/officeDocument/2006/relationships/image" Target="media/image37.wmf"/><Relationship Id="rId81" Type="http://schemas.openxmlformats.org/officeDocument/2006/relationships/oleObject" Target="embeddings/oleObject31.bin"/><Relationship Id="rId80" Type="http://schemas.openxmlformats.org/officeDocument/2006/relationships/image" Target="media/image36.wmf"/><Relationship Id="rId8" Type="http://schemas.openxmlformats.org/officeDocument/2006/relationships/header" Target="header3.xml"/><Relationship Id="rId79" Type="http://schemas.openxmlformats.org/officeDocument/2006/relationships/oleObject" Target="embeddings/oleObject30.bin"/><Relationship Id="rId78" Type="http://schemas.openxmlformats.org/officeDocument/2006/relationships/image" Target="media/image35.wmf"/><Relationship Id="rId77" Type="http://schemas.openxmlformats.org/officeDocument/2006/relationships/oleObject" Target="embeddings/oleObject29.bin"/><Relationship Id="rId76" Type="http://schemas.openxmlformats.org/officeDocument/2006/relationships/image" Target="media/image34.wmf"/><Relationship Id="rId75" Type="http://schemas.openxmlformats.org/officeDocument/2006/relationships/oleObject" Target="embeddings/oleObject28.bin"/><Relationship Id="rId74" Type="http://schemas.openxmlformats.org/officeDocument/2006/relationships/image" Target="media/image33.wmf"/><Relationship Id="rId73" Type="http://schemas.openxmlformats.org/officeDocument/2006/relationships/oleObject" Target="embeddings/oleObject27.bin"/><Relationship Id="rId72" Type="http://schemas.openxmlformats.org/officeDocument/2006/relationships/image" Target="media/image32.wmf"/><Relationship Id="rId71" Type="http://schemas.openxmlformats.org/officeDocument/2006/relationships/oleObject" Target="embeddings/oleObject26.bin"/><Relationship Id="rId70" Type="http://schemas.openxmlformats.org/officeDocument/2006/relationships/image" Target="media/image31.wmf"/><Relationship Id="rId7" Type="http://schemas.openxmlformats.org/officeDocument/2006/relationships/header" Target="header2.xml"/><Relationship Id="rId69" Type="http://schemas.openxmlformats.org/officeDocument/2006/relationships/oleObject" Target="embeddings/oleObject25.bin"/><Relationship Id="rId68" Type="http://schemas.openxmlformats.org/officeDocument/2006/relationships/image" Target="media/image30.wmf"/><Relationship Id="rId67" Type="http://schemas.openxmlformats.org/officeDocument/2006/relationships/oleObject" Target="embeddings/oleObject24.bin"/><Relationship Id="rId66" Type="http://schemas.openxmlformats.org/officeDocument/2006/relationships/image" Target="media/image29.wmf"/><Relationship Id="rId65" Type="http://schemas.openxmlformats.org/officeDocument/2006/relationships/oleObject" Target="embeddings/oleObject23.bin"/><Relationship Id="rId64" Type="http://schemas.openxmlformats.org/officeDocument/2006/relationships/image" Target="media/image28.wmf"/><Relationship Id="rId63" Type="http://schemas.openxmlformats.org/officeDocument/2006/relationships/oleObject" Target="embeddings/oleObject22.bin"/><Relationship Id="rId62" Type="http://schemas.openxmlformats.org/officeDocument/2006/relationships/image" Target="media/image27.wmf"/><Relationship Id="rId61" Type="http://schemas.openxmlformats.org/officeDocument/2006/relationships/oleObject" Target="embeddings/oleObject21.bin"/><Relationship Id="rId60" Type="http://schemas.openxmlformats.org/officeDocument/2006/relationships/image" Target="media/image26.wmf"/><Relationship Id="rId6" Type="http://schemas.openxmlformats.org/officeDocument/2006/relationships/footer" Target="footer3.xml"/><Relationship Id="rId59" Type="http://schemas.openxmlformats.org/officeDocument/2006/relationships/oleObject" Target="embeddings/oleObject20.bin"/><Relationship Id="rId58" Type="http://schemas.openxmlformats.org/officeDocument/2006/relationships/image" Target="media/image25.wmf"/><Relationship Id="rId57" Type="http://schemas.openxmlformats.org/officeDocument/2006/relationships/oleObject" Target="embeddings/oleObject19.bin"/><Relationship Id="rId56" Type="http://schemas.openxmlformats.org/officeDocument/2006/relationships/image" Target="media/image24.wmf"/><Relationship Id="rId55" Type="http://schemas.openxmlformats.org/officeDocument/2006/relationships/oleObject" Target="embeddings/oleObject18.bin"/><Relationship Id="rId54" Type="http://schemas.openxmlformats.org/officeDocument/2006/relationships/image" Target="media/image23.wmf"/><Relationship Id="rId53" Type="http://schemas.openxmlformats.org/officeDocument/2006/relationships/oleObject" Target="embeddings/oleObject17.bin"/><Relationship Id="rId52" Type="http://schemas.openxmlformats.org/officeDocument/2006/relationships/image" Target="media/image22.wmf"/><Relationship Id="rId51" Type="http://schemas.openxmlformats.org/officeDocument/2006/relationships/oleObject" Target="embeddings/oleObject16.bin"/><Relationship Id="rId50" Type="http://schemas.openxmlformats.org/officeDocument/2006/relationships/image" Target="media/image21.wmf"/><Relationship Id="rId5" Type="http://schemas.openxmlformats.org/officeDocument/2006/relationships/footer" Target="footer2.xml"/><Relationship Id="rId49" Type="http://schemas.openxmlformats.org/officeDocument/2006/relationships/oleObject" Target="embeddings/oleObject15.bin"/><Relationship Id="rId48" Type="http://schemas.openxmlformats.org/officeDocument/2006/relationships/image" Target="media/image20.wmf"/><Relationship Id="rId47" Type="http://schemas.openxmlformats.org/officeDocument/2006/relationships/oleObject" Target="embeddings/oleObject14.bin"/><Relationship Id="rId46" Type="http://schemas.openxmlformats.org/officeDocument/2006/relationships/image" Target="media/image19.wmf"/><Relationship Id="rId45" Type="http://schemas.openxmlformats.org/officeDocument/2006/relationships/oleObject" Target="embeddings/oleObject13.bin"/><Relationship Id="rId44" Type="http://schemas.openxmlformats.org/officeDocument/2006/relationships/image" Target="media/image18.wmf"/><Relationship Id="rId43" Type="http://schemas.openxmlformats.org/officeDocument/2006/relationships/oleObject" Target="embeddings/oleObject12.bin"/><Relationship Id="rId42" Type="http://schemas.openxmlformats.org/officeDocument/2006/relationships/image" Target="media/image17.wmf"/><Relationship Id="rId41" Type="http://schemas.openxmlformats.org/officeDocument/2006/relationships/oleObject" Target="embeddings/oleObject11.bin"/><Relationship Id="rId40" Type="http://schemas.openxmlformats.org/officeDocument/2006/relationships/image" Target="media/image16.wmf"/><Relationship Id="rId4" Type="http://schemas.openxmlformats.org/officeDocument/2006/relationships/footer" Target="footer1.xml"/><Relationship Id="rId39" Type="http://schemas.openxmlformats.org/officeDocument/2006/relationships/oleObject" Target="embeddings/oleObject10.bin"/><Relationship Id="rId38" Type="http://schemas.openxmlformats.org/officeDocument/2006/relationships/image" Target="media/image15.wmf"/><Relationship Id="rId37" Type="http://schemas.openxmlformats.org/officeDocument/2006/relationships/oleObject" Target="embeddings/oleObject9.bin"/><Relationship Id="rId36" Type="http://schemas.openxmlformats.org/officeDocument/2006/relationships/image" Target="media/image14.wmf"/><Relationship Id="rId35" Type="http://schemas.openxmlformats.org/officeDocument/2006/relationships/oleObject" Target="embeddings/oleObject8.bin"/><Relationship Id="rId34" Type="http://schemas.openxmlformats.org/officeDocument/2006/relationships/image" Target="media/image13.wmf"/><Relationship Id="rId33" Type="http://schemas.openxmlformats.org/officeDocument/2006/relationships/oleObject" Target="embeddings/oleObject7.bin"/><Relationship Id="rId32" Type="http://schemas.openxmlformats.org/officeDocument/2006/relationships/image" Target="media/image12.wmf"/><Relationship Id="rId31" Type="http://schemas.openxmlformats.org/officeDocument/2006/relationships/oleObject" Target="embeddings/oleObject6.bin"/><Relationship Id="rId30" Type="http://schemas.openxmlformats.org/officeDocument/2006/relationships/image" Target="media/image11.wmf"/><Relationship Id="rId3" Type="http://schemas.openxmlformats.org/officeDocument/2006/relationships/header" Target="header1.xml"/><Relationship Id="rId29" Type="http://schemas.openxmlformats.org/officeDocument/2006/relationships/oleObject" Target="embeddings/oleObject5.bin"/><Relationship Id="rId28" Type="http://schemas.openxmlformats.org/officeDocument/2006/relationships/oleObject" Target="embeddings/oleObject4.bin"/><Relationship Id="rId27" Type="http://schemas.openxmlformats.org/officeDocument/2006/relationships/image" Target="media/image10.wmf"/><Relationship Id="rId26" Type="http://schemas.openxmlformats.org/officeDocument/2006/relationships/oleObject" Target="embeddings/oleObject3.bin"/><Relationship Id="rId25" Type="http://schemas.openxmlformats.org/officeDocument/2006/relationships/image" Target="media/image9.wmf"/><Relationship Id="rId24" Type="http://schemas.openxmlformats.org/officeDocument/2006/relationships/oleObject" Target="embeddings/oleObject2.bin"/><Relationship Id="rId23" Type="http://schemas.openxmlformats.org/officeDocument/2006/relationships/image" Target="media/image8.wmf"/><Relationship Id="rId22" Type="http://schemas.openxmlformats.org/officeDocument/2006/relationships/image" Target="media/image7.wmf"/><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8" Type="http://schemas.openxmlformats.org/officeDocument/2006/relationships/fontTable" Target="fontTable.xml"/><Relationship Id="rId197" Type="http://schemas.openxmlformats.org/officeDocument/2006/relationships/customXml" Target="../customXml/item2.xml"/><Relationship Id="rId196" Type="http://schemas.openxmlformats.org/officeDocument/2006/relationships/customXml" Target="../customXml/item1.xml"/><Relationship Id="rId195" Type="http://schemas.openxmlformats.org/officeDocument/2006/relationships/numbering" Target="numbering.xml"/><Relationship Id="rId194" Type="http://schemas.openxmlformats.org/officeDocument/2006/relationships/image" Target="media/image98.png"/><Relationship Id="rId193" Type="http://schemas.openxmlformats.org/officeDocument/2006/relationships/image" Target="media/image97.png"/><Relationship Id="rId192" Type="http://schemas.openxmlformats.org/officeDocument/2006/relationships/image" Target="media/image96.png"/><Relationship Id="rId191" Type="http://schemas.openxmlformats.org/officeDocument/2006/relationships/image" Target="media/image95.png"/><Relationship Id="rId190" Type="http://schemas.openxmlformats.org/officeDocument/2006/relationships/image" Target="media/image94.png"/><Relationship Id="rId19" Type="http://schemas.openxmlformats.org/officeDocument/2006/relationships/image" Target="media/image4.wmf"/><Relationship Id="rId189" Type="http://schemas.openxmlformats.org/officeDocument/2006/relationships/image" Target="media/image93.png"/><Relationship Id="rId188" Type="http://schemas.openxmlformats.org/officeDocument/2006/relationships/chart" Target="charts/chart2.xml"/><Relationship Id="rId187" Type="http://schemas.openxmlformats.org/officeDocument/2006/relationships/chart" Target="charts/chart1.xml"/><Relationship Id="rId186" Type="http://schemas.openxmlformats.org/officeDocument/2006/relationships/image" Target="media/image92.png"/><Relationship Id="rId185" Type="http://schemas.openxmlformats.org/officeDocument/2006/relationships/image" Target="media/image91.png"/><Relationship Id="rId184" Type="http://schemas.openxmlformats.org/officeDocument/2006/relationships/image" Target="media/image90.png"/><Relationship Id="rId183" Type="http://schemas.openxmlformats.org/officeDocument/2006/relationships/image" Target="media/image89.png"/><Relationship Id="rId182" Type="http://schemas.openxmlformats.org/officeDocument/2006/relationships/image" Target="media/image88.png"/><Relationship Id="rId181" Type="http://schemas.openxmlformats.org/officeDocument/2006/relationships/image" Target="media/image87.png"/><Relationship Id="rId180" Type="http://schemas.openxmlformats.org/officeDocument/2006/relationships/image" Target="media/image86.jpeg"/><Relationship Id="rId18" Type="http://schemas.openxmlformats.org/officeDocument/2006/relationships/oleObject" Target="embeddings/oleObject1.bin"/><Relationship Id="rId179" Type="http://schemas.openxmlformats.org/officeDocument/2006/relationships/image" Target="media/image85.wmf"/><Relationship Id="rId178" Type="http://schemas.openxmlformats.org/officeDocument/2006/relationships/oleObject" Target="embeddings/oleObject80.bin"/><Relationship Id="rId177" Type="http://schemas.openxmlformats.org/officeDocument/2006/relationships/image" Target="media/image84.wmf"/><Relationship Id="rId176" Type="http://schemas.openxmlformats.org/officeDocument/2006/relationships/oleObject" Target="embeddings/oleObject79.bin"/><Relationship Id="rId175" Type="http://schemas.openxmlformats.org/officeDocument/2006/relationships/image" Target="media/image83.wmf"/><Relationship Id="rId174" Type="http://schemas.openxmlformats.org/officeDocument/2006/relationships/oleObject" Target="embeddings/oleObject78.bin"/><Relationship Id="rId173" Type="http://schemas.openxmlformats.org/officeDocument/2006/relationships/image" Target="media/image82.wmf"/><Relationship Id="rId172" Type="http://schemas.openxmlformats.org/officeDocument/2006/relationships/oleObject" Target="embeddings/oleObject77.bin"/><Relationship Id="rId171" Type="http://schemas.openxmlformats.org/officeDocument/2006/relationships/image" Target="media/image81.wmf"/><Relationship Id="rId170" Type="http://schemas.openxmlformats.org/officeDocument/2006/relationships/oleObject" Target="embeddings/oleObject76.bin"/><Relationship Id="rId17" Type="http://schemas.openxmlformats.org/officeDocument/2006/relationships/image" Target="media/image3.png"/><Relationship Id="rId169" Type="http://schemas.openxmlformats.org/officeDocument/2006/relationships/image" Target="media/image80.wmf"/><Relationship Id="rId168" Type="http://schemas.openxmlformats.org/officeDocument/2006/relationships/oleObject" Target="embeddings/oleObject75.bin"/><Relationship Id="rId167" Type="http://schemas.openxmlformats.org/officeDocument/2006/relationships/image" Target="media/image79.wmf"/><Relationship Id="rId166" Type="http://schemas.openxmlformats.org/officeDocument/2006/relationships/oleObject" Target="embeddings/oleObject74.bin"/><Relationship Id="rId165" Type="http://schemas.openxmlformats.org/officeDocument/2006/relationships/image" Target="media/image78.wmf"/><Relationship Id="rId164" Type="http://schemas.openxmlformats.org/officeDocument/2006/relationships/oleObject" Target="embeddings/oleObject73.bin"/><Relationship Id="rId163" Type="http://schemas.openxmlformats.org/officeDocument/2006/relationships/image" Target="media/image77.wmf"/><Relationship Id="rId162" Type="http://schemas.openxmlformats.org/officeDocument/2006/relationships/oleObject" Target="embeddings/oleObject72.bin"/><Relationship Id="rId161" Type="http://schemas.openxmlformats.org/officeDocument/2006/relationships/image" Target="media/image76.wmf"/><Relationship Id="rId160" Type="http://schemas.openxmlformats.org/officeDocument/2006/relationships/oleObject" Target="embeddings/oleObject71.bin"/><Relationship Id="rId16" Type="http://schemas.openxmlformats.org/officeDocument/2006/relationships/image" Target="media/image2.png"/><Relationship Id="rId159" Type="http://schemas.openxmlformats.org/officeDocument/2006/relationships/image" Target="media/image75.wmf"/><Relationship Id="rId158" Type="http://schemas.openxmlformats.org/officeDocument/2006/relationships/oleObject" Target="embeddings/oleObject70.bin"/><Relationship Id="rId157" Type="http://schemas.openxmlformats.org/officeDocument/2006/relationships/image" Target="media/image74.wmf"/><Relationship Id="rId156" Type="http://schemas.openxmlformats.org/officeDocument/2006/relationships/oleObject" Target="embeddings/oleObject69.bin"/><Relationship Id="rId155" Type="http://schemas.openxmlformats.org/officeDocument/2006/relationships/image" Target="media/image73.wmf"/><Relationship Id="rId154" Type="http://schemas.openxmlformats.org/officeDocument/2006/relationships/oleObject" Target="embeddings/oleObject68.bin"/><Relationship Id="rId153" Type="http://schemas.openxmlformats.org/officeDocument/2006/relationships/image" Target="media/image72.wmf"/><Relationship Id="rId152" Type="http://schemas.openxmlformats.org/officeDocument/2006/relationships/oleObject" Target="embeddings/oleObject67.bin"/><Relationship Id="rId151" Type="http://schemas.openxmlformats.org/officeDocument/2006/relationships/image" Target="media/image71.wmf"/><Relationship Id="rId150" Type="http://schemas.openxmlformats.org/officeDocument/2006/relationships/oleObject" Target="embeddings/oleObject66.bin"/><Relationship Id="rId15" Type="http://schemas.openxmlformats.org/officeDocument/2006/relationships/image" Target="media/image1.png"/><Relationship Id="rId149" Type="http://schemas.openxmlformats.org/officeDocument/2006/relationships/image" Target="media/image70.wmf"/><Relationship Id="rId148" Type="http://schemas.openxmlformats.org/officeDocument/2006/relationships/oleObject" Target="embeddings/oleObject65.bin"/><Relationship Id="rId147" Type="http://schemas.openxmlformats.org/officeDocument/2006/relationships/image" Target="media/image69.wmf"/><Relationship Id="rId146" Type="http://schemas.openxmlformats.org/officeDocument/2006/relationships/oleObject" Target="embeddings/oleObject64.bin"/><Relationship Id="rId145" Type="http://schemas.openxmlformats.org/officeDocument/2006/relationships/image" Target="media/image68.wmf"/><Relationship Id="rId144" Type="http://schemas.openxmlformats.org/officeDocument/2006/relationships/oleObject" Target="embeddings/oleObject63.bin"/><Relationship Id="rId143" Type="http://schemas.openxmlformats.org/officeDocument/2006/relationships/image" Target="media/image67.wmf"/><Relationship Id="rId142" Type="http://schemas.openxmlformats.org/officeDocument/2006/relationships/oleObject" Target="embeddings/oleObject62.bin"/><Relationship Id="rId141" Type="http://schemas.openxmlformats.org/officeDocument/2006/relationships/image" Target="media/image66.wmf"/><Relationship Id="rId140" Type="http://schemas.openxmlformats.org/officeDocument/2006/relationships/oleObject" Target="embeddings/oleObject61.bin"/><Relationship Id="rId14" Type="http://schemas.openxmlformats.org/officeDocument/2006/relationships/theme" Target="theme/theme1.xml"/><Relationship Id="rId139" Type="http://schemas.openxmlformats.org/officeDocument/2006/relationships/image" Target="media/image65.wmf"/><Relationship Id="rId138" Type="http://schemas.openxmlformats.org/officeDocument/2006/relationships/oleObject" Target="embeddings/oleObject60.bin"/><Relationship Id="rId137" Type="http://schemas.openxmlformats.org/officeDocument/2006/relationships/image" Target="media/image64.wmf"/><Relationship Id="rId136" Type="http://schemas.openxmlformats.org/officeDocument/2006/relationships/oleObject" Target="embeddings/oleObject59.bin"/><Relationship Id="rId135" Type="http://schemas.openxmlformats.org/officeDocument/2006/relationships/image" Target="media/image63.wmf"/><Relationship Id="rId134" Type="http://schemas.openxmlformats.org/officeDocument/2006/relationships/oleObject" Target="embeddings/oleObject58.bin"/><Relationship Id="rId133" Type="http://schemas.openxmlformats.org/officeDocument/2006/relationships/image" Target="media/image62.wmf"/><Relationship Id="rId132" Type="http://schemas.openxmlformats.org/officeDocument/2006/relationships/oleObject" Target="embeddings/oleObject57.bin"/><Relationship Id="rId131" Type="http://schemas.openxmlformats.org/officeDocument/2006/relationships/image" Target="media/image61.wmf"/><Relationship Id="rId130" Type="http://schemas.openxmlformats.org/officeDocument/2006/relationships/oleObject" Target="embeddings/oleObject56.bin"/><Relationship Id="rId13" Type="http://schemas.openxmlformats.org/officeDocument/2006/relationships/header" Target="header5.xml"/><Relationship Id="rId129" Type="http://schemas.openxmlformats.org/officeDocument/2006/relationships/image" Target="media/image60.wmf"/><Relationship Id="rId128" Type="http://schemas.openxmlformats.org/officeDocument/2006/relationships/oleObject" Target="embeddings/oleObject55.bin"/><Relationship Id="rId127" Type="http://schemas.openxmlformats.org/officeDocument/2006/relationships/image" Target="media/image59.wmf"/><Relationship Id="rId126" Type="http://schemas.openxmlformats.org/officeDocument/2006/relationships/oleObject" Target="embeddings/oleObject54.bin"/><Relationship Id="rId125" Type="http://schemas.openxmlformats.org/officeDocument/2006/relationships/image" Target="media/image58.wmf"/><Relationship Id="rId124" Type="http://schemas.openxmlformats.org/officeDocument/2006/relationships/oleObject" Target="embeddings/oleObject53.bin"/><Relationship Id="rId123" Type="http://schemas.openxmlformats.org/officeDocument/2006/relationships/image" Target="media/image57.wmf"/><Relationship Id="rId122" Type="http://schemas.openxmlformats.org/officeDocument/2006/relationships/oleObject" Target="embeddings/oleObject52.bin"/><Relationship Id="rId121" Type="http://schemas.openxmlformats.org/officeDocument/2006/relationships/oleObject" Target="embeddings/oleObject51.bin"/><Relationship Id="rId120" Type="http://schemas.openxmlformats.org/officeDocument/2006/relationships/oleObject" Target="embeddings/oleObject50.bin"/><Relationship Id="rId12" Type="http://schemas.openxmlformats.org/officeDocument/2006/relationships/footer" Target="footer6.xml"/><Relationship Id="rId119" Type="http://schemas.openxmlformats.org/officeDocument/2006/relationships/image" Target="media/image56.wmf"/><Relationship Id="rId118" Type="http://schemas.openxmlformats.org/officeDocument/2006/relationships/oleObject" Target="embeddings/oleObject49.bin"/><Relationship Id="rId117" Type="http://schemas.openxmlformats.org/officeDocument/2006/relationships/image" Target="media/image55.wmf"/><Relationship Id="rId116" Type="http://schemas.openxmlformats.org/officeDocument/2006/relationships/oleObject" Target="embeddings/oleObject48.bin"/><Relationship Id="rId115" Type="http://schemas.openxmlformats.org/officeDocument/2006/relationships/image" Target="media/image54.wmf"/><Relationship Id="rId114" Type="http://schemas.openxmlformats.org/officeDocument/2006/relationships/oleObject" Target="embeddings/oleObject47.bin"/><Relationship Id="rId113" Type="http://schemas.openxmlformats.org/officeDocument/2006/relationships/image" Target="media/image53.wmf"/><Relationship Id="rId112" Type="http://schemas.openxmlformats.org/officeDocument/2006/relationships/oleObject" Target="embeddings/oleObject46.bin"/><Relationship Id="rId111" Type="http://schemas.openxmlformats.org/officeDocument/2006/relationships/image" Target="media/image52.wmf"/><Relationship Id="rId110" Type="http://schemas.openxmlformats.org/officeDocument/2006/relationships/oleObject" Target="embeddings/oleObject45.bin"/><Relationship Id="rId11" Type="http://schemas.openxmlformats.org/officeDocument/2006/relationships/footer" Target="footer5.xml"/><Relationship Id="rId109" Type="http://schemas.openxmlformats.org/officeDocument/2006/relationships/image" Target="media/image51.wmf"/><Relationship Id="rId108" Type="http://schemas.openxmlformats.org/officeDocument/2006/relationships/oleObject" Target="embeddings/oleObject44.bin"/><Relationship Id="rId107" Type="http://schemas.openxmlformats.org/officeDocument/2006/relationships/image" Target="media/image50.wmf"/><Relationship Id="rId106" Type="http://schemas.openxmlformats.org/officeDocument/2006/relationships/oleObject" Target="embeddings/oleObject43.bin"/><Relationship Id="rId105" Type="http://schemas.openxmlformats.org/officeDocument/2006/relationships/image" Target="media/image49.wmf"/><Relationship Id="rId104" Type="http://schemas.openxmlformats.org/officeDocument/2006/relationships/oleObject" Target="embeddings/oleObject42.bin"/><Relationship Id="rId103" Type="http://schemas.openxmlformats.org/officeDocument/2006/relationships/image" Target="media/image48.wmf"/><Relationship Id="rId102" Type="http://schemas.openxmlformats.org/officeDocument/2006/relationships/oleObject" Target="embeddings/oleObject41.bin"/><Relationship Id="rId101" Type="http://schemas.openxmlformats.org/officeDocument/2006/relationships/image" Target="media/image47.wmf"/><Relationship Id="rId100" Type="http://schemas.openxmlformats.org/officeDocument/2006/relationships/oleObject" Target="embeddings/oleObject40.bin"/><Relationship Id="rId10" Type="http://schemas.openxmlformats.org/officeDocument/2006/relationships/footer" Target="foot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9&#12289;&#26032;&#30086;\1&#12289;&#29615;&#35780;\2025&#24180;&#29615;&#35780;\2&#12289;&#21520;&#40065;&#30058;&#19996;&#29615;110&#21315;&#20239;&#36755;&#21464;&#30005;&#24037;&#31243;\&#25253;&#21578;\&#30005;&#30913;&#39044;&#27979;\&#21333;&#22238;\&#32467;&#26524;.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9&#12289;&#26032;&#30086;\1&#12289;&#29615;&#35780;\2025&#24180;&#29615;&#35780;\2&#12289;&#21520;&#40065;&#30058;&#19996;&#29615;110&#21315;&#20239;&#36755;&#21464;&#30005;&#24037;&#31243;\&#25253;&#21578;\&#30005;&#30913;&#39044;&#27979;\&#21333;&#22238;\&#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442038495188"/>
          <c:y val="0.0509259259259259"/>
          <c:w val="0.857218066491689"/>
          <c:h val="0.743709900845728"/>
        </c:manualLayout>
      </c:layout>
      <c:lineChart>
        <c:grouping val="standard"/>
        <c:varyColors val="0"/>
        <c:ser>
          <c:idx val="0"/>
          <c:order val="0"/>
          <c:tx>
            <c:strRef>
              <c:f>居民区工频电场!$L$5:$L$6</c:f>
              <c:strCache>
                <c:ptCount val="1"/>
                <c:pt idx="0">
                  <c:v>导线对地7m 地面1.5m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居民区工频电场!$K$7:$K$44</c:f>
              <c:numCache>
                <c:formatCode>General</c:formatCode>
                <c:ptCount val="38"/>
                <c:pt idx="0">
                  <c:v>0</c:v>
                </c:pt>
                <c:pt idx="1">
                  <c:v>1</c:v>
                </c:pt>
                <c:pt idx="2">
                  <c:v>2</c:v>
                </c:pt>
                <c:pt idx="3">
                  <c:v>3</c:v>
                </c:pt>
                <c:pt idx="4">
                  <c:v>4</c:v>
                </c:pt>
                <c:pt idx="5">
                  <c:v>5</c:v>
                </c:pt>
                <c:pt idx="6">
                  <c:v>6</c:v>
                </c:pt>
                <c:pt idx="7">
                  <c:v>6.25</c:v>
                </c:pt>
                <c:pt idx="8">
                  <c:v>7.25</c:v>
                </c:pt>
                <c:pt idx="9">
                  <c:v>8.25</c:v>
                </c:pt>
                <c:pt idx="10">
                  <c:v>9.25</c:v>
                </c:pt>
                <c:pt idx="11">
                  <c:v>10.25</c:v>
                </c:pt>
                <c:pt idx="12">
                  <c:v>11.25</c:v>
                </c:pt>
                <c:pt idx="13">
                  <c:v>12.25</c:v>
                </c:pt>
                <c:pt idx="14">
                  <c:v>13.25</c:v>
                </c:pt>
                <c:pt idx="15">
                  <c:v>14.25</c:v>
                </c:pt>
                <c:pt idx="16">
                  <c:v>15.25</c:v>
                </c:pt>
                <c:pt idx="17">
                  <c:v>16.25</c:v>
                </c:pt>
                <c:pt idx="18">
                  <c:v>17.25</c:v>
                </c:pt>
                <c:pt idx="19">
                  <c:v>18.25</c:v>
                </c:pt>
                <c:pt idx="20">
                  <c:v>19.25</c:v>
                </c:pt>
                <c:pt idx="21">
                  <c:v>20.25</c:v>
                </c:pt>
                <c:pt idx="22">
                  <c:v>21.25</c:v>
                </c:pt>
                <c:pt idx="23">
                  <c:v>22.25</c:v>
                </c:pt>
                <c:pt idx="24">
                  <c:v>23.25</c:v>
                </c:pt>
                <c:pt idx="25">
                  <c:v>24.25</c:v>
                </c:pt>
                <c:pt idx="26">
                  <c:v>25.25</c:v>
                </c:pt>
                <c:pt idx="27">
                  <c:v>26.25</c:v>
                </c:pt>
                <c:pt idx="28">
                  <c:v>27.25</c:v>
                </c:pt>
                <c:pt idx="29">
                  <c:v>28.25</c:v>
                </c:pt>
                <c:pt idx="30">
                  <c:v>29.25</c:v>
                </c:pt>
                <c:pt idx="31">
                  <c:v>30.25</c:v>
                </c:pt>
                <c:pt idx="32">
                  <c:v>31.25</c:v>
                </c:pt>
                <c:pt idx="33">
                  <c:v>32.25</c:v>
                </c:pt>
                <c:pt idx="34">
                  <c:v>33.25</c:v>
                </c:pt>
                <c:pt idx="35">
                  <c:v>34.25</c:v>
                </c:pt>
                <c:pt idx="36">
                  <c:v>35.25</c:v>
                </c:pt>
                <c:pt idx="37">
                  <c:v>36.25</c:v>
                </c:pt>
              </c:numCache>
            </c:numRef>
          </c:cat>
          <c:val>
            <c:numRef>
              <c:f>居民区工频电场!$L$7:$L$44</c:f>
              <c:numCache>
                <c:formatCode>General</c:formatCode>
                <c:ptCount val="38"/>
                <c:pt idx="0">
                  <c:v>1.56</c:v>
                </c:pt>
                <c:pt idx="1">
                  <c:v>1.54</c:v>
                </c:pt>
                <c:pt idx="2">
                  <c:v>1.51</c:v>
                </c:pt>
                <c:pt idx="3">
                  <c:v>1.55</c:v>
                </c:pt>
                <c:pt idx="4">
                  <c:v>1.69</c:v>
                </c:pt>
                <c:pt idx="5">
                  <c:v>1.88</c:v>
                </c:pt>
                <c:pt idx="6">
                  <c:v>2.03</c:v>
                </c:pt>
                <c:pt idx="7">
                  <c:v>2.05</c:v>
                </c:pt>
                <c:pt idx="8">
                  <c:v>2.07</c:v>
                </c:pt>
                <c:pt idx="9">
                  <c:v>1.97</c:v>
                </c:pt>
                <c:pt idx="10">
                  <c:v>1.8</c:v>
                </c:pt>
                <c:pt idx="11">
                  <c:v>1.59</c:v>
                </c:pt>
                <c:pt idx="12">
                  <c:v>1.37</c:v>
                </c:pt>
                <c:pt idx="13">
                  <c:v>1.18</c:v>
                </c:pt>
                <c:pt idx="14">
                  <c:v>1</c:v>
                </c:pt>
                <c:pt idx="15">
                  <c:v>0.85</c:v>
                </c:pt>
                <c:pt idx="16">
                  <c:v>0.72</c:v>
                </c:pt>
                <c:pt idx="17">
                  <c:v>0.62</c:v>
                </c:pt>
                <c:pt idx="18">
                  <c:v>0.53</c:v>
                </c:pt>
                <c:pt idx="19">
                  <c:v>0.46</c:v>
                </c:pt>
                <c:pt idx="20">
                  <c:v>0.39</c:v>
                </c:pt>
                <c:pt idx="21">
                  <c:v>0.34</c:v>
                </c:pt>
                <c:pt idx="22">
                  <c:v>0.3</c:v>
                </c:pt>
                <c:pt idx="23">
                  <c:v>0.26</c:v>
                </c:pt>
                <c:pt idx="24">
                  <c:v>0.23</c:v>
                </c:pt>
                <c:pt idx="25">
                  <c:v>0.21</c:v>
                </c:pt>
                <c:pt idx="26">
                  <c:v>0.18</c:v>
                </c:pt>
                <c:pt idx="27">
                  <c:v>0.16</c:v>
                </c:pt>
                <c:pt idx="28">
                  <c:v>0.15</c:v>
                </c:pt>
                <c:pt idx="29">
                  <c:v>0.13</c:v>
                </c:pt>
                <c:pt idx="30">
                  <c:v>0.12</c:v>
                </c:pt>
                <c:pt idx="31">
                  <c:v>0.11</c:v>
                </c:pt>
                <c:pt idx="32">
                  <c:v>0.1</c:v>
                </c:pt>
                <c:pt idx="33">
                  <c:v>0.09</c:v>
                </c:pt>
                <c:pt idx="34">
                  <c:v>0.08</c:v>
                </c:pt>
                <c:pt idx="35">
                  <c:v>0.08</c:v>
                </c:pt>
                <c:pt idx="36">
                  <c:v>0.07</c:v>
                </c:pt>
                <c:pt idx="37">
                  <c:v>0.06</c:v>
                </c:pt>
              </c:numCache>
            </c:numRef>
          </c:val>
          <c:smooth val="0"/>
        </c:ser>
        <c:ser>
          <c:idx val="1"/>
          <c:order val="1"/>
          <c:tx>
            <c:strRef>
              <c:f>居民区工频电场!$M$5:$M$6</c:f>
              <c:strCache>
                <c:ptCount val="1"/>
                <c:pt idx="0">
                  <c:v>导线对地7m 地面4.5m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居民区工频电场!$K$7:$K$44</c:f>
              <c:numCache>
                <c:formatCode>General</c:formatCode>
                <c:ptCount val="38"/>
                <c:pt idx="0">
                  <c:v>0</c:v>
                </c:pt>
                <c:pt idx="1">
                  <c:v>1</c:v>
                </c:pt>
                <c:pt idx="2">
                  <c:v>2</c:v>
                </c:pt>
                <c:pt idx="3">
                  <c:v>3</c:v>
                </c:pt>
                <c:pt idx="4">
                  <c:v>4</c:v>
                </c:pt>
                <c:pt idx="5">
                  <c:v>5</c:v>
                </c:pt>
                <c:pt idx="6">
                  <c:v>6</c:v>
                </c:pt>
                <c:pt idx="7">
                  <c:v>6.25</c:v>
                </c:pt>
                <c:pt idx="8">
                  <c:v>7.25</c:v>
                </c:pt>
                <c:pt idx="9">
                  <c:v>8.25</c:v>
                </c:pt>
                <c:pt idx="10">
                  <c:v>9.25</c:v>
                </c:pt>
                <c:pt idx="11">
                  <c:v>10.25</c:v>
                </c:pt>
                <c:pt idx="12">
                  <c:v>11.25</c:v>
                </c:pt>
                <c:pt idx="13">
                  <c:v>12.25</c:v>
                </c:pt>
                <c:pt idx="14">
                  <c:v>13.25</c:v>
                </c:pt>
                <c:pt idx="15">
                  <c:v>14.25</c:v>
                </c:pt>
                <c:pt idx="16">
                  <c:v>15.25</c:v>
                </c:pt>
                <c:pt idx="17">
                  <c:v>16.25</c:v>
                </c:pt>
                <c:pt idx="18">
                  <c:v>17.25</c:v>
                </c:pt>
                <c:pt idx="19">
                  <c:v>18.25</c:v>
                </c:pt>
                <c:pt idx="20">
                  <c:v>19.25</c:v>
                </c:pt>
                <c:pt idx="21">
                  <c:v>20.25</c:v>
                </c:pt>
                <c:pt idx="22">
                  <c:v>21.25</c:v>
                </c:pt>
                <c:pt idx="23">
                  <c:v>22.25</c:v>
                </c:pt>
                <c:pt idx="24">
                  <c:v>23.25</c:v>
                </c:pt>
                <c:pt idx="25">
                  <c:v>24.25</c:v>
                </c:pt>
                <c:pt idx="26">
                  <c:v>25.25</c:v>
                </c:pt>
                <c:pt idx="27">
                  <c:v>26.25</c:v>
                </c:pt>
                <c:pt idx="28">
                  <c:v>27.25</c:v>
                </c:pt>
                <c:pt idx="29">
                  <c:v>28.25</c:v>
                </c:pt>
                <c:pt idx="30">
                  <c:v>29.25</c:v>
                </c:pt>
                <c:pt idx="31">
                  <c:v>30.25</c:v>
                </c:pt>
                <c:pt idx="32">
                  <c:v>31.25</c:v>
                </c:pt>
                <c:pt idx="33">
                  <c:v>32.25</c:v>
                </c:pt>
                <c:pt idx="34">
                  <c:v>33.25</c:v>
                </c:pt>
                <c:pt idx="35">
                  <c:v>34.25</c:v>
                </c:pt>
                <c:pt idx="36">
                  <c:v>35.25</c:v>
                </c:pt>
                <c:pt idx="37">
                  <c:v>36.25</c:v>
                </c:pt>
              </c:numCache>
            </c:numRef>
          </c:cat>
          <c:val>
            <c:numRef>
              <c:f>居民区工频电场!$M$7:$M$44</c:f>
              <c:numCache>
                <c:formatCode>General</c:formatCode>
                <c:ptCount val="38"/>
                <c:pt idx="9">
                  <c:v>3.02</c:v>
                </c:pt>
                <c:pt idx="10">
                  <c:v>2.37</c:v>
                </c:pt>
                <c:pt idx="11">
                  <c:v>1.87</c:v>
                </c:pt>
                <c:pt idx="12">
                  <c:v>1.5</c:v>
                </c:pt>
                <c:pt idx="13">
                  <c:v>1.22</c:v>
                </c:pt>
                <c:pt idx="14">
                  <c:v>1</c:v>
                </c:pt>
                <c:pt idx="15">
                  <c:v>0.83</c:v>
                </c:pt>
                <c:pt idx="16">
                  <c:v>0.7</c:v>
                </c:pt>
                <c:pt idx="17">
                  <c:v>0.59</c:v>
                </c:pt>
                <c:pt idx="18">
                  <c:v>0.51</c:v>
                </c:pt>
                <c:pt idx="19">
                  <c:v>0.43</c:v>
                </c:pt>
                <c:pt idx="20">
                  <c:v>0.38</c:v>
                </c:pt>
                <c:pt idx="21">
                  <c:v>0.33</c:v>
                </c:pt>
                <c:pt idx="22">
                  <c:v>0.29</c:v>
                </c:pt>
                <c:pt idx="23">
                  <c:v>0.25</c:v>
                </c:pt>
                <c:pt idx="24">
                  <c:v>0.22</c:v>
                </c:pt>
                <c:pt idx="25">
                  <c:v>0.2</c:v>
                </c:pt>
                <c:pt idx="26">
                  <c:v>0.18</c:v>
                </c:pt>
                <c:pt idx="27">
                  <c:v>0.16</c:v>
                </c:pt>
                <c:pt idx="28">
                  <c:v>0.14</c:v>
                </c:pt>
                <c:pt idx="29">
                  <c:v>0.13</c:v>
                </c:pt>
                <c:pt idx="30">
                  <c:v>0.12</c:v>
                </c:pt>
                <c:pt idx="31">
                  <c:v>0.11</c:v>
                </c:pt>
                <c:pt idx="32">
                  <c:v>0.1</c:v>
                </c:pt>
                <c:pt idx="33">
                  <c:v>0.09</c:v>
                </c:pt>
                <c:pt idx="34">
                  <c:v>0.08</c:v>
                </c:pt>
                <c:pt idx="35">
                  <c:v>0.07</c:v>
                </c:pt>
                <c:pt idx="36">
                  <c:v>0.07</c:v>
                </c:pt>
                <c:pt idx="37">
                  <c:v>0.06</c:v>
                </c:pt>
              </c:numCache>
            </c:numRef>
          </c:val>
          <c:smooth val="0"/>
        </c:ser>
        <c:dLbls>
          <c:showLegendKey val="0"/>
          <c:showVal val="0"/>
          <c:showCatName val="0"/>
          <c:showSerName val="0"/>
          <c:showPercent val="0"/>
          <c:showBubbleSize val="0"/>
        </c:dLbls>
        <c:marker val="1"/>
        <c:smooth val="0"/>
        <c:axId val="-440953024"/>
        <c:axId val="-440954656"/>
      </c:lineChart>
      <c:catAx>
        <c:axId val="-440953024"/>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zh-CN" sz="1000" b="1" i="0" u="none" strike="noStrike" baseline="0">
                    <a:effectLst/>
                  </a:rPr>
                  <a:t>距线路中心距离（</a:t>
                </a:r>
                <a:r>
                  <a:rPr lang="en-US" altLang="zh-CN" sz="1000" b="1" i="0" u="none" strike="noStrike" baseline="0">
                    <a:effectLst/>
                  </a:rPr>
                  <a:t>m</a:t>
                </a:r>
                <a:r>
                  <a:rPr lang="zh-CN" altLang="zh-CN" sz="1000" b="1" i="0" u="none" strike="noStrike" baseline="0">
                    <a:effectLst/>
                  </a:rPr>
                  <a:t>）</a:t>
                </a:r>
                <a:endParaRPr lang="zh-CN" altLang="en-US" b="1"/>
              </a:p>
            </c:rich>
          </c:tx>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0954656"/>
        <c:crosses val="autoZero"/>
        <c:auto val="1"/>
        <c:lblAlgn val="ctr"/>
        <c:lblOffset val="100"/>
        <c:noMultiLvlLbl val="0"/>
      </c:catAx>
      <c:valAx>
        <c:axId val="-440954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zh-CN" sz="1000" b="1" i="0" u="none" strike="noStrike" baseline="0">
                    <a:effectLst/>
                  </a:rPr>
                  <a:t>工频电场强度（</a:t>
                </a:r>
                <a:r>
                  <a:rPr lang="en-US" altLang="zh-CN" sz="1000" b="1" i="0" u="none" strike="noStrike" baseline="0">
                    <a:effectLst/>
                  </a:rPr>
                  <a:t>kV/m</a:t>
                </a:r>
                <a:r>
                  <a:rPr lang="zh-CN" altLang="zh-CN" sz="1000" b="1" i="0" u="none" strike="noStrike" baseline="0">
                    <a:effectLst/>
                  </a:rPr>
                  <a:t>）</a:t>
                </a:r>
                <a:endParaRPr lang="zh-CN" altLang="en-US" b="1"/>
              </a:p>
            </c:rich>
          </c:tx>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0953024"/>
        <c:crosses val="autoZero"/>
        <c:crossBetween val="between"/>
      </c:valAx>
      <c:spPr>
        <a:noFill/>
        <a:ln>
          <a:noFill/>
        </a:ln>
        <a:effectLst/>
      </c:spPr>
    </c:plotArea>
    <c:legend>
      <c:legendPos val="b"/>
      <c:layout>
        <c:manualLayout>
          <c:xMode val="edge"/>
          <c:yMode val="edge"/>
          <c:x val="0.532116579177603"/>
          <c:y val="0.0653929717118693"/>
          <c:w val="0.46632239720035"/>
          <c:h val="0.221644065325168"/>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15875" cap="flat" cmpd="sng" algn="ctr">
      <a:solidFill>
        <a:schemeClr val="tx1"/>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60253718285214"/>
          <c:y val="0.0509259259259259"/>
          <c:w val="0.874634733158355"/>
          <c:h val="0.748339530475357"/>
        </c:manualLayout>
      </c:layout>
      <c:lineChart>
        <c:grouping val="standard"/>
        <c:varyColors val="0"/>
        <c:ser>
          <c:idx val="0"/>
          <c:order val="0"/>
          <c:tx>
            <c:strRef>
              <c:f>居民区工频磁场!$L$4:$L$5</c:f>
              <c:strCache>
                <c:ptCount val="1"/>
                <c:pt idx="0">
                  <c:v>导线对地7m 地面1.5m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居民区工频磁场!$K$6:$K$43</c:f>
              <c:numCache>
                <c:formatCode>General</c:formatCode>
                <c:ptCount val="38"/>
                <c:pt idx="0">
                  <c:v>0</c:v>
                </c:pt>
                <c:pt idx="1">
                  <c:v>1</c:v>
                </c:pt>
                <c:pt idx="2">
                  <c:v>2</c:v>
                </c:pt>
                <c:pt idx="3">
                  <c:v>3</c:v>
                </c:pt>
                <c:pt idx="4">
                  <c:v>4</c:v>
                </c:pt>
                <c:pt idx="5">
                  <c:v>5</c:v>
                </c:pt>
                <c:pt idx="6">
                  <c:v>6</c:v>
                </c:pt>
                <c:pt idx="7">
                  <c:v>6.25</c:v>
                </c:pt>
                <c:pt idx="8">
                  <c:v>7.25</c:v>
                </c:pt>
                <c:pt idx="9">
                  <c:v>8.25</c:v>
                </c:pt>
                <c:pt idx="10">
                  <c:v>9.25</c:v>
                </c:pt>
                <c:pt idx="11">
                  <c:v>10.25</c:v>
                </c:pt>
                <c:pt idx="12">
                  <c:v>11.25</c:v>
                </c:pt>
                <c:pt idx="13">
                  <c:v>12.25</c:v>
                </c:pt>
                <c:pt idx="14">
                  <c:v>13.25</c:v>
                </c:pt>
                <c:pt idx="15">
                  <c:v>14.25</c:v>
                </c:pt>
                <c:pt idx="16">
                  <c:v>15.25</c:v>
                </c:pt>
                <c:pt idx="17">
                  <c:v>16.25</c:v>
                </c:pt>
                <c:pt idx="18">
                  <c:v>17.25</c:v>
                </c:pt>
                <c:pt idx="19">
                  <c:v>18.25</c:v>
                </c:pt>
                <c:pt idx="20">
                  <c:v>19.25</c:v>
                </c:pt>
                <c:pt idx="21">
                  <c:v>20.25</c:v>
                </c:pt>
                <c:pt idx="22">
                  <c:v>21.25</c:v>
                </c:pt>
                <c:pt idx="23">
                  <c:v>22.25</c:v>
                </c:pt>
                <c:pt idx="24">
                  <c:v>23.25</c:v>
                </c:pt>
                <c:pt idx="25">
                  <c:v>24.25</c:v>
                </c:pt>
                <c:pt idx="26">
                  <c:v>25.25</c:v>
                </c:pt>
                <c:pt idx="27">
                  <c:v>26.25</c:v>
                </c:pt>
                <c:pt idx="28">
                  <c:v>27.25</c:v>
                </c:pt>
                <c:pt idx="29">
                  <c:v>28.25</c:v>
                </c:pt>
                <c:pt idx="30">
                  <c:v>29.25</c:v>
                </c:pt>
                <c:pt idx="31">
                  <c:v>30.25</c:v>
                </c:pt>
                <c:pt idx="32">
                  <c:v>31.25</c:v>
                </c:pt>
                <c:pt idx="33">
                  <c:v>32.25</c:v>
                </c:pt>
                <c:pt idx="34">
                  <c:v>33.25</c:v>
                </c:pt>
                <c:pt idx="35">
                  <c:v>34.25</c:v>
                </c:pt>
                <c:pt idx="36">
                  <c:v>35.25</c:v>
                </c:pt>
                <c:pt idx="37">
                  <c:v>36.25</c:v>
                </c:pt>
              </c:numCache>
            </c:numRef>
          </c:cat>
          <c:val>
            <c:numRef>
              <c:f>居民区工频磁场!$L$6:$L$43</c:f>
              <c:numCache>
                <c:formatCode>General</c:formatCode>
                <c:ptCount val="38"/>
                <c:pt idx="0">
                  <c:v>23.24</c:v>
                </c:pt>
                <c:pt idx="1">
                  <c:v>23.17</c:v>
                </c:pt>
                <c:pt idx="2">
                  <c:v>22.96</c:v>
                </c:pt>
                <c:pt idx="3">
                  <c:v>22.6</c:v>
                </c:pt>
                <c:pt idx="4">
                  <c:v>22.05</c:v>
                </c:pt>
                <c:pt idx="5">
                  <c:v>21.19</c:v>
                </c:pt>
                <c:pt idx="6">
                  <c:v>19.93</c:v>
                </c:pt>
                <c:pt idx="7">
                  <c:v>19.54</c:v>
                </c:pt>
                <c:pt idx="8">
                  <c:v>17.78</c:v>
                </c:pt>
                <c:pt idx="9">
                  <c:v>15.79</c:v>
                </c:pt>
                <c:pt idx="10">
                  <c:v>13.78</c:v>
                </c:pt>
                <c:pt idx="11">
                  <c:v>11.92</c:v>
                </c:pt>
                <c:pt idx="12">
                  <c:v>10.28</c:v>
                </c:pt>
                <c:pt idx="13">
                  <c:v>8.88</c:v>
                </c:pt>
                <c:pt idx="14">
                  <c:v>7.7</c:v>
                </c:pt>
                <c:pt idx="15">
                  <c:v>6.72</c:v>
                </c:pt>
                <c:pt idx="16">
                  <c:v>5.89</c:v>
                </c:pt>
                <c:pt idx="17">
                  <c:v>5.21</c:v>
                </c:pt>
                <c:pt idx="18">
                  <c:v>4.63</c:v>
                </c:pt>
                <c:pt idx="19">
                  <c:v>4.14</c:v>
                </c:pt>
                <c:pt idx="20">
                  <c:v>3.72</c:v>
                </c:pt>
                <c:pt idx="21">
                  <c:v>3.36</c:v>
                </c:pt>
                <c:pt idx="22">
                  <c:v>3.05</c:v>
                </c:pt>
                <c:pt idx="23">
                  <c:v>2.78</c:v>
                </c:pt>
                <c:pt idx="24">
                  <c:v>2.54</c:v>
                </c:pt>
                <c:pt idx="25">
                  <c:v>2.33</c:v>
                </c:pt>
                <c:pt idx="26">
                  <c:v>2.15</c:v>
                </c:pt>
                <c:pt idx="27">
                  <c:v>1.99</c:v>
                </c:pt>
                <c:pt idx="28">
                  <c:v>1.84</c:v>
                </c:pt>
                <c:pt idx="29">
                  <c:v>1.71</c:v>
                </c:pt>
                <c:pt idx="30">
                  <c:v>1.6</c:v>
                </c:pt>
                <c:pt idx="31">
                  <c:v>1.49</c:v>
                </c:pt>
                <c:pt idx="32">
                  <c:v>1.4</c:v>
                </c:pt>
                <c:pt idx="33">
                  <c:v>1.31</c:v>
                </c:pt>
                <c:pt idx="34">
                  <c:v>1.23</c:v>
                </c:pt>
                <c:pt idx="35">
                  <c:v>1.16</c:v>
                </c:pt>
                <c:pt idx="36">
                  <c:v>1.1</c:v>
                </c:pt>
                <c:pt idx="37">
                  <c:v>1.04</c:v>
                </c:pt>
              </c:numCache>
            </c:numRef>
          </c:val>
          <c:smooth val="0"/>
        </c:ser>
        <c:ser>
          <c:idx val="1"/>
          <c:order val="1"/>
          <c:tx>
            <c:strRef>
              <c:f>居民区工频磁场!$M$4:$M$5</c:f>
              <c:strCache>
                <c:ptCount val="1"/>
                <c:pt idx="0">
                  <c:v>导线对地7m 地面4.5m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居民区工频磁场!$K$6:$K$43</c:f>
              <c:numCache>
                <c:formatCode>General</c:formatCode>
                <c:ptCount val="38"/>
                <c:pt idx="0">
                  <c:v>0</c:v>
                </c:pt>
                <c:pt idx="1">
                  <c:v>1</c:v>
                </c:pt>
                <c:pt idx="2">
                  <c:v>2</c:v>
                </c:pt>
                <c:pt idx="3">
                  <c:v>3</c:v>
                </c:pt>
                <c:pt idx="4">
                  <c:v>4</c:v>
                </c:pt>
                <c:pt idx="5">
                  <c:v>5</c:v>
                </c:pt>
                <c:pt idx="6">
                  <c:v>6</c:v>
                </c:pt>
                <c:pt idx="7">
                  <c:v>6.25</c:v>
                </c:pt>
                <c:pt idx="8">
                  <c:v>7.25</c:v>
                </c:pt>
                <c:pt idx="9">
                  <c:v>8.25</c:v>
                </c:pt>
                <c:pt idx="10">
                  <c:v>9.25</c:v>
                </c:pt>
                <c:pt idx="11">
                  <c:v>10.25</c:v>
                </c:pt>
                <c:pt idx="12">
                  <c:v>11.25</c:v>
                </c:pt>
                <c:pt idx="13">
                  <c:v>12.25</c:v>
                </c:pt>
                <c:pt idx="14">
                  <c:v>13.25</c:v>
                </c:pt>
                <c:pt idx="15">
                  <c:v>14.25</c:v>
                </c:pt>
                <c:pt idx="16">
                  <c:v>15.25</c:v>
                </c:pt>
                <c:pt idx="17">
                  <c:v>16.25</c:v>
                </c:pt>
                <c:pt idx="18">
                  <c:v>17.25</c:v>
                </c:pt>
                <c:pt idx="19">
                  <c:v>18.25</c:v>
                </c:pt>
                <c:pt idx="20">
                  <c:v>19.25</c:v>
                </c:pt>
                <c:pt idx="21">
                  <c:v>20.25</c:v>
                </c:pt>
                <c:pt idx="22">
                  <c:v>21.25</c:v>
                </c:pt>
                <c:pt idx="23">
                  <c:v>22.25</c:v>
                </c:pt>
                <c:pt idx="24">
                  <c:v>23.25</c:v>
                </c:pt>
                <c:pt idx="25">
                  <c:v>24.25</c:v>
                </c:pt>
                <c:pt idx="26">
                  <c:v>25.25</c:v>
                </c:pt>
                <c:pt idx="27">
                  <c:v>26.25</c:v>
                </c:pt>
                <c:pt idx="28">
                  <c:v>27.25</c:v>
                </c:pt>
                <c:pt idx="29">
                  <c:v>28.25</c:v>
                </c:pt>
                <c:pt idx="30">
                  <c:v>29.25</c:v>
                </c:pt>
                <c:pt idx="31">
                  <c:v>30.25</c:v>
                </c:pt>
                <c:pt idx="32">
                  <c:v>31.25</c:v>
                </c:pt>
                <c:pt idx="33">
                  <c:v>32.25</c:v>
                </c:pt>
                <c:pt idx="34">
                  <c:v>33.25</c:v>
                </c:pt>
                <c:pt idx="35">
                  <c:v>34.25</c:v>
                </c:pt>
                <c:pt idx="36">
                  <c:v>35.25</c:v>
                </c:pt>
                <c:pt idx="37">
                  <c:v>36.25</c:v>
                </c:pt>
              </c:numCache>
            </c:numRef>
          </c:cat>
          <c:val>
            <c:numRef>
              <c:f>居民区工频磁场!$M$6:$M$43</c:f>
              <c:numCache>
                <c:formatCode>General</c:formatCode>
                <c:ptCount val="38"/>
                <c:pt idx="9">
                  <c:v>30.99</c:v>
                </c:pt>
                <c:pt idx="10">
                  <c:v>23.47</c:v>
                </c:pt>
                <c:pt idx="11">
                  <c:v>18.08</c:v>
                </c:pt>
                <c:pt idx="12">
                  <c:v>14.28</c:v>
                </c:pt>
                <c:pt idx="13">
                  <c:v>11.55</c:v>
                </c:pt>
                <c:pt idx="14">
                  <c:v>9.54</c:v>
                </c:pt>
                <c:pt idx="15">
                  <c:v>8.02</c:v>
                </c:pt>
                <c:pt idx="16">
                  <c:v>6.84</c:v>
                </c:pt>
                <c:pt idx="17">
                  <c:v>5.91</c:v>
                </c:pt>
                <c:pt idx="18">
                  <c:v>5.16</c:v>
                </c:pt>
                <c:pt idx="19">
                  <c:v>4.55</c:v>
                </c:pt>
                <c:pt idx="20">
                  <c:v>4.04</c:v>
                </c:pt>
                <c:pt idx="21">
                  <c:v>3.61</c:v>
                </c:pt>
                <c:pt idx="22">
                  <c:v>3.25</c:v>
                </c:pt>
                <c:pt idx="23">
                  <c:v>2.94</c:v>
                </c:pt>
                <c:pt idx="24">
                  <c:v>2.68</c:v>
                </c:pt>
                <c:pt idx="25">
                  <c:v>2.45</c:v>
                </c:pt>
                <c:pt idx="26">
                  <c:v>2.25</c:v>
                </c:pt>
                <c:pt idx="27">
                  <c:v>2.07</c:v>
                </c:pt>
                <c:pt idx="28">
                  <c:v>1.91</c:v>
                </c:pt>
                <c:pt idx="29">
                  <c:v>1.77</c:v>
                </c:pt>
                <c:pt idx="30">
                  <c:v>1.65</c:v>
                </c:pt>
                <c:pt idx="31">
                  <c:v>1.54</c:v>
                </c:pt>
                <c:pt idx="32">
                  <c:v>1.44</c:v>
                </c:pt>
                <c:pt idx="33">
                  <c:v>1.34</c:v>
                </c:pt>
                <c:pt idx="34">
                  <c:v>1.26</c:v>
                </c:pt>
                <c:pt idx="35">
                  <c:v>1.19</c:v>
                </c:pt>
                <c:pt idx="36">
                  <c:v>1.12</c:v>
                </c:pt>
                <c:pt idx="37">
                  <c:v>1.06</c:v>
                </c:pt>
              </c:numCache>
            </c:numRef>
          </c:val>
          <c:smooth val="0"/>
        </c:ser>
        <c:dLbls>
          <c:showLegendKey val="0"/>
          <c:showVal val="0"/>
          <c:showCatName val="0"/>
          <c:showSerName val="0"/>
          <c:showPercent val="0"/>
          <c:showBubbleSize val="0"/>
        </c:dLbls>
        <c:marker val="1"/>
        <c:smooth val="0"/>
        <c:axId val="-440951392"/>
        <c:axId val="-440949216"/>
      </c:lineChart>
      <c:catAx>
        <c:axId val="-44095139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zh-CN" sz="1000" b="1" i="0" baseline="0">
                    <a:effectLst/>
                  </a:rPr>
                  <a:t>距线路中心距离（</a:t>
                </a:r>
                <a:r>
                  <a:rPr lang="en-US" altLang="zh-CN" sz="1000" b="1" i="0" baseline="0">
                    <a:effectLst/>
                  </a:rPr>
                  <a:t>m</a:t>
                </a:r>
                <a:r>
                  <a:rPr lang="zh-CN" altLang="zh-CN" sz="1000" b="1" i="0" baseline="0">
                    <a:effectLst/>
                  </a:rPr>
                  <a:t>）</a:t>
                </a:r>
                <a:endParaRPr lang="zh-CN" altLang="zh-CN" sz="1000">
                  <a:effectLst/>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0949216"/>
        <c:crosses val="autoZero"/>
        <c:auto val="1"/>
        <c:lblAlgn val="ctr"/>
        <c:lblOffset val="100"/>
        <c:noMultiLvlLbl val="0"/>
      </c:catAx>
      <c:valAx>
        <c:axId val="-440949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zh-CN" sz="1000" b="1" i="0" u="none" strike="noStrike" baseline="0">
                    <a:effectLst/>
                  </a:rPr>
                  <a:t>工频磁感应强度（</a:t>
                </a:r>
                <a:r>
                  <a:rPr lang="en-US" altLang="zh-CN" sz="1000" b="1" i="0" u="none" strike="noStrike" baseline="0">
                    <a:effectLst/>
                  </a:rPr>
                  <a:t>μT</a:t>
                </a:r>
                <a:r>
                  <a:rPr lang="zh-CN" altLang="zh-CN" sz="1000" b="1" i="0" u="none" strike="noStrike" baseline="0">
                    <a:effectLst/>
                  </a:rPr>
                  <a:t>）</a:t>
                </a:r>
                <a:endParaRPr lang="zh-CN" altLang="en-US" b="1"/>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0951392"/>
        <c:crosses val="autoZero"/>
        <c:crossBetween val="between"/>
      </c:valAx>
      <c:spPr>
        <a:noFill/>
        <a:ln>
          <a:noFill/>
        </a:ln>
        <a:effectLst/>
      </c:spPr>
    </c:plotArea>
    <c:legend>
      <c:legendPos val="b"/>
      <c:layout>
        <c:manualLayout>
          <c:xMode val="edge"/>
          <c:yMode val="edge"/>
          <c:x val="0.557116579177603"/>
          <c:y val="0.0746522309711286"/>
          <c:w val="0.44132239720035"/>
          <c:h val="0.1984959171770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15875" cap="flat" cmpd="sng" algn="ctr">
      <a:solidFill>
        <a:schemeClr val="tx1"/>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actReview xmlns="http://schemas.wps.cn/vas-ai-hub/contract-review">
  <reviewItems>
    <reviewItem>
      <errorID>f0a6cade-b843-4b44-b11d-2825da54b912</errorID>
      <errorWord>(</errorWord>
      <group>L1_Format</group>
      <groupName>格式问题</groupName>
      <ability>L2_HalfPunc</ability>
      <abilityName>全半角检查</abilityName>
      <candidateList>
        <item>（</item>
      </candidateList>
      <explain>文本全半角错误。</explain>
      <paraID>6485BC45</paraID>
      <start>4</start>
      <end>5</end>
      <status>unmodified</status>
      <modifiedWord/>
      <trackRevisions>false</trackRevisions>
    </reviewItem>
    <reviewItem>
      <errorID>b060cff4-2485-4a79-b98a-7ba1d3e89ce1</errorID>
      <errorWord>)</errorWord>
      <group>L1_Format</group>
      <groupName>格式问题</groupName>
      <ability>L2_HalfPunc</ability>
      <abilityName>全半角检查</abilityName>
      <candidateList>
        <item>）</item>
      </candidateList>
      <explain>文本全半角错误。</explain>
      <paraID>6485BC45</paraID>
      <start>10</start>
      <end>11</end>
      <status>unmodified</status>
      <modifiedWord/>
      <trackRevisions>false</trackRevisions>
    </reviewItem>
    <reviewItem>
      <errorID>dce7dfa0-4e6e-400d-8bfa-f996b3d3ad27</errorID>
      <errorWord>~</errorWord>
      <group>L1_Format</group>
      <groupName>格式问题</groupName>
      <ability>L2_HalfPunc</ability>
      <abilityName>全半角检查</abilityName>
      <candidateList>
        <item>～</item>
      </candidateList>
      <explain>文本全半角错误。</explain>
      <paraID> A4C1C1A</paraID>
      <start>6</start>
      <end>7</end>
      <status>unmodified</status>
      <modifiedWord/>
      <trackRevisions>false</trackRevisions>
    </reviewItem>
    <reviewItem>
      <errorID>2a0cc236-327f-4a6a-b0ac-584279b657d1</errorID>
      <errorWord>~</errorWord>
      <group>L1_Format</group>
      <groupName>格式问题</groupName>
      <ability>L2_HalfPunc</ability>
      <abilityName>全半角检查</abilityName>
      <candidateList>
        <item>～</item>
      </candidateList>
      <explain>文本全半角错误。</explain>
      <paraID>24DEC24D</paraID>
      <start>6</start>
      <end>7</end>
      <status>unmodified</status>
      <modifiedWord/>
      <trackRevisions>false</trackRevisions>
    </reviewItem>
    <reviewItem>
      <errorID>43a12db4-e4b8-4819-b332-5621dc640b79</errorID>
      <errorWord>~</errorWord>
      <group>L1_Format</group>
      <groupName>格式问题</groupName>
      <ability>L2_HalfPunc</ability>
      <abilityName>全半角检查</abilityName>
      <candidateList>
        <item>～</item>
      </candidateList>
      <explain>文本全半角错误。</explain>
      <paraID>24DEC24D</paraID>
      <start>31</start>
      <end>32</end>
      <status>unmodified</status>
      <modifiedWord/>
      <trackRevisions>false</trackRevisions>
    </reviewItem>
    <reviewItem>
      <errorID>6994189c-bc66-413d-979a-8a73f9fbbb64</errorID>
      <errorWord>(</errorWord>
      <group>L1_Format</group>
      <groupName>格式问题</groupName>
      <ability>L2_HalfPunc</ability>
      <abilityName>全半角检查</abilityName>
      <candidateList>
        <item>（</item>
      </candidateList>
      <explain>文本全半角错误。</explain>
      <paraID>24DEC24D</paraID>
      <start>34</start>
      <end>35</end>
      <status>unmodified</status>
      <modifiedWord/>
      <trackRevisions>false</trackRevisions>
    </reviewItem>
    <reviewItem>
      <errorID>f7a1b13a-9f07-4888-95e9-7ec3be0eaba8</errorID>
      <errorWord>)</errorWord>
      <group>L1_Format</group>
      <groupName>格式问题</groupName>
      <ability>L2_HalfPunc</ability>
      <abilityName>全半角检查</abilityName>
      <candidateList>
        <item>）</item>
      </candidateList>
      <explain>文本全半角错误。</explain>
      <paraID>24DEC24D</paraID>
      <start>40</start>
      <end>41</end>
      <status>unmodified</status>
      <modifiedWord/>
      <trackRevisions>false</trackRevisions>
    </reviewItem>
    <reviewItem>
      <errorID>3675334b-bd83-490e-a9c3-34dc51ffddab</errorID>
      <errorWord>~</errorWord>
      <group>L1_Format</group>
      <groupName>格式问题</groupName>
      <ability>L2_HalfPunc</ability>
      <abilityName>全半角检查</abilityName>
      <candidateList>
        <item>～</item>
      </candidateList>
      <explain>文本全半角错误。</explain>
      <paraID>10D0C7F0</paraID>
      <start>6</start>
      <end>7</end>
      <status>unmodified</status>
      <modifiedWord/>
      <trackRevisions>false</trackRevisions>
    </reviewItem>
    <reviewItem>
      <errorID>5be4d12f-4253-4273-9174-9428c5f9fc2f</errorID>
      <errorWord>~</errorWord>
      <group>L1_Format</group>
      <groupName>格式问题</groupName>
      <ability>L2_HalfPunc</ability>
      <abilityName>全半角检查</abilityName>
      <candidateList>
        <item>～</item>
      </candidateList>
      <explain>文本全半角错误。</explain>
      <paraID>10D0C7F0</paraID>
      <start>30</start>
      <end>31</end>
      <status>unmodified</status>
      <modifiedWord/>
      <trackRevisions>false</trackRevisions>
    </reviewItem>
    <reviewItem>
      <errorID>ed3f3e33-4042-44e3-a7a4-5e60cd84fef7</errorID>
      <errorWord>(</errorWord>
      <group>L1_Format</group>
      <groupName>格式问题</groupName>
      <ability>L2_HalfPunc</ability>
      <abilityName>全半角检查</abilityName>
      <candidateList>
        <item>（</item>
      </candidateList>
      <explain>文本全半角错误。</explain>
      <paraID>10D0C7F0</paraID>
      <start>33</start>
      <end>34</end>
      <status>unmodified</status>
      <modifiedWord/>
      <trackRevisions>false</trackRevisions>
    </reviewItem>
    <reviewItem>
      <errorID>4f4047df-a005-482f-8e04-4c89209404d0</errorID>
      <errorWord>)</errorWord>
      <group>L1_Format</group>
      <groupName>格式问题</groupName>
      <ability>L2_HalfPunc</ability>
      <abilityName>全半角检查</abilityName>
      <candidateList>
        <item>）</item>
      </candidateList>
      <explain>文本全半角错误。</explain>
      <paraID>10D0C7F0</paraID>
      <start>38</start>
      <end>39</end>
      <status>unmodified</status>
      <modifiedWord/>
      <trackRevisions>false</trackRevisions>
    </reviewItem>
    <reviewItem>
      <errorID>e8266dcc-0701-479a-842d-41f85717f6b3</errorID>
      <errorWord>~</errorWord>
      <group>L1_Format</group>
      <groupName>格式问题</groupName>
      <ability>L2_HalfPunc</ability>
      <abilityName>全半角检查</abilityName>
      <candidateList>
        <item>～</item>
      </candidateList>
      <explain>文本全半角错误。</explain>
      <paraID>3492EC00</paraID>
      <start>5</start>
      <end>6</end>
      <status>unmodified</status>
      <modifiedWord/>
      <trackRevisions>false</trackRevisions>
    </reviewItem>
    <reviewItem>
      <errorID>399a71c4-29f1-4d9b-8d64-37bc95314ef6</errorID>
      <errorWord>~</errorWord>
      <group>L1_Format</group>
      <groupName>格式问题</groupName>
      <ability>L2_HalfPunc</ability>
      <abilityName>全半角检查</abilityName>
      <candidateList>
        <item>～</item>
      </candidateList>
      <explain>文本全半角错误。</explain>
      <paraID>3492EC00</paraID>
      <start>27</start>
      <end>28</end>
      <status>unmodified</status>
      <modifiedWord/>
      <trackRevisions>false</trackRevisions>
    </reviewItem>
    <reviewItem>
      <errorID>d404ab20-2a3f-4964-9e48-c94f8e8227f4</errorID>
      <errorWord>~</errorWord>
      <group>L1_Format</group>
      <groupName>格式问题</groupName>
      <ability>L2_HalfPunc</ability>
      <abilityName>全半角检查</abilityName>
      <candidateList>
        <item>～</item>
      </candidateList>
      <explain>文本全半角错误。</explain>
      <paraID> 3747D1E</paraID>
      <start>146</start>
      <end>147</end>
      <status>unmodified</status>
      <modifiedWord/>
      <trackRevisions>false</trackRevisions>
    </reviewItem>
    <reviewItem>
      <errorID>0a25b2b9-2243-4819-b876-348e2f935070</errorID>
      <errorWord>~</errorWord>
      <group>L1_Format</group>
      <groupName>格式问题</groupName>
      <ability>L2_HalfPunc</ability>
      <abilityName>全半角检查</abilityName>
      <candidateList>
        <item>～</item>
      </candidateList>
      <explain>文本全半角错误。</explain>
      <paraID> 3747D1E</paraID>
      <start>168</start>
      <end>169</end>
      <status>unmodified</status>
      <modifiedWord/>
      <trackRevisions>false</trackRevisions>
    </reviewItem>
    <reviewItem>
      <errorID>d3b09d6a-bd59-4740-8287-e8f570a26e53</errorID>
      <errorWord>~</errorWord>
      <group>L1_Format</group>
      <groupName>格式问题</groupName>
      <ability>L2_HalfPunc</ability>
      <abilityName>全半角检查</abilityName>
      <candidateList>
        <item>～</item>
      </candidateList>
      <explain>文本全半角错误。</explain>
      <paraID> 3747D1E</paraID>
      <start>192</start>
      <end>193</end>
      <status>unmodified</status>
      <modifiedWord/>
      <trackRevisions>false</trackRevisions>
    </reviewItem>
    <reviewItem>
      <errorID>dfe3961c-5315-4935-bce9-4fb362b9ed64</errorID>
      <errorWord>~</errorWord>
      <group>L1_Format</group>
      <groupName>格式问题</groupName>
      <ability>L2_HalfPunc</ability>
      <abilityName>全半角检查</abilityName>
      <candidateList>
        <item>～</item>
      </candidateList>
      <explain>文本全半角错误。</explain>
      <paraID> 3747D1E</paraID>
      <start>214</start>
      <end>215</end>
      <status>unmodified</status>
      <modifiedWord/>
      <trackRevisions>false</trackRevisions>
    </reviewItem>
    <reviewItem>
      <errorID>3dd3d3b5-9a65-4c79-9bee-4dbff29e2833</errorID>
      <errorWord>~</errorWord>
      <group>L1_Format</group>
      <groupName>格式问题</groupName>
      <ability>L2_HalfPunc</ability>
      <abilityName>全半角检查</abilityName>
      <candidateList>
        <item>～</item>
      </candidateList>
      <explain>文本全半角错误。</explain>
      <paraID> 37D8A24</paraID>
      <start>57</start>
      <end>58</end>
      <status>unmodified</status>
      <modifiedWord/>
      <trackRevisions>false</trackRevisions>
    </reviewItem>
    <reviewItem>
      <errorID>7aeacea6-cf56-434e-b55c-183c5240a01e</errorID>
      <errorWord>~</errorWord>
      <group>L1_Format</group>
      <groupName>格式问题</groupName>
      <ability>L2_HalfPunc</ability>
      <abilityName>全半角检查</abilityName>
      <candidateList>
        <item>～</item>
      </candidateList>
      <explain>文本全半角错误。</explain>
      <paraID> 37D8A24</paraID>
      <start>79</start>
      <end>80</end>
      <status>unmodified</status>
      <modifiedWord/>
      <trackRevisions>false</trackRevisions>
    </reviewItem>
    <reviewItem>
      <errorID>1dbcc6c5-a0b2-48af-a816-0aa12f19b9ec</errorID>
      <errorWord>~</errorWord>
      <group>L1_Format</group>
      <groupName>格式问题</groupName>
      <ability>L2_HalfPunc</ability>
      <abilityName>全半角检查</abilityName>
      <candidateList>
        <item>～</item>
      </candidateList>
      <explain>文本全半角错误。</explain>
      <paraID> 37D8A24</paraID>
      <start>103</start>
      <end>104</end>
      <status>unmodified</status>
      <modifiedWord/>
      <trackRevisions>false</trackRevisions>
    </reviewItem>
    <reviewItem>
      <errorID>99b94088-b820-4060-afda-ac9a73f8b38c</errorID>
      <errorWord>~</errorWord>
      <group>L1_Format</group>
      <groupName>格式问题</groupName>
      <ability>L2_HalfPunc</ability>
      <abilityName>全半角检查</abilityName>
      <candidateList>
        <item>～</item>
      </candidateList>
      <explain>文本全半角错误。</explain>
      <paraID> 37D8A24</paraID>
      <start>125</start>
      <end>126</end>
      <status>unmodified</status>
      <modifiedWord/>
      <trackRevisions>false</trackRevisions>
    </reviewItem>
    <reviewItem>
      <errorID>e9999f3b-f64d-42f9-8327-3815d56feb46</errorID>
      <errorWord>涉及</errorWord>
      <group>L1_Word</group>
      <groupName>字词问题</groupName>
      <ability>L2_Typo</ability>
      <abilityName>字词错误</abilityName>
      <candidateList>
        <item>设计</item>
      </candidateList>
      <explain>❶〈动〉在正式做某项工作之前，根据一定的目的要求，预先制定方法、图样等：～师｜～图纸。❷〈名〉设计的方案或规划的蓝图等：那两项～已经完成。</explain>
      <paraID>3E450927</paraID>
      <start>36</start>
      <end>38</end>
      <status>unmodified</status>
      <modifiedWord/>
      <trackRevisions>false</trackRevisions>
    </reviewItem>
    <reviewItem>
      <errorID>2ff47509-1804-4caa-a1ab-1747302e4954</errorID>
      <errorWord>~</errorWord>
      <group>L1_Format</group>
      <groupName>格式问题</groupName>
      <ability>L2_HalfPunc</ability>
      <abilityName>全半角检查</abilityName>
      <candidateList>
        <item>～</item>
      </candidateList>
      <explain>文本全半角错误。</explain>
      <paraID>56AE659C</paraID>
      <start>3</start>
      <end>4</end>
      <status>unmodified</status>
      <modifiedWord/>
      <trackRevisions>false</trackRevisions>
    </reviewItem>
    <reviewItem>
      <errorID>3ce02e94-82d1-469e-bc24-e272327aa048</errorID>
      <errorWord>~</errorWord>
      <group>L1_Format</group>
      <groupName>格式问题</groupName>
      <ability>L2_HalfPunc</ability>
      <abilityName>全半角检查</abilityName>
      <candidateList>
        <item>～</item>
      </candidateList>
      <explain>文本全半角错误。</explain>
      <paraID> 10FE147</paraID>
      <start>3</start>
      <end>4</end>
      <status>unmodified</status>
      <modifiedWord/>
      <trackRevisions>false</trackRevisions>
    </reviewItem>
    <reviewItem>
      <errorID>eb60ab4e-1e23-4d5b-b56c-6ceb629da2f5</errorID>
      <errorWord>~</errorWord>
      <group>L1_Format</group>
      <groupName>格式问题</groupName>
      <ability>L2_HalfPunc</ability>
      <abilityName>全半角检查</abilityName>
      <candidateList>
        <item>～</item>
      </candidateList>
      <explain>文本全半角错误。</explain>
      <paraID>3296811A</paraID>
      <start>3</start>
      <end>4</end>
      <status>unmodified</status>
      <modifiedWord/>
      <trackRevisions>false</trackRevisions>
    </reviewItem>
    <reviewItem>
      <errorID>4043c823-21c0-4b03-ac0c-24268a029408</errorID>
      <errorWord>~</errorWord>
      <group>L1_Format</group>
      <groupName>格式问题</groupName>
      <ability>L2_HalfPunc</ability>
      <abilityName>全半角检查</abilityName>
      <candidateList>
        <item>～</item>
      </candidateList>
      <explain>文本全半角错误。</explain>
      <paraID>17AF9215</paraID>
      <start>2</start>
      <end>3</end>
      <status>unmodified</status>
      <modifiedWord/>
      <trackRevisions>false</trackRevisions>
    </reviewItem>
    <reviewItem>
      <errorID>451ebc03-aa23-4b7a-85aa-6b844f175a79</errorID>
      <errorWord>~</errorWord>
      <group>L1_Format</group>
      <groupName>格式问题</groupName>
      <ability>L2_HalfPunc</ability>
      <abilityName>全半角检查</abilityName>
      <candidateList>
        <item>～</item>
      </candidateList>
      <explain>文本全半角错误。</explain>
      <paraID>433677D8</paraID>
      <start>3</start>
      <end>4</end>
      <status>unmodified</status>
      <modifiedWord/>
      <trackRevisions>false</trackRevisions>
    </reviewItem>
    <reviewItem>
      <errorID>ef82d5c8-3a6d-43ae-96ea-79e88ffeba32</errorID>
      <errorWord>35～750千</errorWord>
      <group>L1_Knowledge</group>
      <groupName>知识性问题</groupName>
      <ability>L2_Knowledge</ability>
      <abilityName>其他知识</abilityName>
      <candidateList>
        <item>35千～750千</item>
      </candidateList>
      <explain>1. “35～750千”中的单位“千”仅出现在后一个数字上，容易引起歧义；根据《现代汉语标点符号数字用法规范手册》，数字表示范围两边需要使用统一的格式。2. 根据标点国标 4.13 中的规则，数字、时间或地域连接符应使用（视觉上更长的）“—”或“～”。</explain>
      <paraID>78513CD5</paraID>
      <start>11</start>
      <end>18</end>
      <status>unmodified</status>
      <modifiedWord/>
      <trackRevisions>false</trackRevisions>
    </reviewItem>
    <reviewItem>
      <errorID>104c213e-efc8-4261-9458-21fd912eef32</errorID>
      <errorWord>~</errorWord>
      <group>L1_Format</group>
      <groupName>格式问题</groupName>
      <ability>L2_HalfPunc</ability>
      <abilityName>全半角检查</abilityName>
      <candidateList>
        <item>～</item>
      </candidateList>
      <explain>文本全半角错误。</explain>
      <paraID>678E3009</paraID>
      <start>3</start>
      <end>4</end>
      <status>unmodified</status>
      <modifiedWord/>
      <trackRevisions>false</trackRevisions>
    </reviewItem>
    <reviewItem>
      <errorID>c45c1f15-690a-4a83-98ac-bdfa3ac2a65c</errorID>
      <errorWord>~</errorWord>
      <group>L1_Format</group>
      <groupName>格式问题</groupName>
      <ability>L2_HalfPunc</ability>
      <abilityName>全半角检查</abilityName>
      <candidateList>
        <item>～</item>
      </candidateList>
      <explain>文本全半角错误。</explain>
      <paraID>264ED346</paraID>
      <start>5</start>
      <end>6</end>
      <status>unmodified</status>
      <modifiedWord/>
      <trackRevisions>false</trackRevisions>
    </reviewItem>
    <reviewItem>
      <errorID>0b3c2e0e-16b8-4abb-9e25-6541c47b1fd4</errorID>
      <errorWord>(</errorWord>
      <group>L1_Format</group>
      <groupName>格式问题</groupName>
      <ability>L2_HalfPunc</ability>
      <abilityName>全半角检查</abilityName>
      <candidateList>
        <item>（</item>
      </candidateList>
      <explain>文本全半角错误。</explain>
      <paraID>264ED346</paraID>
      <start>8</start>
      <end>9</end>
      <status>unmodified</status>
      <modifiedWord/>
      <trackRevisions>false</trackRevisions>
    </reviewItem>
    <reviewItem>
      <errorID>341b3b64-db3e-4bc6-a192-2ad14e6a2e8a</errorID>
      <errorWord>)</errorWord>
      <group>L1_Format</group>
      <groupName>格式问题</groupName>
      <ability>L2_HalfPunc</ability>
      <abilityName>全半角检查</abilityName>
      <candidateList>
        <item>）</item>
      </candidateList>
      <explain>文本全半角错误。</explain>
      <paraID>264ED346</paraID>
      <start>14</start>
      <end>15</end>
      <status>unmodified</status>
      <modifiedWord/>
      <trackRevisions>false</trackRevisions>
    </reviewItem>
    <reviewItem>
      <errorID>cce84e11-887c-4d83-90ff-79f8ba3c408e</errorID>
      <errorWord>35～750千</errorWord>
      <group>L1_Knowledge</group>
      <groupName>知识性问题</groupName>
      <ability>L2_Knowledge</ability>
      <abilityName>其他知识</abilityName>
      <candidateList>
        <item>35千～750千</item>
      </candidateList>
      <explain>1. “35～750千”中的单位“千”仅出现在后一个数字上，容易引起歧义；根据《现代汉语标点符号数字用法规范手册》，数字表示范围两边需要使用统一的格式。2. 根据标点国标 4.13 中的规则，数字、时间或地域连接符应使用（视觉上更长的）“—”或“～”。</explain>
      <paraID>41CCA72B</paraID>
      <start>11</start>
      <end>18</end>
      <status>unmodified</status>
      <modifiedWord/>
      <trackRevisions>false</trackRevisions>
    </reviewItem>
    <reviewItem>
      <errorID>96850d46-042d-4a9b-9182-00ed4dcd44b5</errorID>
      <errorWord>~</errorWord>
      <group>L1_Format</group>
      <groupName>格式问题</groupName>
      <ability>L2_HalfPunc</ability>
      <abilityName>全半角检查</abilityName>
      <candidateList>
        <item>～</item>
      </candidateList>
      <explain>文本全半角错误。</explain>
      <paraID>43DAD75F</paraID>
      <start>3</start>
      <end>4</end>
      <status>unmodified</status>
      <modifiedWord/>
      <trackRevisions>false</trackRevisions>
    </reviewItem>
    <reviewItem>
      <errorID>479904a5-02c4-4b89-a845-24f450b129d0</errorID>
      <errorWord>~</errorWord>
      <group>L1_Format</group>
      <groupName>格式问题</groupName>
      <ability>L2_HalfPunc</ability>
      <abilityName>全半角检查</abilityName>
      <candidateList>
        <item>～</item>
      </candidateList>
      <explain>文本全半角错误。</explain>
      <paraID>3B97A64A</paraID>
      <start>5</start>
      <end>6</end>
      <status>unmodified</status>
      <modifiedWord/>
      <trackRevisions>false</trackRevisions>
    </reviewItem>
    <reviewItem>
      <errorID>0ebb73a7-e26f-478f-b443-71c3c9016ffe</errorID>
      <errorWord>(</errorWord>
      <group>L1_Format</group>
      <groupName>格式问题</groupName>
      <ability>L2_HalfPunc</ability>
      <abilityName>全半角检查</abilityName>
      <candidateList>
        <item>（</item>
      </candidateList>
      <explain>文本全半角错误。</explain>
      <paraID>3B97A64A</paraID>
      <start>8</start>
      <end>9</end>
      <status>unmodified</status>
      <modifiedWord/>
      <trackRevisions>false</trackRevisions>
    </reviewItem>
    <reviewItem>
      <errorID>a900d67e-1ff4-46d1-a5cb-26ed88000d8b</errorID>
      <errorWord>)</errorWord>
      <group>L1_Format</group>
      <groupName>格式问题</groupName>
      <ability>L2_HalfPunc</ability>
      <abilityName>全半角检查</abilityName>
      <candidateList>
        <item>）</item>
      </candidateList>
      <explain>文本全半角错误。</explain>
      <paraID>3B97A64A</paraID>
      <start>13</start>
      <end>14</end>
      <status>unmodified</status>
      <modifiedWord/>
      <trackRevisions>false</trackRevisions>
    </reviewItem>
    <reviewItem>
      <errorID>cce84e11-887c-4d83-90ff-79f8ba3c408e</errorID>
      <errorWord>35～750千</errorWord>
      <group>L1_Knowledge</group>
      <groupName>知识性问题</groupName>
      <ability>L2_Knowledge</ability>
      <abilityName>其他知识</abilityName>
      <candidateList>
        <item>35千～750千</item>
      </candidateList>
      <explain>1. “35～750千”中的单位“千”仅出现在后一个数字上，容易引起歧义；根据《现代汉语标点符号数字用法规范手册》，数字表示范围两边需要使用统一的格式。2. 根据标点国标 4.13 中的规则，数字、时间或地域连接符应使用（视觉上更长的）“—”或“～”。</explain>
      <paraID>  2978F8</paraID>
      <start>11</start>
      <end>18</end>
      <status>unmodified</status>
      <modifiedWord/>
      <trackRevisions>false</trackRevisions>
    </reviewItem>
    <reviewItem>
      <errorID>b52d7756-02fd-4cea-ab9a-19434e419d16</errorID>
      <errorWord>~</errorWord>
      <group>L1_Format</group>
      <groupName>格式问题</groupName>
      <ability>L2_HalfPunc</ability>
      <abilityName>全半角检查</abilityName>
      <candidateList>
        <item>～</item>
      </candidateList>
      <explain>文本全半角错误。</explain>
      <paraID> 95CDB5F</paraID>
      <start>2</start>
      <end>3</end>
      <status>unmodified</status>
      <modifiedWord/>
      <trackRevisions>false</trackRevisions>
    </reviewItem>
    <reviewItem>
      <errorID>e7e917d5-e0e2-4dc7-a619-ba9acf7bc75d</errorID>
      <errorWord>~</errorWord>
      <group>L1_Format</group>
      <groupName>格式问题</groupName>
      <ability>L2_HalfPunc</ability>
      <abilityName>全半角检查</abilityName>
      <candidateList>
        <item>～</item>
      </candidateList>
      <explain>文本全半角错误。</explain>
      <paraID>3E29974F</paraID>
      <start>4</start>
      <end>5</end>
      <status>unmodified</status>
      <modifiedWord/>
      <trackRevisions>false</trackRevisions>
    </reviewItem>
    <reviewItem>
      <errorID>fb9c1500-6708-4de6-8aac-d2ecfefcdfd9</errorID>
      <errorWord>35～750千</errorWord>
      <group>L1_Knowledge</group>
      <groupName>知识性问题</groupName>
      <ability>L2_Knowledge</ability>
      <abilityName>其他知识</abilityName>
      <candidateList>
        <item>35千～750千</item>
      </candidateList>
      <explain>1. “35～750千”中的单位“千”仅出现在后一个数字上，容易引起歧义；根据《现代汉语标点符号数字用法规范手册》，数字表示范围两边需要使用统一的格式。2. 根据标点国标 4.13 中的规则，数字、时间或地域连接符应使用（视觉上更长的）“—”或“～”。</explain>
      <paraID>26D64B81</paraID>
      <start>11</start>
      <end>18</end>
      <status>unmodified</status>
      <modifiedWord/>
      <trackRevisions>false</trackRevisions>
    </reviewItem>
    <reviewItem>
      <errorID>82b09b5a-4445-4ca2-ae7f-649de58c9bae</errorID>
      <errorWord>~</errorWord>
      <group>L1_Format</group>
      <groupName>格式问题</groupName>
      <ability>L2_HalfPunc</ability>
      <abilityName>全半角检查</abilityName>
      <candidateList>
        <item>～</item>
      </candidateList>
      <explain>文本全半角错误。</explain>
      <paraID>3A35934D</paraID>
      <start>3</start>
      <end>4</end>
      <status>unmodified</status>
      <modifiedWord/>
      <trackRevisions>false</trackRevisions>
    </reviewItem>
    <reviewItem>
      <errorID>19c3b7d8-8fc2-484a-9aa5-64386fda3870</errorID>
      <errorWord>~</errorWord>
      <group>L1_Format</group>
      <groupName>格式问题</groupName>
      <ability>L2_HalfPunc</ability>
      <abilityName>全半角检查</abilityName>
      <candidateList>
        <item>～</item>
      </candidateList>
      <explain>文本全半角错误。</explain>
      <paraID>53B18AD9</paraID>
      <start>3</start>
      <end>4</end>
      <status>unmodified</status>
      <modifiedWord/>
      <trackRevisions>false</trackRevisions>
    </reviewItem>
    <reviewItem>
      <errorID>e569dd66-98b6-485f-886e-59e17e1ea5aa</errorID>
      <errorWord>~</errorWord>
      <group>L1_Format</group>
      <groupName>格式问题</groupName>
      <ability>L2_HalfPunc</ability>
      <abilityName>全半角检查</abilityName>
      <candidateList>
        <item>～</item>
      </candidateList>
      <explain>文本全半角错误。</explain>
      <paraID>5D0263AC</paraID>
      <start>3</start>
      <end>4</end>
      <status>unmodified</status>
      <modifiedWord/>
      <trackRevisions>false</trackRevisions>
    </reviewItem>
    <reviewItem>
      <errorID>cdd80c00-ae3c-4e68-bb4e-c42fcbde6c12</errorID>
      <errorWord>~</errorWord>
      <group>L1_Format</group>
      <groupName>格式问题</groupName>
      <ability>L2_HalfPunc</ability>
      <abilityName>全半角检查</abilityName>
      <candidateList>
        <item>～</item>
      </candidateList>
      <explain>文本全半角错误。</explain>
      <paraID>161A4296</paraID>
      <start>2</start>
      <end>3</end>
      <status>unmodified</status>
      <modifiedWord/>
      <trackRevisions>false</trackRevisions>
    </reviewItem>
    <reviewItem>
      <errorID>fa52c955-779e-4f4f-bacb-0f6b2acad73c</errorID>
      <errorWord>\</errorWord>
      <group>L1_Punc</group>
      <groupName>标点问题</groupName>
      <ability>L2_Punc</ability>
      <abilityName>标点符号检查</abilityName>
      <candidateList/>
      <explain/>
      <paraID>3DB49769</paraID>
      <start>0</start>
      <end>1</end>
      <status>unmodified</status>
      <modifiedWord/>
      <trackRevisions>false</trackRevisions>
    </reviewItem>
    <reviewItem>
      <errorID>a65a62e2-a5f1-4e87-b071-11a8cce5e7c6</errorID>
      <errorWord>\</errorWord>
      <group>L1_Punc</group>
      <groupName>标点问题</groupName>
      <ability>L2_Punc</ability>
      <abilityName>标点符号检查</abilityName>
      <candidateList/>
      <explain/>
      <paraID>542170D5</paraID>
      <start>0</start>
      <end>1</end>
      <status>unmodified</status>
      <modifiedWord/>
      <trackRevisions>false</trackRevisions>
    </reviewItem>
    <reviewItem>
      <errorID>cabe4f95-482d-4098-af43-8e642af5dc14</errorID>
      <errorWord>\</errorWord>
      <group>L1_Punc</group>
      <groupName>标点问题</groupName>
      <ability>L2_Punc</ability>
      <abilityName>标点符号检查</abilityName>
      <candidateList/>
      <explain/>
      <paraID>21F2857B</paraID>
      <start>0</start>
      <end>1</end>
      <status>unmodified</status>
      <modifiedWord/>
      <trackRevisions>false</trackRevisions>
    </reviewItem>
    <reviewItem>
      <errorID>183f621b-0c21-4bc4-b22c-5ac3b88d5ded</errorID>
      <errorWord>\</errorWord>
      <group>L1_Punc</group>
      <groupName>标点问题</groupName>
      <ability>L2_Punc</ability>
      <abilityName>标点符号检查</abilityName>
      <candidateList/>
      <explain/>
      <paraID>6FF77AF3</paraID>
      <start>0</start>
      <end>1</end>
      <status>unmodified</status>
      <modifiedWord/>
      <trackRevisions>false</trackRevisions>
    </reviewItem>
    <reviewItem>
      <errorID>1d5a1864-43f3-4714-b8f6-ea79a8230f0d</errorID>
      <errorWord>\</errorWord>
      <group>L1_Punc</group>
      <groupName>标点问题</groupName>
      <ability>L2_Punc</ability>
      <abilityName>标点符号检查</abilityName>
      <candidateList/>
      <explain/>
      <paraID> 434B01F</paraID>
      <start>0</start>
      <end>1</end>
      <status>unmodified</status>
      <modifiedWord/>
      <trackRevisions>false</trackRevisions>
    </reviewItem>
    <reviewItem>
      <errorID>3e7db865-c143-405c-8f42-32d5678b0f4a</errorID>
      <errorWord>\</errorWord>
      <group>L1_Punc</group>
      <groupName>标点问题</groupName>
      <ability>L2_Punc</ability>
      <abilityName>标点符号检查</abilityName>
      <candidateList/>
      <explain/>
      <paraID>210F6CBC</paraID>
      <start>0</start>
      <end>1</end>
      <status>unmodified</status>
      <modifiedWord/>
      <trackRevisions>false</trackRevisions>
    </reviewItem>
    <reviewItem>
      <errorID>fa41dcde-e4b5-4931-9456-04279c4526e2</errorID>
      <errorWord>\</errorWord>
      <group>L1_Punc</group>
      <groupName>标点问题</groupName>
      <ability>L2_Punc</ability>
      <abilityName>标点符号检查</abilityName>
      <candidateList/>
      <explain/>
      <paraID>67CB2702</paraID>
      <start>0</start>
      <end>1</end>
      <status>unmodified</status>
      <modifiedWord/>
      <trackRevisions>false</trackRevisions>
    </reviewItem>
    <reviewItem>
      <errorID>b529bf67-aa90-4088-8119-e7da1ee52f7a</errorID>
      <errorWord>\</errorWord>
      <group>L1_Punc</group>
      <groupName>标点问题</groupName>
      <ability>L2_Punc</ability>
      <abilityName>标点符号检查</abilityName>
      <candidateList/>
      <explain/>
      <paraID>77A47933</paraID>
      <start>0</start>
      <end>1</end>
      <status>unmodified</status>
      <modifiedWord/>
      <trackRevisions>false</trackRevisions>
    </reviewItem>
    <reviewItem>
      <errorID>87b3274f-b0a1-4ad2-9c18-baeca4c19bb5</errorID>
      <errorWord>\</errorWord>
      <group>L1_Punc</group>
      <groupName>标点问题</groupName>
      <ability>L2_Punc</ability>
      <abilityName>标点符号检查</abilityName>
      <candidateList/>
      <explain/>
      <paraID>7BCA94EE</paraID>
      <start>0</start>
      <end>1</end>
      <status>unmodified</status>
      <modifiedWord/>
      <trackRevisions>false</trackRevisions>
    </reviewItem>
    <reviewItem>
      <errorID>049b0618-9615-4010-87c1-6cb519729954</errorID>
      <errorWord>\</errorWord>
      <group>L1_Punc</group>
      <groupName>标点问题</groupName>
      <ability>L2_Punc</ability>
      <abilityName>标点符号检查</abilityName>
      <candidateList/>
      <explain/>
      <paraID>25C074F6</paraID>
      <start>0</start>
      <end>1</end>
      <status>unmodified</status>
      <modifiedWord/>
      <trackRevisions>false</trackRevisions>
    </reviewItem>
    <reviewItem>
      <errorID>39acc852-107e-4917-897c-6e8509256541</errorID>
      <errorWord>\</errorWord>
      <group>L1_Punc</group>
      <groupName>标点问题</groupName>
      <ability>L2_Punc</ability>
      <abilityName>标点符号检查</abilityName>
      <candidateList/>
      <explain/>
      <paraID>4B820BE6</paraID>
      <start>0</start>
      <end>1</end>
      <status>unmodified</status>
      <modifiedWord/>
      <trackRevisions>false</trackRevisions>
    </reviewItem>
    <reviewItem>
      <errorID>25eeb4ce-b21b-47dd-98f0-f331930d7e0c</errorID>
      <errorWord>\</errorWord>
      <group>L1_Punc</group>
      <groupName>标点问题</groupName>
      <ability>L2_Punc</ability>
      <abilityName>标点符号检查</abilityName>
      <candidateList/>
      <explain/>
      <paraID>570F46BA</paraID>
      <start>0</start>
      <end>1</end>
      <status>unmodified</status>
      <modifiedWord/>
      <trackRevisions>false</trackRevisions>
    </reviewItem>
    <reviewItem>
      <errorID>4c6e998d-3019-4847-a26c-22ccca686df9</errorID>
      <errorWord>\</errorWord>
      <group>L1_Punc</group>
      <groupName>标点问题</groupName>
      <ability>L2_Punc</ability>
      <abilityName>标点符号检查</abilityName>
      <candidateList/>
      <explain/>
      <paraID>  19350D</paraID>
      <start>0</start>
      <end>1</end>
      <status>unmodified</status>
      <modifiedWord/>
      <trackRevisions>false</trackRevisions>
    </reviewItem>
    <reviewItem>
      <errorID>892f8366-512d-42e6-81a1-3536dc3aadf6</errorID>
      <errorWord>\</errorWord>
      <group>L1_Punc</group>
      <groupName>标点问题</groupName>
      <ability>L2_Punc</ability>
      <abilityName>标点符号检查</abilityName>
      <candidateList/>
      <explain/>
      <paraID>56134B6B</paraID>
      <start>0</start>
      <end>1</end>
      <status>unmodified</status>
      <modifiedWord/>
      <trackRevisions>false</trackRevisions>
    </reviewItem>
    <reviewItem>
      <errorID>65f7fa38-4551-4e89-a667-384f4e798533</errorID>
      <errorWord>\</errorWord>
      <group>L1_Punc</group>
      <groupName>标点问题</groupName>
      <ability>L2_Punc</ability>
      <abilityName>标点符号检查</abilityName>
      <candidateList/>
      <explain/>
      <paraID>3D411B31</paraID>
      <start>0</start>
      <end>1</end>
      <status>unmodified</status>
      <modifiedWord/>
      <trackRevisions>false</trackRevisions>
    </reviewItem>
    <reviewItem>
      <errorID>e6480765-b809-4d2f-abd6-62cd35362f82</errorID>
      <errorWord>\</errorWord>
      <group>L1_Punc</group>
      <groupName>标点问题</groupName>
      <ability>L2_Punc</ability>
      <abilityName>标点符号检查</abilityName>
      <candidateList/>
      <explain/>
      <paraID>6C5D15A2</paraID>
      <start>0</start>
      <end>1</end>
      <status>unmodified</status>
      <modifiedWord/>
      <trackRevisions>false</trackRevisions>
    </reviewItem>
    <reviewItem>
      <errorID>34c20026-f0c0-48f7-a33d-2bcbff2297ce</errorID>
      <errorWord>\</errorWord>
      <group>L1_Punc</group>
      <groupName>标点问题</groupName>
      <ability>L2_Punc</ability>
      <abilityName>标点符号检查</abilityName>
      <candidateList/>
      <explain/>
      <paraID>4A13E595</paraID>
      <start>0</start>
      <end>1</end>
      <status>unmodified</status>
      <modifiedWord/>
      <trackRevisions>false</trackRevisions>
    </reviewItem>
    <reviewItem>
      <errorID>7a42b807-c34b-42b0-9992-cf32ec1a9dbb</errorID>
      <errorWord>\</errorWord>
      <group>L1_Punc</group>
      <groupName>标点问题</groupName>
      <ability>L2_Punc</ability>
      <abilityName>标点符号检查</abilityName>
      <candidateList/>
      <explain/>
      <paraID>785B572C</paraID>
      <start>0</start>
      <end>1</end>
      <status>unmodified</status>
      <modifiedWord/>
      <trackRevisions>false</trackRevisions>
    </reviewItem>
    <reviewItem>
      <errorID>8af1de87-b018-4a69-903b-5b620ea45035</errorID>
      <errorWord>\</errorWord>
      <group>L1_Punc</group>
      <groupName>标点问题</groupName>
      <ability>L2_Punc</ability>
      <abilityName>标点符号检查</abilityName>
      <candidateList/>
      <explain/>
      <paraID>311C311D</paraID>
      <start>0</start>
      <end>1</end>
      <status>unmodified</status>
      <modifiedWord/>
      <trackRevisions>false</trackRevisions>
    </reviewItem>
    <reviewItem>
      <errorID>5840edc2-4139-4500-9077-9ff7fe9b6184</errorID>
      <errorWord>\</errorWord>
      <group>L1_Punc</group>
      <groupName>标点问题</groupName>
      <ability>L2_Punc</ability>
      <abilityName>标点符号检查</abilityName>
      <candidateList/>
      <explain/>
      <paraID>2195011A</paraID>
      <start>0</start>
      <end>1</end>
      <status>unmodified</status>
      <modifiedWord/>
      <trackRevisions>false</trackRevisions>
    </reviewItem>
    <reviewItem>
      <errorID>781b9a46-0055-408e-839a-916f893aa8a4</errorID>
      <errorWord>\</errorWord>
      <group>L1_Punc</group>
      <groupName>标点问题</groupName>
      <ability>L2_Punc</ability>
      <abilityName>标点符号检查</abilityName>
      <candidateList/>
      <explain/>
      <paraID>5446E3BA</paraID>
      <start>0</start>
      <end>1</end>
      <status>unmodified</status>
      <modifiedWord/>
      <trackRevisions>false</trackRevisions>
    </reviewItem>
    <reviewItem>
      <errorID>0cf90a89-b647-4dd4-b2f8-0f4ec287f235</errorID>
      <errorWord>\</errorWord>
      <group>L1_Punc</group>
      <groupName>标点问题</groupName>
      <ability>L2_Punc</ability>
      <abilityName>标点符号检查</abilityName>
      <candidateList/>
      <explain/>
      <paraID>3E9B3C2C</paraID>
      <start>0</start>
      <end>1</end>
      <status>unmodified</status>
      <modifiedWord/>
      <trackRevisions>false</trackRevisions>
    </reviewItem>
    <reviewItem>
      <errorID>189be843-b014-4189-88fd-26fe5ed6d643</errorID>
      <errorWord>\</errorWord>
      <group>L1_Punc</group>
      <groupName>标点问题</groupName>
      <ability>L2_Punc</ability>
      <abilityName>标点符号检查</abilityName>
      <candidateList/>
      <explain/>
      <paraID>64604983</paraID>
      <start>0</start>
      <end>1</end>
      <status>unmodified</status>
      <modifiedWord/>
      <trackRevisions>false</trackRevisions>
    </reviewItem>
    <reviewItem>
      <errorID>f328e4b9-e11d-4c60-87d6-d1a27d1ade7b</errorID>
      <errorWord>\</errorWord>
      <group>L1_Punc</group>
      <groupName>标点问题</groupName>
      <ability>L2_Punc</ability>
      <abilityName>标点符号检查</abilityName>
      <candidateList/>
      <explain/>
      <paraID>255F657D</paraID>
      <start>0</start>
      <end>1</end>
      <status>unmodified</status>
      <modifiedWord/>
      <trackRevisions>false</trackRevisions>
    </reviewItem>
    <reviewItem>
      <errorID>05de4d6a-15d1-4094-8cea-24cb6834a1c9</errorID>
      <errorWord>\</errorWord>
      <group>L1_Punc</group>
      <groupName>标点问题</groupName>
      <ability>L2_Punc</ability>
      <abilityName>标点符号检查</abilityName>
      <candidateList/>
      <explain/>
      <paraID>57C5285A</paraID>
      <start>0</start>
      <end>1</end>
      <status>unmodified</status>
      <modifiedWord/>
      <trackRevisions>false</trackRevisions>
    </reviewItem>
    <reviewItem>
      <errorID>89e8af17-2435-4ed0-88ac-82b0e3d10966</errorID>
      <errorWord>\</errorWord>
      <group>L1_Punc</group>
      <groupName>标点问题</groupName>
      <ability>L2_Punc</ability>
      <abilityName>标点符号检查</abilityName>
      <candidateList/>
      <explain/>
      <paraID>311366DE</paraID>
      <start>0</start>
      <end>1</end>
      <status>unmodified</status>
      <modifiedWord/>
      <trackRevisions>false</trackRevisions>
    </reviewItem>
    <reviewItem>
      <errorID>2147ae9f-479e-4eb0-9a74-d4545b908c4f</errorID>
      <errorWord>\</errorWord>
      <group>L1_Punc</group>
      <groupName>标点问题</groupName>
      <ability>L2_Punc</ability>
      <abilityName>标点符号检查</abilityName>
      <candidateList/>
      <explain/>
      <paraID>505E2C56</paraID>
      <start>0</start>
      <end>1</end>
      <status>unmodified</status>
      <modifiedWord/>
      <trackRevisions>false</trackRevisions>
    </reviewItem>
    <reviewItem>
      <errorID>cd7ce316-1545-4df8-80da-a1f2b6918d6d</errorID>
      <errorWord>\</errorWord>
      <group>L1_Punc</group>
      <groupName>标点问题</groupName>
      <ability>L2_Punc</ability>
      <abilityName>标点符号检查</abilityName>
      <candidateList/>
      <explain/>
      <paraID>3C53F03D</paraID>
      <start>0</start>
      <end>1</end>
      <status>unmodified</status>
      <modifiedWord/>
      <trackRevisions>false</trackRevisions>
    </reviewItem>
    <reviewItem>
      <errorID>d262a7f7-72c7-406d-9b04-cdbf8c992af1</errorID>
      <errorWord>\</errorWord>
      <group>L1_Punc</group>
      <groupName>标点问题</groupName>
      <ability>L2_Punc</ability>
      <abilityName>标点符号检查</abilityName>
      <candidateList/>
      <explain/>
      <paraID>7B3421A2</paraID>
      <start>0</start>
      <end>1</end>
      <status>unmodified</status>
      <modifiedWord/>
      <trackRevisions>false</trackRevisions>
    </reviewItem>
    <reviewItem>
      <errorID>f4293133-7d45-4f83-ba18-82ceb23af680</errorID>
      <errorWord>\</errorWord>
      <group>L1_Punc</group>
      <groupName>标点问题</groupName>
      <ability>L2_Punc</ability>
      <abilityName>标点符号检查</abilityName>
      <candidateList/>
      <explain/>
      <paraID>35E055F0</paraID>
      <start>0</start>
      <end>1</end>
      <status>unmodified</status>
      <modifiedWord/>
      <trackRevisions>false</trackRevisions>
    </reviewItem>
    <reviewItem>
      <errorID>04cafe7f-2f20-4493-9073-6d6f26941ca8</errorID>
      <errorWord>\</errorWord>
      <group>L1_Punc</group>
      <groupName>标点问题</groupName>
      <ability>L2_Punc</ability>
      <abilityName>标点符号检查</abilityName>
      <candidateList/>
      <explain/>
      <paraID>7A4DAD3A</paraID>
      <start>0</start>
      <end>1</end>
      <status>unmodified</status>
      <modifiedWord/>
      <trackRevisions>false</trackRevisions>
    </reviewItem>
    <reviewItem>
      <errorID>e8d0d409-bb7f-400d-99c5-bb9fb52ce28a</errorID>
      <errorWord>\</errorWord>
      <group>L1_Punc</group>
      <groupName>标点问题</groupName>
      <ability>L2_Punc</ability>
      <abilityName>标点符号检查</abilityName>
      <candidateList/>
      <explain/>
      <paraID>10FB907F</paraID>
      <start>0</start>
      <end>1</end>
      <status>unmodified</status>
      <modifiedWord/>
      <trackRevisions>false</trackRevisions>
    </reviewItem>
    <reviewItem>
      <errorID>58451eaf-0212-446b-96bc-ccb8bfe073f3</errorID>
      <errorWord>\</errorWord>
      <group>L1_Punc</group>
      <groupName>标点问题</groupName>
      <ability>L2_Punc</ability>
      <abilityName>标点符号检查</abilityName>
      <candidateList/>
      <explain/>
      <paraID>17C3BFC9</paraID>
      <start>0</start>
      <end>1</end>
      <status>unmodified</status>
      <modifiedWord/>
      <trackRevisions>false</trackRevisions>
    </reviewItem>
    <reviewItem>
      <errorID>35630e71-dba0-4a62-b228-d9cafae60f9d</errorID>
      <errorWord>\</errorWord>
      <group>L1_Punc</group>
      <groupName>标点问题</groupName>
      <ability>L2_Punc</ability>
      <abilityName>标点符号检查</abilityName>
      <candidateList/>
      <explain/>
      <paraID>4BA13BB7</paraID>
      <start>0</start>
      <end>1</end>
      <status>unmodified</status>
      <modifiedWord/>
      <trackRevisions>false</trackRevisions>
    </reviewItem>
    <reviewItem>
      <errorID>f627e11f-be87-4818-894e-bb2e4d7f1b0a</errorID>
      <errorWord>\</errorWord>
      <group>L1_Punc</group>
      <groupName>标点问题</groupName>
      <ability>L2_Punc</ability>
      <abilityName>标点符号检查</abilityName>
      <candidateList/>
      <explain/>
      <paraID> 37CB014</paraID>
      <start>0</start>
      <end>1</end>
      <status>unmodified</status>
      <modifiedWord/>
      <trackRevisions>false</trackRevisions>
    </reviewItem>
    <reviewItem>
      <errorID>adaf5063-cc59-4092-b16c-cc4c1fe0cec4</errorID>
      <errorWord>\</errorWord>
      <group>L1_Punc</group>
      <groupName>标点问题</groupName>
      <ability>L2_Punc</ability>
      <abilityName>标点符号检查</abilityName>
      <candidateList/>
      <explain/>
      <paraID>26940705</paraID>
      <start>0</start>
      <end>1</end>
      <status>unmodified</status>
      <modifiedWord/>
      <trackRevisions>false</trackRevisions>
    </reviewItem>
    <reviewItem>
      <errorID>1d3f022d-f421-4bd6-b60c-cc2eafbed5a6</errorID>
      <errorWord>\</errorWord>
      <group>L1_Punc</group>
      <groupName>标点问题</groupName>
      <ability>L2_Punc</ability>
      <abilityName>标点符号检查</abilityName>
      <candidateList/>
      <explain/>
      <paraID>17DE0E54</paraID>
      <start>0</start>
      <end>1</end>
      <status>unmodified</status>
      <modifiedWord/>
      <trackRevisions>false</trackRevisions>
    </reviewItem>
    <reviewItem>
      <errorID>65188337-87a3-4feb-9ff4-c603bf608ee5</errorID>
      <errorWord>\</errorWord>
      <group>L1_Punc</group>
      <groupName>标点问题</groupName>
      <ability>L2_Punc</ability>
      <abilityName>标点符号检查</abilityName>
      <candidateList/>
      <explain/>
      <paraID>3CD8793E</paraID>
      <start>0</start>
      <end>1</end>
      <status>unmodified</status>
      <modifiedWord/>
      <trackRevisions>false</trackRevisions>
    </reviewItem>
    <reviewItem>
      <errorID>fbe56eb8-9dc6-41c0-a616-c8a84efd330d</errorID>
      <errorWord>\</errorWord>
      <group>L1_Punc</group>
      <groupName>标点问题</groupName>
      <ability>L2_Punc</ability>
      <abilityName>标点符号检查</abilityName>
      <candidateList/>
      <explain/>
      <paraID>19C9D676</paraID>
      <start>0</start>
      <end>1</end>
      <status>unmodified</status>
      <modifiedWord/>
      <trackRevisions>false</trackRevisions>
    </reviewItem>
    <reviewItem>
      <errorID>465217df-4921-409e-97e9-800e67eb449f</errorID>
      <errorWord>\</errorWord>
      <group>L1_Punc</group>
      <groupName>标点问题</groupName>
      <ability>L2_Punc</ability>
      <abilityName>标点符号检查</abilityName>
      <candidateList/>
      <explain/>
      <paraID>6F351FE4</paraID>
      <start>0</start>
      <end>1</end>
      <status>unmodified</status>
      <modifiedWord/>
      <trackRevisions>false</trackRevisions>
    </reviewItem>
    <reviewItem>
      <errorID>fbd2ca60-4f68-418d-b252-b01ca65a910b</errorID>
      <errorWord>\</errorWord>
      <group>L1_Punc</group>
      <groupName>标点问题</groupName>
      <ability>L2_Punc</ability>
      <abilityName>标点符号检查</abilityName>
      <candidateList/>
      <explain/>
      <paraID>76B5F508</paraID>
      <start>0</start>
      <end>1</end>
      <status>unmodified</status>
      <modifiedWord/>
      <trackRevisions>false</trackRevisions>
    </reviewItem>
    <reviewItem>
      <errorID>0fb1c8d7-d8d0-491a-8b87-0dc03119eb68</errorID>
      <errorWord>\</errorWord>
      <group>L1_Punc</group>
      <groupName>标点问题</groupName>
      <ability>L2_Punc</ability>
      <abilityName>标点符号检查</abilityName>
      <candidateList/>
      <explain/>
      <paraID>3D862FEA</paraID>
      <start>0</start>
      <end>1</end>
      <status>unmodified</status>
      <modifiedWord/>
      <trackRevisions>false</trackRevisions>
    </reviewItem>
    <reviewItem>
      <errorID>b4c90680-a9cf-4a76-a127-557095c288d8</errorID>
      <errorWord>\</errorWord>
      <group>L1_Punc</group>
      <groupName>标点问题</groupName>
      <ability>L2_Punc</ability>
      <abilityName>标点符号检查</abilityName>
      <candidateList/>
      <explain/>
      <paraID>5FE8EF29</paraID>
      <start>0</start>
      <end>1</end>
      <status>unmodified</status>
      <modifiedWord/>
      <trackRevisions>false</trackRevisions>
    </reviewItem>
    <reviewItem>
      <errorID>a7e779fc-84d3-497b-80f6-4f2c7132110f</errorID>
      <errorWord>\</errorWord>
      <group>L1_Punc</group>
      <groupName>标点问题</groupName>
      <ability>L2_Punc</ability>
      <abilityName>标点符号检查</abilityName>
      <candidateList/>
      <explain/>
      <paraID>5B2AFEAE</paraID>
      <start>0</start>
      <end>1</end>
      <status>unmodified</status>
      <modifiedWord/>
      <trackRevisions>false</trackRevisions>
    </reviewItem>
    <reviewItem>
      <errorID>9df4287f-8495-4b20-86a1-69d5fde19fef</errorID>
      <errorWord>\</errorWord>
      <group>L1_Punc</group>
      <groupName>标点问题</groupName>
      <ability>L2_Punc</ability>
      <abilityName>标点符号检查</abilityName>
      <candidateList/>
      <explain/>
      <paraID>1B795119</paraID>
      <start>0</start>
      <end>1</end>
      <status>unmodified</status>
      <modifiedWord/>
      <trackRevisions>false</trackRevisions>
    </reviewItem>
    <reviewItem>
      <errorID>843bf95b-7879-45c4-9ceb-ef46a6e2f4e0</errorID>
      <errorWord>\</errorWord>
      <group>L1_Punc</group>
      <groupName>标点问题</groupName>
      <ability>L2_Punc</ability>
      <abilityName>标点符号检查</abilityName>
      <candidateList/>
      <explain/>
      <paraID>36157165</paraID>
      <start>0</start>
      <end>1</end>
      <status>unmodified</status>
      <modifiedWord/>
      <trackRevisions>false</trackRevisions>
    </reviewItem>
    <reviewItem>
      <errorID>589f62d7-26e4-4bce-9972-731a0ede98e6</errorID>
      <errorWord>\</errorWord>
      <group>L1_Punc</group>
      <groupName>标点问题</groupName>
      <ability>L2_Punc</ability>
      <abilityName>标点符号检查</abilityName>
      <candidateList/>
      <explain/>
      <paraID>6FABFC57</paraID>
      <start>0</start>
      <end>1</end>
      <status>unmodified</status>
      <modifiedWord/>
      <trackRevisions>false</trackRevisions>
    </reviewItem>
    <reviewItem>
      <errorID>2a60e070-6445-42f9-a8db-0a9bfffd7e2b</errorID>
      <errorWord>\</errorWord>
      <group>L1_Punc</group>
      <groupName>标点问题</groupName>
      <ability>L2_Punc</ability>
      <abilityName>标点符号检查</abilityName>
      <candidateList/>
      <explain/>
      <paraID>33FC8ED7</paraID>
      <start>0</start>
      <end>1</end>
      <status>unmodified</status>
      <modifiedWord/>
      <trackRevisions>false</trackRevisions>
    </reviewItem>
    <reviewItem>
      <errorID>6a31e116-4709-4990-a3dc-4c4f25edc12b</errorID>
      <errorWord>\</errorWord>
      <group>L1_Punc</group>
      <groupName>标点问题</groupName>
      <ability>L2_Punc</ability>
      <abilityName>标点符号检查</abilityName>
      <candidateList/>
      <explain/>
      <paraID> 69691B9</paraID>
      <start>0</start>
      <end>1</end>
      <status>unmodified</status>
      <modifiedWord/>
      <trackRevisions>false</trackRevisions>
    </reviewItem>
    <reviewItem>
      <errorID>41269eec-f27b-491d-9771-e7699fe37587</errorID>
      <errorWord>\</errorWord>
      <group>L1_Punc</group>
      <groupName>标点问题</groupName>
      <ability>L2_Punc</ability>
      <abilityName>标点符号检查</abilityName>
      <candidateList/>
      <explain/>
      <paraID>316F0812</paraID>
      <start>0</start>
      <end>1</end>
      <status>unmodified</status>
      <modifiedWord/>
      <trackRevisions>false</trackRevisions>
    </reviewItem>
    <reviewItem>
      <errorID>3e1fb2c9-1fe3-4738-977c-cfb886bcdacb</errorID>
      <errorWord>\</errorWord>
      <group>L1_Punc</group>
      <groupName>标点问题</groupName>
      <ability>L2_Punc</ability>
      <abilityName>标点符号检查</abilityName>
      <candidateList/>
      <explain/>
      <paraID> B956672</paraID>
      <start>0</start>
      <end>1</end>
      <status>unmodified</status>
      <modifiedWord/>
      <trackRevisions>false</trackRevisions>
    </reviewItem>
    <reviewItem>
      <errorID>641f7ad3-5790-4a54-9fa8-deb17d5381f6</errorID>
      <errorWord>\</errorWord>
      <group>L1_Punc</group>
      <groupName>标点问题</groupName>
      <ability>L2_Punc</ability>
      <abilityName>标点符号检查</abilityName>
      <candidateList/>
      <explain/>
      <paraID>7D87D6F6</paraID>
      <start>0</start>
      <end>1</end>
      <status>unmodified</status>
      <modifiedWord/>
      <trackRevisions>false</trackRevisions>
    </reviewItem>
    <reviewItem>
      <errorID>8230e5eb-4d25-45f9-ac32-3f1ca8edf7b9</errorID>
      <errorWord>~</errorWord>
      <group>L1_Format</group>
      <groupName>格式问题</groupName>
      <ability>L2_HalfPunc</ability>
      <abilityName>全半角检查</abilityName>
      <candidateList>
        <item>～</item>
      </candidateList>
      <explain>文本全半角错误。</explain>
      <paraID> 37A37F9</paraID>
      <start>3</start>
      <end>4</end>
      <status>unmodified</status>
      <modifiedWord/>
      <trackRevisions>false</trackRevisions>
    </reviewItem>
    <reviewItem>
      <errorID>04dc6d5b-ae24-4a7c-84e3-722c9b3d97d3</errorID>
      <errorWord>~</errorWord>
      <group>L1_Format</group>
      <groupName>格式问题</groupName>
      <ability>L2_HalfPunc</ability>
      <abilityName>全半角检查</abilityName>
      <candidateList>
        <item>～</item>
      </candidateList>
      <explain>文本全半角错误。</explain>
      <paraID>67526903</paraID>
      <start>3</start>
      <end>4</end>
      <status>unmodified</status>
      <modifiedWord/>
      <trackRevisions>false</trackRevisions>
    </reviewItem>
    <reviewItem>
      <errorID>d76c9335-f333-4d83-9c7b-dad9c6e074f7</errorID>
      <errorWord>~</errorWord>
      <group>L1_Format</group>
      <groupName>格式问题</groupName>
      <ability>L2_HalfPunc</ability>
      <abilityName>全半角检查</abilityName>
      <candidateList>
        <item>～</item>
      </candidateList>
      <explain>文本全半角错误。</explain>
      <paraID>38EDC476</paraID>
      <start>3</start>
      <end>4</end>
      <status>unmodified</status>
      <modifiedWord/>
      <trackRevisions>false</trackRevisions>
    </reviewItem>
    <reviewItem>
      <errorID>2875a416-4bf2-47a6-ae9e-64849f85494b</errorID>
      <errorWord>~</errorWord>
      <group>L1_Format</group>
      <groupName>格式问题</groupName>
      <ability>L2_HalfPunc</ability>
      <abilityName>全半角检查</abilityName>
      <candidateList>
        <item>～</item>
      </candidateList>
      <explain>文本全半角错误。</explain>
      <paraID>74766D12</paraID>
      <start>2</start>
      <end>3</end>
      <status>unmodified</status>
      <modifiedWord/>
      <trackRevisions>false</trackRevisions>
    </reviewItem>
    <reviewItem>
      <errorID>8f12acd1-16c1-4265-b1a6-a10764745ad9</errorID>
      <errorWord>(</errorWord>
      <group>L1_Format</group>
      <groupName>格式问题</groupName>
      <ability>L2_HalfPunc</ability>
      <abilityName>全半角检查</abilityName>
      <candidateList>
        <item>（</item>
      </candidateList>
      <explain>文本全半角错误。</explain>
      <paraID>1C01B44B</paraID>
      <start>36</start>
      <end>37</end>
      <status>unmodified</status>
      <modifiedWord/>
      <trackRevisions>false</trackRevisions>
    </reviewItem>
    <reviewItem>
      <errorID>85cb7af6-5088-4830-90aa-f0b5c66ccae2</errorID>
      <errorWord>)</errorWord>
      <group>L1_Format</group>
      <groupName>格式问题</groupName>
      <ability>L2_HalfPunc</ability>
      <abilityName>全半角检查</abilityName>
      <candidateList>
        <item>）</item>
      </candidateList>
      <explain>文本全半角错误。</explain>
      <paraID>1C01B44B</paraID>
      <start>39</start>
      <end>40</end>
      <status>unmodified</status>
      <modifiedWord/>
      <trackRevisions>false</trackRevisions>
    </reviewItem>
    <reviewItem>
      <errorID>f7a4063f-9124-4004-bcef-c34b1e200dcd</errorID>
      <errorWord>砾幕</errorWord>
      <group>L1_Word</group>
      <groupName>字词问题</groupName>
      <ability>L2_Typo</ability>
      <abilityName>字词错误</abilityName>
      <candidateList>
        <item>林木</item>
      </candidateList>
      <explain/>
      <paraID>205863E8</paraID>
      <start>103</start>
      <end>105</end>
      <status>unmodified</status>
      <modifiedWord/>
      <trackRevisions>false</trackRevisions>
    </reviewItem>
    <reviewItem>
      <errorID>92e77956-e67a-42bb-a23d-a9c7ace6aa4b</errorID>
      <errorWord>5%~20%</errorWord>
      <group>L1_Knowledge</group>
      <groupName>知识性问题</groupName>
      <ability>L2_Knowledge</ability>
      <abilityName>其他知识</abilityName>
      <candidateList>
        <item>5%～20%</item>
      </candidateList>
      <explain>1. “5%~20%”中的单位“%”仅出现在后一个数字上，容易引起歧义；根据《现代汉语标点符号数字用法规范手册》，数字表示范围两边需要使用统一的格式。2. 根据标点国标 4.13 中的规则，数字、时间或地域连接符应使用（视觉上更长的）“—”或“～”。</explain>
      <paraID>7A94684D</paraID>
      <start>87</start>
      <end>93</end>
      <status>unmodified</status>
      <modifiedWord/>
      <trackRevisions>false</trackRevisions>
    </reviewItem>
    <reviewItem>
      <errorID>ba2b257c-415a-4d12-943a-219e350629b1</errorID>
      <errorWord>~</errorWord>
      <group>L1_Format</group>
      <groupName>格式问题</groupName>
      <ability>L2_HalfPunc</ability>
      <abilityName>全半角检查</abilityName>
      <candidateList>
        <item>～</item>
      </candidateList>
      <explain>文本全半角错误。</explain>
      <paraID>40D29A7F</paraID>
      <start>19</start>
      <end>20</end>
      <status>unmodified</status>
      <modifiedWord/>
      <trackRevisions>false</trackRevisions>
    </reviewItem>
    <reviewItem>
      <errorID>dd8f32de-0f46-49a3-a40b-2ec1ac52ce29</errorID>
      <errorWord>~</errorWord>
      <group>L1_Format</group>
      <groupName>格式问题</groupName>
      <ability>L2_HalfPunc</ability>
      <abilityName>全半角检查</abilityName>
      <candidateList>
        <item>～</item>
      </candidateList>
      <explain>文本全半角错误。</explain>
      <paraID>40D29A7F</paraID>
      <start>122</start>
      <end>123</end>
      <status>unmodified</status>
      <modifiedWord/>
      <trackRevisions>false</trackRevisions>
    </reviewItem>
    <reviewItem>
      <errorID>25bd8baa-0e87-4970-8afd-d2ae4a231076</errorID>
      <errorWord>~</errorWord>
      <group>L1_Format</group>
      <groupName>格式问题</groupName>
      <ability>L2_HalfPunc</ability>
      <abilityName>全半角检查</abilityName>
      <candidateList>
        <item>～</item>
      </candidateList>
      <explain>文本全半角错误。</explain>
      <paraID>40D29A7F</paraID>
      <start>174</start>
      <end>175</end>
      <status>unmodified</status>
      <modifiedWord/>
      <trackRevisions>false</trackRevisions>
    </reviewItem>
    <reviewItem>
      <errorID>dd74d3ef-d83f-4db8-9f14-0f3806ba0747</errorID>
      <errorWord>~</errorWord>
      <group>L1_Format</group>
      <groupName>格式问题</groupName>
      <ability>L2_HalfPunc</ability>
      <abilityName>全半角检查</abilityName>
      <candidateList>
        <item>～</item>
      </candidateList>
      <explain>文本全半角错误。</explain>
      <paraID>40D29A7F</paraID>
      <start>224</start>
      <end>225</end>
      <status>unmodified</status>
      <modifiedWord/>
      <trackRevisions>false</trackRevisions>
    </reviewItem>
    <reviewItem>
      <errorID>6da225e4-80f2-44c9-94b5-824a82951fcd</errorID>
      <errorWord>，</errorWord>
      <group>L1_Format</group>
      <groupName>格式问题</groupName>
      <ability>L2_HalfPunc</ability>
      <abilityName>全半角检查</abilityName>
      <candidateList>
        <item>, </item>
      </candidateList>
      <explain>文本全半角错误。</explain>
      <paraID>7F6B1ACE</paraID>
      <start>15</start>
      <end>16</end>
      <status>unmodified</status>
      <modifiedWord/>
      <trackRevisions>false</trackRevisions>
    </reviewItem>
    <reviewItem>
      <errorID>6f0c0e72-e55a-44c5-9b24-77da5e436333</errorID>
      <errorWord>，</errorWord>
      <group>L1_Format</group>
      <groupName>格式问题</groupName>
      <ability>L2_HalfPunc</ability>
      <abilityName>全半角检查</abilityName>
      <candidateList>
        <item>, </item>
      </candidateList>
      <explain>文本全半角错误。</explain>
      <paraID>26D12A9C</paraID>
      <start>15</start>
      <end>16</end>
      <status>unmodified</status>
      <modifiedWord/>
      <trackRevisions>false</trackRevisions>
    </reviewItem>
    <reviewItem>
      <errorID>86e49059-2fdb-4e00-9baa-7855d214255d</errorID>
      <errorWord>，</errorWord>
      <group>L1_Format</group>
      <groupName>格式问题</groupName>
      <ability>L2_HalfPunc</ability>
      <abilityName>全半角检查</abilityName>
      <candidateList>
        <item>, </item>
      </candidateList>
      <explain>文本全半角错误。</explain>
      <paraID>64D138BB</paraID>
      <start>15</start>
      <end>16</end>
      <status>unmodified</status>
      <modifiedWord/>
      <trackRevisions>false</trackRevisions>
    </reviewItem>
    <reviewItem>
      <errorID>e4ca0635-0147-41ea-9fb3-9e53787767b9</errorID>
      <errorWord>，</errorWord>
      <group>L1_Format</group>
      <groupName>格式问题</groupName>
      <ability>L2_HalfPunc</ability>
      <abilityName>全半角检查</abilityName>
      <candidateList>
        <item>, </item>
      </candidateList>
      <explain>文本全半角错误。</explain>
      <paraID> 20BD3E0</paraID>
      <start>15</start>
      <end>16</end>
      <status>unmodified</status>
      <modifiedWord/>
      <trackRevisions>false</trackRevisions>
    </reviewItem>
    <reviewItem>
      <errorID>c5c5a001-5e16-405d-885f-bf269a9fa3f9</errorID>
      <errorWord>，</errorWord>
      <group>L1_Format</group>
      <groupName>格式问题</groupName>
      <ability>L2_HalfPunc</ability>
      <abilityName>全半角检查</abilityName>
      <candidateList>
        <item>, </item>
      </candidateList>
      <explain>文本全半角错误。</explain>
      <paraID> 9C3C770</paraID>
      <start>15</start>
      <end>16</end>
      <status>unmodified</status>
      <modifiedWord/>
      <trackRevisions>false</trackRevisions>
    </reviewItem>
    <reviewItem>
      <errorID>85147fc5-30b3-40b2-aa83-fd44ae420430</errorID>
      <errorWord>~</errorWord>
      <group>L1_Format</group>
      <groupName>格式问题</groupName>
      <ability>L2_HalfPunc</ability>
      <abilityName>全半角检查</abilityName>
      <candidateList>
        <item>～</item>
      </candidateList>
      <explain>文本全半角错误。</explain>
      <paraID> 596881F</paraID>
      <start>6</start>
      <end>7</end>
      <status>unmodified</status>
      <modifiedWord/>
      <trackRevisions>false</trackRevisions>
    </reviewItem>
    <reviewItem>
      <errorID>949154d0-3315-47cb-bb00-9e241a0b22a3</errorID>
      <errorWord>，</errorWord>
      <group>L1_Format</group>
      <groupName>格式问题</groupName>
      <ability>L2_HalfPunc</ability>
      <abilityName>全半角检查</abilityName>
      <candidateList>
        <item>, </item>
      </candidateList>
      <explain>文本全半角错误。</explain>
      <paraID>340F23CA</paraID>
      <start>15</start>
      <end>16</end>
      <status>unmodified</status>
      <modifiedWord/>
      <trackRevisions>false</trackRevisions>
    </reviewItem>
    <reviewItem>
      <errorID>361487a5-f48f-4d8d-aa2b-1eef8eafe3b5</errorID>
      <errorWord>，</errorWord>
      <group>L1_Format</group>
      <groupName>格式问题</groupName>
      <ability>L2_HalfPunc</ability>
      <abilityName>全半角检查</abilityName>
      <candidateList>
        <item>, </item>
      </candidateList>
      <explain>文本全半角错误。</explain>
      <paraID>64495F4D</paraID>
      <start>15</start>
      <end>16</end>
      <status>unmodified</status>
      <modifiedWord/>
      <trackRevisions>false</trackRevisions>
    </reviewItem>
    <reviewItem>
      <errorID>5509eea7-dd59-46a0-9c3c-9dda5ee83bc2</errorID>
      <errorWord>，</errorWord>
      <group>L1_Format</group>
      <groupName>格式问题</groupName>
      <ability>L2_HalfPunc</ability>
      <abilityName>全半角检查</abilityName>
      <candidateList>
        <item>, </item>
      </candidateList>
      <explain>文本全半角错误。</explain>
      <paraID>226026AA</paraID>
      <start>15</start>
      <end>16</end>
      <status>unmodified</status>
      <modifiedWord/>
      <trackRevisions>false</trackRevisions>
    </reviewItem>
    <reviewItem>
      <errorID>15452276-8f83-449b-b066-ad6f3c80e058</errorID>
      <errorWord>~</errorWord>
      <group>L1_Format</group>
      <groupName>格式问题</groupName>
      <ability>L2_HalfPunc</ability>
      <abilityName>全半角检查</abilityName>
      <candidateList>
        <item>～</item>
      </candidateList>
      <explain>文本全半角错误。</explain>
      <paraID>77225379</paraID>
      <start>6</start>
      <end>7</end>
      <status>unmodified</status>
      <modifiedWord/>
      <trackRevisions>false</trackRevisions>
    </reviewItem>
    <reviewItem>
      <errorID>bdfed3dd-c196-47b4-a9f1-91385cb4aeeb</errorID>
      <errorWord>，</errorWord>
      <group>L1_Format</group>
      <groupName>格式问题</groupName>
      <ability>L2_HalfPunc</ability>
      <abilityName>全半角检查</abilityName>
      <candidateList>
        <item>, </item>
      </candidateList>
      <explain>文本全半角错误。</explain>
      <paraID>77DA2887</paraID>
      <start>15</start>
      <end>16</end>
      <status>unmodified</status>
      <modifiedWord/>
      <trackRevisions>false</trackRevisions>
    </reviewItem>
    <reviewItem>
      <errorID>4713309f-d009-4b3c-b356-4947fd6dcfbe</errorID>
      <errorWord>~</errorWord>
      <group>L1_Format</group>
      <groupName>格式问题</groupName>
      <ability>L2_HalfPunc</ability>
      <abilityName>全半角检查</abilityName>
      <candidateList>
        <item>～</item>
      </candidateList>
      <explain>文本全半角错误。</explain>
      <paraID>684E8787</paraID>
      <start>6</start>
      <end>7</end>
      <status>unmodified</status>
      <modifiedWord/>
      <trackRevisions>false</trackRevisions>
    </reviewItem>
    <reviewItem>
      <errorID>b0230fe7-50e7-4758-9ef1-4041a1ca788f</errorID>
      <errorWord>，</errorWord>
      <group>L1_Format</group>
      <groupName>格式问题</groupName>
      <ability>L2_HalfPunc</ability>
      <abilityName>全半角检查</abilityName>
      <candidateList>
        <item>, </item>
      </candidateList>
      <explain>文本全半角错误。</explain>
      <paraID> CECA1EF</paraID>
      <start>15</start>
      <end>16</end>
      <status>unmodified</status>
      <modifiedWord/>
      <trackRevisions>false</trackRevisions>
    </reviewItem>
    <reviewItem>
      <errorID>7dabec0c-c723-4a46-aa31-ba9ed8df9462</errorID>
      <errorWord>~</errorWord>
      <group>L1_Format</group>
      <groupName>格式问题</groupName>
      <ability>L2_HalfPunc</ability>
      <abilityName>全半角检查</abilityName>
      <candidateList>
        <item>～</item>
      </candidateList>
      <explain>文本全半角错误。</explain>
      <paraID>24F826A9</paraID>
      <start>5</start>
      <end>6</end>
      <status>unmodified</status>
      <modifiedWord/>
      <trackRevisions>false</trackRevisions>
    </reviewItem>
    <reviewItem>
      <errorID>0a82ea3d-ec1d-4a90-951e-8d90c73b2e05</errorID>
      <errorWord>，</errorWord>
      <group>L1_Format</group>
      <groupName>格式问题</groupName>
      <ability>L2_HalfPunc</ability>
      <abilityName>全半角检查</abilityName>
      <candidateList>
        <item>, </item>
      </candidateList>
      <explain>文本全半角错误。</explain>
      <paraID>657417CA</paraID>
      <start>15</start>
      <end>16</end>
      <status>unmodified</status>
      <modifiedWord/>
      <trackRevisions>false</trackRevisions>
    </reviewItem>
    <reviewItem>
      <errorID>7a7bd201-468e-46b1-813e-d908edf76806</errorID>
      <errorWord>，</errorWord>
      <group>L1_Format</group>
      <groupName>格式问题</groupName>
      <ability>L2_HalfPunc</ability>
      <abilityName>全半角检查</abilityName>
      <candidateList>
        <item>, </item>
      </candidateList>
      <explain>文本全半角错误。</explain>
      <paraID>10F19191</paraID>
      <start>15</start>
      <end>16</end>
      <status>unmodified</status>
      <modifiedWord/>
      <trackRevisions>false</trackRevisions>
    </reviewItem>
    <reviewItem>
      <errorID>cc5384cf-207e-4c94-9eb1-a7889b225d09</errorID>
      <errorWord>，</errorWord>
      <group>L1_Format</group>
      <groupName>格式问题</groupName>
      <ability>L2_HalfPunc</ability>
      <abilityName>全半角检查</abilityName>
      <candidateList>
        <item>, </item>
      </candidateList>
      <explain>文本全半角错误。</explain>
      <paraID>5813ACA8</paraID>
      <start>15</start>
      <end>16</end>
      <status>unmodified</status>
      <modifiedWord/>
      <trackRevisions>false</trackRevisions>
    </reviewItem>
    <reviewItem>
      <errorID>33cd8a92-7471-4a90-8f76-cd63cbd7a754</errorID>
      <errorWord>，</errorWord>
      <group>L1_Format</group>
      <groupName>格式问题</groupName>
      <ability>L2_HalfPunc</ability>
      <abilityName>全半角检查</abilityName>
      <candidateList>
        <item>, </item>
      </candidateList>
      <explain>文本全半角错误。</explain>
      <paraID>53DD512D</paraID>
      <start>15</start>
      <end>16</end>
      <status>unmodified</status>
      <modifiedWord/>
      <trackRevisions>false</trackRevisions>
    </reviewItem>
    <reviewItem>
      <errorID>369c565c-52a9-413c-b454-51314b15be5b</errorID>
      <errorWord>)</errorWord>
      <group>L1_Format</group>
      <groupName>格式问题</groupName>
      <ability>L2_HalfPunc</ability>
      <abilityName>全半角检查</abilityName>
      <candidateList>
        <item>）</item>
      </candidateList>
      <explain>文本全半角错误。</explain>
      <paraID>2759C815</paraID>
      <start>18</start>
      <end>19</end>
      <status>unmodified</status>
      <modifiedWord/>
      <trackRevisions>false</trackRevisions>
    </reviewItem>
    <reviewItem>
      <errorID>85d33c63-a206-417b-9ff4-569cd866688b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6295028C</paraID>
      <start>16</start>
      <end>17</end>
      <status>unmodified</status>
      <modifiedWord/>
      <trackRevisions>false</trackRevisions>
    </reviewItem>
    <reviewItem>
      <errorID>dbc72e4b-8215-4956-b033-a9cdd831e3b5</errorID>
      <errorWord>检测点位</errorWord>
      <group>L1_Knowledge</group>
      <groupName>知识性问题</groupName>
      <ability>L2_Term</ability>
      <abilityName>专业术语</abilityName>
      <candidateList>
        <item>监测点位</item>
      </candidateList>
      <explain/>
      <paraID>1BB6C980</paraID>
      <start>0</start>
      <end>4</end>
      <status>unmodified</status>
      <modifiedWord/>
      <trackRevisions>false</trackRevisions>
    </reviewItem>
    <reviewItem>
      <errorID>454317ac-d6c5-4c66-b822-6dce6b945c09</errorID>
      <errorWord>~</errorWord>
      <group>L1_Format</group>
      <groupName>格式问题</groupName>
      <ability>L2_HalfPunc</ability>
      <abilityName>全半角检查</abilityName>
      <candidateList>
        <item>～</item>
      </candidateList>
      <explain>文本全半角错误。</explain>
      <paraID>157758A4</paraID>
      <start>6</start>
      <end>7</end>
      <status>unmodified</status>
      <modifiedWord/>
      <trackRevisions>false</trackRevisions>
    </reviewItem>
    <reviewItem>
      <errorID>9a8a7bfe-9ac3-4abd-becb-4f79514973da</errorID>
      <errorWord>~</errorWord>
      <group>L1_Format</group>
      <groupName>格式问题</groupName>
      <ability>L2_HalfPunc</ability>
      <abilityName>全半角检查</abilityName>
      <candidateList>
        <item>～</item>
      </candidateList>
      <explain>文本全半角错误。</explain>
      <paraID>19F56999</paraID>
      <start>6</start>
      <end>7</end>
      <status>unmodified</status>
      <modifiedWord/>
      <trackRevisions>false</trackRevisions>
    </reviewItem>
    <reviewItem>
      <errorID>df1d7e2d-a5e9-43f2-bca5-b284b3189a77</errorID>
      <errorWord>~</errorWord>
      <group>L1_Format</group>
      <groupName>格式问题</groupName>
      <ability>L2_HalfPunc</ability>
      <abilityName>全半角检查</abilityName>
      <candidateList>
        <item>～</item>
      </candidateList>
      <explain>文本全半角错误。</explain>
      <paraID>528352E5</paraID>
      <start>6</start>
      <end>7</end>
      <status>unmodified</status>
      <modifiedWord/>
      <trackRevisions>false</trackRevisions>
    </reviewItem>
    <reviewItem>
      <errorID>a28738c7-2a82-4846-a8cd-d74bd75a52cc</errorID>
      <errorWord>~</errorWord>
      <group>L1_Format</group>
      <groupName>格式问题</groupName>
      <ability>L2_HalfPunc</ability>
      <abilityName>全半角检查</abilityName>
      <candidateList>
        <item>～</item>
      </candidateList>
      <explain>文本全半角错误。</explain>
      <paraID>312E5C00</paraID>
      <start>5</start>
      <end>6</end>
      <status>unmodified</status>
      <modifiedWord/>
      <trackRevisions>false</trackRevisions>
    </reviewItem>
    <reviewItem>
      <errorID>5a9ed4e8-5821-4635-986d-d670f4e17cfe</errorID>
      <errorWord>监测方法</errorWord>
      <group>L1_Word</group>
      <groupName>字词问题</groupName>
      <ability>L2_Typo</ability>
      <abilityName>字词错误</abilityName>
      <candidateList>
        <item>检测方法</item>
      </candidateList>
      <explain/>
      <paraID>23C3BCAB</paraID>
      <start>0</start>
      <end>4</end>
      <status>unmodified</status>
      <modifiedWord/>
      <trackRevisions>false</trackRevisions>
    </reviewItem>
    <reviewItem>
      <errorID>06ef5f08-c2c7-4169-89a9-9c3c033a62f4</errorID>
      <errorWord>监测方法</errorWord>
      <group>L1_Word</group>
      <groupName>字词问题</groupName>
      <ability>L2_Typo</ability>
      <abilityName>字词错误</abilityName>
      <candidateList>
        <item>检测方法</item>
      </candidateList>
      <explain/>
      <paraID>2729BD6C</paraID>
      <start>3</start>
      <end>7</end>
      <status>unmodified</status>
      <modifiedWord/>
      <trackRevisions>false</trackRevisions>
    </reviewItem>
    <reviewItem>
      <errorID>7d3adbf5-a0d1-4049-8777-c9a8ee76b230</errorID>
      <errorWord>（</errorWord>
      <group>L1_Format</group>
      <groupName>格式问题</groupName>
      <ability>L2_HalfPunc</ability>
      <abilityName>全半角检查</abilityName>
      <candidateList>
        <item>(</item>
      </candidateList>
      <explain>文本全半角错误。</explain>
      <paraID>39B22DA6</paraID>
      <start>0</start>
      <end>1</end>
      <status>unmodified</status>
      <modifiedWord/>
      <trackRevisions>false</trackRevisions>
    </reviewItem>
    <reviewItem>
      <errorID>feeae6b3-d6a2-4ee9-89d9-66f1ac33a808</errorID>
      <errorWord>）</errorWord>
      <group>L1_Format</group>
      <groupName>格式问题</groupName>
      <ability>L2_HalfPunc</ability>
      <abilityName>全半角检查</abilityName>
      <candidateList>
        <item>)</item>
      </candidateList>
      <explain>文本全半角错误。</explain>
      <paraID>39B22DA6</paraID>
      <start>11</start>
      <end>12</end>
      <status>unmodified</status>
      <modifiedWord/>
      <trackRevisions>false</trackRevisions>
    </reviewItem>
    <reviewItem>
      <errorID>92e00191-a9da-4fac-b8bc-fbb5fac25c69</errorID>
      <errorWord>本</errorWord>
      <group>L1_Word</group>
      <groupName>字词问题</groupName>
      <ability>L2_Typo</ability>
      <abilityName>字词错误</abilityName>
      <candidateList>
        <item>本次</item>
      </candidateList>
      <explain/>
      <paraID>4B18C114</paraID>
      <start>52</start>
      <end>53</end>
      <status>unmodified</status>
      <modifiedWord/>
      <trackRevisions>false</trackRevisions>
    </reviewItem>
    <reviewItem>
      <errorID>0ce88f70-4687-4eaf-b840-f7ed5a5827cd</errorID>
      <errorWord>检测点位</errorWord>
      <group>L1_Knowledge</group>
      <groupName>知识性问题</groupName>
      <ability>L2_Term</ability>
      <abilityName>专业术语</abilityName>
      <candidateList>
        <item>监测点位</item>
      </candidateList>
      <explain/>
      <paraID>4714A465</paraID>
      <start>0</start>
      <end>4</end>
      <status>unmodified</status>
      <modifiedWord/>
      <trackRevisions>false</trackRevisions>
    </reviewItem>
    <reviewItem>
      <errorID>af5924e7-842a-42d5-b195-784e8f04d930</errorID>
      <errorWord>（</errorWord>
      <group>L1_Punc</group>
      <groupName>标点问题</groupName>
      <ability>L2_Punc</ability>
      <abilityName>标点符号检查</abilityName>
      <candidateList>
        <item/>
      </candidateList>
      <explain>同一形式括号套用。</explain>
      <paraID> 4725DC8</paraID>
      <start>0</start>
      <end>1</end>
      <status>unmodified</status>
      <modifiedWord/>
      <trackRevisions>false</trackRevisions>
    </reviewItem>
    <reviewItem>
      <errorID>519830d5-38de-47b6-909b-1c662dcedb30</errorID>
      <errorWord>，</errorWord>
      <group>L1_Format</group>
      <groupName>格式问题</groupName>
      <ability>L2_HalfPunc</ability>
      <abilityName>全半角检查</abilityName>
      <candidateList>
        <item>, </item>
      </candidateList>
      <explain>文本全半角错误。</explain>
      <paraID> 4725DC8</paraID>
      <start>4</start>
      <end>5</end>
      <status>unmodified</status>
      <modifiedWord/>
      <trackRevisions>false</trackRevisions>
    </reviewItem>
    <reviewItem>
      <errorID>d15eb517-0096-4479-bcc9-502b4e5f4329</errorID>
      <errorWord>(</errorWord>
      <group>L1_Punc</group>
      <groupName>标点问题</groupName>
      <ability>L2_Punc</ability>
      <abilityName>标点符号检查</abilityName>
      <candidateList/>
      <explain>同一形式括号套用。</explain>
      <paraID> 4725DC8</paraID>
      <start>7</start>
      <end>8</end>
      <status>unmodified</status>
      <modifiedWord/>
      <trackRevisions>false</trackRevisions>
    </reviewItem>
    <reviewItem>
      <errorID>e0fc2dd3-e24f-46aa-861d-c693e5ed1089</errorID>
      <errorWord>)</errorWord>
      <group>L1_Punc</group>
      <groupName>标点问题</groupName>
      <ability>L2_Punc</ability>
      <abilityName>标点符号检查</abilityName>
      <candidateList/>
      <explain>同一形式括号套用。</explain>
      <paraID> 4725DC8</paraID>
      <start>9</start>
      <end>10</end>
      <status>unmodified</status>
      <modifiedWord/>
      <trackRevisions>false</trackRevisions>
    </reviewItem>
    <reviewItem>
      <errorID>f87ecc39-2f86-4260-92f8-e4ba4b63e999</errorID>
      <errorWord>）</errorWord>
      <group>L1_Punc</group>
      <groupName>标点问题</groupName>
      <ability>L2_Punc</ability>
      <abilityName>标点符号检查</abilityName>
      <candidateList/>
      <explain>同一形式括号套用。</explain>
      <paraID> 4725DC8</paraID>
      <start>10</start>
      <end>11</end>
      <status>unmodified</status>
      <modifiedWord/>
      <trackRevisions>false</trackRevisions>
    </reviewItem>
    <reviewItem>
      <errorID>60d7e5d7-15e4-4cd5-a1ab-5dd60b5ed3a0</errorID>
      <errorWord>~</errorWord>
      <group>L1_Format</group>
      <groupName>格式问题</groupName>
      <ability>L2_HalfPunc</ability>
      <abilityName>全半角检查</abilityName>
      <candidateList>
        <item>～</item>
      </candidateList>
      <explain>文本全半角错误。</explain>
      <paraID>4EA048E0</paraID>
      <start>6</start>
      <end>7</end>
      <status>unmodified</status>
      <modifiedWord/>
      <trackRevisions>false</trackRevisions>
    </reviewItem>
    <reviewItem>
      <errorID>538b15ae-31d7-46f9-aabe-ef644aa211f0</errorID>
      <errorWord>~</errorWord>
      <group>L1_Format</group>
      <groupName>格式问题</groupName>
      <ability>L2_HalfPunc</ability>
      <abilityName>全半角检查</abilityName>
      <candidateList>
        <item>～</item>
      </candidateList>
      <explain>文本全半角错误。</explain>
      <paraID>4FFBFD6C</paraID>
      <start>6</start>
      <end>7</end>
      <status>unmodified</status>
      <modifiedWord/>
      <trackRevisions>false</trackRevisions>
    </reviewItem>
    <reviewItem>
      <errorID>69a90b2e-66e1-44e5-b609-f2f553518017</errorID>
      <errorWord>~</errorWord>
      <group>L1_Format</group>
      <groupName>格式问题</groupName>
      <ability>L2_HalfPunc</ability>
      <abilityName>全半角检查</abilityName>
      <candidateList>
        <item>～</item>
      </candidateList>
      <explain>文本全半角错误。</explain>
      <paraID>36789E89</paraID>
      <start>6</start>
      <end>7</end>
      <status>unmodified</status>
      <modifiedWord/>
      <trackRevisions>false</trackRevisions>
    </reviewItem>
    <reviewItem>
      <errorID>9da5bb8f-28f4-49ab-8f1e-612df86855a2</errorID>
      <errorWord>~</errorWord>
      <group>L1_Format</group>
      <groupName>格式问题</groupName>
      <ability>L2_HalfPunc</ability>
      <abilityName>全半角检查</abilityName>
      <candidateList>
        <item>～</item>
      </candidateList>
      <explain>文本全半角错误。</explain>
      <paraID> AFFAECD</paraID>
      <start>5</start>
      <end>6</end>
      <status>unmodified</status>
      <modifiedWord/>
      <trackRevisions>false</trackRevisions>
    </reviewItem>
    <reviewItem>
      <errorID>afdcff87-8449-4aa3-9657-c7385f371fe0</errorID>
      <errorWord>)</errorWord>
      <group>L1_Format</group>
      <groupName>格式问题</groupName>
      <ability>L2_HalfPunc</ability>
      <abilityName>全半角检查</abilityName>
      <candidateList>
        <item>）</item>
      </candidateList>
      <explain>文本全半角错误。</explain>
      <paraID>3A810250</paraID>
      <start>37</start>
      <end>38</end>
      <status>unmodified</status>
      <modifiedWord/>
      <trackRevisions>false</trackRevisions>
    </reviewItem>
    <reviewItem>
      <errorID>a5d37a2e-331d-4c9d-bf52-aaac3ba76a6f</errorID>
      <errorWord>)</errorWord>
      <group>L1_Format</group>
      <groupName>格式问题</groupName>
      <ability>L2_HalfPunc</ability>
      <abilityName>全半角检查</abilityName>
      <candidateList>
        <item>）</item>
      </candidateList>
      <explain>文本全半角错误。</explain>
      <paraID>3A810250</paraID>
      <start>56</start>
      <end>57</end>
      <status>unmodified</status>
      <modifiedWord/>
      <trackRevisions>false</trackRevisions>
    </reviewItem>
    <reviewItem>
      <errorID>0cc8c996-4497-422e-b978-3de347047ada</errorID>
      <errorWord>)</errorWord>
      <group>L1_Format</group>
      <groupName>格式问题</groupName>
      <ability>L2_HalfPunc</ability>
      <abilityName>全半角检查</abilityName>
      <candidateList>
        <item>）</item>
      </candidateList>
      <explain>文本全半角错误。</explain>
      <paraID>4F6D17B3</paraID>
      <start>27</start>
      <end>28</end>
      <status>unmodified</status>
      <modifiedWord/>
      <trackRevisions>false</trackRevisions>
    </reviewItem>
    <reviewItem>
      <errorID>36647c56-b67a-48cd-bee8-a987b0c63076</errorID>
      <errorWord>)</errorWord>
      <group>L1_Format</group>
      <groupName>格式问题</groupName>
      <ability>L2_HalfPunc</ability>
      <abilityName>全半角检查</abilityName>
      <candidateList>
        <item>）</item>
      </candidateList>
      <explain>文本全半角错误。</explain>
      <paraID>4F6D17B3</paraID>
      <start>43</start>
      <end>44</end>
      <status>unmodified</status>
      <modifiedWord/>
      <trackRevisions>false</trackRevisions>
    </reviewItem>
    <reviewItem>
      <errorID>55b919d6-8255-4a05-bc05-2a3b2e59969e</errorID>
      <errorWord>监测点处</errorWord>
      <group>L1_Knowledge</group>
      <groupName>知识性问题</groupName>
      <ability>L2_Term</ability>
      <abilityName>专业术语</abilityName>
      <candidateList>
        <item>监测点位</item>
      </candidateList>
      <explain/>
      <paraID>4F6D17B3</paraID>
      <start>88</start>
      <end>92</end>
      <status>unmodified</status>
      <modifiedWord/>
      <trackRevisions>false</trackRevisions>
    </reviewItem>
    <reviewItem>
      <errorID>51449482-5279-46e2-8ed2-e4e8a4e16b85</errorID>
      <errorWord>)</errorWord>
      <group>L1_Format</group>
      <groupName>格式问题</groupName>
      <ability>L2_HalfPunc</ability>
      <abilityName>全半角检查</abilityName>
      <candidateList>
        <item>）</item>
      </candidateList>
      <explain>文本全半角错误。</explain>
      <paraID>4F6D17B3</paraID>
      <start>110</start>
      <end>111</end>
      <status>unmodified</status>
      <modifiedWord/>
      <trackRevisions>false</trackRevisions>
    </reviewItem>
    <reviewItem>
      <errorID>1679ffcf-e942-4222-8c14-0c6a302ed611</errorID>
      <errorWord>)</errorWord>
      <group>L1_Format</group>
      <groupName>格式问题</groupName>
      <ability>L2_HalfPunc</ability>
      <abilityName>全半角检查</abilityName>
      <candidateList>
        <item>）</item>
      </candidateList>
      <explain>文本全半角错误。</explain>
      <paraID>4F6D17B3</paraID>
      <start>129</start>
      <end>130</end>
      <status>unmodified</status>
      <modifiedWord/>
      <trackRevisions>false</trackRevisions>
    </reviewItem>
    <reviewItem>
      <errorID>586924ec-8a5f-4140-996d-f7c065060187</errorID>
      <errorWord>区</errorWord>
      <group>L1_Word</group>
      <groupName>字词问题</groupName>
      <ability>L2_Typo</ability>
      <abilityName>字词错误</abilityName>
      <candidateList>
        <item>区域</item>
      </candidateList>
      <explain/>
      <paraID>4F6D17B3</paraID>
      <start>167</start>
      <end>168</end>
      <status>unmodified</status>
      <modifiedWord/>
      <trackRevisions>false</trackRevisions>
    </reviewItem>
    <reviewItem>
      <errorID>6d975d6a-32e3-44fb-8a87-8b2633511943</errorID>
      <errorWord>)</errorWord>
      <group>L1_Format</group>
      <groupName>格式问题</groupName>
      <ability>L2_HalfPunc</ability>
      <abilityName>全半角检查</abilityName>
      <candidateList>
        <item>）</item>
      </candidateList>
      <explain>文本全半角错误。</explain>
      <paraID>4F6D17B3</paraID>
      <start>190</start>
      <end>191</end>
      <status>unmodified</status>
      <modifiedWord/>
      <trackRevisions>false</trackRevisions>
    </reviewItem>
    <reviewItem>
      <errorID>d84e562e-90ce-43ee-b77e-b9389a6f0d9e</errorID>
      <errorWord>)</errorWord>
      <group>L1_Format</group>
      <groupName>格式问题</groupName>
      <ability>L2_HalfPunc</ability>
      <abilityName>全半角检查</abilityName>
      <candidateList>
        <item>）</item>
      </candidateList>
      <explain>文本全半角错误。</explain>
      <paraID>4F6D17B3</paraID>
      <start>209</start>
      <end>210</end>
      <status>unmodified</status>
      <modifiedWord/>
      <trackRevisions>false</trackRevisions>
    </reviewItem>
    <reviewItem>
      <errorID>62563599-8b16-4468-b393-5572e7b7260a</errorID>
      <errorWord>&lt;</errorWord>
      <group>L1_Format</group>
      <groupName>格式问题</groupName>
      <ability>L2_HalfPunc</ability>
      <abilityName>全半角检查</abilityName>
      <candidateList>
        <item>〈</item>
      </candidateList>
      <explain>文本全半角错误。</explain>
      <paraID>45F4286B</paraID>
      <start>60</start>
      <end>61</end>
      <status>unmodified</status>
      <modifiedWord/>
      <trackRevisions>false</trackRevisions>
    </reviewItem>
    <reviewItem>
      <errorID>32bcc20e-918a-4f45-8394-2596f240b566</errorID>
      <errorWord>&gt;</errorWord>
      <group>L1_Format</group>
      <groupName>格式问题</groupName>
      <ability>L2_HalfPunc</ability>
      <abilityName>全半角检查</abilityName>
      <candidateList>
        <item>〉</item>
      </candidateList>
      <explain>文本全半角错误。</explain>
      <paraID>45F4286B</paraID>
      <start>87</start>
      <end>88</end>
      <status>unmodified</status>
      <modifiedWord/>
      <trackRevisions>false</trackRevisions>
    </reviewItem>
    <reviewItem>
      <errorID>3dfe1853-ce88-4cfd-9669-1ec8bf7e33b4</errorID>
      <errorWord>&lt;</errorWord>
      <group>L1_Format</group>
      <groupName>格式问题</groupName>
      <ability>L2_HalfPunc</ability>
      <abilityName>全半角检查</abilityName>
      <candidateList>
        <item>〈</item>
      </candidateList>
      <explain>文本全半角错误。</explain>
      <paraID>44A43755</paraID>
      <start>72</start>
      <end>73</end>
      <status>unmodified</status>
      <modifiedWord/>
      <trackRevisions>false</trackRevisions>
    </reviewItem>
    <reviewItem>
      <errorID>413ddd75-e970-4118-adeb-8efdcd8bc4bb</errorID>
      <errorWord>&gt;</errorWord>
      <group>L1_Format</group>
      <groupName>格式问题</groupName>
      <ability>L2_HalfPunc</ability>
      <abilityName>全半角检查</abilityName>
      <candidateList>
        <item>〉</item>
      </candidateList>
      <explain>文本全半角错误。</explain>
      <paraID>44A43755</paraID>
      <start>107</start>
      <end>108</end>
      <status>unmodified</status>
      <modifiedWord/>
      <trackRevisions>false</trackRevisions>
    </reviewItem>
    <reviewItem>
      <errorID>1c192ba3-09ff-485a-9930-c48478e5c0d7</errorID>
      <errorWord>法律、法规</errorWord>
      <group>L1_Word</group>
      <groupName>字词问题</groupName>
      <ability>L2_Typo</ability>
      <abilityName>字词错误</abilityName>
      <candidateList>
        <item>法律法规</item>
      </candidateList>
      <explain/>
      <paraID>64442F0F</paraID>
      <start>137</start>
      <end>142</end>
      <status>unmodified</status>
      <modifiedWord/>
      <trackRevisions>false</trackRevisions>
    </reviewItem>
    <reviewItem>
      <errorID>68ac1784-0b10-46de-83df-b205fd169dbf</errorID>
      <errorWord>期</errorWord>
      <group>L1_Word</group>
      <groupName>字词问题</groupName>
      <ability>L2_Typo</ability>
      <abilityName>字词错误</abilityName>
      <candidateList>
        <item>期间</item>
      </candidateList>
      <explain>〈名〉某个时期里面：农忙～｜春节～｜抗战～。</explain>
      <paraID>2948D102</paraID>
      <start>69</start>
      <end>70</end>
      <status>unmodified</status>
      <modifiedWord/>
      <trackRevisions>false</trackRevisions>
    </reviewItem>
    <reviewItem>
      <errorID>9bd0d85b-b13d-43d7-a5de-021d616358a3</errorID>
      <errorWord>(</errorWord>
      <group>L1_Format</group>
      <groupName>格式问题</groupName>
      <ability>L2_HalfPunc</ability>
      <abilityName>全半角检查</abilityName>
      <candidateList>
        <item>（</item>
      </candidateList>
      <explain>文本全半角错误。</explain>
      <paraID>2A1CEDB6</paraID>
      <start>96</start>
      <end>97</end>
      <status>unmodified</status>
      <modifiedWord/>
      <trackRevisions>false</trackRevisions>
    </reviewItem>
    <reviewItem>
      <errorID>f0c4dd6e-9040-4fab-ba45-a26a97f5065f</errorID>
      <errorWord>)</errorWord>
      <group>L1_Format</group>
      <groupName>格式问题</groupName>
      <ability>L2_HalfPunc</ability>
      <abilityName>全半角检查</abilityName>
      <candidateList>
        <item>）</item>
      </candidateList>
      <explain>文本全半角错误。</explain>
      <paraID>2A1CEDB6</paraID>
      <start>100</start>
      <end>101</end>
      <status>unmodified</status>
      <modifiedWord/>
      <trackRevisions>false</trackRevisions>
    </reviewItem>
    <reviewItem>
      <errorID>3d3e2505-9763-4353-bde0-63ecc84b4e3b</errorID>
      <errorWord>减小</errorWord>
      <group>L1_Word</group>
      <groupName>字词问题</groupName>
      <ability>L2_Typo</ability>
      <abilityName>字词错误</abilityName>
      <candidateList>
        <item>减少</item>
      </candidateList>
      <explain>〈动〉减去一部分：～人员｜～麻烦｜工作中的缺点～了。</explain>
      <paraID>26AE2B26</paraID>
      <start>98</start>
      <end>100</end>
      <status>unmodified</status>
      <modifiedWord/>
      <trackRevisions>false</trackRevisions>
    </reviewItem>
    <reviewItem>
      <errorID>cd513040-7eca-43d9-803d-251c275824d3</errorID>
      <errorWord>噪声亦</errorWord>
      <group>L1_Word</group>
      <groupName>字词问题</groupName>
      <ability>L2_Typo</ability>
      <abilityName>字词错误</abilityName>
      <candidateList>
        <item>噪声</item>
      </candidateList>
      <explain/>
      <paraID>64B81C5D</paraID>
      <start>42</start>
      <end>45</end>
      <status>unmodified</status>
      <modifiedWord/>
      <trackRevisions>false</trackRevisions>
    </reviewItem>
    <reviewItem>
      <errorID>3751beb8-8a79-45cf-9ead-ef89c06982b3</errorID>
      <errorWord>)</errorWord>
      <group>L1_Format</group>
      <groupName>格式问题</groupName>
      <ability>L2_HalfPunc</ability>
      <abilityName>全半角检查</abilityName>
      <candidateList>
        <item>）</item>
      </candidateList>
      <explain>文本全半角错误。</explain>
      <paraID>64B81C5D</paraID>
      <start>84</start>
      <end>85</end>
      <status>unmodified</status>
      <modifiedWord/>
      <trackRevisions>false</trackRevisions>
    </reviewItem>
    <reviewItem>
      <errorID>ce5a231b-d151-4a3c-b9c0-f943642da6de</errorID>
      <errorWord>(</errorWord>
      <group>L1_Format</group>
      <groupName>格式问题</groupName>
      <ability>L2_HalfPunc</ability>
      <abilityName>全半角检查</abilityName>
      <candidateList>
        <item>（</item>
      </candidateList>
      <explain>文本全半角错误。</explain>
      <paraID>612E069E</paraID>
      <start>9</start>
      <end>10</end>
      <status>unmodified</status>
      <modifiedWord/>
      <trackRevisions>false</trackRevisions>
    </reviewItem>
    <reviewItem>
      <errorID>54dc27dc-dd5c-43fa-9ce7-6a0ddc40efb4</errorID>
      <errorWord>)</errorWord>
      <group>L1_Format</group>
      <groupName>格式问题</groupName>
      <ability>L2_HalfPunc</ability>
      <abilityName>全半角检查</abilityName>
      <candidateList>
        <item>）</item>
      </candidateList>
      <explain>文本全半角错误。</explain>
      <paraID>612E069E</paraID>
      <start>11</start>
      <end>12</end>
      <status>unmodified</status>
      <modifiedWord/>
      <trackRevisions>false</trackRevisions>
    </reviewItem>
    <reviewItem>
      <errorID>ac750046-5f4c-443f-91b9-09a40366b2e9</errorID>
      <errorWord>)</errorWord>
      <group>L1_Format</group>
      <groupName>格式问题</groupName>
      <ability>L2_HalfPunc</ability>
      <abilityName>全半角检查</abilityName>
      <candidateList>
        <item>）</item>
      </candidateList>
      <explain>文本全半角错误。</explain>
      <paraID>68A4625E</paraID>
      <start>79</start>
      <end>80</end>
      <status>unmodified</status>
      <modifiedWord/>
      <trackRevisions>false</trackRevisions>
    </reviewItem>
    <reviewItem>
      <errorID>a23f1463-d749-47d0-8d9d-e94804d42016</errorID>
      <errorWord>)</errorWord>
      <group>L1_Format</group>
      <groupName>格式问题</groupName>
      <ability>L2_HalfPunc</ability>
      <abilityName>全半角检查</abilityName>
      <candidateList>
        <item>）</item>
      </candidateList>
      <explain>文本全半角错误。</explain>
      <paraID>68A4625E</paraID>
      <start>132</start>
      <end>133</end>
      <status>unmodified</status>
      <modifiedWord/>
      <trackRevisions>false</trackRevisions>
    </reviewItem>
    <reviewItem>
      <errorID>0999b391-bc8b-4a02-8d77-06fbd833c17a</errorID>
      <errorWord>)</errorWord>
      <group>L1_Format</group>
      <groupName>格式问题</groupName>
      <ability>L2_HalfPunc</ability>
      <abilityName>全半角检查</abilityName>
      <candidateList>
        <item>）</item>
      </candidateList>
      <explain>文本全半角错误。</explain>
      <paraID>68A4625E</paraID>
      <start>154</start>
      <end>155</end>
      <status>unmodified</status>
      <modifiedWord/>
      <trackRevisions>false</trackRevisions>
    </reviewItem>
    <reviewItem>
      <errorID>b357a2ad-710c-433e-84db-014b2a556ffb</errorID>
      <errorWord>期</errorWord>
      <group>L1_Word</group>
      <groupName>字词问题</groupName>
      <ability>L2_Typo</ability>
      <abilityName>字词错误</abilityName>
      <candidateList>
        <item>期间</item>
      </candidateList>
      <explain>〈名〉某个时期里面：农忙～｜春节～｜抗战～。</explain>
      <paraID>63A18CC0</paraID>
      <start>7</start>
      <end>8</end>
      <status>unmodified</status>
      <modifiedWord/>
      <trackRevisions>false</trackRevisions>
    </reviewItem>
    <reviewItem>
      <errorID>0d6f61b6-d7a5-4902-870f-e58c464a0e58</errorID>
      <errorWord>只是</errorWord>
      <group>L1_Word</group>
      <groupName>字词问题</groupName>
      <ability>L2_Typo</ability>
      <abilityName>字词错误</abilityName>
      <candidateList>
        <item>只</item>
      </candidateList>
      <explain>（衹、祇）zhǐ〈副〉❶表示仅限于某个范围：～知其一，不知其二｜在几种棋类中，他～会下象棋。❷只有；仅有：家里～我一个人。</explain>
      <paraID>63A18CC0</paraID>
      <start>8</start>
      <end>9</end>
      <status>modified</status>
      <modifiedWord>只</modifiedWord>
      <trackRevisions>false</trackRevisions>
    </reviewItem>
    <reviewItem>
      <errorID>27cf3e39-c420-453c-8478-8ff3caead9c7</errorID>
      <errorWord>期</errorWord>
      <group>L1_Word</group>
      <groupName>字词问题</groupName>
      <ability>L2_Typo</ability>
      <abilityName>字词错误</abilityName>
      <candidateList>
        <item>期间</item>
      </candidateList>
      <explain>〈名〉某个时期里面：农忙～｜春节～｜抗战～。</explain>
      <paraID>272D8BDE</paraID>
      <start>6</start>
      <end>7</end>
      <status>unmodified</status>
      <modifiedWord/>
      <trackRevisions>false</trackRevisions>
    </reviewItem>
    <reviewItem>
      <errorID>18b755f9-010d-4226-97b8-f5c1a50cafe3</errorID>
      <errorWord>期</errorWord>
      <group>L1_Word</group>
      <groupName>字词问题</groupName>
      <ability>L2_Typo</ability>
      <abilityName>字词错误</abilityName>
      <candidateList>
        <item>期间</item>
      </candidateList>
      <explain>〈名〉某个时期里面：农忙～｜春节～｜抗战～。</explain>
      <paraID> 48CEFA7</paraID>
      <start>7</start>
      <end>8</end>
      <status>unmodified</status>
      <modifiedWord/>
      <trackRevisions>false</trackRevisions>
    </reviewItem>
    <reviewItem>
      <errorID>7cc81410-edec-454d-a5db-0f3f809a472e</errorID>
      <errorWord>其它</errorWord>
      <group>L1_Word</group>
      <groupName>字词问题</groupName>
      <ability>L2_Alias</ability>
      <abilityName>也作/曾用词</abilityName>
      <candidateList>
        <item>其他</item>
      </candidateList>
      <explain>词汇[其它]为不规范表述或旧称，其规范书面表述为[其他]。</explain>
      <paraID> 4189982</paraID>
      <start>28</start>
      <end>30</end>
      <status>unmodified</status>
      <modifiedWord/>
      <trackRevisions>false</trackRevisions>
    </reviewItem>
    <reviewItem>
      <errorID>1f055ced-ade2-43b5-9237-e6f84f88f615</errorID>
      <errorWord>作</errorWord>
      <group>L1_Word</group>
      <groupName>字词问题</groupName>
      <ability>L2_Typo</ability>
      <abilityName>字词错误</abilityName>
      <candidateList>
        <item>做</item>
      </candidateList>
      <explain>存在发音相同字词的误用。</explain>
      <paraID> 12A96D1</paraID>
      <start>37</start>
      <end>38</end>
      <status>unmodified</status>
      <modifiedWord/>
      <trackRevisions>false</trackRevisions>
    </reviewItem>
    <reviewItem>
      <errorID>e3196ddf-5562-41c7-a8d8-9bc0e3f9b79e</errorID>
      <errorWord>（</errorWord>
      <group>L1_Punc</group>
      <groupName>标点问题</groupName>
      <ability>L2_Punc</ability>
      <abilityName>标点符号检查</abilityName>
      <candidateList/>
      <explain>同一形式括号套用。</explain>
      <paraID>2ED68F1B</paraID>
      <start>11</start>
      <end>12</end>
      <status>unmodified</status>
      <modifiedWord/>
      <trackRevisions>false</trackRevisions>
    </reviewItem>
    <reviewItem>
      <errorID>1abc45ec-bdd3-4b4d-b2f5-0dacc1ee0518</errorID>
      <errorWord>）</errorWord>
      <group>L1_Punc</group>
      <groupName>标点问题</groupName>
      <ability>L2_Punc</ability>
      <abilityName>标点符号检查</abilityName>
      <candidateList/>
      <explain>同一形式括号套用。</explain>
      <paraID>2ED68F1B</paraID>
      <start>13</start>
      <end>14</end>
      <status>unmodified</status>
      <modifiedWord/>
      <trackRevisions>false</trackRevisions>
    </reviewItem>
    <reviewItem>
      <errorID>2de4ef6d-e443-45ae-b3fb-a92a4fed6ab9</errorID>
      <errorWord>源源</errorWord>
      <group>L1_Word</group>
      <groupName>字词问题</groupName>
      <ability>L2_Typo</ability>
      <abilityName>字词错误</abilityName>
      <candidateList>
        <item>源</item>
      </candidateList>
      <explain/>
      <paraID>783CBB93</paraID>
      <start>1</start>
      <end>3</end>
      <status>unmodified</status>
      <modifiedWord/>
      <trackRevisions>false</trackRevisions>
    </reviewItem>
    <reviewItem>
      <errorID>bae902cc-6c1a-46da-b237-08869c9332a4</errorID>
      <errorWord>（</errorWord>
      <group>L1_Format</group>
      <groupName>格式问题</groupName>
      <ability>L2_HalfPunc</ability>
      <abilityName>全半角检查</abilityName>
      <candidateList>
        <item>(</item>
      </candidateList>
      <explain>文本全半角错误。</explain>
      <paraID>66236F32</paraID>
      <start>3</start>
      <end>4</end>
      <status>unmodified</status>
      <modifiedWord/>
      <trackRevisions>false</trackRevisions>
    </reviewItem>
    <reviewItem>
      <errorID>84892346-6ccb-41fd-96f6-6e704073ce8f</errorID>
      <errorWord>）</errorWord>
      <group>L1_Format</group>
      <groupName>格式问题</groupName>
      <ability>L2_HalfPunc</ability>
      <abilityName>全半角检查</abilityName>
      <candidateList>
        <item>)</item>
      </candidateList>
      <explain>文本全半角错误。</explain>
      <paraID>66236F32</paraID>
      <start>5</start>
      <end>6</end>
      <status>unmodified</status>
      <modifiedWord/>
      <trackRevisions>false</trackRevisions>
    </reviewItem>
    <reviewItem>
      <errorID>2e8ee06e-4800-4e3e-b755-dd56f6bac9de</errorID>
      <errorWord>~</errorWord>
      <group>L1_Format</group>
      <groupName>格式问题</groupName>
      <ability>L2_HalfPunc</ability>
      <abilityName>全半角检查</abilityName>
      <candidateList>
        <item>～</item>
      </candidateList>
      <explain>文本全半角错误。</explain>
      <paraID>5C789A7B</paraID>
      <start>14</start>
      <end>15</end>
      <status>unmodified</status>
      <modifiedWord/>
      <trackRevisions>false</trackRevisions>
    </reviewItem>
    <reviewItem>
      <errorID>98bc725e-a947-4bde-a6f8-c2e0f49a9ba7</errorID>
      <errorWord>监测仪器</errorWord>
      <group>L1_Word</group>
      <groupName>字词问题</groupName>
      <ability>L2_Typo</ability>
      <abilityName>字词错误</abilityName>
      <candidateList>
        <item>检测仪器</item>
      </candidateList>
      <explain/>
      <paraID>1DACAA9B</paraID>
      <start>0</start>
      <end>4</end>
      <status>unmodified</status>
      <modifiedWord/>
      <trackRevisions>false</trackRevisions>
    </reviewItem>
    <reviewItem>
      <errorID>9c9c57ae-aab9-4b4b-a550-465230e6f72d</errorID>
      <errorWord>2025年01月10日</errorWord>
      <group>L1_Knowledge</group>
      <groupName>知识性问题</groupName>
      <ability>L2_Time</ability>
      <abilityName>日期时间</abilityName>
      <candidateList>
        <item>2025年1月10日</item>
      </candidateList>
      <explain>根据日常书写习惯，月份一般会省略前导零。</explain>
      <paraID>697F17EC</paraID>
      <start>5</start>
      <end>16</end>
      <status>unmodified</status>
      <modifiedWord/>
      <trackRevisions>false</trackRevisions>
    </reviewItem>
    <reviewItem>
      <errorID>aaa896ab-0bb4-4144-8068-19660886bac7</errorID>
      <errorWord>39.2~39.7%</errorWord>
      <group>L1_Knowledge</group>
      <groupName>知识性问题</groupName>
      <ability>L2_Knowledge</ability>
      <abilityName>其他知识</abilityName>
      <candidateList>
        <item>39.2%～39.7%</item>
      </candidateList>
      <explain>1. “39.2~39.7%”中的单位“%”仅出现在后一个数字上，容易引起歧义；根据《现代汉语标点符号数字用法规范手册》，数字表示范围两边需要使用统一的格式。2. 根据标点国标 4.13 中的规则，数字、时间或地域连接符应使用（视觉上更长的）“—”或“～”。</explain>
      <paraID>4BC59ABD</paraID>
      <start>23</start>
      <end>33</end>
      <status>unmodified</status>
      <modifiedWord/>
      <trackRevisions>false</trackRevisions>
    </reviewItem>
    <reviewItem>
      <errorID>a281cdc0-0215-48d2-9f9c-1ff6b1106d99</errorID>
      <errorWord>监测时</errorWord>
      <group>L1_Word</group>
      <groupName>字词问题</groupName>
      <ability>L2_Typo</ability>
      <abilityName>字词错误</abilityName>
      <candidateList>
        <item>监测</item>
      </candidateList>
      <explain/>
      <paraID>76CE34FA</paraID>
      <start>0</start>
      <end>3</end>
      <status>unmodified</status>
      <modifiedWord/>
      <trackRevisions>false</trackRevisions>
    </reviewItem>
    <reviewItem>
      <errorID>62353fa4-ce38-4884-b5cf-168185287678</errorID>
      <errorWord>（</errorWord>
      <group>L1_Format</group>
      <groupName>格式问题</groupName>
      <ability>L2_HalfPunc</ability>
      <abilityName>全半角检查</abilityName>
      <candidateList>
        <item>(</item>
      </candidateList>
      <explain>文本全半角错误。</explain>
      <paraID>520339D7</paraID>
      <start>0</start>
      <end>1</end>
      <status>unmodified</status>
      <modifiedWord/>
      <trackRevisions>false</trackRevisions>
    </reviewItem>
    <reviewItem>
      <errorID>3fb53d9b-0ea3-400c-893e-83842c7c6643</errorID>
      <errorWord>）</errorWord>
      <group>L1_Format</group>
      <groupName>格式问题</groupName>
      <ability>L2_HalfPunc</ability>
      <abilityName>全半角检查</abilityName>
      <candidateList>
        <item>)</item>
      </candidateList>
      <explain>文本全半角错误。</explain>
      <paraID>520339D7</paraID>
      <start>3</start>
      <end>4</end>
      <status>unmodified</status>
      <modifiedWord/>
      <trackRevisions>false</trackRevisions>
    </reviewItem>
    <reviewItem>
      <errorID>03464dd0-2c72-4a29-afc4-f775389b1809</errorID>
      <errorWord>（</errorWord>
      <group>L1_Format</group>
      <groupName>格式问题</groupName>
      <ability>L2_HalfPunc</ability>
      <abilityName>全半角检查</abilityName>
      <candidateList>
        <item>(</item>
      </candidateList>
      <explain>文本全半角错误。</explain>
      <paraID>7B6D58A5</paraID>
      <start>0</start>
      <end>1</end>
      <status>unmodified</status>
      <modifiedWord/>
      <trackRevisions>false</trackRevisions>
    </reviewItem>
    <reviewItem>
      <errorID>69cf8d92-8b45-4b67-81c0-7acfdd4add1f</errorID>
      <errorWord>）</errorWord>
      <group>L1_Format</group>
      <groupName>格式问题</groupName>
      <ability>L2_HalfPunc</ability>
      <abilityName>全半角检查</abilityName>
      <candidateList>
        <item>)</item>
      </candidateList>
      <explain>文本全半角错误。</explain>
      <paraID>7B6D58A5</paraID>
      <start>2</start>
      <end>3</end>
      <status>unmodified</status>
      <modifiedWord/>
      <trackRevisions>false</trackRevisions>
    </reviewItem>
    <reviewItem>
      <errorID>4bfc286e-2906-4cc4-b4ff-a9b60f893a50</errorID>
      <errorWord>（</errorWord>
      <group>L1_Format</group>
      <groupName>格式问题</groupName>
      <ability>L2_HalfPunc</ability>
      <abilityName>全半角检查</abilityName>
      <candidateList>
        <item>(</item>
      </candidateList>
      <explain>文本全半角错误。</explain>
      <paraID>5E1231B8</paraID>
      <start>0</start>
      <end>1</end>
      <status>unmodified</status>
      <modifiedWord/>
      <trackRevisions>false</trackRevisions>
    </reviewItem>
    <reviewItem>
      <errorID>b69876a1-c9df-4d07-9bfa-767f7ff8416d</errorID>
      <errorWord>）</errorWord>
      <group>L1_Format</group>
      <groupName>格式问题</groupName>
      <ability>L2_HalfPunc</ability>
      <abilityName>全半角检查</abilityName>
      <candidateList>
        <item>)</item>
      </candidateList>
      <explain>文本全半角错误。</explain>
      <paraID>5E1231B8</paraID>
      <start>3</start>
      <end>4</end>
      <status>unmodified</status>
      <modifiedWord/>
      <trackRevisions>false</trackRevisions>
    </reviewItem>
    <reviewItem>
      <errorID>dc48d030-e058-4158-86a0-14827374ad40</errorID>
      <errorWord>（</errorWord>
      <group>L1_Format</group>
      <groupName>格式问题</groupName>
      <ability>L2_HalfPunc</ability>
      <abilityName>全半角检查</abilityName>
      <candidateList>
        <item>(</item>
      </candidateList>
      <explain>文本全半角错误。</explain>
      <paraID>544509DF</paraID>
      <start>0</start>
      <end>1</end>
      <status>unmodified</status>
      <modifiedWord/>
      <trackRevisions>false</trackRevisions>
    </reviewItem>
    <reviewItem>
      <errorID>c7280473-f96c-4b85-9bd7-aa25779f101f</errorID>
      <errorWord>）</errorWord>
      <group>L1_Format</group>
      <groupName>格式问题</groupName>
      <ability>L2_HalfPunc</ability>
      <abilityName>全半角检查</abilityName>
      <candidateList>
        <item>)</item>
      </candidateList>
      <explain>文本全半角错误。</explain>
      <paraID>544509DF</paraID>
      <start>5</start>
      <end>6</end>
      <status>unmodified</status>
      <modifiedWord/>
      <trackRevisions>false</trackRevisions>
    </reviewItem>
    <reviewItem>
      <errorID>ab5f6022-0bf6-4b0f-b362-77d4e7440b62</errorID>
      <errorWord>)</errorWord>
      <group>L1_Format</group>
      <groupName>格式问题</groupName>
      <ability>L2_HalfPunc</ability>
      <abilityName>全半角检查</abilityName>
      <candidateList>
        <item>）</item>
      </candidateList>
      <explain>文本全半角错误。</explain>
      <paraID> 51A3D1E</paraID>
      <start>32</start>
      <end>33</end>
      <status>unmodified</status>
      <modifiedWord/>
      <trackRevisions>false</trackRevisions>
    </reviewItem>
    <reviewItem>
      <errorID>ee64039d-24e9-4489-9154-ee7297b68f8c</errorID>
      <errorWord>)</errorWord>
      <group>L1_Format</group>
      <groupName>格式问题</groupName>
      <ability>L2_HalfPunc</ability>
      <abilityName>全半角检查</abilityName>
      <candidateList>
        <item>）</item>
      </candidateList>
      <explain>文本全半角错误。</explain>
      <paraID> 51A3D1E</paraID>
      <start>51</start>
      <end>52</end>
      <status>unmodified</status>
      <modifiedWord/>
      <trackRevisions>false</trackRevisions>
    </reviewItem>
    <reviewItem>
      <errorID>27c9b727-6543-480a-8a0c-a9847ff349da</errorID>
      <errorWord>监测仪器</errorWord>
      <group>L1_Word</group>
      <groupName>字词问题</groupName>
      <ability>L2_Typo</ability>
      <abilityName>字词错误</abilityName>
      <candidateList>
        <item>检测仪器</item>
      </candidateList>
      <explain/>
      <paraID>2ED72AED</paraID>
      <start>0</start>
      <end>4</end>
      <status>unmodified</status>
      <modifiedWord/>
      <trackRevisions>false</trackRevisions>
    </reviewItem>
    <reviewItem>
      <errorID>0e83055c-5f92-46a9-a92c-e766288cfde8</errorID>
      <errorWord>37.9~39.8%</errorWord>
      <group>L1_Knowledge</group>
      <groupName>知识性问题</groupName>
      <ability>L2_Knowledge</ability>
      <abilityName>其他知识</abilityName>
      <candidateList>
        <item>37.9%～39.8%</item>
      </candidateList>
      <explain>1. “37.9~39.8%”中的单位“%”仅出现在后一个数字上，容易引起歧义；根据《现代汉语标点符号数字用法规范手册》，数字表示范围两边需要使用统一的格式。2. 根据标点国标 4.13 中的规则，数字、时间或地域连接符应使用（视觉上更长的）“—”或“～”。</explain>
      <paraID>4993A676</paraID>
      <start>23</start>
      <end>33</end>
      <status>unmodified</status>
      <modifiedWord/>
      <trackRevisions>false</trackRevisions>
    </reviewItem>
    <reviewItem>
      <errorID>981a4aa1-abfc-4673-9861-83f62970c0f0</errorID>
      <errorWord>监测时</errorWord>
      <group>L1_Word</group>
      <groupName>字词问题</groupName>
      <ability>L2_Typo</ability>
      <abilityName>字词错误</abilityName>
      <candidateList>
        <item>监测</item>
      </candidateList>
      <explain/>
      <paraID>4065D9A1</paraID>
      <start>0</start>
      <end>3</end>
      <status>unmodified</status>
      <modifiedWord/>
      <trackRevisions>false</trackRevisions>
    </reviewItem>
    <reviewItem>
      <errorID>c9acd42e-c413-41ee-aa5f-c80e7752ea2a</errorID>
      <errorWord>)</errorWord>
      <group>L1_Format</group>
      <groupName>格式问题</groupName>
      <ability>L2_HalfPunc</ability>
      <abilityName>全半角检查</abilityName>
      <candidateList>
        <item>）</item>
      </candidateList>
      <explain>文本全半角错误。</explain>
      <paraID>279184A7</paraID>
      <start>44</start>
      <end>45</end>
      <status>unmodified</status>
      <modifiedWord/>
      <trackRevisions>false</trackRevisions>
    </reviewItem>
    <reviewItem>
      <errorID>42aacdac-9697-413e-a38d-9ed84304d7e5</errorID>
      <errorWord>)</errorWord>
      <group>L1_Format</group>
      <groupName>格式问题</groupName>
      <ability>L2_HalfPunc</ability>
      <abilityName>全半角检查</abilityName>
      <candidateList>
        <item>）</item>
      </candidateList>
      <explain>文本全半角错误。</explain>
      <paraID>279184A7</paraID>
      <start>63</start>
      <end>64</end>
      <status>unmodified</status>
      <modifiedWord/>
      <trackRevisions>false</trackRevisions>
    </reviewItem>
    <reviewItem>
      <errorID>271ac0a1-b999-457a-9544-658eaee922b8</errorID>
      <errorWord>(</errorWord>
      <group>L1_Format</group>
      <groupName>格式问题</groupName>
      <ability>L2_HalfPunc</ability>
      <abilityName>全半角检查</abilityName>
      <candidateList>
        <item>（</item>
      </candidateList>
      <explain>文本全半角错误。</explain>
      <paraID>42F21F7C</paraID>
      <start>71</start>
      <end>72</end>
      <status>unmodified</status>
      <modifiedWord/>
      <trackRevisions>false</trackRevisions>
    </reviewItem>
    <reviewItem>
      <errorID>82bf96ef-6143-4779-bc89-5b224c36cd48</errorID>
      <errorWord>)</errorWord>
      <group>L1_Format</group>
      <groupName>格式问题</groupName>
      <ability>L2_HalfPunc</ability>
      <abilityName>全半角检查</abilityName>
      <candidateList>
        <item>）</item>
      </candidateList>
      <explain>文本全半角错误。</explain>
      <paraID>42F21F7C</paraID>
      <start>83</start>
      <end>84</end>
      <status>unmodified</status>
      <modifiedWord/>
      <trackRevisions>false</trackRevisions>
    </reviewItem>
    <reviewItem>
      <errorID>28e8bf67-7f9a-4fe4-bf23-9a5737d0ab71</errorID>
      <errorWord>部</errorWord>
      <group>L1_Word</group>
      <groupName>字词问题</groupName>
      <ability>L2_Typo</ability>
      <abilityName>字词错误</abilityName>
      <candidateList>
        <item/>
      </candidateList>
      <explain/>
      <paraID> A4E9220</paraID>
      <start>44</start>
      <end>45</end>
      <status>unmodified</status>
      <modifiedWord/>
      <trackRevisions>false</trackRevisions>
    </reviewItem>
    <reviewItem>
      <errorID>7f4b12a4-266f-4e17-902e-618497ea8251</errorID>
      <errorWord>期</errorWord>
      <group>L1_Word</group>
      <groupName>字词问题</groupName>
      <ability>L2_Typo</ability>
      <abilityName>字词错误</abilityName>
      <candidateList>
        <item>期间</item>
      </candidateList>
      <explain>〈名〉某个时期里面：农忙～｜春节～｜抗战～。</explain>
      <paraID>12076A18</paraID>
      <start>6</start>
      <end>7</end>
      <status>unmodified</status>
      <modifiedWord/>
      <trackRevisions>false</trackRevisions>
    </reviewItem>
    <reviewItem>
      <errorID>b68b3b7c-c1b3-44f0-95d2-0f6982f726a2</errorID>
      <errorWord>（</errorWord>
      <group>L1_Punc</group>
      <groupName>标点问题</groupName>
      <ability>L2_Punc</ability>
      <abilityName>标点符号检查</abilityName>
      <candidateList/>
      <explain>同一形式括号套用。</explain>
      <paraID>6A44907D</paraID>
      <start>63</start>
      <end>64</end>
      <status>unmodified</status>
      <modifiedWord/>
      <trackRevisions>false</trackRevisions>
    </reviewItem>
    <reviewItem>
      <errorID>f6b744c7-602e-4b12-923b-8008100bc864</errorID>
      <errorWord>）</errorWord>
      <group>L1_Punc</group>
      <groupName>标点问题</groupName>
      <ability>L2_Punc</ability>
      <abilityName>标点符号检查</abilityName>
      <candidateList/>
      <explain>同一形式括号套用。</explain>
      <paraID>6A44907D</paraID>
      <start>72</start>
      <end>73</end>
      <status>unmodified</status>
      <modifiedWord/>
      <trackRevisions>false</trackRevisions>
    </reviewItem>
    <reviewItem>
      <errorID>88016807-0569-4688-9a99-ebc4af16bf92</errorID>
      <errorWord>作</errorWord>
      <group>L1_Word</group>
      <groupName>字词问题</groupName>
      <ability>L2_Typo</ability>
      <abilityName>字词错误</abilityName>
      <candidateList>
        <item>做</item>
      </candidateList>
      <explain>存在发音相同字词的误用。</explain>
      <paraID>6A44907D</paraID>
      <start>73</start>
      <end>74</end>
      <status>unmodified</status>
      <modifiedWord/>
      <trackRevisions>false</trackRevisions>
    </reviewItem>
    <reviewItem>
      <errorID>7714f994-6874-433c-ae8c-982993d2b214</errorID>
      <errorWord>排入总</errorWord>
      <group>L1_Word</group>
      <groupName>字词问题</groupName>
      <ability>L2_Typo</ability>
      <abilityName>字词错误</abilityName>
      <candidateList>
        <item>排入</item>
      </candidateList>
      <explain/>
      <paraID>6368059E</paraID>
      <start>103</start>
      <end>106</end>
      <status>unmodified</status>
      <modifiedWord/>
      <trackRevisions>false</trackRevisions>
    </reviewItem>
    <reviewItem>
      <errorID>887600d9-d047-4bb9-b550-aea8d7f58f10</errorID>
      <errorWord>交由有</errorWord>
      <group>L1_Word</group>
      <groupName>字词问题</groupName>
      <ability>L2_Typo</ability>
      <abilityName>字词错误</abilityName>
      <candidateList>
        <item>交由</item>
      </candidateList>
      <explain/>
      <paraID>6368059E</paraID>
      <start>147</start>
      <end>150</end>
      <status>unmodified</status>
      <modifiedWord/>
      <trackRevisions>false</trackRevisions>
    </reviewItem>
    <reviewItem>
      <errorID>2f93a46e-45e9-47a6-9d80-f769ea49cadb</errorID>
      <errorWord>，</errorWord>
      <group>L1_Word</group>
      <groupName>字词问题</groupName>
      <ability>L2_Typo</ability>
      <abilityName>字词错误</abilityName>
      <candidateList>
        <item>，将</item>
      </candidateList>
      <explain/>
      <paraID>3BEEB62B</paraID>
      <start>32</start>
      <end>34</end>
      <status>modified</status>
      <modifiedWord>，将</modifiedWord>
      <trackRevisions>false</trackRevisions>
    </reviewItem>
    <reviewItem>
      <errorID>fdc95ac6-0f3e-4122-815d-87ee18a5a589</errorID>
      <errorWord>，</errorWord>
      <group>L1_Word</group>
      <groupName>字词问题</groupName>
      <ability>L2_Typo</ability>
      <abilityName>字词错误</abilityName>
      <candidateList>
        <item>，在</item>
      </candidateList>
      <explain/>
      <paraID>3DCB1BAF</paraID>
      <start>38</start>
      <end>40</end>
      <status>modified</status>
      <modifiedWord>，在</modifiedWord>
      <trackRevisions>false</trackRevisions>
    </reviewItem>
    <reviewItem>
      <errorID>66fbbb61-77be-4648-ae1b-d3f9b223b2c8</errorID>
      <errorWord>回覆</errorWord>
      <group>L1_Word</group>
      <groupName>字词问题</groupName>
      <ability>L2_Fanti</ability>
      <abilityName>繁转简</abilityName>
      <candidateList>
        <item>回复</item>
      </candidateList>
      <explain/>
      <paraID>6087F9B0</paraID>
      <start>88</start>
      <end>90</end>
      <status>unmodified</status>
      <modifiedWord/>
      <trackRevisions>false</trackRevisions>
    </reviewItem>
    <reviewItem>
      <errorID>cd3a7c7e-d10b-4c61-a5c6-2c04396a9871</errorID>
      <errorWord>其它</errorWord>
      <group>L1_Word</group>
      <groupName>字词问题</groupName>
      <ability>L2_Alias</ability>
      <abilityName>也作/曾用词</abilityName>
      <candidateList>
        <item>其他</item>
      </candidateList>
      <explain>词汇[其它]为不规范表述或旧称，其规范书面表述为[其他]。</explain>
      <paraID>154376EE</paraID>
      <start>68</start>
      <end>70</end>
      <status>unmodified</status>
      <modifiedWord/>
      <trackRevisions>false</trackRevisions>
    </reviewItem>
    <reviewItem>
      <errorID>2a7eef2a-5cc0-4d83-b5a4-a8dc97b68e7c</errorID>
      <errorWord>成型</errorWord>
      <group>L1_Word</group>
      <groupName>字词问题</groupName>
      <ability>L2_Typo</ability>
      <abilityName>字词错误</abilityName>
      <candidateList>
        <item>成形</item>
      </candidateList>
      <explain/>
      <paraID>583637D1</paraID>
      <start>13</start>
      <end>15</end>
      <status>unmodified</status>
      <modifiedWord/>
      <trackRevisions>false</trackRevisions>
    </reviewItem>
    <reviewItem>
      <errorID>e591332d-d018-492c-b9d8-4e5f9ce197dc</errorID>
      <errorWord>挡护</errorWord>
      <group>L1_Word</group>
      <groupName>字词问题</groupName>
      <ability>L2_Typo</ability>
      <abilityName>字词错误</abilityName>
      <candidateList>
        <item>防护</item>
      </candidateList>
      <explain>存在发音相近字词的误用。</explain>
      <paraID>583637D1</paraID>
      <start>26</start>
      <end>28</end>
      <status>unmodified</status>
      <modifiedWord/>
      <trackRevisions>false</trackRevisions>
    </reviewItem>
    <reviewItem>
      <errorID>1ed43615-fe31-4bfb-b1c7-539613bd6652</errorID>
      <errorWord>提高</errorWord>
      <group>L1_Word</group>
      <groupName>字词问题</groupName>
      <ability>L2_Typo</ability>
      <abilityName>字词错误</abilityName>
      <candidateList>
        <item>增强</item>
      </candidateList>
      <explain>“提高～意识”搭配不当，建议修改为“增强～意识”。</explain>
      <paraID>  2A8858</paraID>
      <start>35</start>
      <end>37</end>
      <status>unmodified</status>
      <modifiedWord/>
      <trackRevisions>false</trackRevisions>
    </reviewItem>
    <reviewItem>
      <errorID>b1303ebb-7b64-4fe5-b773-dad406563a81</errorID>
      <errorWord>期</errorWord>
      <group>L1_Word</group>
      <groupName>字词问题</groupName>
      <ability>L2_Typo</ability>
      <abilityName>字词错误</abilityName>
      <candidateList>
        <item>期间</item>
      </candidateList>
      <explain>〈名〉某个时期里面：农忙～｜春节～｜抗战～。</explain>
      <paraID>4C0C9A30</paraID>
      <start>5</start>
      <end>6</end>
      <status>unmodified</status>
      <modifiedWord/>
      <trackRevisions>false</trackRevisions>
    </reviewItem>
    <reviewItem>
      <errorID>c6792c3d-0b74-465a-8b3f-e1802c2de3e8</errorID>
      <errorWord>不可避免而</errorWord>
      <group>L1_Word</group>
      <groupName>字词问题</groupName>
      <ability>L2_Typo</ability>
      <abilityName>字词错误</abilityName>
      <candidateList>
        <item>不可避免</item>
      </candidateList>
      <explain/>
      <paraID>6C1695B8</paraID>
      <start>4</start>
      <end>9</end>
      <status>unmodified</status>
      <modifiedWord/>
      <trackRevisions>false</trackRevisions>
    </reviewItem>
    <reviewItem>
      <errorID>17f4924c-ca67-4077-9149-b8ddb1fc6914</errorID>
      <errorWord>减小</errorWord>
      <group>L1_Word</group>
      <groupName>字词问题</groupName>
      <ability>L2_Typo</ability>
      <abilityName>字词错误</abilityName>
      <candidateList>
        <item>减少</item>
      </candidateList>
      <explain>〈动〉减去一部分：～人员｜～麻烦｜工作中的缺点～了。</explain>
      <paraID> 191B365</paraID>
      <start>1</start>
      <end>3</end>
      <status>unmodified</status>
      <modifiedWord/>
      <trackRevisions>false</trackRevisions>
    </reviewItem>
    <reviewItem>
      <errorID>dbf2eee0-363c-40d2-a849-8b68b60639e8</errorID>
      <errorWord>减小</errorWord>
      <group>L1_Word</group>
      <groupName>字词问题</groupName>
      <ability>L2_Typo</ability>
      <abilityName>字词错误</abilityName>
      <candidateList>
        <item>减少</item>
      </candidateList>
      <explain>〈动〉减去一部分：～人员｜～麻烦｜工作中的缺点～了。</explain>
      <paraID>549B9853</paraID>
      <start>1</start>
      <end>3</end>
      <status>unmodified</status>
      <modifiedWord/>
      <trackRevisions>false</trackRevisions>
    </reviewItem>
    <reviewItem>
      <errorID>f13ffa3d-a000-4b1e-90cf-be9bd6fab3a9</errorID>
      <errorWord>生活废水</errorWord>
      <group>L1_Knowledge</group>
      <groupName>知识性问题</groupName>
      <ability>L2_Term</ability>
      <abilityName>专业术语</abilityName>
      <candidateList>
        <item>生活污水</item>
      </candidateList>
      <explain/>
      <paraID>702F97B8</paraID>
      <start>25</start>
      <end>29</end>
      <status>unmodified</status>
      <modifiedWord/>
      <trackRevisions>false</trackRevisions>
    </reviewItem>
    <reviewItem>
      <errorID>2e8b2caa-6a0c-4812-886f-b604c56120de</errorID>
      <errorWord>沉砂池</errorWord>
      <group>L1_Word</group>
      <groupName>字词问题</groupName>
      <ability>L2_Typo</ability>
      <abilityName>字词错误</abilityName>
      <candidateList>
        <item>沉沙池</item>
      </candidateList>
      <explain>存在发音相同字词的误用。</explain>
      <paraID>5C601798</paraID>
      <start>53</start>
      <end>56</end>
      <status>unmodified</status>
      <modifiedWord/>
      <trackRevisions>false</trackRevisions>
    </reviewItem>
    <reviewItem>
      <errorID>859983bb-85d1-45b8-9ccf-583556f0cf29</errorID>
      <errorWord>提高</errorWord>
      <group>L1_Word</group>
      <groupName>字词问题</groupName>
      <ability>L2_Typo</ability>
      <abilityName>字词错误</abilityName>
      <candidateList>
        <item>增强</item>
      </candidateList>
      <explain>“提高～意识”搭配不当，建议修改为“增强～意识”。</explain>
      <paraID>6D761070</paraID>
      <start>25</start>
      <end>27</end>
      <status>unmodified</status>
      <modifiedWord/>
      <trackRevisions>false</trackRevisions>
    </reviewItem>
    <reviewItem>
      <errorID>b07d869d-faf7-4370-9964-c934c23b118d</errorID>
      <errorWord>，</errorWord>
      <group>L1_Word</group>
      <groupName>字词问题</groupName>
      <ability>L2_Typo</ability>
      <abilityName>字词错误</abilityName>
      <candidateList>
        <item>，在</item>
      </candidateList>
      <explain/>
      <paraID> 9FD811F</paraID>
      <start>8</start>
      <end>10</end>
      <status>modified</status>
      <modifiedWord>，在</modifiedWord>
      <trackRevisions>false</trackRevisions>
    </reviewItem>
    <reviewItem>
      <errorID>575e1168-dfe6-4533-9610-0c66867622aa</errorID>
      <errorWord>期</errorWord>
      <group>L1_Word</group>
      <groupName>字词问题</groupName>
      <ability>L2_Typo</ability>
      <abilityName>字词错误</abilityName>
      <candidateList>
        <item>期间</item>
      </candidateList>
      <explain>〈名〉某个时期里面：农忙～｜春节～｜抗战～。</explain>
      <paraID>3B088D06</paraID>
      <start>8</start>
      <end>9</end>
      <status>unmodified</status>
      <modifiedWord/>
      <trackRevisions>false</trackRevisions>
    </reviewItem>
    <reviewItem>
      <errorID>1f2e32e4-43e8-4baa-a5f7-15e399fa1367</errorID>
      <errorWord>期</errorWord>
      <group>L1_Word</group>
      <groupName>字词问题</groupName>
      <ability>L2_Typo</ability>
      <abilityName>字词错误</abilityName>
      <candidateList>
        <item>期间</item>
      </candidateList>
      <explain>〈名〉某个时期里面：农忙～｜春节～｜抗战～。</explain>
      <paraID>575BDAFA</paraID>
      <start>2</start>
      <end>3</end>
      <status>unmodified</status>
      <modifiedWord/>
      <trackRevisions>false</trackRevisions>
    </reviewItem>
    <reviewItem>
      <errorID>2eac1672-c254-43b7-a3c0-dbf8a86682aa</errorID>
      <errorWord>期</errorWord>
      <group>L1_Word</group>
      <groupName>字词问题</groupName>
      <ability>L2_Typo</ability>
      <abilityName>字词错误</abilityName>
      <candidateList>
        <item>期间</item>
      </candidateList>
      <explain>〈名〉某个时期里面：农忙～｜春节～｜抗战～。</explain>
      <paraID>633639CE</paraID>
      <start>10</start>
      <end>11</end>
      <status>unmodified</status>
      <modifiedWord/>
      <trackRevisions>false</trackRevisions>
    </reviewItem>
    <reviewItem>
      <errorID>065b9716-7008-494f-b9b0-753b074cffeb</errorID>
      <errorWord>排入总</errorWord>
      <group>L1_Word</group>
      <groupName>字词问题</groupName>
      <ability>L2_Typo</ability>
      <abilityName>字词错误</abilityName>
      <candidateList>
        <item>排入</item>
      </candidateList>
      <explain/>
      <paraID>6C95D0CB</paraID>
      <start>128</start>
      <end>131</end>
      <status>unmodified</status>
      <modifiedWord/>
      <trackRevisions>false</trackRevisions>
    </reviewItem>
    <reviewItem>
      <errorID>76afeca1-f7dc-4456-85ec-2f51205af362</errorID>
      <errorWord>交由有</errorWord>
      <group>L1_Word</group>
      <groupName>字词问题</groupName>
      <ability>L2_Typo</ability>
      <abilityName>字词错误</abilityName>
      <candidateList>
        <item>交由</item>
      </candidateList>
      <explain/>
      <paraID>6C95D0CB</paraID>
      <start>172</start>
      <end>175</end>
      <status>unmodified</status>
      <modifiedWord/>
      <trackRevisions>false</trackRevisions>
    </reviewItem>
    <reviewItem>
      <errorID>0a1b9b9e-75cf-43e3-8f09-f3ad07aaf03f</errorID>
      <errorWord>期</errorWord>
      <group>L1_Word</group>
      <groupName>字词问题</groupName>
      <ability>L2_Typo</ability>
      <abilityName>字词错误</abilityName>
      <candidateList>
        <item>期间</item>
      </candidateList>
      <explain>〈名〉某个时期里面：农忙～｜春节～｜抗战～。</explain>
      <paraID>2A5EC856</paraID>
      <start>2</start>
      <end>3</end>
      <status>unmodified</status>
      <modifiedWord/>
      <trackRevisions>false</trackRevisions>
    </reviewItem>
    <reviewItem>
      <errorID>915cbdd3-49ca-4167-be91-38bcaf9dd0b9</errorID>
      <errorWord>，</errorWord>
      <group>L1_Word</group>
      <groupName>字词问题</groupName>
      <ability>L2_Typo</ability>
      <abilityName>字词错误</abilityName>
      <candidateList>
        <item>，将</item>
      </candidateList>
      <explain/>
      <paraID>1B047E00</paraID>
      <start>43</start>
      <end>45</end>
      <status>modified</status>
      <modifiedWord>，将</modifiedWord>
      <trackRevisions>false</trackRevisions>
    </reviewItem>
    <reviewItem>
      <errorID>3010fa1c-6ada-400c-bbfd-4293b7cff9d0</errorID>
      <errorWord>期</errorWord>
      <group>L1_Word</group>
      <groupName>字词问题</groupName>
      <ability>L2_Typo</ability>
      <abilityName>字词错误</abilityName>
      <candidateList>
        <item>期间</item>
      </candidateList>
      <explain>〈名〉某个时期里面：农忙～｜春节～｜抗战～。</explain>
      <paraID>11E19E31</paraID>
      <start>4</start>
      <end>5</end>
      <status>unmodified</status>
      <modifiedWord/>
      <trackRevisions>false</trackRevisions>
    </reviewItem>
    <reviewItem>
      <errorID>7e2a831f-ca4a-4f76-b285-2aa3f27faeef</errorID>
      <errorWord>录</errorWord>
      <group>L1_Word</group>
      <groupName>字词问题</groupName>
      <ability>L2_Typo</ability>
      <abilityName>字词错误</abilityName>
      <candidateList>
        <item>录和</item>
      </candidateList>
      <explain/>
      <paraID>504BA73D</paraID>
      <start>69</start>
      <end>70</end>
      <status>unmodified</status>
      <modifiedWord/>
      <trackRevisions>false</trackRevisions>
    </reviewItem>
    <reviewItem>
      <errorID>f3f3dd39-93d5-4b47-99d1-08785352fdf9</errorID>
      <errorWord>应对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1C991259</paraID>
      <start>0</start>
      <end>1</end>
      <status>modified</status>
      <modifiedWord>对</modifiedWord>
      <trackRevisions>false</trackRevisions>
    </reviewItem>
    <reviewItem>
      <errorID>719ec943-8517-4c42-9abe-7dfa099717ba</errorID>
      <errorWord>提高</errorWord>
      <group>L1_Word</group>
      <groupName>字词问题</groupName>
      <ability>L2_Typo</ability>
      <abilityName>字词错误</abilityName>
      <candidateList>
        <item>增强</item>
      </candidateList>
      <explain>“提高～意识”搭配不当，建议修改为“增强～意识”。</explain>
      <paraID>1C991259</paraID>
      <start>116</start>
      <end>118</end>
      <status>unmodified</status>
      <modifiedWord/>
      <trackRevisions>false</trackRevisions>
    </reviewItem>
    <reviewItem>
      <errorID>89aee968-619c-4c57-86bd-99fb6158f7b5</errorID>
      <errorWord>本</errorWord>
      <group>L1_Word</group>
      <groupName>字词问题</groupName>
      <ability>L2_Typo</ability>
      <abilityName>字词错误</abilityName>
      <candidateList>
        <item>本次</item>
      </candidateList>
      <explain/>
      <paraID> 85C36F8</paraID>
      <start>50</start>
      <end>51</end>
      <status>unmodified</status>
      <modifiedWord/>
      <trackRevisions>false</trackRevisions>
    </reviewItem>
    <reviewItem>
      <errorID>f2b5f6e6-7611-41a9-a648-cde4867e1c83</errorID>
      <errorWord>应对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5FEE24B9</paraID>
      <start>3</start>
      <end>5</end>
      <status>unmodified</status>
      <modifiedWord/>
      <trackRevisions>false</trackRevisions>
    </reviewItem>
    <reviewItem>
      <errorID>e4959fe2-fb45-4a1f-aad1-404b2aa94acb</errorID>
      <errorWord>监测方法</errorWord>
      <group>L1_Word</group>
      <groupName>字词问题</groupName>
      <ability>L2_Typo</ability>
      <abilityName>字词错误</abilityName>
      <candidateList>
        <item>检测方法</item>
      </candidateList>
      <explain/>
      <paraID>605FE3E6</paraID>
      <start>2</start>
      <end>6</end>
      <status>unmodified</status>
      <modifiedWord/>
      <trackRevisions>false</trackRevisions>
    </reviewItem>
    <reviewItem>
      <errorID>e8e1e618-21a6-49e3-a7dd-7178be662cf2</errorID>
      <errorWord>:</errorWord>
      <group>L1_Format</group>
      <groupName>格式问题</groupName>
      <ability>L2_HalfPunc</ability>
      <abilityName>全半角检查</abilityName>
      <candidateList>
        <item>：</item>
      </candidateList>
      <explain>文本全半角错误。</explain>
      <paraID> 37372A7</paraID>
      <start>145</start>
      <end>146</end>
      <status>unmodified</status>
      <modifiedWord/>
      <trackRevisions>false</trackRevisions>
    </reviewItem>
    <reviewItem>
      <errorID>f60e34ab-cc4d-4dca-8af4-3e5c8129dedd</errorID>
      <errorWord>，</errorWord>
      <group>L1_Word</group>
      <groupName>字词问题</groupName>
      <ability>L2_Typo</ability>
      <abilityName>字词错误</abilityName>
      <candidateList>
        <item>，将</item>
      </candidateList>
      <explain/>
      <paraID>4668DC84</paraID>
      <start>30</start>
      <end>32</end>
      <status>modified</status>
      <modifiedWord>，将</modifiedWord>
      <trackRevisions>false</trackRevisions>
    </reviewItem>
    <reviewItem>
      <errorID>d7242a9f-d634-4e41-a2c0-9e0a647a134a</errorID>
      <errorWord>，</errorWord>
      <group>L1_Word</group>
      <groupName>字词问题</groupName>
      <ability>L2_Typo</ability>
      <abilityName>字词错误</abilityName>
      <candidateList>
        <item>，在</item>
      </candidateList>
      <explain/>
      <paraID>36441CAD</paraID>
      <start>36</start>
      <end>38</end>
      <status>modified</status>
      <modifiedWord>，在</modifiedWord>
      <trackRevisions>false</trackRevisions>
    </reviewItem>
    <reviewItem>
      <errorID>ed89ad81-fd7e-4738-a00a-a472f53e7f81</errorID>
      <errorWord>活</errorWord>
      <group>L1_Word</group>
      <groupName>字词问题</groupName>
      <ability>L2_Typo</ability>
      <abilityName>字词错误</abilityName>
      <candidateList>
        <item>活动</item>
      </candidateList>
      <explain>❶〈动〉（肢体）〈动〉弹；运动：坐久了应该站起来～～｜出去散散步，～一下筋骨。❷〈动〉为某种目的而行动：抗战时这一带常有游击队～。❸〈动〉〈动〉摇；不稳定：这个桌子直～｜门牙～了。❹〈形〉灵活；不固定：～模型｜～房屋｜条文规定得比较～。❺〈名〉为达到某种目的而采取的行动：野外～｜文娱～｜体育～｜政治～。</explain>
      <paraID>36441CAD</paraID>
      <start>60</start>
      <end>61</end>
      <status>unmodified</status>
      <modifiedWord/>
      <trackRevisions>false</trackRevisions>
    </reviewItem>
    <reviewItem>
      <errorID>4eb8f2ab-a35c-4460-aa63-f9cc62e46c12</errorID>
      <errorWord>回覆</errorWord>
      <group>L1_Word</group>
      <groupName>字词问题</groupName>
      <ability>L2_Fanti</ability>
      <abilityName>繁转简</abilityName>
      <candidateList>
        <item>回复</item>
      </candidateList>
      <explain/>
      <paraID> 20378E6</paraID>
      <start>86</start>
      <end>88</end>
      <status>unmodified</status>
      <modifiedWord/>
      <trackRevisions>false</trackRevisions>
    </reviewItem>
    <reviewItem>
      <errorID>a4eab599-4ed4-401f-a2f5-41d6d17177a9</errorID>
      <errorWord>其它</errorWord>
      <group>L1_Word</group>
      <groupName>字词问题</groupName>
      <ability>L2_Alias</ability>
      <abilityName>也作/曾用词</abilityName>
      <candidateList>
        <item>其他</item>
      </candidateList>
      <explain>词汇[其它]为不规范表述或旧称，其规范书面表述为[其他]。</explain>
      <paraID>237B527B</paraID>
      <start>66</start>
      <end>68</end>
      <status>unmodified</status>
      <modifiedWord/>
      <trackRevisions>false</trackRevisions>
    </reviewItem>
    <reviewItem>
      <errorID>4418204b-33df-4a2e-b7a8-9269dcbdc127</errorID>
      <errorWord>成型</errorWord>
      <group>L1_Word</group>
      <groupName>字词问题</groupName>
      <ability>L2_Typo</ability>
      <abilityName>字词错误</abilityName>
      <candidateList>
        <item>成形</item>
      </candidateList>
      <explain/>
      <paraID>4D180662</paraID>
      <start>11</start>
      <end>13</end>
      <status>unmodified</status>
      <modifiedWord/>
      <trackRevisions>false</trackRevisions>
    </reviewItem>
    <reviewItem>
      <errorID>e2fd2ae9-d8a3-40f0-97fa-37813bb6af6e</errorID>
      <errorWord>挡护</errorWord>
      <group>L1_Word</group>
      <groupName>字词问题</groupName>
      <ability>L2_Typo</ability>
      <abilityName>字词错误</abilityName>
      <candidateList>
        <item>防护</item>
      </candidateList>
      <explain>存在发音相近字词的误用。</explain>
      <paraID>4D180662</paraID>
      <start>24</start>
      <end>26</end>
      <status>unmodified</status>
      <modifiedWord/>
      <trackRevisions>false</trackRevisions>
    </reviewItem>
    <reviewItem>
      <errorID>7c1e2c19-0999-42a8-b6d7-fde3704d6c0a</errorID>
      <errorWord>提高</errorWord>
      <group>L1_Word</group>
      <groupName>字词问题</groupName>
      <ability>L2_Typo</ability>
      <abilityName>字词错误</abilityName>
      <candidateList>
        <item>增强</item>
      </candidateList>
      <explain>“提高～意识”搭配不当，建议修改为“增强～意识”。</explain>
      <paraID>32670E52</paraID>
      <start>33</start>
      <end>35</end>
      <status>unmodified</status>
      <modifiedWord/>
      <trackRevisions>false</trackRevisions>
    </reviewItem>
    <reviewItem>
      <errorID>cb612fa3-ead5-434f-9016-8b74921531df</errorID>
      <errorWord>期</errorWord>
      <group>L1_Word</group>
      <groupName>字词问题</groupName>
      <ability>L2_Typo</ability>
      <abilityName>字词错误</abilityName>
      <candidateList>
        <item>期间</item>
      </candidateList>
      <explain>〈名〉某个时期里面：农忙～｜春节～｜抗战～。</explain>
      <paraID>46B61E4F</paraID>
      <start>3</start>
      <end>4</end>
      <status>unmodified</status>
      <modifiedWord/>
      <trackRevisions>false</trackRevisions>
    </reviewItem>
    <reviewItem>
      <errorID>9e3fceda-7711-4496-ae92-30ce75355015</errorID>
      <errorWord>不可避免而</errorWord>
      <group>L1_Word</group>
      <groupName>字词问题</groupName>
      <ability>L2_Typo</ability>
      <abilityName>字词错误</abilityName>
      <candidateList>
        <item>不可避免</item>
      </candidateList>
      <explain/>
      <paraID>73098B16</paraID>
      <start>2</start>
      <end>7</end>
      <status>unmodified</status>
      <modifiedWord/>
      <trackRevisions>false</trackRevisions>
    </reviewItem>
    <reviewItem>
      <errorID>281908d9-a0a9-4b6a-81fe-82036a4e479b</errorID>
      <errorWord>期</errorWord>
      <group>L1_Word</group>
      <groupName>字词问题</groupName>
      <ability>L2_Typo</ability>
      <abilityName>字词错误</abilityName>
      <candidateList>
        <item>期间</item>
      </candidateList>
      <explain>〈名〉某个时期里面：农忙～｜春节～｜抗战～。</explain>
      <paraID>772B8D3F</paraID>
      <start>52</start>
      <end>53</end>
      <status>unmodified</status>
      <modifiedWord/>
      <trackRevisions>false</trackRevisions>
    </reviewItem>
    <reviewItem>
      <errorID>d09505ed-2adb-4f65-822d-f2ce9b0dbc6c</errorID>
      <errorWord>提高</errorWord>
      <group>L1_Word</group>
      <groupName>字词问题</groupName>
      <ability>L2_Typo</ability>
      <abilityName>字词错误</abilityName>
      <candidateList>
        <item>增强</item>
      </candidateList>
      <explain>“提高～意识”搭配不当，建议修改为“增强～意识”。</explain>
      <paraID> C956FDC</paraID>
      <start>17</start>
      <end>19</end>
      <status>unmodified</status>
      <modifiedWord/>
      <trackRevisions>false</trackRevisions>
    </reviewItem>
    <reviewItem>
      <errorID>6a2bd677-985e-4962-a057-514589508832</errorID>
      <errorWord>生活废水</errorWord>
      <group>L1_Knowledge</group>
      <groupName>知识性问题</groupName>
      <ability>L2_Term</ability>
      <abilityName>专业术语</abilityName>
      <candidateList>
        <item>生活污水</item>
      </candidateList>
      <explain/>
      <paraID> 506D852</paraID>
      <start>23</start>
      <end>27</end>
      <status>unmodified</status>
      <modifiedWord/>
      <trackRevisions>false</trackRevisions>
    </reviewItem>
    <reviewItem>
      <errorID>d815d0c8-11a4-449b-8622-043b60136b11</errorID>
      <errorWord>沉砂池</errorWord>
      <group>L1_Word</group>
      <groupName>字词问题</groupName>
      <ability>L2_Typo</ability>
      <abilityName>字词错误</abilityName>
      <candidateList>
        <item>沉沙池</item>
      </candidateList>
      <explain>存在发音相同字词的误用。</explain>
      <paraID>50F7FEB8</paraID>
      <start>51</start>
      <end>54</end>
      <status>unmodified</status>
      <modifiedWord/>
      <trackRevisions>false</trackRevisions>
    </reviewItem>
    <reviewItem>
      <errorID>5c524033-970a-4097-a2e1-63e9af34eefd</errorID>
      <errorWord>提高</errorWord>
      <group>L1_Word</group>
      <groupName>字词问题</groupName>
      <ability>L2_Typo</ability>
      <abilityName>字词错误</abilityName>
      <candidateList>
        <item>增强</item>
      </candidateList>
      <explain>“提高～意识”搭配不当，建议修改为“增强～意识”。</explain>
      <paraID>54F3B77A</paraID>
      <start>23</start>
      <end>25</end>
      <status>unmodified</status>
      <modifiedWord/>
      <trackRevisions>false</trackRevisions>
    </reviewItem>
    <reviewItem>
      <errorID>6c8d6b62-8cbb-4b32-937d-a512ae36cd8b</errorID>
      <errorWord>意漫</errorWord>
      <group>L1_Word</group>
      <groupName>字词问题</groupName>
      <ability>L2_Typo</ability>
      <abilityName>字词错误</abilityName>
      <candidateList>
        <item>意乱</item>
      </candidateList>
      <explain/>
      <paraID>24D2ACF9</paraID>
      <start>21</start>
      <end>23</end>
      <status>unmodified</status>
      <modifiedWord/>
      <trackRevisions>false</trackRevisions>
    </reviewItem>
    <reviewItem>
      <errorID>5a25e196-2587-453d-991d-b639ad8d5146</errorID>
      <errorWord>期</errorWord>
      <group>L1_Word</group>
      <groupName>字词问题</groupName>
      <ability>L2_Typo</ability>
      <abilityName>字词错误</abilityName>
      <candidateList>
        <item>期间</item>
      </candidateList>
      <explain>〈名〉某个时期里面：农忙～｜春节～｜抗战～。</explain>
      <paraID>76F19FBF</paraID>
      <start>2</start>
      <end>3</end>
      <status>unmodified</status>
      <modifiedWord/>
      <trackRevisions>false</trackRevisions>
    </reviewItem>
    <reviewItem>
      <errorID>7b2876c5-7d41-4558-9853-16315e5ecb41</errorID>
      <errorWord>，</errorWord>
      <group>L1_Word</group>
      <groupName>字词问题</groupName>
      <ability>L2_Typo</ability>
      <abilityName>字词错误</abilityName>
      <candidateList>
        <item>，对</item>
      </candidateList>
      <explain/>
      <paraID>5CE7B971</paraID>
      <start>42</start>
      <end>44</end>
      <status>modified</status>
      <modifiedWord>，对</modifiedWord>
      <trackRevisions>false</trackRevisions>
    </reviewItem>
    <reviewItem>
      <errorID>cc06a627-8878-4b65-a7e6-b131564878a9</errorID>
      <errorWord>期</errorWord>
      <group>L1_Word</group>
      <groupName>字词问题</groupName>
      <ability>L2_Typo</ability>
      <abilityName>字词错误</abilityName>
      <candidateList>
        <item>期间</item>
      </candidateList>
      <explain>〈名〉某个时期里面：农忙～｜春节～｜抗战～。</explain>
      <paraID>1BF5E38D</paraID>
      <start>8</start>
      <end>9</end>
      <status>unmodified</status>
      <modifiedWord/>
      <trackRevisions>false</trackRevisions>
    </reviewItem>
    <reviewItem>
      <errorID>1163dff9-3b65-4fcd-96ce-e1f7aead9bda</errorID>
      <errorWord>~</errorWord>
      <group>L1_Format</group>
      <groupName>格式问题</groupName>
      <ability>L2_HalfPunc</ability>
      <abilityName>全半角检查</abilityName>
      <candidateList>
        <item>～</item>
      </candidateList>
      <explain>文本全半角错误。</explain>
      <paraID>69B5315A</paraID>
      <start>6</start>
      <end>7</end>
      <status>unmodified</status>
      <modifiedWord/>
      <trackRevisions>false</trackRevisions>
    </reviewItem>
    <reviewItem>
      <errorID>b7c89fbb-13c2-40a3-bcf8-ffc0e4ac0b3e</errorID>
      <errorWord>~</errorWord>
      <group>L1_Format</group>
      <groupName>格式问题</groupName>
      <ability>L2_HalfPunc</ability>
      <abilityName>全半角检查</abilityName>
      <candidateList>
        <item>～</item>
      </candidateList>
      <explain>文本全半角错误。</explain>
      <paraID>67333FDB</paraID>
      <start>6</start>
      <end>7</end>
      <status>unmodified</status>
      <modifiedWord/>
      <trackRevisions>false</trackRevisions>
    </reviewItem>
    <reviewItem>
      <errorID>9c2ffc04-185c-4e1e-a955-dc62da3faa53</errorID>
      <errorWord>~</errorWord>
      <group>L1_Format</group>
      <groupName>格式问题</groupName>
      <ability>L2_HalfPunc</ability>
      <abilityName>全半角检查</abilityName>
      <candidateList>
        <item>～</item>
      </candidateList>
      <explain>文本全半角错误。</explain>
      <paraID>67333FDB</paraID>
      <start>31</start>
      <end>32</end>
      <status>unmodified</status>
      <modifiedWord/>
      <trackRevisions>false</trackRevisions>
    </reviewItem>
    <reviewItem>
      <errorID>72839d02-da2d-482d-bc72-ffdeea93de42</errorID>
      <errorWord>(</errorWord>
      <group>L1_Format</group>
      <groupName>格式问题</groupName>
      <ability>L2_HalfPunc</ability>
      <abilityName>全半角检查</abilityName>
      <candidateList>
        <item>（</item>
      </candidateList>
      <explain>文本全半角错误。</explain>
      <paraID>67333FDB</paraID>
      <start>34</start>
      <end>35</end>
      <status>unmodified</status>
      <modifiedWord/>
      <trackRevisions>false</trackRevisions>
    </reviewItem>
    <reviewItem>
      <errorID>8e8669a9-33a5-4548-966a-ee9c855cfa21</errorID>
      <errorWord>)</errorWord>
      <group>L1_Format</group>
      <groupName>格式问题</groupName>
      <ability>L2_HalfPunc</ability>
      <abilityName>全半角检查</abilityName>
      <candidateList>
        <item>）</item>
      </candidateList>
      <explain>文本全半角错误。</explain>
      <paraID>67333FDB</paraID>
      <start>40</start>
      <end>41</end>
      <status>unmodified</status>
      <modifiedWord/>
      <trackRevisions>false</trackRevisions>
    </reviewItem>
    <reviewItem>
      <errorID>4e7e93f4-fba3-4dc3-9cab-745180916670</errorID>
      <errorWord>~</errorWord>
      <group>L1_Format</group>
      <groupName>格式问题</groupName>
      <ability>L2_HalfPunc</ability>
      <abilityName>全半角检查</abilityName>
      <candidateList>
        <item>～</item>
      </candidateList>
      <explain>文本全半角错误。</explain>
      <paraID>34259F8F</paraID>
      <start>6</start>
      <end>7</end>
      <status>unmodified</status>
      <modifiedWord/>
      <trackRevisions>false</trackRevisions>
    </reviewItem>
    <reviewItem>
      <errorID>d69597a0-fbce-4005-9400-d477d4b9db4d</errorID>
      <errorWord>~</errorWord>
      <group>L1_Format</group>
      <groupName>格式问题</groupName>
      <ability>L2_HalfPunc</ability>
      <abilityName>全半角检查</abilityName>
      <candidateList>
        <item>～</item>
      </candidateList>
      <explain>文本全半角错误。</explain>
      <paraID>34259F8F</paraID>
      <start>30</start>
      <end>31</end>
      <status>unmodified</status>
      <modifiedWord/>
      <trackRevisions>false</trackRevisions>
    </reviewItem>
    <reviewItem>
      <errorID>ef3c9f54-0b87-4805-8eea-f8ea70add636</errorID>
      <errorWord>(</errorWord>
      <group>L1_Format</group>
      <groupName>格式问题</groupName>
      <ability>L2_HalfPunc</ability>
      <abilityName>全半角检查</abilityName>
      <candidateList>
        <item>（</item>
      </candidateList>
      <explain>文本全半角错误。</explain>
      <paraID>34259F8F</paraID>
      <start>33</start>
      <end>34</end>
      <status>unmodified</status>
      <modifiedWord/>
      <trackRevisions>false</trackRevisions>
    </reviewItem>
    <reviewItem>
      <errorID>044ec312-5926-4ba0-a243-8db6e74e6b6d</errorID>
      <errorWord>)</errorWord>
      <group>L1_Format</group>
      <groupName>格式问题</groupName>
      <ability>L2_HalfPunc</ability>
      <abilityName>全半角检查</abilityName>
      <candidateList>
        <item>）</item>
      </candidateList>
      <explain>文本全半角错误。</explain>
      <paraID>34259F8F</paraID>
      <start>38</start>
      <end>39</end>
      <status>unmodified</status>
      <modifiedWord/>
      <trackRevisions>false</trackRevisions>
    </reviewItem>
    <reviewItem>
      <errorID>97226996-2d9e-4fca-85d1-bac4cb3ecd01</errorID>
      <errorWord>~</errorWord>
      <group>L1_Format</group>
      <groupName>格式问题</groupName>
      <ability>L2_HalfPunc</ability>
      <abilityName>全半角检查</abilityName>
      <candidateList>
        <item>～</item>
      </candidateList>
      <explain>文本全半角错误。</explain>
      <paraID>2266F31D</paraID>
      <start>5</start>
      <end>6</end>
      <status>unmodified</status>
      <modifiedWord/>
      <trackRevisions>false</trackRevisions>
    </reviewItem>
    <reviewItem>
      <errorID>400c809e-98a9-4a29-a8c1-4a215677e6bd</errorID>
      <errorWord>~</errorWord>
      <group>L1_Format</group>
      <groupName>格式问题</groupName>
      <ability>L2_HalfPunc</ability>
      <abilityName>全半角检查</abilityName>
      <candidateList>
        <item>～</item>
      </candidateList>
      <explain>文本全半角错误。</explain>
      <paraID>2266F31D</paraID>
      <start>27</start>
      <end>28</end>
      <status>unmodified</status>
      <modifiedWord/>
      <trackRevisions>false</trackRevisions>
    </reviewItem>
    <reviewItem>
      <errorID>0bc04b55-1b45-4385-8cbf-19fbd4f8c0ba</errorID>
      <errorWord>~</errorWord>
      <group>L1_Format</group>
      <groupName>格式问题</groupName>
      <ability>L2_HalfPunc</ability>
      <abilityName>全半角检查</abilityName>
      <candidateList>
        <item>～</item>
      </candidateList>
      <explain>文本全半角错误。</explain>
      <paraID>628961EB</paraID>
      <start>146</start>
      <end>147</end>
      <status>unmodified</status>
      <modifiedWord/>
      <trackRevisions>false</trackRevisions>
    </reviewItem>
    <reviewItem>
      <errorID>af77791f-7c5f-4ed3-b19b-24b4f4a687f6</errorID>
      <errorWord>~</errorWord>
      <group>L1_Format</group>
      <groupName>格式问题</groupName>
      <ability>L2_HalfPunc</ability>
      <abilityName>全半角检查</abilityName>
      <candidateList>
        <item>～</item>
      </candidateList>
      <explain>文本全半角错误。</explain>
      <paraID>628961EB</paraID>
      <start>168</start>
      <end>169</end>
      <status>unmodified</status>
      <modifiedWord/>
      <trackRevisions>false</trackRevisions>
    </reviewItem>
    <reviewItem>
      <errorID>aae09716-5b20-41da-9448-4dcc0f83ab26</errorID>
      <errorWord>~</errorWord>
      <group>L1_Format</group>
      <groupName>格式问题</groupName>
      <ability>L2_HalfPunc</ability>
      <abilityName>全半角检查</abilityName>
      <candidateList>
        <item>～</item>
      </candidateList>
      <explain>文本全半角错误。</explain>
      <paraID>628961EB</paraID>
      <start>192</start>
      <end>193</end>
      <status>unmodified</status>
      <modifiedWord/>
      <trackRevisions>false</trackRevisions>
    </reviewItem>
    <reviewItem>
      <errorID>ab3a4b49-24ca-470f-b91e-4d9dcc1d341c</errorID>
      <errorWord>~</errorWord>
      <group>L1_Format</group>
      <groupName>格式问题</groupName>
      <ability>L2_HalfPunc</ability>
      <abilityName>全半角检查</abilityName>
      <candidateList>
        <item>～</item>
      </candidateList>
      <explain>文本全半角错误。</explain>
      <paraID>628961EB</paraID>
      <start>214</start>
      <end>215</end>
      <status>unmodified</status>
      <modifiedWord/>
      <trackRevisions>false</trackRevisions>
    </reviewItem>
    <reviewItem>
      <errorID>28f5fb7f-02eb-46d2-baf3-fb7656142781</errorID>
      <errorWord>~</errorWord>
      <group>L1_Format</group>
      <groupName>格式问题</groupName>
      <ability>L2_HalfPunc</ability>
      <abilityName>全半角检查</abilityName>
      <candidateList>
        <item>～</item>
      </candidateList>
      <explain>文本全半角错误。</explain>
      <paraID>737DF155</paraID>
      <start>6</start>
      <end>7</end>
      <status>unmodified</status>
      <modifiedWord/>
      <trackRevisions>false</trackRevisions>
    </reviewItem>
    <reviewItem>
      <errorID>c834416e-c0b2-4d15-9f7f-bfd60eef610a</errorID>
      <errorWord>~</errorWord>
      <group>L1_Format</group>
      <groupName>格式问题</groupName>
      <ability>L2_HalfPunc</ability>
      <abilityName>全半角检查</abilityName>
      <candidateList>
        <item>～</item>
      </candidateList>
      <explain>文本全半角错误。</explain>
      <paraID>1A36A8C9</paraID>
      <start>6</start>
      <end>7</end>
      <status>unmodified</status>
      <modifiedWord/>
      <trackRevisions>false</trackRevisions>
    </reviewItem>
    <reviewItem>
      <errorID>168532d4-060b-4e14-b25b-14d832ce55ab</errorID>
      <errorWord>~</errorWord>
      <group>L1_Format</group>
      <groupName>格式问题</groupName>
      <ability>L2_HalfPunc</ability>
      <abilityName>全半角检查</abilityName>
      <candidateList>
        <item>～</item>
      </candidateList>
      <explain>文本全半角错误。</explain>
      <paraID>2F27E7EB</paraID>
      <start>6</start>
      <end>7</end>
      <status>unmodified</status>
      <modifiedWord/>
      <trackRevisions>false</trackRevisions>
    </reviewItem>
    <reviewItem>
      <errorID>b95197d5-2e9f-48b4-845d-2bbccca8d39d</errorID>
      <errorWord>~</errorWord>
      <group>L1_Format</group>
      <groupName>格式问题</groupName>
      <ability>L2_HalfPunc</ability>
      <abilityName>全半角检查</abilityName>
      <candidateList>
        <item>～</item>
      </candidateList>
      <explain>文本全半角错误。</explain>
      <paraID>6CA557E6</paraID>
      <start>5</start>
      <end>6</end>
      <status>unmodified</status>
      <modifiedWord/>
      <trackRevisions>false</trackRevisions>
    </reviewItem>
    <reviewItem>
      <errorID>a18cce61-2871-4f9f-b1ea-e4f4dc61365f</errorID>
      <errorWord>随</errorWord>
      <group>L1_Word</group>
      <groupName>字词问题</groupName>
      <ability>L2_Typo</ability>
      <abilityName>字词错误</abilityName>
      <candidateList>
        <item>随着</item>
      </candidateList>
      <explain/>
      <paraID>3991860A</paraID>
      <start>68</start>
      <end>69</end>
      <status>unmodified</status>
      <modifiedWord/>
      <trackRevisions>false</trackRevisions>
    </reviewItem>
    <reviewItem>
      <errorID>67a8aa89-4afb-48c4-b21a-d633b42d28c2</errorID>
      <errorWord>~</errorWord>
      <group>L1_Format</group>
      <groupName>格式问题</groupName>
      <ability>L2_HalfPunc</ability>
      <abilityName>全半角检查</abilityName>
      <candidateList>
        <item>～</item>
      </candidateList>
      <explain>文本全半角错误。</explain>
      <paraID>5DC1D533</paraID>
      <start>18</start>
      <end>19</end>
      <status>unmodified</status>
      <modifiedWord/>
      <trackRevisions>false</trackRevisions>
    </reviewItem>
    <reviewItem>
      <errorID>df8534d0-a553-48b9-a491-904dd1ac942b</errorID>
      <errorWord>~</errorWord>
      <group>L1_Format</group>
      <groupName>格式问题</groupName>
      <ability>L2_HalfPunc</ability>
      <abilityName>全半角检查</abilityName>
      <candidateList>
        <item>～</item>
      </candidateList>
      <explain>文本全半角错误。</explain>
      <paraID>5DC1D533</paraID>
      <start>123</start>
      <end>124</end>
      <status>unmodified</status>
      <modifiedWord/>
      <trackRevisions>false</trackRevisions>
    </reviewItem>
    <reviewItem>
      <errorID>07c128ee-c06b-4fae-996b-cfb7d7113ad0</errorID>
      <errorWord>~</errorWord>
      <group>L1_Format</group>
      <groupName>格式问题</groupName>
      <ability>L2_HalfPunc</ability>
      <abilityName>全半角检查</abilityName>
      <candidateList>
        <item>～</item>
      </candidateList>
      <explain>文本全半角错误。</explain>
      <paraID>5DC1D533</paraID>
      <start>175</start>
      <end>176</end>
      <status>unmodified</status>
      <modifiedWord/>
      <trackRevisions>false</trackRevisions>
    </reviewItem>
    <reviewItem>
      <errorID>1bd6c35d-68ec-43ad-b32d-fe00acb14c32</errorID>
      <errorWord>~</errorWord>
      <group>L1_Format</group>
      <groupName>格式问题</groupName>
      <ability>L2_HalfPunc</ability>
      <abilityName>全半角检查</abilityName>
      <candidateList>
        <item>～</item>
      </candidateList>
      <explain>文本全半角错误。</explain>
      <paraID>5DC1D533</paraID>
      <start>225</start>
      <end>226</end>
      <status>unmodified</status>
      <modifiedWord/>
      <trackRevisions>false</trackRevisions>
    </reviewItem>
    <reviewItem>
      <errorID>6da225e4-80f2-44c9-94b5-824a82951fcd</errorID>
      <errorWord>，</errorWord>
      <group>L1_Format</group>
      <groupName>格式问题</groupName>
      <ability>L2_HalfPunc</ability>
      <abilityName>全半角检查</abilityName>
      <candidateList>
        <item>, </item>
      </candidateList>
      <explain>文本全半角错误。</explain>
      <paraID>48EB0548</paraID>
      <start>15</start>
      <end>16</end>
      <status>unmodified</status>
      <modifiedWord/>
      <trackRevisions>false</trackRevisions>
    </reviewItem>
    <reviewItem>
      <errorID>6f0c0e72-e55a-44c5-9b24-77da5e436333</errorID>
      <errorWord>，</errorWord>
      <group>L1_Format</group>
      <groupName>格式问题</groupName>
      <ability>L2_HalfPunc</ability>
      <abilityName>全半角检查</abilityName>
      <candidateList>
        <item>, </item>
      </candidateList>
      <explain>文本全半角错误。</explain>
      <paraID>7724AE67</paraID>
      <start>15</start>
      <end>16</end>
      <status>unmodified</status>
      <modifiedWord/>
      <trackRevisions>false</trackRevisions>
    </reviewItem>
    <reviewItem>
      <errorID>86e49059-2fdb-4e00-9baa-7855d214255d</errorID>
      <errorWord>，</errorWord>
      <group>L1_Format</group>
      <groupName>格式问题</groupName>
      <ability>L2_HalfPunc</ability>
      <abilityName>全半角检查</abilityName>
      <candidateList>
        <item>, </item>
      </candidateList>
      <explain>文本全半角错误。</explain>
      <paraID>4FB8EA76</paraID>
      <start>15</start>
      <end>16</end>
      <status>unmodified</status>
      <modifiedWord/>
      <trackRevisions>false</trackRevisions>
    </reviewItem>
    <reviewItem>
      <errorID>e4ca0635-0147-41ea-9fb3-9e53787767b9</errorID>
      <errorWord>，</errorWord>
      <group>L1_Format</group>
      <groupName>格式问题</groupName>
      <ability>L2_HalfPunc</ability>
      <abilityName>全半角检查</abilityName>
      <candidateList>
        <item>, </item>
      </candidateList>
      <explain>文本全半角错误。</explain>
      <paraID>230C36D7</paraID>
      <start>15</start>
      <end>16</end>
      <status>unmodified</status>
      <modifiedWord/>
      <trackRevisions>false</trackRevisions>
    </reviewItem>
    <reviewItem>
      <errorID>c5c5a001-5e16-405d-885f-bf269a9fa3f9</errorID>
      <errorWord>，</errorWord>
      <group>L1_Format</group>
      <groupName>格式问题</groupName>
      <ability>L2_HalfPunc</ability>
      <abilityName>全半角检查</abilityName>
      <candidateList>
        <item>, </item>
      </candidateList>
      <explain>文本全半角错误。</explain>
      <paraID> E8E3367</paraID>
      <start>15</start>
      <end>16</end>
      <status>unmodified</status>
      <modifiedWord/>
      <trackRevisions>false</trackRevisions>
    </reviewItem>
    <reviewItem>
      <errorID>85147fc5-30b3-40b2-aa83-fd44ae420430</errorID>
      <errorWord>~</errorWord>
      <group>L1_Format</group>
      <groupName>格式问题</groupName>
      <ability>L2_HalfPunc</ability>
      <abilityName>全半角检查</abilityName>
      <candidateList>
        <item>～</item>
      </candidateList>
      <explain>文本全半角错误。</explain>
      <paraID>1B35E009</paraID>
      <start>6</start>
      <end>7</end>
      <status>unmodified</status>
      <modifiedWord/>
      <trackRevisions>false</trackRevisions>
    </reviewItem>
    <reviewItem>
      <errorID>949154d0-3315-47cb-bb00-9e241a0b22a3</errorID>
      <errorWord>，</errorWord>
      <group>L1_Format</group>
      <groupName>格式问题</groupName>
      <ability>L2_HalfPunc</ability>
      <abilityName>全半角检查</abilityName>
      <candidateList>
        <item>, </item>
      </candidateList>
      <explain>文本全半角错误。</explain>
      <paraID>4BF41FE4</paraID>
      <start>15</start>
      <end>16</end>
      <status>unmodified</status>
      <modifiedWord/>
      <trackRevisions>false</trackRevisions>
    </reviewItem>
    <reviewItem>
      <errorID>361487a5-f48f-4d8d-aa2b-1eef8eafe3b5</errorID>
      <errorWord>，</errorWord>
      <group>L1_Format</group>
      <groupName>格式问题</groupName>
      <ability>L2_HalfPunc</ability>
      <abilityName>全半角检查</abilityName>
      <candidateList>
        <item>, </item>
      </candidateList>
      <explain>文本全半角错误。</explain>
      <paraID>  22F397</paraID>
      <start>15</start>
      <end>16</end>
      <status>unmodified</status>
      <modifiedWord/>
      <trackRevisions>false</trackRevisions>
    </reviewItem>
    <reviewItem>
      <errorID>5509eea7-dd59-46a0-9c3c-9dda5ee83bc2</errorID>
      <errorWord>，</errorWord>
      <group>L1_Format</group>
      <groupName>格式问题</groupName>
      <ability>L2_HalfPunc</ability>
      <abilityName>全半角检查</abilityName>
      <candidateList>
        <item>, </item>
      </candidateList>
      <explain>文本全半角错误。</explain>
      <paraID>35722A0A</paraID>
      <start>15</start>
      <end>16</end>
      <status>unmodified</status>
      <modifiedWord/>
      <trackRevisions>false</trackRevisions>
    </reviewItem>
    <reviewItem>
      <errorID>15452276-8f83-449b-b066-ad6f3c80e058</errorID>
      <errorWord>~</errorWord>
      <group>L1_Format</group>
      <groupName>格式问题</groupName>
      <ability>L2_HalfPunc</ability>
      <abilityName>全半角检查</abilityName>
      <candidateList>
        <item>～</item>
      </candidateList>
      <explain>文本全半角错误。</explain>
      <paraID>25670BAF</paraID>
      <start>6</start>
      <end>7</end>
      <status>unmodified</status>
      <modifiedWord/>
      <trackRevisions>false</trackRevisions>
    </reviewItem>
    <reviewItem>
      <errorID>bdfed3dd-c196-47b4-a9f1-91385cb4aeeb</errorID>
      <errorWord>，</errorWord>
      <group>L1_Format</group>
      <groupName>格式问题</groupName>
      <ability>L2_HalfPunc</ability>
      <abilityName>全半角检查</abilityName>
      <candidateList>
        <item>, </item>
      </candidateList>
      <explain>文本全半角错误。</explain>
      <paraID>32FCD008</paraID>
      <start>15</start>
      <end>16</end>
      <status>unmodified</status>
      <modifiedWord/>
      <trackRevisions>false</trackRevisions>
    </reviewItem>
    <reviewItem>
      <errorID>4713309f-d009-4b3c-b356-4947fd6dcfbe</errorID>
      <errorWord>~</errorWord>
      <group>L1_Format</group>
      <groupName>格式问题</groupName>
      <ability>L2_HalfPunc</ability>
      <abilityName>全半角检查</abilityName>
      <candidateList>
        <item>～</item>
      </candidateList>
      <explain>文本全半角错误。</explain>
      <paraID>632C5C48</paraID>
      <start>6</start>
      <end>7</end>
      <status>unmodified</status>
      <modifiedWord/>
      <trackRevisions>false</trackRevisions>
    </reviewItem>
    <reviewItem>
      <errorID>b0230fe7-50e7-4758-9ef1-4041a1ca788f</errorID>
      <errorWord>，</errorWord>
      <group>L1_Format</group>
      <groupName>格式问题</groupName>
      <ability>L2_HalfPunc</ability>
      <abilityName>全半角检查</abilityName>
      <candidateList>
        <item>, </item>
      </candidateList>
      <explain>文本全半角错误。</explain>
      <paraID>233207D4</paraID>
      <start>15</start>
      <end>16</end>
      <status>unmodified</status>
      <modifiedWord/>
      <trackRevisions>false</trackRevisions>
    </reviewItem>
    <reviewItem>
      <errorID>7dabec0c-c723-4a46-aa31-ba9ed8df9462</errorID>
      <errorWord>~</errorWord>
      <group>L1_Format</group>
      <groupName>格式问题</groupName>
      <ability>L2_HalfPunc</ability>
      <abilityName>全半角检查</abilityName>
      <candidateList>
        <item>～</item>
      </candidateList>
      <explain>文本全半角错误。</explain>
      <paraID>5F27E355</paraID>
      <start>5</start>
      <end>6</end>
      <status>unmodified</status>
      <modifiedWord/>
      <trackRevisions>false</trackRevisions>
    </reviewItem>
    <reviewItem>
      <errorID>0a82ea3d-ec1d-4a90-951e-8d90c73b2e05</errorID>
      <errorWord>，</errorWord>
      <group>L1_Format</group>
      <groupName>格式问题</groupName>
      <ability>L2_HalfPunc</ability>
      <abilityName>全半角检查</abilityName>
      <candidateList>
        <item>, </item>
      </candidateList>
      <explain>文本全半角错误。</explain>
      <paraID>3B40080C</paraID>
      <start>15</start>
      <end>16</end>
      <status>unmodified</status>
      <modifiedWord/>
      <trackRevisions>false</trackRevisions>
    </reviewItem>
    <reviewItem>
      <errorID>7a7bd201-468e-46b1-813e-d908edf76806</errorID>
      <errorWord>，</errorWord>
      <group>L1_Format</group>
      <groupName>格式问题</groupName>
      <ability>L2_HalfPunc</ability>
      <abilityName>全半角检查</abilityName>
      <candidateList>
        <item>, </item>
      </candidateList>
      <explain>文本全半角错误。</explain>
      <paraID> 10B0704</paraID>
      <start>15</start>
      <end>16</end>
      <status>unmodified</status>
      <modifiedWord/>
      <trackRevisions>false</trackRevisions>
    </reviewItem>
    <reviewItem>
      <errorID>cc5384cf-207e-4c94-9eb1-a7889b225d09</errorID>
      <errorWord>，</errorWord>
      <group>L1_Format</group>
      <groupName>格式问题</groupName>
      <ability>L2_HalfPunc</ability>
      <abilityName>全半角检查</abilityName>
      <candidateList>
        <item>, </item>
      </candidateList>
      <explain>文本全半角错误。</explain>
      <paraID>3C2FFCBA</paraID>
      <start>15</start>
      <end>16</end>
      <status>unmodified</status>
      <modifiedWord/>
      <trackRevisions>false</trackRevisions>
    </reviewItem>
    <reviewItem>
      <errorID>33cd8a92-7471-4a90-8f76-cd63cbd7a754</errorID>
      <errorWord>，</errorWord>
      <group>L1_Format</group>
      <groupName>格式问题</groupName>
      <ability>L2_HalfPunc</ability>
      <abilityName>全半角检查</abilityName>
      <candidateList>
        <item>, </item>
      </candidateList>
      <explain>文本全半角错误。</explain>
      <paraID>360BB68D</paraID>
      <start>15</start>
      <end>16</end>
      <status>unmodified</status>
      <modifiedWord/>
      <trackRevisions>false</trackRevisions>
    </reviewItem>
    <reviewItem>
      <errorID>237a9b06-d6c9-4f22-99b9-294a70fd3fe8</errorID>
      <errorWord>检测点位</errorWord>
      <group>L1_Knowledge</group>
      <groupName>知识性问题</groupName>
      <ability>L2_Term</ability>
      <abilityName>专业术语</abilityName>
      <candidateList>
        <item>监测点位</item>
      </candidateList>
      <explain/>
      <paraID>677999D5</paraID>
      <start>0</start>
      <end>4</end>
      <status>unmodified</status>
      <modifiedWord/>
      <trackRevisions>false</trackRevisions>
    </reviewItem>
    <reviewItem>
      <errorID>62331150-0e01-43a4-9058-5bf98200cfc1</errorID>
      <errorWord>~</errorWord>
      <group>L1_Format</group>
      <groupName>格式问题</groupName>
      <ability>L2_HalfPunc</ability>
      <abilityName>全半角检查</abilityName>
      <candidateList>
        <item>～</item>
      </candidateList>
      <explain>文本全半角错误。</explain>
      <paraID>45028A79</paraID>
      <start>6</start>
      <end>7</end>
      <status>unmodified</status>
      <modifiedWord/>
      <trackRevisions>false</trackRevisions>
    </reviewItem>
    <reviewItem>
      <errorID>ed11f515-14a4-497a-ae75-0caed3c3b282</errorID>
      <errorWord>~</errorWord>
      <group>L1_Format</group>
      <groupName>格式问题</groupName>
      <ability>L2_HalfPunc</ability>
      <abilityName>全半角检查</abilityName>
      <candidateList>
        <item>～</item>
      </candidateList>
      <explain>文本全半角错误。</explain>
      <paraID>2CC50CA9</paraID>
      <start>6</start>
      <end>7</end>
      <status>unmodified</status>
      <modifiedWord/>
      <trackRevisions>false</trackRevisions>
    </reviewItem>
    <reviewItem>
      <errorID>c1ce3b49-9fd9-4d89-8415-cdab69b936c6</errorID>
      <errorWord>~</errorWord>
      <group>L1_Format</group>
      <groupName>格式问题</groupName>
      <ability>L2_HalfPunc</ability>
      <abilityName>全半角检查</abilityName>
      <candidateList>
        <item>～</item>
      </candidateList>
      <explain>文本全半角错误。</explain>
      <paraID> 8613633</paraID>
      <start>6</start>
      <end>7</end>
      <status>unmodified</status>
      <modifiedWord/>
      <trackRevisions>false</trackRevisions>
    </reviewItem>
    <reviewItem>
      <errorID>1de81135-de61-49a4-81d5-b1f843a1d4aa</errorID>
      <errorWord>~</errorWord>
      <group>L1_Format</group>
      <groupName>格式问题</groupName>
      <ability>L2_HalfPunc</ability>
      <abilityName>全半角检查</abilityName>
      <candidateList>
        <item>～</item>
      </candidateList>
      <explain>文本全半角错误。</explain>
      <paraID>160A5ABB</paraID>
      <start>5</start>
      <end>6</end>
      <status>unmodified</status>
      <modifiedWord/>
      <trackRevisions>false</trackRevisions>
    </reviewItem>
    <reviewItem>
      <errorID>3eac77d4-1374-44fa-9fb4-5680f12f84dc</errorID>
      <errorWord>监测方法</errorWord>
      <group>L1_Word</group>
      <groupName>字词问题</groupName>
      <ability>L2_Typo</ability>
      <abilityName>字词错误</abilityName>
      <candidateList>
        <item>检测方法</item>
      </candidateList>
      <explain/>
      <paraID>70739728</paraID>
      <start>0</start>
      <end>4</end>
      <status>unmodified</status>
      <modifiedWord/>
      <trackRevisions>false</trackRevisions>
    </reviewItem>
    <reviewItem>
      <errorID>0652b61a-b1a4-4b94-9f9a-754c7f3f8b1d</errorID>
      <errorWord>～</errorWord>
      <group>L1_Format</group>
      <groupName>格式问题</groupName>
      <ability>L2_HalfPunc</ability>
      <abilityName>全半角检查</abilityName>
      <candidateList>
        <item>~</item>
      </candidateList>
      <explain>文本全半角错误。</explain>
      <paraID>16525FC7</paraID>
      <start>7</start>
      <end>8</end>
      <status>unmodified</status>
      <modifiedWord/>
      <trackRevisions>false</trackRevisions>
    </reviewItem>
    <reviewItem>
      <errorID>d593c5f6-83ef-4642-a0c5-58591fb1d4a6</errorID>
      <errorWord>～</errorWord>
      <group>L1_Format</group>
      <groupName>格式问题</groupName>
      <ability>L2_HalfPunc</ability>
      <abilityName>全半角检查</abilityName>
      <candidateList>
        <item>~</item>
      </candidateList>
      <explain>文本全半角错误。</explain>
      <paraID> 41B5D5C</paraID>
      <start>3</start>
      <end>4</end>
      <status>unmodified</status>
      <modifiedWord/>
      <trackRevisions>false</trackRevisions>
    </reviewItem>
    <reviewItem>
      <errorID>b61ee2fc-34bb-43a9-9916-c8fe469db36f</errorID>
      <errorWord>本</errorWord>
      <group>L1_Word</group>
      <groupName>字词问题</groupName>
      <ability>L2_Typo</ability>
      <abilityName>字词错误</abilityName>
      <candidateList>
        <item>本次</item>
      </candidateList>
      <explain/>
      <paraID> 98041FC</paraID>
      <start>52</start>
      <end>53</end>
      <status>unmodified</status>
      <modifiedWord/>
      <trackRevisions>false</trackRevisions>
    </reviewItem>
    <reviewItem>
      <errorID>003be783-023a-4bb7-b21c-8d2843ca740b</errorID>
      <errorWord>检测点位</errorWord>
      <group>L1_Knowledge</group>
      <groupName>知识性问题</groupName>
      <ability>L2_Term</ability>
      <abilityName>专业术语</abilityName>
      <candidateList>
        <item>监测点位</item>
      </candidateList>
      <explain/>
      <paraID>5F3ABA9C</paraID>
      <start>0</start>
      <end>4</end>
      <status>unmodified</status>
      <modifiedWord/>
      <trackRevisions>false</trackRevisions>
    </reviewItem>
    <reviewItem>
      <errorID>6b73e121-4433-4585-b9ed-ba1507505fe6</errorID>
      <errorWord>~</errorWord>
      <group>L1_Format</group>
      <groupName>格式问题</groupName>
      <ability>L2_HalfPunc</ability>
      <abilityName>全半角检查</abilityName>
      <candidateList>
        <item>～</item>
      </candidateList>
      <explain>文本全半角错误。</explain>
      <paraID>26AE7417</paraID>
      <start>6</start>
      <end>7</end>
      <status>unmodified</status>
      <modifiedWord/>
      <trackRevisions>false</trackRevisions>
    </reviewItem>
    <reviewItem>
      <errorID>af2daf06-96fd-4b6a-912c-e70de4f650e7</errorID>
      <errorWord>~</errorWord>
      <group>L1_Format</group>
      <groupName>格式问题</groupName>
      <ability>L2_HalfPunc</ability>
      <abilityName>全半角检查</abilityName>
      <candidateList>
        <item>～</item>
      </candidateList>
      <explain>文本全半角错误。</explain>
      <paraID>1D015C39</paraID>
      <start>6</start>
      <end>7</end>
      <status>unmodified</status>
      <modifiedWord/>
      <trackRevisions>false</trackRevisions>
    </reviewItem>
    <reviewItem>
      <errorID>08e679d3-1b40-46f2-8c0b-077266910f91</errorID>
      <errorWord>~</errorWord>
      <group>L1_Format</group>
      <groupName>格式问题</groupName>
      <ability>L2_HalfPunc</ability>
      <abilityName>全半角检查</abilityName>
      <candidateList>
        <item>～</item>
      </candidateList>
      <explain>文本全半角错误。</explain>
      <paraID>38872E29</paraID>
      <start>6</start>
      <end>7</end>
      <status>unmodified</status>
      <modifiedWord/>
      <trackRevisions>false</trackRevisions>
    </reviewItem>
    <reviewItem>
      <errorID>596e378d-6a17-41cd-a35f-80dff975ee69</errorID>
      <errorWord>~</errorWord>
      <group>L1_Format</group>
      <groupName>格式问题</groupName>
      <ability>L2_HalfPunc</ability>
      <abilityName>全半角检查</abilityName>
      <candidateList>
        <item>～</item>
      </candidateList>
      <explain>文本全半角错误。</explain>
      <paraID>10F623A3</paraID>
      <start>5</start>
      <end>6</end>
      <status>unmodified</status>
      <modifiedWord/>
      <trackRevisions>false</trackRevisions>
    </reviewItem>
    <reviewItem>
      <errorID>5ce50503-e49e-480e-a328-8a0e4af1c213</errorID>
      <errorWord>义</errorWord>
      <group>L1_Word</group>
      <groupName>字词问题</groupName>
      <ability>L2_Typo</ability>
      <abilityName>字词错误</abilityName>
      <candidateList>
        <item>义上</item>
      </candidateList>
      <explain/>
      <paraID>5B4A3728</paraID>
      <start>16</start>
      <end>17</end>
      <status>unmodified</status>
      <modifiedWord/>
      <trackRevisions>false</trackRevisions>
    </reviewItem>
    <reviewItem>
      <errorID>0dd908ed-307b-4425-b099-b49ea0eb8e55</errorID>
      <errorWord>却是</errorWord>
      <group>L1_Word</group>
      <groupName>字词问题</groupName>
      <ability>L2_Typo</ability>
      <abilityName>字词错误</abilityName>
      <candidateList>
        <item>却</item>
      </candidateList>
      <explain>（卻）què〈副〉表示转折，比“倒、可”的语气略轻：有许多话要说，一时～说不出来｜文章虽短～很有力。</explain>
      <paraID>4932EA5F</paraID>
      <start>167</start>
      <end>169</end>
      <status>unmodified</status>
      <modifiedWord/>
      <trackRevisions>false</trackRevisions>
    </reviewItem>
    <reviewItem>
      <errorID>eb75fcb1-2a69-4edf-8d71-2993a46dcfeb</errorID>
      <errorWord>~</errorWord>
      <group>L1_Format</group>
      <groupName>格式问题</groupName>
      <ability>L2_HalfPunc</ability>
      <abilityName>全半角检查</abilityName>
      <candidateList>
        <item>～</item>
      </candidateList>
      <explain>文本全半角错误。</explain>
      <paraID>481DB542</paraID>
      <start>11</start>
      <end>12</end>
      <status>unmodified</status>
      <modifiedWord/>
      <trackRevisions>false</trackRevisions>
    </reviewItem>
    <reviewItem>
      <errorID>3a7a847c-bf71-4994-9b2d-3f15ec5adba6</errorID>
      <errorWord>~</errorWord>
      <group>L1_Format</group>
      <groupName>格式问题</groupName>
      <ability>L2_HalfPunc</ability>
      <abilityName>全半角检查</abilityName>
      <candidateList>
        <item>～</item>
      </candidateList>
      <explain>文本全半角错误。</explain>
      <paraID>213B6C07</paraID>
      <start>38</start>
      <end>39</end>
      <status>unmodified</status>
      <modifiedWord/>
      <trackRevisions>false</trackRevisions>
    </reviewItem>
    <reviewItem>
      <errorID>b54eab69-f96c-4224-a106-50c33ae41a6f</errorID>
      <errorWord>监测方法</errorWord>
      <group>L1_Word</group>
      <groupName>字词问题</groupName>
      <ability>L2_Typo</ability>
      <abilityName>字词错误</abilityName>
      <candidateList>
        <item>检测方法</item>
      </candidateList>
      <explain/>
      <paraID>5BF477A2</paraID>
      <start>3</start>
      <end>7</end>
      <status>unmodified</status>
      <modifiedWord/>
      <trackRevisions>false</trackRevisions>
    </reviewItem>
    <reviewItem>
      <errorID>8f662aa5-842a-45ba-b4f4-ebc068fa55ca</errorID>
      <errorWord>监测仪器</errorWord>
      <group>L1_Word</group>
      <groupName>字词问题</groupName>
      <ability>L2_Typo</ability>
      <abilityName>字词错误</abilityName>
      <candidateList>
        <item>检测仪器</item>
      </candidateList>
      <explain/>
      <paraID>7712CEB6</paraID>
      <start>3</start>
      <end>7</end>
      <status>unmodified</status>
      <modifiedWord/>
      <trackRevisions>false</trackRevisions>
    </reviewItem>
    <reviewItem>
      <errorID>1841b78a-394e-453a-82a8-2ce960df43ff</errorID>
      <errorWord>见</errorWord>
      <group>L1_Word</group>
      <groupName>字词问题</groupName>
      <ability>L2_Typo</ability>
      <abilityName>字词错误</abilityName>
      <candidateList>
        <item>见下</item>
      </candidateList>
      <explain/>
      <paraID>27912649</paraID>
      <start>12</start>
      <end>13</end>
      <status>unmodified</status>
      <modifiedWord/>
      <trackRevisions>false</trackRevisions>
    </reviewItem>
    <reviewItem>
      <errorID>94f14844-2f77-41c3-8200-9e5143a12dc4</errorID>
      <errorWord>、…</errorWord>
      <group>L1_Punc</group>
      <groupName>标点问题</groupName>
      <ability>L2_Punc</ability>
      <abilityName>标点符号检查</abilityName>
      <candidateList>
        <item>、</item>
      </candidateList>
      <explain/>
      <paraID> E3E0E80</paraID>
      <start>69</start>
      <end>71</end>
      <status>unmodified</status>
      <modifiedWord/>
      <trackRevisions>false</trackRevisions>
    </reviewItem>
    <reviewItem>
      <errorID>2dfbd785-12ce-450f-9b31-20ef863fe090</errorID>
      <errorWord>、</errorWord>
      <group>L1_Punc</group>
      <groupName>标点问题</groupName>
      <ability>L2_Punc</ability>
      <abilityName>标点符号检查</abilityName>
      <candidateList/>
      <explain/>
      <paraID>22028615</paraID>
      <start>25</start>
      <end>26</end>
      <status>unmodified</status>
      <modifiedWord/>
      <trackRevisions>false</trackRevisions>
    </reviewItem>
    <reviewItem>
      <errorID>42abd779-452d-4f79-a139-d5854423d24a</errorID>
      <errorWord>（</errorWord>
      <group>L1_Format</group>
      <groupName>格式问题</groupName>
      <ability>L2_HalfPunc</ability>
      <abilityName>全半角检查</abilityName>
      <candidateList>
        <item>(</item>
      </candidateList>
      <explain>文本全半角错误。</explain>
      <paraID>45CC1DBC</paraID>
      <start>25</start>
      <end>26</end>
      <status>unmodified</status>
      <modifiedWord/>
      <trackRevisions>false</trackRevisions>
    </reviewItem>
    <reviewItem>
      <errorID>6aa626ed-2302-4471-92b2-a16b94629b88</errorID>
      <errorWord>）</errorWord>
      <group>L1_Format</group>
      <groupName>格式问题</groupName>
      <ability>L2_HalfPunc</ability>
      <abilityName>全半角检查</abilityName>
      <candidateList>
        <item>)</item>
      </candidateList>
      <explain>文本全半角错误。</explain>
      <paraID>45CC1DBC</paraID>
      <start>28</start>
      <end>29</end>
      <status>unmodified</status>
      <modifiedWord/>
      <trackRevisions>false</trackRevisions>
    </reviewItem>
    <reviewItem>
      <errorID>c7ecc8b1-61de-41c1-b1c8-bed3843786f3</errorID>
      <errorWord>（</errorWord>
      <group>L1_Format</group>
      <groupName>格式问题</groupName>
      <ability>L2_HalfPunc</ability>
      <abilityName>全半角检查</abilityName>
      <candidateList>
        <item>(</item>
      </candidateList>
      <explain>文本全半角错误。</explain>
      <paraID>6042DA18</paraID>
      <start>25</start>
      <end>26</end>
      <status>unmodified</status>
      <modifiedWord/>
      <trackRevisions>false</trackRevisions>
    </reviewItem>
    <reviewItem>
      <errorID>66fac35f-eb57-4906-a599-9517f79c3a21</errorID>
      <errorWord>）</errorWord>
      <group>L1_Format</group>
      <groupName>格式问题</groupName>
      <ability>L2_HalfPunc</ability>
      <abilityName>全半角检查</abilityName>
      <candidateList>
        <item>)</item>
      </candidateList>
      <explain>文本全半角错误。</explain>
      <paraID>6042DA18</paraID>
      <start>30</start>
      <end>31</end>
      <status>unmodified</status>
      <modifiedWord/>
      <trackRevisions>false</trackRevisions>
    </reviewItem>
    <reviewItem>
      <errorID>6a294713-a784-4094-83ea-657cb49de461</errorID>
      <errorWord>~</errorWord>
      <group>L1_Format</group>
      <groupName>格式问题</groupName>
      <ability>L2_HalfPunc</ability>
      <abilityName>全半角检查</abilityName>
      <candidateList>
        <item>～</item>
      </candidateList>
      <explain>文本全半角错误。</explain>
      <paraID> 5C9F55D</paraID>
      <start>125</start>
      <end>126</end>
      <status>unmodified</status>
      <modifiedWord/>
      <trackRevisions>false</trackRevisions>
    </reviewItem>
    <reviewItem>
      <errorID>7a2f155a-873e-4ca7-95ad-fdaf84635e65</errorID>
      <errorWord>)</errorWord>
      <group>L1_Format</group>
      <groupName>格式问题</groupName>
      <ability>L2_HalfPunc</ability>
      <abilityName>全半角检查</abilityName>
      <candidateList>
        <item>）</item>
      </candidateList>
      <explain>文本全半角错误。</explain>
      <paraID>2E647BF4</paraID>
      <start>11</start>
      <end>12</end>
      <status>unmodified</status>
      <modifiedWord/>
      <trackRevisions>false</trackRevisions>
    </reviewItem>
    <reviewItem>
      <errorID>07731516-55cf-4a90-835c-014da7a648f1</errorID>
      <errorWord>(</errorWord>
      <group>L1_Format</group>
      <groupName>格式问题</groupName>
      <ability>L2_HalfPunc</ability>
      <abilityName>全半角检查</abilityName>
      <candidateList>
        <item>（</item>
      </candidateList>
      <explain>文本全半角错误。</explain>
      <paraID>2E45C51B</paraID>
      <start>8</start>
      <end>9</end>
      <status>unmodified</status>
      <modifiedWord/>
      <trackRevisions>false</trackRevisions>
    </reviewItem>
    <reviewItem>
      <errorID>bdc9ce9b-b2bb-468a-b007-bc1e0bb0317b</errorID>
      <errorWord>)</errorWord>
      <group>L1_Format</group>
      <groupName>格式问题</groupName>
      <ability>L2_HalfPunc</ability>
      <abilityName>全半角检查</abilityName>
      <candidateList>
        <item>）</item>
      </candidateList>
      <explain>文本全半角错误。</explain>
      <paraID>2E45C51B</paraID>
      <start>10</start>
      <end>11</end>
      <status>unmodified</status>
      <modifiedWord/>
      <trackRevisions>false</trackRevisions>
    </reviewItem>
    <reviewItem>
      <errorID>eee76a22-563d-46bf-a390-b5d852696bbd</errorID>
      <errorWord>(</errorWord>
      <group>L1_Format</group>
      <groupName>格式问题</groupName>
      <ability>L2_HalfPunc</ability>
      <abilityName>全半角检查</abilityName>
      <candidateList>
        <item>（</item>
      </candidateList>
      <explain>文本全半角错误。</explain>
      <paraID>45A775C0</paraID>
      <start>6</start>
      <end>7</end>
      <status>unmodified</status>
      <modifiedWord/>
      <trackRevisions>false</trackRevisions>
    </reviewItem>
    <reviewItem>
      <errorID>16e3695f-adbf-422c-8ca1-af7a4016e9fd</errorID>
      <errorWord>)</errorWord>
      <group>L1_Format</group>
      <groupName>格式问题</groupName>
      <ability>L2_HalfPunc</ability>
      <abilityName>全半角检查</abilityName>
      <candidateList>
        <item>）</item>
      </candidateList>
      <explain>文本全半角错误。</explain>
      <paraID>45A775C0</paraID>
      <start>8</start>
      <end>9</end>
      <status>unmodified</status>
      <modifiedWord/>
      <trackRevisions>false</trackRevisions>
    </reviewItem>
    <reviewItem>
      <errorID>af93fa49-b519-47f6-96a5-a95122732d74</errorID>
      <errorWord>“/</errorWord>
      <group>L1_Punc</group>
      <groupName>标点问题</groupName>
      <ability>L2_Punc</ability>
      <abilityName>标点符号检查</abilityName>
      <candidateList>
        <item>“</item>
      </candidateList>
      <explain/>
      <paraID>3FFF5952</paraID>
      <start>49</start>
      <end>51</end>
      <status>unmodified</status>
      <modifiedWord/>
      <trackRevisions>false</trackRevisions>
    </reviewItem>
    <reviewItem>
      <errorID>6a7a0d0f-079c-438c-8d39-65e9f4c66745</errorID>
      <errorWord>、、</errorWord>
      <group>L1_Punc</group>
      <groupName>标点问题</groupName>
      <ability>L2_Punc</ability>
      <abilityName>标点符号检查</abilityName>
      <candidateList>
        <item>、</item>
      </candidateList>
      <explain/>
      <paraID>4FD04BC9</paraID>
      <start>39</start>
      <end>41</end>
      <status>unmodified</status>
      <modifiedWord/>
      <trackRevisions>false</trackRevisions>
    </reviewItem>
    <reviewItem>
      <errorID>ca7d9e0d-6a98-490d-b903-221b1e39c613</errorID>
      <errorWord>~</errorWord>
      <group>L1_Format</group>
      <groupName>格式问题</groupName>
      <ability>L2_HalfPunc</ability>
      <abilityName>全半角检查</abilityName>
      <candidateList>
        <item>～</item>
      </candidateList>
      <explain>文本全半角错误。</explain>
      <paraID>62AE9675</paraID>
      <start>121</start>
      <end>122</end>
      <status>unmodified</status>
      <modifiedWord/>
      <trackRevisions>false</trackRevisions>
    </reviewItem>
    <reviewItem>
      <errorID>c0425aa2-946a-4592-be97-1827c995681b</errorID>
      <errorWord>(</errorWord>
      <group>L1_Format</group>
      <groupName>格式问题</groupName>
      <ability>L2_HalfPunc</ability>
      <abilityName>全半角检查</abilityName>
      <candidateList>
        <item>（</item>
      </candidateList>
      <explain>文本全半角错误。</explain>
      <paraID> 10CFA6B</paraID>
      <start>8</start>
      <end>9</end>
      <status>unmodified</status>
      <modifiedWord/>
      <trackRevisions>false</trackRevisions>
    </reviewItem>
    <reviewItem>
      <errorID>b0c3762e-1014-4993-b84c-d160b5025547</errorID>
      <errorWord>)</errorWord>
      <group>L1_Format</group>
      <groupName>格式问题</groupName>
      <ability>L2_HalfPunc</ability>
      <abilityName>全半角检查</abilityName>
      <candidateList>
        <item>）</item>
      </candidateList>
      <explain>文本全半角错误。</explain>
      <paraID> 10CFA6B</paraID>
      <start>10</start>
      <end>11</end>
      <status>unmodified</status>
      <modifiedWord/>
      <trackRevisions>false</trackRevisions>
    </reviewItem>
    <reviewItem>
      <errorID>70ff4fcc-afd2-43d1-a484-b5bade92dc6a</errorID>
      <errorWord>(</errorWord>
      <group>L1_Format</group>
      <groupName>格式问题</groupName>
      <ability>L2_HalfPunc</ability>
      <abilityName>全半角检查</abilityName>
      <candidateList>
        <item>（</item>
      </candidateList>
      <explain>文本全半角错误。</explain>
      <paraID>69EF9DEE</paraID>
      <start>6</start>
      <end>7</end>
      <status>unmodified</status>
      <modifiedWord/>
      <trackRevisions>false</trackRevisions>
    </reviewItem>
    <reviewItem>
      <errorID>899b1505-0cf4-4f57-8fb0-79606919a723</errorID>
      <errorWord>)</errorWord>
      <group>L1_Format</group>
      <groupName>格式问题</groupName>
      <ability>L2_HalfPunc</ability>
      <abilityName>全半角检查</abilityName>
      <candidateList>
        <item>）</item>
      </candidateList>
      <explain>文本全半角错误。</explain>
      <paraID>69EF9DEE</paraID>
      <start>8</start>
      <end>9</end>
      <status>unmodified</status>
      <modifiedWord/>
      <trackRevisions>false</trackRevisions>
    </reviewItem>
    <reviewItem>
      <errorID>2480165d-0329-4880-8a0a-3a259736af0c</errorID>
      <errorWord>随</errorWord>
      <group>L1_Word</group>
      <groupName>字词问题</groupName>
      <ability>L2_Typo</ability>
      <abilityName>字词错误</abilityName>
      <candidateList>
        <item>随着</item>
      </candidateList>
      <explain/>
      <paraID>5FBC75D4</paraID>
      <start>68</start>
      <end>69</end>
      <status>unmodified</status>
      <modifiedWord/>
      <trackRevisions>false</trackRevisions>
    </reviewItem>
  </reviewItems>
  <config/>
</contractReview>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b6b20-0a49-4a16-a330-9c8aa346f886}">
  <ds:schemaRefs/>
</ds:datastoreItem>
</file>

<file path=customXml/itemProps2.xml><?xml version="1.0" encoding="utf-8"?>
<ds:datastoreItem xmlns:ds="http://schemas.openxmlformats.org/officeDocument/2006/customXml" ds:itemID="{346A3CC1-C36D-4B04-AA09-A3D8973B9485}">
  <ds:schemaRefs/>
</ds:datastoreItem>
</file>

<file path=docProps/app.xml><?xml version="1.0" encoding="utf-8"?>
<Properties xmlns="http://schemas.openxmlformats.org/officeDocument/2006/extended-properties" xmlns:vt="http://schemas.openxmlformats.org/officeDocument/2006/docPropsVTypes">
  <Template>Normal</Template>
  <Company>csepdi</Company>
  <Pages>107</Pages>
  <Words>8484</Words>
  <Characters>9969</Characters>
  <Lines>3870</Lines>
  <Paragraphs>3932</Paragraphs>
  <TotalTime>4</TotalTime>
  <ScaleCrop>false</ScaleCrop>
  <LinksUpToDate>false</LinksUpToDate>
  <CharactersWithSpaces>10173</CharactersWithSpaces>
  <Application>WPS Office_11.8.2.12316_F1E327BC-269C-435d-A152-05C5408002CA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2025-12-16T10:30:00Z</dcterms:created>
  <dc:creator>王辉</dc:creator>
  <cp:lastModifiedBy>Administrator</cp:lastModifiedBy>
  <cp:lastPrinted>2025-12-17T12:01:00Z</cp:lastPrinted>
  <dcterms:modified xsi:type="dcterms:W3CDTF">2025-12-26T09:16:27Z</dcterms:modified>
  <dc:title>中南院环评报告表模板</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2052-11.8.2.12316</vt:lpwstr>
  </property>
  <property fmtid="{D5CDD505-2E9C-101B-9397-08002B2CF9AE}" pid="3" name="_DocHome">
    <vt:r8>878298889</vt:r8>
  </property>
  <property fmtid="{D5CDD505-2E9C-101B-9397-08002B2CF9AE}" pid="4" name="ICV">
    <vt:lpwstr>ED278E4CBA89499E922A17FBA6DC7181</vt:lpwstr>
  </property>
  <property fmtid="{D5CDD505-2E9C-101B-9397-08002B2CF9AE}" pid="5" name="KSOTemplateDocerSaveRecord">
    <vt:lpwstr>eyJoZGlkIjoiN2FkMjBhN2I1N2NhZThiYWZiMmRhMGQ1ZjM1NDJlZDYiLCJ1c2VySWQiOiIyNjA4NzA3NjUifQ==</vt:lpwstr>
  </property>
</Properties>
</file>