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spacing w:line="600" w:lineRule="exact"/>
        <w:textAlignment w:val="auto"/>
      </w:pPr>
    </w:p>
    <w:p>
      <w:pPr>
        <w:pStyle w:val="2"/>
        <w:pageBreakBefore w:val="0"/>
        <w:widowControl w:val="0"/>
        <w:kinsoku/>
        <w:wordWrap/>
        <w:overflowPunct/>
        <w:topLinePunct w:val="0"/>
        <w:autoSpaceDE/>
        <w:autoSpaceDN/>
        <w:bidi w:val="0"/>
        <w:spacing w:line="600" w:lineRule="exact"/>
        <w:textAlignment w:val="auto"/>
      </w:pPr>
    </w:p>
    <w:p>
      <w:pPr>
        <w:pageBreakBefore w:val="0"/>
        <w:widowControl w:val="0"/>
        <w:kinsoku/>
        <w:wordWrap/>
        <w:overflowPunct/>
        <w:topLinePunct w:val="0"/>
        <w:autoSpaceDE/>
        <w:autoSpaceDN/>
        <w:bidi w:val="0"/>
        <w:spacing w:line="600" w:lineRule="exact"/>
        <w:jc w:val="right"/>
        <w:textAlignment w:val="auto"/>
        <w:rPr>
          <w:rFonts w:hint="eastAsia" w:ascii="仿宋_GB2312" w:hAnsi="仿宋_GB2312" w:eastAsia="仿宋_GB2312" w:cs="仿宋_GB2312"/>
        </w:rPr>
      </w:pPr>
      <w:r>
        <w:rPr>
          <w:rFonts w:hint="eastAsia" w:ascii="仿宋_GB2312" w:hAnsi="仿宋_GB2312" w:eastAsia="仿宋_GB2312" w:cs="仿宋_GB2312"/>
        </w:rPr>
        <w:t>吐市环监函〔202</w:t>
      </w:r>
      <w:r>
        <w:rPr>
          <w:rFonts w:hint="eastAsia" w:ascii="仿宋_GB2312" w:hAnsi="仿宋_GB2312" w:eastAsia="仿宋_GB2312" w:cs="仿宋_GB2312"/>
          <w:lang w:val="en-US" w:eastAsia="zh-CN"/>
        </w:rPr>
        <w:t>5</w:t>
      </w:r>
      <w:r>
        <w:rPr>
          <w:rFonts w:hint="eastAsia" w:ascii="仿宋_GB2312" w:hAnsi="仿宋_GB2312" w:eastAsia="仿宋_GB2312" w:cs="仿宋_GB2312"/>
        </w:rPr>
        <w:t>〕</w:t>
      </w:r>
      <w:r>
        <w:rPr>
          <w:rFonts w:hint="eastAsia" w:ascii="仿宋_GB2312" w:hAnsi="仿宋_GB2312" w:eastAsia="仿宋_GB2312" w:cs="仿宋_GB2312"/>
          <w:lang w:val="en-US" w:eastAsia="zh-CN"/>
        </w:rPr>
        <w:t>135</w:t>
      </w:r>
      <w:r>
        <w:rPr>
          <w:rFonts w:hint="eastAsia" w:ascii="仿宋_GB2312" w:hAnsi="仿宋_GB2312" w:eastAsia="仿宋_GB2312" w:cs="仿宋_GB2312"/>
        </w:rPr>
        <w:t>号</w:t>
      </w:r>
    </w:p>
    <w:p>
      <w:pPr>
        <w:pStyle w:val="2"/>
        <w:pageBreakBefore w:val="0"/>
        <w:widowControl w:val="0"/>
        <w:kinsoku/>
        <w:wordWrap/>
        <w:overflowPunct/>
        <w:topLinePunct w:val="0"/>
        <w:autoSpaceDE/>
        <w:autoSpaceDN/>
        <w:bidi w:val="0"/>
        <w:spacing w:line="600" w:lineRule="exact"/>
        <w:textAlignment w:val="auto"/>
      </w:pPr>
      <w:bookmarkStart w:id="0" w:name="_GoBack"/>
      <w:bookmarkEnd w:id="0"/>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宋体" w:eastAsia="方正小标宋简体"/>
          <w:bCs/>
          <w:snapToGrid w:val="0"/>
          <w:color w:val="auto"/>
          <w:kern w:val="0"/>
          <w:sz w:val="44"/>
          <w:szCs w:val="44"/>
        </w:rPr>
      </w:pPr>
      <w:r>
        <w:rPr>
          <w:rFonts w:hint="eastAsia" w:ascii="方正小标宋简体" w:hAnsi="宋体" w:eastAsia="方正小标宋简体"/>
          <w:bCs/>
          <w:snapToGrid w:val="0"/>
          <w:color w:val="auto"/>
          <w:spacing w:val="-4"/>
          <w:kern w:val="0"/>
          <w:sz w:val="44"/>
          <w:szCs w:val="44"/>
        </w:rPr>
        <w:t>关于</w:t>
      </w:r>
      <w:r>
        <w:rPr>
          <w:rFonts w:hint="eastAsia" w:ascii="方正小标宋简体" w:hAnsi="宋体" w:eastAsia="方正小标宋简体"/>
          <w:bCs/>
          <w:snapToGrid w:val="0"/>
          <w:color w:val="auto"/>
          <w:spacing w:val="-4"/>
          <w:kern w:val="0"/>
          <w:sz w:val="44"/>
          <w:szCs w:val="44"/>
          <w:lang w:eastAsia="zh-CN"/>
        </w:rPr>
        <w:t>吐鲁番市高昌区黑沟水库工程</w:t>
      </w:r>
      <w:r>
        <w:rPr>
          <w:rFonts w:hint="eastAsia" w:ascii="方正小标宋简体" w:hAnsi="宋体" w:eastAsia="方正小标宋简体"/>
          <w:bCs/>
          <w:snapToGrid w:val="0"/>
          <w:color w:val="auto"/>
          <w:kern w:val="0"/>
          <w:sz w:val="44"/>
          <w:szCs w:val="44"/>
        </w:rPr>
        <w:t>环境影响</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宋体" w:eastAsia="方正小标宋简体"/>
          <w:bCs/>
          <w:snapToGrid w:val="0"/>
          <w:color w:val="auto"/>
          <w:spacing w:val="-16"/>
          <w:kern w:val="0"/>
          <w:sz w:val="44"/>
          <w:szCs w:val="44"/>
        </w:rPr>
      </w:pPr>
      <w:r>
        <w:rPr>
          <w:rFonts w:hint="eastAsia" w:ascii="方正小标宋简体" w:hAnsi="宋体" w:eastAsia="方正小标宋简体"/>
          <w:bCs/>
          <w:snapToGrid w:val="0"/>
          <w:color w:val="auto"/>
          <w:kern w:val="0"/>
          <w:sz w:val="44"/>
          <w:szCs w:val="44"/>
        </w:rPr>
        <w:t>报告书的批复</w:t>
      </w:r>
    </w:p>
    <w:p>
      <w:pPr>
        <w:pageBreakBefore w:val="0"/>
        <w:widowControl w:val="0"/>
        <w:kinsoku/>
        <w:wordWrap/>
        <w:overflowPunct/>
        <w:topLinePunct w:val="0"/>
        <w:autoSpaceDE/>
        <w:autoSpaceDN/>
        <w:bidi w:val="0"/>
        <w:spacing w:line="600" w:lineRule="exact"/>
        <w:textAlignment w:val="auto"/>
        <w:outlineLvl w:val="0"/>
        <w:rPr>
          <w:rFonts w:hint="eastAsia" w:ascii="仿宋_GB2312" w:eastAsia="仿宋_GB2312"/>
          <w:color w:val="auto"/>
          <w:szCs w:val="32"/>
        </w:rPr>
      </w:pPr>
    </w:p>
    <w:p>
      <w:pPr>
        <w:pageBreakBefore w:val="0"/>
        <w:widowControl w:val="0"/>
        <w:kinsoku/>
        <w:wordWrap/>
        <w:overflowPunct/>
        <w:topLinePunct w:val="0"/>
        <w:autoSpaceDE/>
        <w:autoSpaceDN/>
        <w:bidi w:val="0"/>
        <w:spacing w:line="600" w:lineRule="exact"/>
        <w:textAlignment w:val="auto"/>
        <w:outlineLvl w:val="0"/>
        <w:rPr>
          <w:rFonts w:hint="eastAsia" w:ascii="仿宋_GB2312" w:eastAsia="仿宋_GB2312"/>
          <w:color w:val="auto"/>
          <w:szCs w:val="32"/>
        </w:rPr>
      </w:pPr>
      <w:r>
        <w:rPr>
          <w:rFonts w:hint="eastAsia" w:ascii="仿宋_GB2312" w:eastAsia="仿宋_GB2312"/>
          <w:color w:val="auto"/>
          <w:szCs w:val="32"/>
          <w:lang w:eastAsia="zh-CN"/>
        </w:rPr>
        <w:t>吐鲁番市高昌区水管总站</w:t>
      </w:r>
      <w:r>
        <w:rPr>
          <w:rFonts w:hint="eastAsia" w:ascii="仿宋_GB2312" w:eastAsia="仿宋_GB2312"/>
          <w:color w:val="auto"/>
          <w:szCs w:val="32"/>
        </w:rPr>
        <w:t>：</w:t>
      </w:r>
    </w:p>
    <w:p>
      <w:pPr>
        <w:pageBreakBefore w:val="0"/>
        <w:widowControl w:val="0"/>
        <w:kinsoku/>
        <w:wordWrap/>
        <w:overflowPunct/>
        <w:topLinePunct w:val="0"/>
        <w:autoSpaceDE/>
        <w:autoSpaceDN/>
        <w:bidi w:val="0"/>
        <w:spacing w:line="600" w:lineRule="exact"/>
        <w:ind w:firstLine="632" w:firstLineChars="200"/>
        <w:textAlignment w:val="auto"/>
        <w:outlineLvl w:val="0"/>
        <w:rPr>
          <w:rFonts w:hint="eastAsia" w:ascii="仿宋_GB2312" w:hAnsi="华文仿宋" w:eastAsia="仿宋_GB2312"/>
          <w:color w:val="auto"/>
          <w:szCs w:val="32"/>
        </w:rPr>
      </w:pPr>
      <w:r>
        <w:rPr>
          <w:rFonts w:hint="eastAsia" w:ascii="仿宋_GB2312" w:hAnsi="华文仿宋" w:eastAsia="仿宋_GB2312"/>
          <w:color w:val="auto"/>
          <w:szCs w:val="32"/>
        </w:rPr>
        <w:t>你</w:t>
      </w:r>
      <w:r>
        <w:rPr>
          <w:rFonts w:hint="eastAsia" w:ascii="仿宋_GB2312" w:hAnsi="华文仿宋" w:eastAsia="仿宋_GB2312"/>
          <w:color w:val="auto"/>
          <w:szCs w:val="32"/>
          <w:lang w:val="en-US" w:eastAsia="zh-CN"/>
        </w:rPr>
        <w:t>单位</w:t>
      </w:r>
      <w:r>
        <w:rPr>
          <w:rFonts w:hint="eastAsia" w:ascii="仿宋_GB2312" w:hAnsi="华文仿宋" w:eastAsia="仿宋_GB2312"/>
          <w:color w:val="auto"/>
          <w:szCs w:val="32"/>
        </w:rPr>
        <w:t>《关于审批</w:t>
      </w:r>
      <w:r>
        <w:rPr>
          <w:rFonts w:hint="eastAsia" w:ascii="仿宋_GB2312" w:hAnsi="华文仿宋" w:eastAsia="仿宋_GB2312"/>
          <w:color w:val="auto"/>
          <w:szCs w:val="32"/>
          <w:lang w:val="en-US" w:eastAsia="zh-CN"/>
        </w:rPr>
        <w:t>&lt;</w:t>
      </w:r>
      <w:r>
        <w:rPr>
          <w:rFonts w:hint="eastAsia" w:ascii="仿宋_GB2312" w:eastAsia="仿宋_GB2312"/>
          <w:color w:val="auto"/>
          <w:szCs w:val="32"/>
          <w:lang w:eastAsia="zh-CN"/>
        </w:rPr>
        <w:t>吐鲁番市高昌区黑沟水库工程</w:t>
      </w:r>
      <w:r>
        <w:rPr>
          <w:rFonts w:hint="eastAsia" w:ascii="仿宋_GB2312" w:hAnsi="华文仿宋" w:eastAsia="仿宋_GB2312"/>
          <w:color w:val="auto"/>
          <w:szCs w:val="32"/>
        </w:rPr>
        <w:t>环境影响报告书</w:t>
      </w:r>
      <w:r>
        <w:rPr>
          <w:rFonts w:hint="eastAsia" w:ascii="仿宋_GB2312" w:hAnsi="华文仿宋" w:eastAsia="仿宋_GB2312"/>
          <w:color w:val="auto"/>
          <w:szCs w:val="32"/>
          <w:lang w:val="en-US" w:eastAsia="zh-CN"/>
        </w:rPr>
        <w:t>&gt;</w:t>
      </w:r>
      <w:r>
        <w:rPr>
          <w:rFonts w:hint="eastAsia" w:ascii="仿宋_GB2312" w:hAnsi="华文仿宋" w:eastAsia="仿宋_GB2312"/>
          <w:color w:val="auto"/>
          <w:szCs w:val="32"/>
        </w:rPr>
        <w:t>的</w:t>
      </w:r>
      <w:r>
        <w:rPr>
          <w:rFonts w:hint="eastAsia" w:ascii="仿宋_GB2312" w:hAnsi="华文仿宋" w:eastAsia="仿宋_GB2312"/>
          <w:color w:val="auto"/>
          <w:szCs w:val="32"/>
          <w:lang w:eastAsia="zh-CN"/>
        </w:rPr>
        <w:t>申请</w:t>
      </w:r>
      <w:r>
        <w:rPr>
          <w:rFonts w:hint="eastAsia" w:ascii="仿宋_GB2312" w:hAnsi="华文仿宋" w:eastAsia="仿宋_GB2312"/>
          <w:color w:val="auto"/>
          <w:szCs w:val="32"/>
        </w:rPr>
        <w:t>》</w:t>
      </w:r>
      <w:r>
        <w:rPr>
          <w:rFonts w:hint="eastAsia" w:ascii="仿宋_GB2312" w:hAnsi="华文仿宋" w:eastAsia="仿宋_GB2312"/>
          <w:color w:val="auto"/>
          <w:szCs w:val="32"/>
          <w:lang w:eastAsia="zh-CN"/>
        </w:rPr>
        <w:t>及所附相关材料</w:t>
      </w:r>
      <w:r>
        <w:rPr>
          <w:rFonts w:hint="eastAsia" w:ascii="仿宋_GB2312" w:hAnsi="华文仿宋" w:eastAsia="仿宋_GB2312"/>
          <w:color w:val="auto"/>
          <w:szCs w:val="32"/>
        </w:rPr>
        <w:t>收悉。经研究，批复如下：</w:t>
      </w:r>
    </w:p>
    <w:p>
      <w:r>
        <w:rPr>
          <w:rFonts w:hint="eastAsia" w:ascii="仿宋_GB2312" w:eastAsia="仿宋_GB2312"/>
          <w:color w:val="auto"/>
          <w:szCs w:val="32"/>
          <w:lang w:eastAsia="zh-CN"/>
        </w:rPr>
        <w:t>吐鲁番市高昌区黑沟水库工程</w:t>
      </w:r>
      <w:r>
        <w:rPr>
          <w:rFonts w:hint="eastAsia" w:ascii="仿宋_GB2312" w:hAnsi="PMingLiU" w:eastAsia="仿宋_GB2312" w:cs="PMingLiU"/>
          <w:color w:val="auto"/>
          <w:szCs w:val="32"/>
          <w:lang w:eastAsia="zh-CN"/>
        </w:rPr>
        <w:t>建设性质为新建，本工程为引水注入式平原水库，水库总库容700万立方米，属Ⅳ等小（1）型工程，枢纽工程主要建筑物包括渠首、输水建筑物、放水建筑物、放空建筑物及运行管理站。工程从现黑沟渠首下游约75米处从重建渠首，向南铺设输水管道至黑沟水库东北角，将水通过重力流压力管道输送到新建水库，管道全长约12.35千米，</w:t>
      </w:r>
    </w:p>
    <w:p>
      <w:pPr>
        <w:pageBreakBefore w:val="0"/>
        <w:widowControl w:val="0"/>
        <w:numPr>
          <w:ilvl w:val="0"/>
          <w:numId w:val="1"/>
        </w:numPr>
        <w:kinsoku/>
        <w:wordWrap/>
        <w:overflowPunct/>
        <w:topLinePunct w:val="0"/>
        <w:autoSpaceDE/>
        <w:autoSpaceDN/>
        <w:bidi w:val="0"/>
        <w:spacing w:line="600" w:lineRule="exact"/>
        <w:ind w:firstLine="632" w:firstLineChars="200"/>
        <w:textAlignment w:val="auto"/>
        <w:outlineLvl w:val="0"/>
        <w:rPr>
          <w:rFonts w:hint="eastAsia" w:ascii="仿宋_GB2312" w:hAnsi="仿宋_GB2312" w:eastAsia="仿宋_GB2312" w:cs="仿宋_GB2312"/>
          <w:color w:val="auto"/>
          <w:szCs w:val="32"/>
          <w:lang w:val="en-US" w:eastAsia="zh-CN"/>
        </w:rPr>
      </w:pPr>
      <w:r>
        <w:rPr>
          <w:rFonts w:hint="eastAsia" w:ascii="仿宋_GB2312" w:hAnsi="PMingLiU" w:eastAsia="仿宋_GB2312" w:cs="PMingLiU"/>
          <w:color w:val="auto"/>
          <w:szCs w:val="32"/>
          <w:lang w:eastAsia="zh-CN"/>
        </w:rPr>
        <w:t>设计引水流量为9立方米/秒，水库库区东南角布置供水管道及放空渠，供水管道接至黑沟干渠，供水管道长970米，设计供水流量为2.63立方米/秒，放空渠道接至黑沟河，放空渠道长556.45米，设计放水流量45.85立方米/秒。在水库工程北侧设置防洪堤保护水库，在渠首和库区分别设置1座管理站。</w:t>
      </w:r>
    </w:p>
    <w:p>
      <w:pPr>
        <w:pageBreakBefore w:val="0"/>
        <w:widowControl w:val="0"/>
        <w:numPr>
          <w:ilvl w:val="0"/>
          <w:numId w:val="0"/>
        </w:numPr>
        <w:kinsoku/>
        <w:wordWrap/>
        <w:overflowPunct/>
        <w:topLinePunct w:val="0"/>
        <w:autoSpaceDE/>
        <w:autoSpaceDN/>
        <w:bidi w:val="0"/>
        <w:spacing w:line="600" w:lineRule="exact"/>
        <w:ind w:firstLine="632" w:firstLineChars="200"/>
        <w:textAlignment w:val="auto"/>
        <w:outlineLvl w:val="0"/>
        <w:rPr>
          <w:rFonts w:hint="eastAsia"/>
          <w:color w:val="auto"/>
        </w:rPr>
      </w:pPr>
      <w:r>
        <w:rPr>
          <w:rFonts w:hint="eastAsia" w:ascii="仿宋_GB2312" w:eastAsia="仿宋_GB2312"/>
          <w:color w:val="auto"/>
          <w:szCs w:val="32"/>
        </w:rPr>
        <w:t>根据</w:t>
      </w:r>
      <w:r>
        <w:rPr>
          <w:rFonts w:hint="eastAsia" w:ascii="仿宋_GB2312" w:eastAsia="仿宋_GB2312"/>
          <w:color w:val="auto"/>
          <w:szCs w:val="32"/>
          <w:lang w:eastAsia="zh-CN"/>
        </w:rPr>
        <w:t>新疆首策技术咨询有限公司</w:t>
      </w:r>
      <w:r>
        <w:rPr>
          <w:rFonts w:hint="eastAsia" w:ascii="仿宋_GB2312" w:eastAsia="仿宋_GB2312"/>
          <w:color w:val="auto"/>
          <w:szCs w:val="32"/>
        </w:rPr>
        <w:t>编制的《吐鲁番市高昌区黑沟水库工程环境影响报告</w:t>
      </w:r>
      <w:r>
        <w:rPr>
          <w:rFonts w:hint="eastAsia" w:ascii="仿宋_GB2312" w:eastAsia="仿宋_GB2312"/>
          <w:color w:val="auto"/>
          <w:szCs w:val="32"/>
          <w:lang w:val="en-US" w:eastAsia="zh-CN"/>
        </w:rPr>
        <w:t>书</w:t>
      </w:r>
      <w:r>
        <w:rPr>
          <w:rFonts w:hint="eastAsia" w:ascii="仿宋_GB2312" w:eastAsia="仿宋_GB2312"/>
          <w:color w:val="auto"/>
          <w:szCs w:val="32"/>
        </w:rPr>
        <w:t>》(以下简称《报告书》）</w:t>
      </w:r>
      <w:r>
        <w:rPr>
          <w:rFonts w:hint="eastAsia" w:ascii="仿宋_GB2312" w:eastAsia="仿宋_GB2312"/>
          <w:color w:val="auto"/>
          <w:szCs w:val="32"/>
          <w:lang w:eastAsia="zh-CN"/>
        </w:rPr>
        <w:t>的</w:t>
      </w:r>
      <w:r>
        <w:rPr>
          <w:rFonts w:hint="eastAsia" w:ascii="仿宋_GB2312" w:eastAsia="仿宋_GB2312"/>
          <w:color w:val="auto"/>
          <w:szCs w:val="32"/>
        </w:rPr>
        <w:t>评价结论，从环境保护的角度，原则同意该项目按照《报告</w:t>
      </w:r>
      <w:r>
        <w:rPr>
          <w:rFonts w:hint="eastAsia" w:ascii="仿宋_GB2312" w:eastAsia="仿宋_GB2312"/>
          <w:color w:val="auto"/>
          <w:szCs w:val="32"/>
          <w:lang w:val="en-US" w:eastAsia="zh-CN"/>
        </w:rPr>
        <w:t>书</w:t>
      </w:r>
      <w:r>
        <w:rPr>
          <w:rFonts w:hint="eastAsia" w:ascii="仿宋_GB2312" w:eastAsia="仿宋_GB2312"/>
          <w:color w:val="auto"/>
          <w:szCs w:val="32"/>
        </w:rPr>
        <w:t>》中所列项目地点、性质、规模及环境保护措施建设。</w:t>
      </w:r>
    </w:p>
    <w:p>
      <w:pPr>
        <w:pageBreakBefore w:val="0"/>
        <w:widowControl w:val="0"/>
        <w:kinsoku/>
        <w:wordWrap/>
        <w:overflowPunct/>
        <w:topLinePunct w:val="0"/>
        <w:autoSpaceDE/>
        <w:autoSpaceDN/>
        <w:bidi w:val="0"/>
        <w:spacing w:line="600" w:lineRule="exact"/>
        <w:ind w:firstLine="632" w:firstLineChars="200"/>
        <w:textAlignment w:val="auto"/>
        <w:outlineLvl w:val="0"/>
        <w:rPr>
          <w:rFonts w:hint="eastAsia" w:ascii="仿宋_GB2312" w:eastAsia="仿宋_GB2312"/>
          <w:color w:val="auto"/>
          <w:szCs w:val="32"/>
        </w:rPr>
      </w:pPr>
      <w:r>
        <w:rPr>
          <w:rFonts w:hint="eastAsia" w:ascii="仿宋_GB2312" w:eastAsia="仿宋_GB2312"/>
          <w:color w:val="auto"/>
          <w:szCs w:val="32"/>
        </w:rPr>
        <w:t>二、在工程设计、建设和环境管理中要认真落实《报告</w:t>
      </w:r>
      <w:r>
        <w:rPr>
          <w:rFonts w:hint="eastAsia" w:ascii="仿宋_GB2312" w:eastAsia="仿宋_GB2312"/>
          <w:color w:val="auto"/>
          <w:szCs w:val="32"/>
          <w:lang w:val="en-US" w:eastAsia="zh-CN"/>
        </w:rPr>
        <w:t>书</w:t>
      </w:r>
      <w:r>
        <w:rPr>
          <w:rFonts w:hint="eastAsia" w:ascii="仿宋_GB2312" w:eastAsia="仿宋_GB2312"/>
          <w:color w:val="auto"/>
          <w:szCs w:val="32"/>
        </w:rPr>
        <w:t>》提出的各项环保要求，严格执行环保“三同时”制度，确保各类污染物稳定达标排放，并达到以下要求:</w:t>
      </w:r>
    </w:p>
    <w:p>
      <w:pPr>
        <w:pageBreakBefore w:val="0"/>
        <w:widowControl w:val="0"/>
        <w:kinsoku/>
        <w:wordWrap/>
        <w:overflowPunct/>
        <w:topLinePunct w:val="0"/>
        <w:autoSpaceDE/>
        <w:autoSpaceDN/>
        <w:bidi w:val="0"/>
        <w:spacing w:line="600" w:lineRule="exact"/>
        <w:ind w:firstLine="632" w:firstLineChars="200"/>
        <w:textAlignment w:val="auto"/>
        <w:outlineLvl w:val="0"/>
        <w:rPr>
          <w:rFonts w:hint="eastAsia" w:ascii="仿宋_GB2312" w:eastAsia="仿宋_GB2312"/>
          <w:color w:val="auto"/>
          <w:szCs w:val="32"/>
        </w:rPr>
      </w:pPr>
      <w:r>
        <w:rPr>
          <w:rFonts w:hint="eastAsia" w:ascii="仿宋_GB2312" w:eastAsia="仿宋_GB2312"/>
          <w:color w:val="auto"/>
          <w:szCs w:val="32"/>
        </w:rPr>
        <w:t>（一）落实施工期各项环保措施。加强项目施工期间的环境保护管理工作，防止施工期废水、扬尘、固体废物和噪声对周围环境产生不利影响，施工结束后及时恢复。</w:t>
      </w:r>
    </w:p>
    <w:p>
      <w:pPr>
        <w:pageBreakBefore w:val="0"/>
        <w:widowControl w:val="0"/>
        <w:kinsoku/>
        <w:wordWrap/>
        <w:overflowPunct/>
        <w:topLinePunct w:val="0"/>
        <w:autoSpaceDE/>
        <w:autoSpaceDN/>
        <w:bidi w:val="0"/>
        <w:adjustRightInd w:val="0"/>
        <w:snapToGrid w:val="0"/>
        <w:spacing w:line="600" w:lineRule="exact"/>
        <w:ind w:firstLine="632" w:firstLineChars="200"/>
        <w:textAlignment w:val="auto"/>
        <w:outlineLvl w:val="0"/>
        <w:rPr>
          <w:rFonts w:hint="eastAsia" w:ascii="仿宋_GB2312" w:eastAsia="仿宋_GB2312"/>
          <w:color w:val="auto"/>
          <w:kern w:val="0"/>
          <w:szCs w:val="32"/>
          <w:lang w:eastAsia="zh-CN"/>
        </w:rPr>
      </w:pPr>
      <w:r>
        <w:rPr>
          <w:rFonts w:hint="eastAsia" w:ascii="仿宋_GB2312" w:eastAsia="仿宋_GB2312"/>
          <w:color w:val="auto"/>
          <w:kern w:val="0"/>
          <w:szCs w:val="32"/>
        </w:rPr>
        <w:t>（</w:t>
      </w:r>
      <w:r>
        <w:rPr>
          <w:rFonts w:hint="eastAsia" w:ascii="仿宋_GB2312" w:eastAsia="仿宋_GB2312"/>
          <w:color w:val="auto"/>
          <w:kern w:val="0"/>
          <w:szCs w:val="32"/>
          <w:lang w:eastAsia="zh-CN"/>
        </w:rPr>
        <w:t>二</w:t>
      </w:r>
      <w:r>
        <w:rPr>
          <w:rFonts w:hint="eastAsia" w:ascii="仿宋_GB2312" w:eastAsia="仿宋_GB2312"/>
          <w:color w:val="auto"/>
          <w:kern w:val="0"/>
          <w:szCs w:val="32"/>
        </w:rPr>
        <w:t>）严格落实各项大气污染防治措施。</w:t>
      </w:r>
      <w:r>
        <w:rPr>
          <w:rFonts w:hint="eastAsia" w:ascii="仿宋_GB2312" w:eastAsia="仿宋_GB2312"/>
          <w:color w:val="auto"/>
          <w:kern w:val="0"/>
          <w:szCs w:val="32"/>
          <w:lang w:eastAsia="zh-CN"/>
        </w:rPr>
        <w:t>本工程不设置沥青拌合站，沥青均为外购，工程实施对环境空气质量的影响主要来源于施工作业面扬尘、道路运输扬尘、混凝土拌合废气、综合加工废气以及机动车辆和施工机械排放的燃油尾气，主要污染物为二氧化硫、氮氧化物及粉尘等，随施工结束后消失。</w:t>
      </w:r>
    </w:p>
    <w:p>
      <w:pPr>
        <w:pageBreakBefore w:val="0"/>
        <w:widowControl w:val="0"/>
        <w:kinsoku/>
        <w:wordWrap/>
        <w:overflowPunct/>
        <w:topLinePunct w:val="0"/>
        <w:autoSpaceDE/>
        <w:autoSpaceDN/>
        <w:bidi w:val="0"/>
        <w:adjustRightInd w:val="0"/>
        <w:snapToGrid w:val="0"/>
        <w:spacing w:line="600" w:lineRule="exact"/>
        <w:ind w:firstLine="632" w:firstLineChars="200"/>
        <w:textAlignment w:val="auto"/>
        <w:outlineLvl w:val="0"/>
        <w:rPr>
          <w:rFonts w:hint="eastAsia" w:ascii="仿宋_GB2312" w:hAnsi="仿宋_GB2312" w:eastAsia="仿宋_GB2312" w:cs="仿宋_GB2312"/>
          <w:color w:val="auto"/>
          <w:kern w:val="0"/>
          <w:sz w:val="32"/>
          <w:szCs w:val="32"/>
          <w:lang w:eastAsia="zh-CN"/>
        </w:rPr>
      </w:pPr>
      <w:r>
        <w:rPr>
          <w:rFonts w:hint="eastAsia" w:ascii="仿宋_GB2312" w:eastAsia="仿宋_GB2312"/>
          <w:color w:val="auto"/>
          <w:kern w:val="0"/>
          <w:szCs w:val="32"/>
          <w:lang w:eastAsia="zh-CN"/>
        </w:rPr>
        <w:t>拟采取的大气污染防治措施主要有：各类拌合站四周设置围挡防风阻尘，采取封闭式站拌方式；混凝土拌合站上料废气经集气罩收集，布袋除尘器处理后通过15米高排气筒排放，颗粒物排放浓度满足《水泥工业大气污染物排放标准》（GB 4915-2013）表1中大气污染物有组织排放限值；筒仓废气经脉冲布袋除尘器处理后无组织排放，满足《水泥工业大气污染物排放标准》（GB 4915-2013）表3无组织排放限值要求；木材切割过程粉尘经切割工位上方集气罩收集后引入锯床配套袋式除尘器处理后无组织排放，钢筋焊接产生的少量焊烟经移动式焊接烟尘净化器处理后无组织排放；施工现场设置围挡，土方、水泥和石灰等散装物料运输、临时存放和装卸过程中采取防风遮挡措施或降尘措施；选用符合国家有关标准的施工机械和运输车辆、使用合格燃油，加强燃油机械设备维护保养。</w:t>
      </w:r>
    </w:p>
    <w:p>
      <w:pPr>
        <w:pageBreakBefore w:val="0"/>
        <w:widowControl w:val="0"/>
        <w:numPr>
          <w:ilvl w:val="0"/>
          <w:numId w:val="2"/>
        </w:numPr>
        <w:kinsoku/>
        <w:wordWrap/>
        <w:overflowPunct/>
        <w:topLinePunct w:val="0"/>
        <w:autoSpaceDE/>
        <w:autoSpaceDN/>
        <w:bidi w:val="0"/>
        <w:spacing w:line="600" w:lineRule="exact"/>
        <w:ind w:firstLine="632"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严格落实各项水</w:t>
      </w:r>
      <w:r>
        <w:rPr>
          <w:rFonts w:hint="eastAsia" w:ascii="仿宋_GB2312" w:hAnsi="仿宋_GB2312" w:eastAsia="仿宋_GB2312" w:cs="仿宋_GB2312"/>
          <w:color w:val="auto"/>
          <w:sz w:val="32"/>
          <w:szCs w:val="32"/>
          <w:lang w:val="en-US" w:eastAsia="zh-CN"/>
        </w:rPr>
        <w:t>资源保护</w:t>
      </w:r>
      <w:r>
        <w:rPr>
          <w:rFonts w:hint="eastAsia" w:ascii="仿宋_GB2312" w:hAnsi="仿宋_GB2312" w:eastAsia="仿宋_GB2312" w:cs="仿宋_GB2312"/>
          <w:color w:val="auto"/>
          <w:sz w:val="32"/>
          <w:szCs w:val="32"/>
        </w:rPr>
        <w:t>措施。设计水平年流域通过落实最严格水资源管理规定，应切实将灌溉节水措施做到位，可满足三条红线控制指标。严格按照水资源配置方案拟定的各供水灌区供水量引水，加强黑沟渠首取水管理，避免超引水。合理分配灌区用水，避免流域社会经济用水所占份额过大挤占生态用水，以保证生态用水。</w:t>
      </w:r>
      <w:r>
        <w:rPr>
          <w:rFonts w:hint="eastAsia" w:ascii="仿宋_GB2312" w:hAnsi="仿宋_GB2312" w:eastAsia="仿宋_GB2312" w:cs="仿宋_GB2312"/>
          <w:color w:val="auto"/>
          <w:sz w:val="32"/>
          <w:szCs w:val="32"/>
          <w:lang w:eastAsia="zh-CN"/>
        </w:rPr>
        <w:t>本项目运营期在渠首保护区内及水库南侧各设置1处管理站，建议将渠首运营期管理站设计位置移出水源地保护区。生活污水采用WSZ-A1型钢板模块式地埋式生活污水处理设备处理达《农村生活污水处理排放标准》（DB65 4275-2019）B级标准后，用于站内绿化或周边荒漠灌溉，冬储夏灌，不外排；水库蓄水前清库，运营期制定库区水污染防治管理办法，做好宣传工作，禁止向库区排放废污水或倾倒垃圾，定期打捞水库漂浮物，保护库区水质。运营期水库蓄水，水位升高，可能会引起水库周边土壤发生沼泽化、盐渍化等问题，</w:t>
      </w:r>
      <w:r>
        <w:rPr>
          <w:rFonts w:hint="eastAsia" w:ascii="仿宋_GB2312" w:hAnsi="仿宋_GB2312" w:eastAsia="仿宋_GB2312" w:cs="仿宋_GB2312"/>
          <w:color w:val="auto"/>
          <w:sz w:val="32"/>
          <w:szCs w:val="32"/>
          <w:lang w:val="en-US" w:eastAsia="zh-CN"/>
        </w:rPr>
        <w:t>严格按照《报告书》</w:t>
      </w:r>
      <w:r>
        <w:rPr>
          <w:rFonts w:hint="eastAsia" w:ascii="仿宋_GB2312" w:hAnsi="仿宋_GB2312" w:eastAsia="仿宋_GB2312" w:cs="仿宋_GB2312"/>
          <w:color w:val="auto"/>
          <w:sz w:val="32"/>
          <w:szCs w:val="32"/>
          <w:lang w:eastAsia="zh-CN"/>
        </w:rPr>
        <w:t>对水库全库盘进行防渗措施，可减缓库区及周边盐化影响。采取分区防渗，强化险废物贮存站等重点污染防治区防渗，加强地下水和土壤监测，如发现防渗功能下降应采取积极措施及时处理，严防污染地下水及土壤。</w:t>
      </w:r>
    </w:p>
    <w:p>
      <w:pPr>
        <w:pageBreakBefore w:val="0"/>
        <w:widowControl w:val="0"/>
        <w:numPr>
          <w:ilvl w:val="0"/>
          <w:numId w:val="0"/>
        </w:numPr>
        <w:kinsoku/>
        <w:wordWrap/>
        <w:overflowPunct/>
        <w:topLinePunct w:val="0"/>
        <w:autoSpaceDE/>
        <w:autoSpaceDN/>
        <w:bidi w:val="0"/>
        <w:spacing w:line="600" w:lineRule="exact"/>
        <w:ind w:firstLine="632" w:firstLineChars="200"/>
        <w:textAlignment w:val="auto"/>
        <w:rPr>
          <w:rFonts w:hint="default"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严格落实生态流量保障措施。工程建成后，运行期年取水量约1616.43万立方米，月取水强度（P=85%）在0%～86.9%之间，渠首拟通过冲沙闸保障生态流量。拟采取的水生生态保护措施主要为：黑沟渠首断面按丰水期（6-9月）不低于0.29立方米/秒，枯水期（10－次年5月）不低于0.1立方米/秒进行生态流量下泄，保障渠首下游断面生态流量；在渠首下游100米处布设在线监测系统，保障生态流量足额下泄；加强废污水处理措施及管理，禁止向河道排入废污水、倾倒生活垃圾、弃渣等固体废物。</w:t>
      </w:r>
    </w:p>
    <w:p>
      <w:pPr>
        <w:pageBreakBefore w:val="0"/>
        <w:widowControl w:val="0"/>
        <w:kinsoku/>
        <w:wordWrap/>
        <w:overflowPunct/>
        <w:topLinePunct w:val="0"/>
        <w:autoSpaceDE/>
        <w:autoSpaceDN/>
        <w:bidi w:val="0"/>
        <w:adjustRightInd/>
        <w:snapToGrid/>
        <w:spacing w:line="600" w:lineRule="exact"/>
        <w:ind w:firstLine="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加强</w:t>
      </w:r>
      <w:r>
        <w:rPr>
          <w:rFonts w:hint="eastAsia" w:ascii="仿宋_GB2312" w:hAnsi="仿宋_GB2312" w:eastAsia="仿宋_GB2312" w:cs="仿宋_GB2312"/>
          <w:color w:val="auto"/>
          <w:sz w:val="32"/>
          <w:szCs w:val="32"/>
        </w:rPr>
        <w:t>固体废物</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分类管理。</w:t>
      </w:r>
      <w:r>
        <w:rPr>
          <w:rFonts w:hint="eastAsia" w:ascii="仿宋_GB2312" w:hAnsi="仿宋_GB2312" w:eastAsia="仿宋_GB2312" w:cs="仿宋_GB2312"/>
          <w:color w:val="auto"/>
          <w:sz w:val="32"/>
          <w:szCs w:val="32"/>
          <w:lang w:eastAsia="zh-CN"/>
        </w:rPr>
        <w:t>本项目</w:t>
      </w:r>
      <w:r>
        <w:rPr>
          <w:rFonts w:hint="eastAsia" w:ascii="仿宋_GB2312" w:hAnsi="仿宋_GB2312" w:eastAsia="仿宋_GB2312" w:cs="仿宋_GB2312"/>
          <w:color w:val="auto"/>
          <w:sz w:val="32"/>
          <w:szCs w:val="32"/>
          <w:lang w:val="en-US" w:eastAsia="zh-CN"/>
        </w:rPr>
        <w:t>施工期</w:t>
      </w:r>
      <w:r>
        <w:rPr>
          <w:rFonts w:hint="eastAsia" w:ascii="仿宋_GB2312" w:hAnsi="仿宋_GB2312" w:eastAsia="仿宋_GB2312" w:cs="仿宋_GB2312"/>
          <w:bCs/>
          <w:color w:val="auto"/>
          <w:sz w:val="32"/>
          <w:szCs w:val="32"/>
          <w:lang w:eastAsia="zh-CN"/>
        </w:rPr>
        <w:t>水库弃渣运至水库坝主体南侧背后，弃渣堆成稳定台体用于坝体培厚，输水管道工程弃渣在管道沿线堆放，沿管道回填整平；施工建筑垃圾主要包括石块、废金属、废钢筋、建材的废包装材料等，采取分类收集，对可利用的部分统一收集后综合利用，不可利用的部分集中收集统一清运至当地政府指定地点处置；焊接烟尘暂存于综合加工厂一般固废贮存点（15平方米），外售综合利用；沉淀池泥沙，定期拉运至吐鲁番市城市管理部门指定的建筑垃圾填埋场处置；</w:t>
      </w:r>
      <w:r>
        <w:rPr>
          <w:rFonts w:hint="eastAsia" w:ascii="仿宋_GB2312" w:hAnsi="仿宋_GB2312" w:eastAsia="仿宋_GB2312" w:cs="仿宋_GB2312"/>
          <w:bCs/>
          <w:color w:val="auto"/>
          <w:sz w:val="32"/>
          <w:szCs w:val="32"/>
          <w:lang w:val="en-US" w:eastAsia="zh-CN"/>
        </w:rPr>
        <w:t>生活垃圾</w:t>
      </w:r>
      <w:r>
        <w:rPr>
          <w:rFonts w:hint="eastAsia" w:ascii="仿宋_GB2312" w:hAnsi="仿宋_GB2312" w:eastAsia="仿宋_GB2312" w:cs="仿宋_GB2312"/>
          <w:bCs/>
          <w:color w:val="auto"/>
          <w:sz w:val="32"/>
          <w:szCs w:val="32"/>
          <w:lang w:eastAsia="zh-CN"/>
        </w:rPr>
        <w:t>集中收集后定期由环卫部门清运处置；一般工业固体废物管理执行《一般工业固体废物贮存和填埋污染控制标准》（</w:t>
      </w:r>
      <w:r>
        <w:rPr>
          <w:rFonts w:hint="eastAsia" w:ascii="仿宋_GB2312" w:hAnsi="仿宋_GB2312" w:eastAsia="仿宋_GB2312" w:cs="仿宋_GB2312"/>
          <w:bCs/>
          <w:color w:val="auto"/>
          <w:sz w:val="32"/>
          <w:szCs w:val="32"/>
          <w:lang w:val="en-US" w:eastAsia="zh-CN"/>
        </w:rPr>
        <w:t>GB18599-2020</w:t>
      </w:r>
      <w:r>
        <w:rPr>
          <w:rFonts w:hint="eastAsia" w:ascii="仿宋_GB2312" w:hAnsi="仿宋_GB2312" w:eastAsia="仿宋_GB2312" w:cs="仿宋_GB2312"/>
          <w:bCs/>
          <w:color w:val="auto"/>
          <w:sz w:val="32"/>
          <w:szCs w:val="32"/>
          <w:lang w:eastAsia="zh-CN"/>
        </w:rPr>
        <w:t>）要求</w:t>
      </w:r>
      <w:r>
        <w:rPr>
          <w:rFonts w:hint="eastAsia" w:ascii="仿宋_GB2312" w:hAnsi="仿宋_GB2312" w:eastAsia="仿宋_GB2312" w:cs="仿宋_GB2312"/>
          <w:color w:val="auto"/>
          <w:sz w:val="32"/>
          <w:szCs w:val="32"/>
          <w:lang w:eastAsia="zh-CN"/>
        </w:rPr>
        <w:t>。本项目施工期</w:t>
      </w:r>
      <w:r>
        <w:rPr>
          <w:rFonts w:hint="eastAsia" w:ascii="仿宋_GB2312" w:hAnsi="仿宋_GB2312" w:eastAsia="仿宋_GB2312" w:cs="仿宋_GB2312"/>
          <w:color w:val="auto"/>
          <w:sz w:val="32"/>
          <w:szCs w:val="32"/>
          <w:lang w:val="en-US" w:eastAsia="zh-CN"/>
        </w:rPr>
        <w:t>产生的</w:t>
      </w:r>
      <w:r>
        <w:rPr>
          <w:rFonts w:hint="eastAsia" w:ascii="仿宋_GB2312" w:hAnsi="仿宋_GB2312" w:eastAsia="仿宋_GB2312" w:cs="仿宋_GB2312"/>
          <w:color w:val="auto"/>
          <w:sz w:val="32"/>
          <w:szCs w:val="32"/>
          <w:lang w:eastAsia="zh-CN"/>
        </w:rPr>
        <w:t>废机油、废机油桶、废弃的含油抹布等危险废物产生量约10吨；运营期检修及保养废机油、废机油桶、废弃的含油抹布等产生量约230千克/年，采取集中收集，暂存于危险废物贮存点（10平方米），建立管理台账，定期</w:t>
      </w:r>
      <w:r>
        <w:rPr>
          <w:rFonts w:hint="eastAsia" w:ascii="仿宋_GB2312" w:hAnsi="仿宋_GB2312" w:eastAsia="仿宋_GB2312" w:cs="仿宋_GB2312"/>
          <w:color w:val="auto"/>
          <w:sz w:val="32"/>
          <w:szCs w:val="32"/>
          <w:lang w:val="en-US" w:eastAsia="zh-CN"/>
        </w:rPr>
        <w:t>委托有</w:t>
      </w:r>
      <w:r>
        <w:rPr>
          <w:rFonts w:hint="eastAsia" w:ascii="仿宋_GB2312" w:hAnsi="仿宋_GB2312" w:eastAsia="仿宋_GB2312" w:cs="仿宋_GB2312"/>
          <w:color w:val="auto"/>
          <w:sz w:val="32"/>
          <w:szCs w:val="32"/>
          <w:lang w:eastAsia="zh-CN"/>
        </w:rPr>
        <w:t>资质单位处置，</w:t>
      </w:r>
      <w:r>
        <w:rPr>
          <w:rFonts w:hint="eastAsia" w:ascii="仿宋_GB2312" w:hAnsi="仿宋_GB2312" w:eastAsia="仿宋_GB2312" w:cs="仿宋_GB2312"/>
          <w:color w:val="auto"/>
          <w:sz w:val="32"/>
          <w:szCs w:val="32"/>
        </w:rPr>
        <w:t>不得随意外运、转移处置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该</w:t>
      </w:r>
      <w:r>
        <w:rPr>
          <w:rFonts w:hint="eastAsia" w:ascii="仿宋_GB2312" w:hAnsi="仿宋_GB2312" w:eastAsia="仿宋_GB2312" w:cs="仿宋_GB2312"/>
          <w:color w:val="auto"/>
          <w:sz w:val="32"/>
          <w:szCs w:val="32"/>
        </w:rPr>
        <w:t>项目收集贮存危废设施</w:t>
      </w:r>
      <w:r>
        <w:rPr>
          <w:rFonts w:hint="eastAsia" w:ascii="仿宋_GB2312" w:hAnsi="仿宋_GB2312" w:eastAsia="仿宋_GB2312" w:cs="仿宋_GB2312"/>
          <w:color w:val="auto"/>
          <w:sz w:val="32"/>
          <w:szCs w:val="32"/>
          <w:lang w:val="en-US" w:eastAsia="zh-CN"/>
        </w:rPr>
        <w:t>严格</w:t>
      </w:r>
      <w:r>
        <w:rPr>
          <w:rFonts w:hint="eastAsia" w:ascii="仿宋_GB2312" w:hAnsi="仿宋_GB2312" w:eastAsia="仿宋_GB2312" w:cs="仿宋_GB2312"/>
          <w:color w:val="auto"/>
          <w:sz w:val="32"/>
          <w:szCs w:val="32"/>
        </w:rPr>
        <w:t>执行《危险废物贮存污染控制标准》（GB18597-20</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）中相关要求。项目严格按照《危险废物收集贮存运输技术规范》（HJ2025-2012)及《危险废物转移管理办法》（生态环境部、公安部、交通运输</w:t>
      </w:r>
      <w:r>
        <w:rPr>
          <w:rFonts w:hint="eastAsia" w:ascii="仿宋_GB2312" w:hAnsi="仿宋_GB2312" w:eastAsia="仿宋_GB2312" w:cs="仿宋_GB2312"/>
          <w:color w:val="auto"/>
          <w:sz w:val="32"/>
          <w:szCs w:val="32"/>
          <w:lang w:val="en-US" w:eastAsia="zh-CN"/>
        </w:rPr>
        <w:t>部令第23号</w:t>
      </w:r>
      <w:r>
        <w:rPr>
          <w:rFonts w:hint="eastAsia" w:ascii="仿宋_GB2312" w:hAnsi="仿宋_GB2312" w:eastAsia="仿宋_GB2312" w:cs="仿宋_GB2312"/>
          <w:color w:val="auto"/>
          <w:sz w:val="32"/>
          <w:szCs w:val="32"/>
        </w:rPr>
        <w:t xml:space="preserve">）要求进行收集、贮存、运输。 </w:t>
      </w:r>
    </w:p>
    <w:p>
      <w:pPr>
        <w:pageBreakBefore w:val="0"/>
        <w:widowControl w:val="0"/>
        <w:kinsoku/>
        <w:wordWrap/>
        <w:overflowPunct/>
        <w:topLinePunct w:val="0"/>
        <w:autoSpaceDE/>
        <w:autoSpaceDN/>
        <w:bidi w:val="0"/>
        <w:adjustRightInd w:val="0"/>
        <w:snapToGrid w:val="0"/>
        <w:spacing w:line="600" w:lineRule="exact"/>
        <w:ind w:firstLine="632" w:firstLineChars="200"/>
        <w:textAlignment w:val="auto"/>
        <w:outlineLvl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严格落实噪声污染防治措施。</w:t>
      </w: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lang w:eastAsia="zh-CN"/>
        </w:rPr>
        <w:t>工程施工期声环境影响主要为各类拌合系统、综合加工厂等的固定连续声源噪声以及交通噪声等采用吸声、隔声、减震等防护措施，</w:t>
      </w:r>
      <w:r>
        <w:rPr>
          <w:rFonts w:hint="eastAsia" w:ascii="仿宋_GB2312" w:hAnsi="仿宋_GB2312" w:eastAsia="仿宋_GB2312" w:cs="仿宋_GB2312"/>
          <w:color w:val="auto"/>
          <w:sz w:val="32"/>
          <w:szCs w:val="32"/>
          <w:lang w:val="en-US" w:eastAsia="zh-CN"/>
        </w:rPr>
        <w:t>施工期满足</w:t>
      </w:r>
      <w:r>
        <w:rPr>
          <w:rFonts w:hint="eastAsia" w:ascii="仿宋_GB2312" w:hAnsi="仿宋_GB2312" w:eastAsia="仿宋_GB2312" w:cs="仿宋_GB2312"/>
          <w:color w:val="auto"/>
          <w:sz w:val="32"/>
          <w:szCs w:val="32"/>
          <w:lang w:eastAsia="zh-CN"/>
        </w:rPr>
        <w:t>《建筑施工场界环境噪声排放标准》（GB 12523-2011）要求，施工场地混凝土拌和站系统昼、夜间达标距离分别约4米、22米，综合加工厂施工昼、夜间达标距离分别约7米、40米。施工噪声影响产生短期、局部影响，施工结束后消失，施工噪声环境影响较小。</w:t>
      </w:r>
    </w:p>
    <w:p>
      <w:pPr>
        <w:pageBreakBefore w:val="0"/>
        <w:widowControl w:val="0"/>
        <w:kinsoku/>
        <w:wordWrap/>
        <w:overflowPunct/>
        <w:topLinePunct w:val="0"/>
        <w:autoSpaceDE/>
        <w:autoSpaceDN/>
        <w:bidi w:val="0"/>
        <w:adjustRightInd w:val="0"/>
        <w:snapToGrid w:val="0"/>
        <w:spacing w:line="600" w:lineRule="exact"/>
        <w:ind w:firstLine="632" w:firstLineChars="200"/>
        <w:textAlignment w:val="auto"/>
        <w:outlineLvl w:val="0"/>
        <w:rPr>
          <w:rFonts w:hint="eastAsia"/>
          <w:color w:val="auto"/>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严格落实</w:t>
      </w:r>
      <w:r>
        <w:rPr>
          <w:rFonts w:hint="eastAsia" w:ascii="仿宋_GB2312" w:hAnsi="仿宋_GB2312" w:eastAsia="仿宋_GB2312" w:cs="仿宋_GB2312"/>
          <w:color w:val="auto"/>
          <w:sz w:val="32"/>
          <w:szCs w:val="32"/>
          <w:lang w:val="en-US" w:eastAsia="zh-CN"/>
        </w:rPr>
        <w:t>生态</w:t>
      </w:r>
      <w:r>
        <w:rPr>
          <w:rFonts w:hint="eastAsia" w:ascii="仿宋_GB2312" w:hAnsi="仿宋_GB2312" w:eastAsia="仿宋_GB2312" w:cs="仿宋_GB2312"/>
          <w:color w:val="auto"/>
          <w:sz w:val="32"/>
          <w:szCs w:val="32"/>
          <w:lang w:eastAsia="zh-CN"/>
        </w:rPr>
        <w:t>防治措施。严格控制施工边界，并进行标桩划界，禁止随意占压土地，禁止施工人员、车辆进入非施工占地区域，减少对植被的破坏；合理布置施工场地及施工方案，减少施工影响的时间和范围，合理安排施工时间，尽量避开野生动物集中活动的区域和时段（晨昏），缩短施工时间；加强生态保护的宣传教育，严禁施工人员非法猎捕野生动物；结合水土保持措施，在建设区域采取土地平整及植被措施，结合立地条件种植该区域的原生种或适生种，提高区域植被覆盖度。</w:t>
      </w:r>
      <w:r>
        <w:rPr>
          <w:rFonts w:hint="eastAsia" w:ascii="仿宋_GB2312" w:hAnsi="仿宋_GB2312" w:eastAsia="仿宋_GB2312" w:cs="仿宋_GB2312"/>
          <w:color w:val="auto"/>
          <w:sz w:val="32"/>
          <w:szCs w:val="32"/>
          <w:lang w:val="en-US" w:eastAsia="zh-CN"/>
        </w:rPr>
        <w:t>严格落实</w:t>
      </w:r>
      <w:r>
        <w:rPr>
          <w:rFonts w:hint="eastAsia" w:ascii="仿宋_GB2312" w:hAnsi="仿宋_GB2312" w:eastAsia="仿宋_GB2312" w:cs="仿宋_GB2312"/>
          <w:color w:val="auto"/>
          <w:sz w:val="32"/>
          <w:szCs w:val="32"/>
          <w:lang w:eastAsia="zh-CN"/>
        </w:rPr>
        <w:t>《报告书》提出的艾丁湖及其湿地公园保护措施、水生生态影响、水土流失及防沙治沙现状及防治措施。</w:t>
      </w:r>
    </w:p>
    <w:p>
      <w:pPr>
        <w:pageBreakBefore w:val="0"/>
        <w:widowControl w:val="0"/>
        <w:kinsoku/>
        <w:wordWrap/>
        <w:overflowPunct/>
        <w:topLinePunct w:val="0"/>
        <w:autoSpaceDE/>
        <w:autoSpaceDN/>
        <w:bidi w:val="0"/>
        <w:spacing w:line="60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rPr>
        <w:t>）建立严格的环境管理体系。严格落实《报告</w:t>
      </w:r>
      <w:r>
        <w:rPr>
          <w:rFonts w:hint="eastAsia" w:ascii="仿宋_GB2312" w:hAnsi="仿宋_GB2312" w:eastAsia="仿宋_GB2312" w:cs="仿宋_GB2312"/>
          <w:color w:val="auto"/>
          <w:sz w:val="32"/>
          <w:szCs w:val="32"/>
          <w:lang w:eastAsia="zh-CN"/>
        </w:rPr>
        <w:t>书</w:t>
      </w:r>
      <w:r>
        <w:rPr>
          <w:rFonts w:hint="eastAsia" w:ascii="仿宋_GB2312" w:hAnsi="仿宋_GB2312" w:eastAsia="仿宋_GB2312" w:cs="仿宋_GB2312"/>
          <w:color w:val="auto"/>
          <w:sz w:val="32"/>
          <w:szCs w:val="32"/>
        </w:rPr>
        <w:t>》提出的各项事故防范和应急措施，制定突发环境事件应急预案，完善环保规章制度，定期开展环境应急演练。</w:t>
      </w:r>
      <w:r>
        <w:rPr>
          <w:rFonts w:hint="eastAsia" w:ascii="仿宋_GB2312" w:hAnsi="仿宋_GB2312" w:eastAsia="仿宋_GB2312" w:cs="仿宋_GB2312"/>
          <w:color w:val="auto"/>
          <w:sz w:val="32"/>
          <w:szCs w:val="32"/>
          <w:lang w:val="en-US" w:eastAsia="zh-CN"/>
        </w:rPr>
        <w:t>加强</w:t>
      </w:r>
      <w:r>
        <w:rPr>
          <w:rFonts w:hint="eastAsia" w:ascii="仿宋_GB2312" w:hAnsi="仿宋_GB2312" w:eastAsia="仿宋_GB2312" w:cs="仿宋_GB2312"/>
          <w:color w:val="auto"/>
          <w:sz w:val="32"/>
          <w:szCs w:val="32"/>
        </w:rPr>
        <w:t>操作人员的教育培训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了解掌握水源地保护区范围内事故多发路段，危险化学品的运输规律，及各路段一旦发生事故情况下污染物的运移途径等情况，建立环境应急资料数据库并及时补充有关资料，控制和降低环境风险，杜绝环境污染事故的发生。</w:t>
      </w:r>
    </w:p>
    <w:p>
      <w:pPr>
        <w:pageBreakBefore w:val="0"/>
        <w:widowControl w:val="0"/>
        <w:kinsoku/>
        <w:wordWrap/>
        <w:overflowPunct/>
        <w:topLinePunct w:val="0"/>
        <w:autoSpaceDE/>
        <w:autoSpaceDN/>
        <w:bidi w:val="0"/>
        <w:spacing w:line="600" w:lineRule="exact"/>
        <w:ind w:firstLine="632" w:firstLineChars="200"/>
        <w:textAlignment w:val="auto"/>
        <w:rPr>
          <w:rFonts w:hint="eastAsia" w:ascii="仿宋_GB2312" w:hAnsi="仿宋" w:eastAsia="仿宋_GB2312"/>
          <w:color w:val="auto"/>
          <w:szCs w:val="32"/>
        </w:rPr>
      </w:pP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、本项目施工期和运营期的环境监督管理由</w:t>
      </w:r>
      <w:r>
        <w:rPr>
          <w:rFonts w:hint="eastAsia" w:ascii="仿宋_GB2312" w:hAnsi="仿宋_GB2312" w:eastAsia="仿宋_GB2312" w:cs="仿宋_GB2312"/>
          <w:color w:val="auto"/>
          <w:sz w:val="32"/>
          <w:szCs w:val="32"/>
          <w:lang w:eastAsia="zh-CN"/>
        </w:rPr>
        <w:t>高昌区</w:t>
      </w:r>
      <w:r>
        <w:rPr>
          <w:rFonts w:hint="eastAsia" w:ascii="仿宋_GB2312" w:hAnsi="仿宋_GB2312" w:eastAsia="仿宋_GB2312" w:cs="仿宋_GB2312"/>
          <w:color w:val="auto"/>
          <w:sz w:val="32"/>
          <w:szCs w:val="32"/>
        </w:rPr>
        <w:t>分局负责，市生态环境保护综合行政执法支队不定期进行抽查。项</w:t>
      </w:r>
      <w:r>
        <w:rPr>
          <w:rFonts w:hint="eastAsia" w:ascii="仿宋_GB2312" w:hAnsi="仿宋" w:eastAsia="仿宋_GB2312"/>
          <w:color w:val="auto"/>
          <w:szCs w:val="32"/>
        </w:rPr>
        <w:t>目竣工后，须按规定程序开展竣工环境保护验收，验收合格后，方可正式投入运行。如项目的性质、规模、地点、工艺或者防治污染、防止生态破坏的措施发生重大变动，须报我局重新审批。自环评批复文件批准之日起，如工程超过5年未开工建设，环境影响评价文件应当报我局重新审核。</w:t>
      </w:r>
    </w:p>
    <w:p>
      <w:pPr>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napToGrid w:val="0"/>
          <w:color w:val="auto"/>
          <w:kern w:val="0"/>
        </w:rPr>
      </w:pPr>
    </w:p>
    <w:p>
      <w:pPr>
        <w:pageBreakBefore w:val="0"/>
        <w:widowControl w:val="0"/>
        <w:tabs>
          <w:tab w:val="left" w:pos="7371"/>
        </w:tabs>
        <w:kinsoku/>
        <w:wordWrap/>
        <w:overflowPunct/>
        <w:topLinePunct w:val="0"/>
        <w:autoSpaceDE/>
        <w:autoSpaceDN/>
        <w:bidi w:val="0"/>
        <w:spacing w:line="600" w:lineRule="exact"/>
        <w:ind w:right="632"/>
        <w:jc w:val="center"/>
        <w:textAlignment w:val="auto"/>
        <w:rPr>
          <w:rFonts w:hint="eastAsia" w:ascii="仿宋_GB2312" w:hAnsi="仿宋_GB2312" w:eastAsia="仿宋_GB2312" w:cs="仿宋_GB2312"/>
          <w:snapToGrid w:val="0"/>
          <w:color w:val="auto"/>
          <w:kern w:val="0"/>
        </w:rPr>
      </w:pPr>
      <w:r>
        <w:rPr>
          <w:rFonts w:hint="eastAsia" w:ascii="仿宋_GB2312" w:hAnsi="仿宋_GB2312" w:eastAsia="仿宋_GB2312" w:cs="仿宋_GB2312"/>
          <w:snapToGrid w:val="0"/>
          <w:color w:val="auto"/>
          <w:kern w:val="0"/>
        </w:rPr>
        <w:t xml:space="preserve">                           </w:t>
      </w:r>
      <w:r>
        <w:rPr>
          <w:rFonts w:hint="eastAsia" w:ascii="仿宋_GB2312" w:hAnsi="仿宋_GB2312" w:eastAsia="仿宋_GB2312" w:cs="仿宋_GB2312"/>
          <w:snapToGrid w:val="0"/>
          <w:color w:val="auto"/>
          <w:kern w:val="0"/>
          <w:lang w:eastAsia="zh-CN"/>
        </w:rPr>
        <w:t>吐鲁番市</w:t>
      </w:r>
      <w:r>
        <w:rPr>
          <w:rFonts w:hint="eastAsia" w:ascii="仿宋_GB2312" w:hAnsi="仿宋_GB2312" w:eastAsia="仿宋_GB2312" w:cs="仿宋_GB2312"/>
          <w:color w:val="auto"/>
          <w:szCs w:val="32"/>
        </w:rPr>
        <w:t xml:space="preserve">生态环境局 </w:t>
      </w:r>
    </w:p>
    <w:p>
      <w:pPr>
        <w:pageBreakBefore w:val="0"/>
        <w:widowControl w:val="0"/>
        <w:tabs>
          <w:tab w:val="left" w:pos="7371"/>
        </w:tabs>
        <w:kinsoku/>
        <w:wordWrap/>
        <w:overflowPunct/>
        <w:topLinePunct w:val="0"/>
        <w:autoSpaceDE/>
        <w:autoSpaceDN/>
        <w:bidi w:val="0"/>
        <w:spacing w:after="156" w:afterLines="50" w:line="600" w:lineRule="exact"/>
        <w:ind w:left="0" w:right="1264" w:rightChars="400" w:firstLine="5056" w:firstLineChars="1600"/>
        <w:jc w:val="left"/>
        <w:textAlignment w:val="auto"/>
        <w:rPr>
          <w:color w:val="auto"/>
        </w:rPr>
      </w:pPr>
      <w:r>
        <w:rPr>
          <w:rFonts w:hint="eastAsia" w:ascii="仿宋_GB2312" w:hAnsi="仿宋_GB2312" w:eastAsia="仿宋_GB2312" w:cs="仿宋_GB2312"/>
          <w:snapToGrid w:val="0"/>
          <w:color w:val="auto"/>
          <w:kern w:val="0"/>
          <w:szCs w:val="32"/>
          <w:lang w:val="en-US" w:eastAsia="zh-CN"/>
        </w:rPr>
        <w:t>2025</w:t>
      </w:r>
      <w:r>
        <w:rPr>
          <w:rFonts w:hint="eastAsia" w:ascii="仿宋_GB2312" w:hAnsi="仿宋_GB2312" w:eastAsia="仿宋_GB2312" w:cs="仿宋_GB2312"/>
          <w:snapToGrid w:val="0"/>
          <w:color w:val="auto"/>
          <w:kern w:val="0"/>
          <w:szCs w:val="32"/>
        </w:rPr>
        <w:t>年</w:t>
      </w:r>
      <w:r>
        <w:rPr>
          <w:rFonts w:hint="eastAsia" w:ascii="仿宋_GB2312" w:hAnsi="仿宋_GB2312" w:eastAsia="仿宋_GB2312" w:cs="仿宋_GB2312"/>
          <w:snapToGrid w:val="0"/>
          <w:color w:val="auto"/>
          <w:kern w:val="0"/>
          <w:szCs w:val="32"/>
          <w:lang w:val="en-US" w:eastAsia="zh-CN"/>
        </w:rPr>
        <w:t>12</w:t>
      </w:r>
      <w:r>
        <w:rPr>
          <w:rFonts w:hint="eastAsia" w:ascii="仿宋_GB2312" w:hAnsi="仿宋_GB2312" w:eastAsia="仿宋_GB2312" w:cs="仿宋_GB2312"/>
          <w:snapToGrid w:val="0"/>
          <w:color w:val="auto"/>
          <w:kern w:val="0"/>
          <w:szCs w:val="32"/>
        </w:rPr>
        <w:t>月</w:t>
      </w:r>
      <w:r>
        <w:rPr>
          <w:rFonts w:hint="eastAsia" w:ascii="仿宋_GB2312" w:hAnsi="仿宋_GB2312" w:eastAsia="仿宋_GB2312" w:cs="仿宋_GB2312"/>
          <w:snapToGrid w:val="0"/>
          <w:color w:val="auto"/>
          <w:kern w:val="0"/>
          <w:szCs w:val="32"/>
          <w:lang w:val="en-US" w:eastAsia="zh-CN"/>
        </w:rPr>
        <w:t>12日</w:t>
      </w:r>
    </w:p>
    <w:p/>
    <w:sectPr>
      <w:footerReference r:id="rId3" w:type="default"/>
      <w:pgSz w:w="11906" w:h="16838"/>
      <w:pgMar w:top="2098" w:right="1531" w:bottom="1531" w:left="1531" w:header="850" w:footer="1191" w:gutter="0"/>
      <w:pgNumType w:start="2"/>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PMingLiU">
    <w:panose1 w:val="02020500000000000000"/>
    <w:charset w:val="88"/>
    <w:family w:val="auto"/>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320" w:leftChars="100" w:right="320" w:rightChars="100"/>
      <w:rPr>
        <w:rStyle w:val="7"/>
        <w:rFonts w:ascii="宋体"/>
        <w:b/>
        <w:bCs/>
        <w:sz w:val="28"/>
      </w:rPr>
    </w:pPr>
    <w:r>
      <w:rPr>
        <w:rStyle w:val="7"/>
        <w:rFonts w:hint="eastAsia"/>
        <w:sz w:val="28"/>
      </w:rPr>
      <w:t>—</w:t>
    </w:r>
    <w:r>
      <w:rPr>
        <w:rStyle w:val="7"/>
        <w:sz w:val="28"/>
      </w:rPr>
      <w:t xml:space="preserve"> </w:t>
    </w:r>
    <w:r>
      <w:rPr>
        <w:rFonts w:hint="eastAsia" w:ascii="宋体" w:hAnsi="宋体" w:eastAsia="宋体" w:cs="宋体"/>
        <w:sz w:val="28"/>
      </w:rPr>
      <w:fldChar w:fldCharType="begin"/>
    </w:r>
    <w:r>
      <w:rPr>
        <w:rStyle w:val="7"/>
        <w:rFonts w:hint="eastAsia" w:ascii="宋体" w:hAnsi="宋体" w:eastAsia="宋体" w:cs="宋体"/>
        <w:sz w:val="28"/>
      </w:rPr>
      <w:instrText xml:space="preserve">PAGE  </w:instrText>
    </w:r>
    <w:r>
      <w:rPr>
        <w:rFonts w:hint="eastAsia" w:ascii="宋体" w:hAnsi="宋体" w:eastAsia="宋体" w:cs="宋体"/>
        <w:sz w:val="28"/>
      </w:rPr>
      <w:fldChar w:fldCharType="separate"/>
    </w:r>
    <w:r>
      <w:rPr>
        <w:rStyle w:val="7"/>
        <w:rFonts w:hint="eastAsia" w:ascii="宋体" w:hAnsi="宋体" w:eastAsia="宋体" w:cs="宋体"/>
        <w:sz w:val="28"/>
      </w:rPr>
      <w:t>8</w:t>
    </w:r>
    <w:r>
      <w:rPr>
        <w:rFonts w:hint="eastAsia" w:ascii="宋体" w:hAnsi="宋体" w:eastAsia="宋体" w:cs="宋体"/>
        <w:sz w:val="28"/>
      </w:rPr>
      <w:fldChar w:fldCharType="end"/>
    </w:r>
    <w:r>
      <w:rPr>
        <w:rStyle w:val="7"/>
        <w:sz w:val="28"/>
      </w:rPr>
      <w:t xml:space="preserve"> </w:t>
    </w:r>
    <w:r>
      <w:rPr>
        <w:rStyle w:val="7"/>
        <w:rFonts w:hint="eastAsia"/>
        <w:sz w:val="28"/>
      </w:rPr>
      <w:t>—</w:t>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C2DBCF"/>
    <w:multiLevelType w:val="singleLevel"/>
    <w:tmpl w:val="62C2DBCF"/>
    <w:lvl w:ilvl="0" w:tentative="0">
      <w:start w:val="1"/>
      <w:numFmt w:val="chineseCounting"/>
      <w:suff w:val="nothing"/>
      <w:lvlText w:val="%1、"/>
      <w:lvlJc w:val="left"/>
      <w:rPr>
        <w:rFonts w:hint="eastAsia"/>
      </w:rPr>
    </w:lvl>
  </w:abstractNum>
  <w:abstractNum w:abstractNumId="1">
    <w:nsid w:val="6F9A55EF"/>
    <w:multiLevelType w:val="singleLevel"/>
    <w:tmpl w:val="6F9A55EF"/>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927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2">
    <w:name w:val="heading 3"/>
    <w:basedOn w:val="1"/>
    <w:next w:val="1"/>
    <w:qFormat/>
    <w:uiPriority w:val="0"/>
    <w:pPr>
      <w:keepNext/>
      <w:keepLines/>
      <w:spacing w:before="50" w:beforeLines="50" w:after="10"/>
      <w:ind w:firstLine="0"/>
      <w:jc w:val="left"/>
      <w:outlineLvl w:val="2"/>
    </w:pPr>
    <w:rPr>
      <w:rFonts w:ascii="Times New Roman" w:hAnsi="Times New Roman" w:eastAsia="华文楷体"/>
      <w:b/>
      <w:sz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uiPriority w:val="0"/>
    <w:pPr>
      <w:tabs>
        <w:tab w:val="center" w:pos="4153"/>
        <w:tab w:val="right" w:pos="8306"/>
      </w:tabs>
      <w:snapToGrid w:val="0"/>
      <w:jc w:val="left"/>
    </w:pPr>
    <w:rPr>
      <w:sz w:val="18"/>
    </w:rPr>
  </w:style>
  <w:style w:type="character" w:styleId="7">
    <w:name w:val="page number"/>
    <w:basedOn w:val="6"/>
    <w:qFormat/>
    <w:uiPriority w:val="0"/>
  </w:style>
  <w:style w:type="paragraph" w:customStyle="1" w:styleId="8">
    <w:name w:val="表格内"/>
    <w:basedOn w:val="1"/>
    <w:qFormat/>
    <w:uiPriority w:val="0"/>
    <w:pPr>
      <w:spacing w:line="360" w:lineRule="exact"/>
      <w:jc w:val="center"/>
    </w:pPr>
    <w:rPr>
      <w:snapToGrid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2025-12-26T05:27:05Z</dcterms:created>
  <dc:creator>Administrator</dc:creator>
  <cp:lastModifiedBy>Administrator</cp:lastModifiedBy>
  <dcterms:modified xsi:type="dcterms:W3CDTF">2025-12-26T05:27:12Z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E837FC75F05A4BD38419A6BEB60E9355</vt:lpwstr>
  </property>
</Properties>
</file>