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firstLine="482"/>
        <w:jc w:val="center"/>
        <w:rPr>
          <w:snapToGrid w:val="0"/>
          <w:color w:val="auto"/>
          <w:highlight w:val="none"/>
        </w:rPr>
      </w:pPr>
      <w:bookmarkStart w:id="0" w:name="_Toc19260"/>
      <w:bookmarkStart w:id="1" w:name="_Toc28087"/>
      <w:bookmarkStart w:id="2" w:name="_Toc4766"/>
      <w:bookmarkStart w:id="3" w:name="_Toc11368"/>
      <w:r>
        <w:rPr>
          <w:color w:val="auto"/>
          <w:highlight w:val="none"/>
        </w:rPr>
        <w:t>一、建设项目基本情况</w:t>
      </w:r>
      <w:bookmarkEnd w:id="0"/>
      <w:bookmarkEnd w:id="1"/>
      <w:bookmarkEnd w:id="2"/>
      <w:bookmarkEnd w:id="3"/>
    </w:p>
    <w:tbl>
      <w:tblPr>
        <w:tblStyle w:val="30"/>
        <w:tblW w:w="496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76"/>
        <w:gridCol w:w="1512"/>
        <w:gridCol w:w="1747"/>
        <w:gridCol w:w="2003"/>
        <w:gridCol w:w="30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127" w:type="pct"/>
            <w:gridSpan w:val="2"/>
            <w:tcMar>
              <w:top w:w="16" w:type="dxa"/>
              <w:left w:w="16" w:type="dxa"/>
              <w:right w:w="16" w:type="dxa"/>
            </w:tcMar>
            <w:vAlign w:val="center"/>
          </w:tcPr>
          <w:p>
            <w:pPr>
              <w:adjustRightInd w:val="0"/>
              <w:snapToGrid w:val="0"/>
              <w:spacing w:line="240" w:lineRule="auto"/>
              <w:ind w:firstLine="0" w:firstLineChars="0"/>
              <w:jc w:val="center"/>
              <w:rPr>
                <w:color w:val="auto"/>
                <w:highlight w:val="none"/>
              </w:rPr>
            </w:pPr>
            <w:bookmarkStart w:id="4" w:name="_Hlk216862027"/>
            <w:r>
              <w:rPr>
                <w:color w:val="auto"/>
                <w:highlight w:val="none"/>
              </w:rPr>
              <w:t>建设项目名称</w:t>
            </w:r>
          </w:p>
        </w:tc>
        <w:tc>
          <w:tcPr>
            <w:tcW w:w="3872" w:type="pct"/>
            <w:gridSpan w:val="3"/>
            <w:vAlign w:val="center"/>
          </w:tcPr>
          <w:p>
            <w:pPr>
              <w:adjustRightInd w:val="0"/>
              <w:snapToGrid w:val="0"/>
              <w:spacing w:line="240" w:lineRule="auto"/>
              <w:ind w:firstLine="0" w:firstLineChars="0"/>
              <w:jc w:val="center"/>
              <w:rPr>
                <w:color w:val="auto"/>
                <w:highlight w:val="none"/>
              </w:rPr>
            </w:pPr>
            <w:r>
              <w:rPr>
                <w:rFonts w:hint="eastAsia"/>
                <w:color w:val="auto"/>
                <w:highlight w:val="none"/>
              </w:rPr>
              <w:t>吐鲁番市鄯善县坎尔其中型灌区续建配套与节水改造项目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27" w:type="pct"/>
            <w:gridSpan w:val="2"/>
            <w:tcMar>
              <w:top w:w="16" w:type="dxa"/>
              <w:left w:w="16" w:type="dxa"/>
              <w:right w:w="16" w:type="dxa"/>
            </w:tcMar>
            <w:vAlign w:val="center"/>
          </w:tcPr>
          <w:p>
            <w:pPr>
              <w:adjustRightInd w:val="0"/>
              <w:snapToGrid w:val="0"/>
              <w:spacing w:line="240" w:lineRule="auto"/>
              <w:ind w:firstLine="0" w:firstLineChars="0"/>
              <w:jc w:val="center"/>
              <w:rPr>
                <w:color w:val="auto"/>
                <w:highlight w:val="none"/>
              </w:rPr>
            </w:pPr>
            <w:r>
              <w:rPr>
                <w:color w:val="auto"/>
                <w:highlight w:val="none"/>
              </w:rPr>
              <w:t>建设项目</w:t>
            </w:r>
          </w:p>
          <w:p>
            <w:pPr>
              <w:adjustRightInd w:val="0"/>
              <w:snapToGrid w:val="0"/>
              <w:spacing w:line="240" w:lineRule="auto"/>
              <w:ind w:firstLine="0" w:firstLineChars="0"/>
              <w:jc w:val="center"/>
              <w:rPr>
                <w:color w:val="auto"/>
                <w:highlight w:val="none"/>
              </w:rPr>
            </w:pPr>
            <w:r>
              <w:rPr>
                <w:color w:val="auto"/>
                <w:highlight w:val="none"/>
              </w:rPr>
              <w:t>行业类别</w:t>
            </w:r>
          </w:p>
        </w:tc>
        <w:tc>
          <w:tcPr>
            <w:tcW w:w="990" w:type="pct"/>
            <w:vAlign w:val="center"/>
          </w:tcPr>
          <w:p>
            <w:pPr>
              <w:adjustRightInd w:val="0"/>
              <w:snapToGrid w:val="0"/>
              <w:spacing w:line="240" w:lineRule="auto"/>
              <w:ind w:firstLine="0" w:firstLineChars="0"/>
              <w:jc w:val="center"/>
              <w:rPr>
                <w:color w:val="auto"/>
                <w:highlight w:val="none"/>
              </w:rPr>
            </w:pPr>
            <w:r>
              <w:rPr>
                <w:color w:val="auto"/>
                <w:highlight w:val="none"/>
              </w:rPr>
              <w:t>第五十一、水利，125灌区工程（不含水源工程的）</w:t>
            </w:r>
          </w:p>
        </w:tc>
        <w:tc>
          <w:tcPr>
            <w:tcW w:w="1136" w:type="pct"/>
            <w:vAlign w:val="center"/>
          </w:tcPr>
          <w:p>
            <w:pPr>
              <w:adjustRightInd w:val="0"/>
              <w:snapToGrid w:val="0"/>
              <w:spacing w:line="240" w:lineRule="auto"/>
              <w:ind w:firstLine="0" w:firstLineChars="0"/>
              <w:jc w:val="center"/>
              <w:rPr>
                <w:color w:val="auto"/>
                <w:highlight w:val="none"/>
              </w:rPr>
            </w:pPr>
            <w:r>
              <w:rPr>
                <w:rFonts w:hint="eastAsia"/>
                <w:color w:val="auto"/>
                <w:highlight w:val="none"/>
              </w:rPr>
              <w:t>用地（用海）面积（m</w:t>
            </w:r>
            <w:r>
              <w:rPr>
                <w:rFonts w:hint="eastAsia"/>
                <w:color w:val="auto"/>
                <w:highlight w:val="none"/>
                <w:vertAlign w:val="superscript"/>
              </w:rPr>
              <w:t>2</w:t>
            </w:r>
            <w:r>
              <w:rPr>
                <w:rFonts w:hint="eastAsia"/>
                <w:color w:val="auto"/>
                <w:highlight w:val="none"/>
              </w:rPr>
              <w:t>）/长度（km）</w:t>
            </w:r>
          </w:p>
        </w:tc>
        <w:tc>
          <w:tcPr>
            <w:tcW w:w="1744" w:type="pct"/>
            <w:vAlign w:val="center"/>
          </w:tcPr>
          <w:p>
            <w:pPr>
              <w:adjustRightInd w:val="0"/>
              <w:snapToGrid w:val="0"/>
              <w:spacing w:line="240" w:lineRule="auto"/>
              <w:ind w:firstLine="0" w:firstLineChars="0"/>
              <w:jc w:val="center"/>
              <w:rPr>
                <w:color w:val="auto"/>
                <w:highlight w:val="none"/>
              </w:rPr>
            </w:pPr>
            <w:r>
              <w:rPr>
                <w:rFonts w:hint="eastAsia"/>
                <w:color w:val="auto"/>
                <w:highlight w:val="none"/>
              </w:rPr>
              <w:t>48.52hm</w:t>
            </w:r>
            <w:r>
              <w:rPr>
                <w:rFonts w:hint="eastAsia"/>
                <w:color w:val="auto"/>
                <w:highlight w:val="none"/>
                <w:vertAlign w:val="superscript"/>
              </w:rPr>
              <w:t>2</w:t>
            </w:r>
            <w:r>
              <w:rPr>
                <w:rFonts w:hint="eastAsia"/>
                <w:color w:val="auto"/>
                <w:highlight w:val="none"/>
              </w:rPr>
              <w:t>/41.89km</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127" w:type="pct"/>
            <w:gridSpan w:val="2"/>
            <w:tcMar>
              <w:top w:w="16" w:type="dxa"/>
              <w:left w:w="16" w:type="dxa"/>
              <w:right w:w="16" w:type="dxa"/>
            </w:tcMar>
            <w:vAlign w:val="center"/>
          </w:tcPr>
          <w:p>
            <w:pPr>
              <w:adjustRightInd w:val="0"/>
              <w:snapToGrid w:val="0"/>
              <w:spacing w:line="240" w:lineRule="auto"/>
              <w:ind w:firstLine="0" w:firstLineChars="0"/>
              <w:jc w:val="center"/>
              <w:rPr>
                <w:color w:val="auto"/>
                <w:highlight w:val="none"/>
              </w:rPr>
            </w:pPr>
            <w:r>
              <w:rPr>
                <w:color w:val="auto"/>
                <w:highlight w:val="none"/>
              </w:rPr>
              <w:t>建设性质</w:t>
            </w:r>
          </w:p>
        </w:tc>
        <w:tc>
          <w:tcPr>
            <w:tcW w:w="990" w:type="pct"/>
            <w:vAlign w:val="center"/>
          </w:tcPr>
          <w:p>
            <w:pPr>
              <w:adjustRightInd w:val="0"/>
              <w:snapToGrid w:val="0"/>
              <w:spacing w:line="240" w:lineRule="auto"/>
              <w:ind w:firstLine="0" w:firstLineChars="0"/>
              <w:jc w:val="left"/>
              <w:rPr>
                <w:color w:val="auto"/>
                <w:highlight w:val="none"/>
              </w:rPr>
            </w:pPr>
            <w:r>
              <w:rPr>
                <w:rFonts w:hint="eastAsia"/>
                <w:color w:val="auto"/>
                <w:highlight w:val="none"/>
              </w:rPr>
              <w:sym w:font="Wingdings 2" w:char="00A3"/>
            </w:r>
            <w:r>
              <w:rPr>
                <w:color w:val="auto"/>
                <w:highlight w:val="none"/>
              </w:rPr>
              <w:t>新建（迁建）</w:t>
            </w:r>
          </w:p>
          <w:p>
            <w:pPr>
              <w:adjustRightInd w:val="0"/>
              <w:snapToGrid w:val="0"/>
              <w:spacing w:line="240" w:lineRule="auto"/>
              <w:ind w:firstLine="0" w:firstLineChars="0"/>
              <w:jc w:val="left"/>
              <w:rPr>
                <w:color w:val="auto"/>
                <w:highlight w:val="none"/>
              </w:rPr>
            </w:pPr>
            <w:r>
              <w:rPr>
                <w:rFonts w:hint="eastAsia"/>
                <w:color w:val="auto"/>
                <w:highlight w:val="none"/>
              </w:rPr>
              <w:sym w:font="Wingdings 2" w:char="0052"/>
            </w:r>
            <w:r>
              <w:rPr>
                <w:color w:val="auto"/>
                <w:highlight w:val="none"/>
              </w:rPr>
              <w:t>改建</w:t>
            </w:r>
          </w:p>
          <w:p>
            <w:pPr>
              <w:adjustRightInd w:val="0"/>
              <w:snapToGrid w:val="0"/>
              <w:spacing w:line="240" w:lineRule="auto"/>
              <w:ind w:firstLine="0" w:firstLineChars="0"/>
              <w:jc w:val="left"/>
              <w:rPr>
                <w:color w:val="auto"/>
                <w:highlight w:val="none"/>
              </w:rPr>
            </w:pPr>
            <w:r>
              <w:rPr>
                <w:rFonts w:hint="eastAsia"/>
                <w:color w:val="auto"/>
                <w:highlight w:val="none"/>
              </w:rPr>
              <w:sym w:font="Wingdings 2" w:char="00A3"/>
            </w:r>
            <w:r>
              <w:rPr>
                <w:color w:val="auto"/>
                <w:highlight w:val="none"/>
              </w:rPr>
              <w:t>扩建</w:t>
            </w:r>
          </w:p>
          <w:p>
            <w:pPr>
              <w:adjustRightInd w:val="0"/>
              <w:snapToGrid w:val="0"/>
              <w:spacing w:line="240" w:lineRule="auto"/>
              <w:ind w:firstLine="0" w:firstLineChars="0"/>
              <w:jc w:val="left"/>
              <w:rPr>
                <w:color w:val="auto"/>
                <w:highlight w:val="none"/>
              </w:rPr>
            </w:pPr>
            <w:r>
              <w:rPr>
                <w:rFonts w:hint="eastAsia"/>
                <w:color w:val="auto"/>
                <w:highlight w:val="none"/>
              </w:rPr>
              <w:sym w:font="Wingdings 2" w:char="00A3"/>
            </w:r>
            <w:r>
              <w:rPr>
                <w:color w:val="auto"/>
                <w:highlight w:val="none"/>
              </w:rPr>
              <w:t>技术改造</w:t>
            </w:r>
          </w:p>
        </w:tc>
        <w:tc>
          <w:tcPr>
            <w:tcW w:w="1136" w:type="pct"/>
            <w:vAlign w:val="center"/>
          </w:tcPr>
          <w:p>
            <w:pPr>
              <w:adjustRightInd w:val="0"/>
              <w:snapToGrid w:val="0"/>
              <w:spacing w:line="240" w:lineRule="auto"/>
              <w:ind w:firstLine="0" w:firstLineChars="0"/>
              <w:jc w:val="center"/>
              <w:rPr>
                <w:color w:val="auto"/>
                <w:highlight w:val="none"/>
              </w:rPr>
            </w:pPr>
            <w:r>
              <w:rPr>
                <w:color w:val="auto"/>
                <w:highlight w:val="none"/>
              </w:rPr>
              <w:t>建设项目</w:t>
            </w:r>
          </w:p>
          <w:p>
            <w:pPr>
              <w:adjustRightInd w:val="0"/>
              <w:snapToGrid w:val="0"/>
              <w:spacing w:line="240" w:lineRule="auto"/>
              <w:ind w:firstLine="0" w:firstLineChars="0"/>
              <w:jc w:val="center"/>
              <w:rPr>
                <w:color w:val="auto"/>
                <w:highlight w:val="none"/>
              </w:rPr>
            </w:pPr>
            <w:r>
              <w:rPr>
                <w:color w:val="auto"/>
                <w:highlight w:val="none"/>
              </w:rPr>
              <w:t>申报情形</w:t>
            </w:r>
          </w:p>
        </w:tc>
        <w:tc>
          <w:tcPr>
            <w:tcW w:w="1744" w:type="pct"/>
            <w:vAlign w:val="center"/>
          </w:tcPr>
          <w:p>
            <w:pPr>
              <w:adjustRightInd w:val="0"/>
              <w:snapToGrid w:val="0"/>
              <w:spacing w:line="240" w:lineRule="auto"/>
              <w:ind w:firstLine="0" w:firstLineChars="0"/>
              <w:jc w:val="left"/>
              <w:rPr>
                <w:color w:val="auto"/>
                <w:highlight w:val="none"/>
              </w:rPr>
            </w:pPr>
            <w:r>
              <w:rPr>
                <w:rFonts w:hint="eastAsia"/>
                <w:color w:val="auto"/>
                <w:highlight w:val="none"/>
              </w:rPr>
              <w:sym w:font="Wingdings 2" w:char="0052"/>
            </w:r>
            <w:r>
              <w:rPr>
                <w:color w:val="auto"/>
                <w:highlight w:val="none"/>
              </w:rPr>
              <w:t>首次申报项目</w:t>
            </w:r>
          </w:p>
          <w:p>
            <w:pPr>
              <w:adjustRightInd w:val="0"/>
              <w:snapToGrid w:val="0"/>
              <w:spacing w:line="240" w:lineRule="auto"/>
              <w:ind w:firstLine="0" w:firstLineChars="0"/>
              <w:jc w:val="left"/>
              <w:rPr>
                <w:color w:val="auto"/>
                <w:highlight w:val="none"/>
              </w:rPr>
            </w:pPr>
            <w:r>
              <w:rPr>
                <w:rFonts w:hint="eastAsia"/>
                <w:color w:val="auto"/>
                <w:highlight w:val="none"/>
              </w:rPr>
              <w:sym w:font="Wingdings 2" w:char="00A3"/>
            </w:r>
            <w:r>
              <w:rPr>
                <w:color w:val="auto"/>
                <w:highlight w:val="none"/>
              </w:rPr>
              <w:t>不予批准后再次申报项目</w:t>
            </w:r>
          </w:p>
          <w:p>
            <w:pPr>
              <w:adjustRightInd w:val="0"/>
              <w:snapToGrid w:val="0"/>
              <w:spacing w:line="240" w:lineRule="auto"/>
              <w:ind w:firstLine="0" w:firstLineChars="0"/>
              <w:jc w:val="left"/>
              <w:rPr>
                <w:color w:val="auto"/>
                <w:highlight w:val="none"/>
              </w:rPr>
            </w:pPr>
            <w:r>
              <w:rPr>
                <w:rFonts w:hint="eastAsia"/>
                <w:color w:val="auto"/>
                <w:highlight w:val="none"/>
              </w:rPr>
              <w:sym w:font="Wingdings 2" w:char="00A3"/>
            </w:r>
            <w:r>
              <w:rPr>
                <w:color w:val="auto"/>
                <w:highlight w:val="none"/>
              </w:rPr>
              <w:t>超五年重新审核项目</w:t>
            </w:r>
          </w:p>
          <w:p>
            <w:pPr>
              <w:adjustRightInd w:val="0"/>
              <w:snapToGrid w:val="0"/>
              <w:spacing w:line="240" w:lineRule="auto"/>
              <w:ind w:firstLine="0" w:firstLineChars="0"/>
              <w:rPr>
                <w:color w:val="auto"/>
                <w:highlight w:val="none"/>
              </w:rPr>
            </w:pPr>
            <w:r>
              <w:rPr>
                <w:rFonts w:hint="eastAsia"/>
                <w:color w:val="auto"/>
                <w:highlight w:val="none"/>
              </w:rPr>
              <w:sym w:font="Wingdings 2" w:char="00A3"/>
            </w:r>
            <w:r>
              <w:rPr>
                <w:color w:val="auto"/>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127" w:type="pct"/>
            <w:gridSpan w:val="2"/>
            <w:tcMar>
              <w:top w:w="16" w:type="dxa"/>
              <w:left w:w="16" w:type="dxa"/>
              <w:right w:w="16" w:type="dxa"/>
            </w:tcMar>
            <w:vAlign w:val="center"/>
          </w:tcPr>
          <w:p>
            <w:pPr>
              <w:adjustRightInd w:val="0"/>
              <w:snapToGrid w:val="0"/>
              <w:spacing w:line="240" w:lineRule="auto"/>
              <w:ind w:firstLine="0" w:firstLineChars="0"/>
              <w:jc w:val="center"/>
              <w:rPr>
                <w:color w:val="auto"/>
                <w:highlight w:val="none"/>
              </w:rPr>
            </w:pPr>
            <w:r>
              <w:rPr>
                <w:color w:val="auto"/>
                <w:highlight w:val="none"/>
              </w:rPr>
              <w:t>是否开工建设</w:t>
            </w:r>
          </w:p>
        </w:tc>
        <w:tc>
          <w:tcPr>
            <w:tcW w:w="3872" w:type="pct"/>
            <w:gridSpan w:val="3"/>
            <w:vAlign w:val="center"/>
          </w:tcPr>
          <w:p>
            <w:pPr>
              <w:adjustRightInd w:val="0"/>
              <w:snapToGrid w:val="0"/>
              <w:spacing w:line="240" w:lineRule="auto"/>
              <w:ind w:firstLine="0" w:firstLineChars="0"/>
              <w:jc w:val="left"/>
              <w:rPr>
                <w:color w:val="auto"/>
                <w:highlight w:val="none"/>
              </w:rPr>
            </w:pPr>
            <w:r>
              <w:rPr>
                <w:rFonts w:ascii="Meiryo" w:hAnsi="Meiryo" w:eastAsia="Meiryo" w:cs="Segoe UI Emoji"/>
                <w:color w:val="auto"/>
                <w:highlight w:val="none"/>
              </w:rPr>
              <w:t>☑</w:t>
            </w:r>
            <w:r>
              <w:rPr>
                <w:color w:val="auto"/>
                <w:highlight w:val="none"/>
              </w:rPr>
              <w:t>否</w:t>
            </w:r>
          </w:p>
          <w:p>
            <w:pPr>
              <w:adjustRightInd w:val="0"/>
              <w:snapToGrid w:val="0"/>
              <w:spacing w:line="240" w:lineRule="auto"/>
              <w:ind w:firstLine="0" w:firstLineChars="0"/>
              <w:jc w:val="left"/>
              <w:rPr>
                <w:color w:val="auto"/>
                <w:highlight w:val="none"/>
              </w:rPr>
            </w:pPr>
            <w:r>
              <w:rPr>
                <w:rFonts w:hint="eastAsia"/>
                <w:color w:val="auto"/>
                <w:highlight w:val="none"/>
              </w:rPr>
              <w:t>□</w:t>
            </w:r>
            <w:r>
              <w:rPr>
                <w:color w:val="auto"/>
                <w:highlight w:val="none"/>
              </w:rPr>
              <w:t>是：</w:t>
            </w:r>
            <w:r>
              <w:rPr>
                <w:color w:val="auto"/>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1127" w:type="pct"/>
            <w:gridSpan w:val="2"/>
            <w:tcMar>
              <w:top w:w="16" w:type="dxa"/>
              <w:left w:w="16" w:type="dxa"/>
              <w:right w:w="16" w:type="dxa"/>
            </w:tcMar>
            <w:vAlign w:val="center"/>
          </w:tcPr>
          <w:p>
            <w:pPr>
              <w:autoSpaceDE w:val="0"/>
              <w:autoSpaceDN w:val="0"/>
              <w:adjustRightInd w:val="0"/>
              <w:snapToGrid w:val="0"/>
              <w:spacing w:line="240" w:lineRule="auto"/>
              <w:ind w:firstLine="0" w:firstLineChars="0"/>
              <w:jc w:val="center"/>
              <w:rPr>
                <w:color w:val="auto"/>
                <w:kern w:val="0"/>
                <w:highlight w:val="none"/>
              </w:rPr>
            </w:pPr>
            <w:r>
              <w:rPr>
                <w:color w:val="auto"/>
                <w:kern w:val="0"/>
                <w:highlight w:val="none"/>
              </w:rPr>
              <w:t>专项评价设置情况</w:t>
            </w:r>
          </w:p>
        </w:tc>
        <w:tc>
          <w:tcPr>
            <w:tcW w:w="3872" w:type="pct"/>
            <w:gridSpan w:val="3"/>
            <w:tcMar>
              <w:top w:w="16" w:type="dxa"/>
              <w:left w:w="16" w:type="dxa"/>
              <w:right w:w="16" w:type="dxa"/>
            </w:tcMar>
            <w:vAlign w:val="center"/>
          </w:tcPr>
          <w:p>
            <w:pPr>
              <w:autoSpaceDE w:val="0"/>
              <w:autoSpaceDN w:val="0"/>
              <w:adjustRightInd w:val="0"/>
              <w:snapToGrid w:val="0"/>
              <w:spacing w:line="240" w:lineRule="auto"/>
              <w:ind w:firstLine="0" w:firstLineChars="0"/>
              <w:jc w:val="center"/>
              <w:rPr>
                <w:color w:val="auto"/>
                <w:kern w:val="0"/>
                <w:highlight w:val="none"/>
              </w:rPr>
            </w:pPr>
            <w:r>
              <w:rPr>
                <w:rFonts w:hint="eastAsia"/>
                <w:color w:val="auto"/>
                <w:kern w:val="0"/>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1127" w:type="pct"/>
            <w:gridSpan w:val="2"/>
            <w:tcMar>
              <w:top w:w="16" w:type="dxa"/>
              <w:left w:w="16" w:type="dxa"/>
              <w:right w:w="16" w:type="dxa"/>
            </w:tcMar>
            <w:vAlign w:val="center"/>
          </w:tcPr>
          <w:p>
            <w:pPr>
              <w:autoSpaceDE w:val="0"/>
              <w:autoSpaceDN w:val="0"/>
              <w:adjustRightInd w:val="0"/>
              <w:snapToGrid w:val="0"/>
              <w:spacing w:line="240" w:lineRule="auto"/>
              <w:ind w:firstLine="0" w:firstLineChars="0"/>
              <w:jc w:val="center"/>
              <w:rPr>
                <w:color w:val="auto"/>
                <w:kern w:val="0"/>
                <w:highlight w:val="none"/>
              </w:rPr>
            </w:pPr>
            <w:r>
              <w:rPr>
                <w:color w:val="auto"/>
                <w:highlight w:val="none"/>
              </w:rPr>
              <w:t>规划情况</w:t>
            </w:r>
          </w:p>
        </w:tc>
        <w:tc>
          <w:tcPr>
            <w:tcW w:w="3872" w:type="pct"/>
            <w:gridSpan w:val="3"/>
            <w:tcMar>
              <w:top w:w="16" w:type="dxa"/>
              <w:left w:w="16" w:type="dxa"/>
              <w:right w:w="16" w:type="dxa"/>
            </w:tcMar>
            <w:vAlign w:val="center"/>
          </w:tcPr>
          <w:p>
            <w:pPr>
              <w:autoSpaceDE w:val="0"/>
              <w:autoSpaceDN w:val="0"/>
              <w:adjustRightInd w:val="0"/>
              <w:snapToGrid w:val="0"/>
              <w:spacing w:line="240" w:lineRule="auto"/>
              <w:ind w:firstLine="0" w:firstLineChars="0"/>
              <w:jc w:val="left"/>
              <w:rPr>
                <w:color w:val="auto"/>
                <w:kern w:val="0"/>
                <w:highlight w:val="none"/>
              </w:rPr>
            </w:pPr>
            <w:r>
              <w:rPr>
                <w:rFonts w:hint="eastAsia"/>
                <w:color w:val="auto"/>
                <w:kern w:val="0"/>
                <w:highlight w:val="none"/>
              </w:rPr>
              <w:t>1.规划名称：《</w:t>
            </w:r>
            <w:r>
              <w:rPr>
                <w:rFonts w:eastAsia="Times New Roman"/>
                <w:color w:val="auto"/>
                <w:highlight w:val="none"/>
                <w:lang w:val="zh-CN"/>
              </w:rPr>
              <w:t>新疆吐鲁番市鄯善县“三河”流域综合规划（2025）版</w:t>
            </w:r>
            <w:r>
              <w:rPr>
                <w:rFonts w:hint="eastAsia"/>
                <w:color w:val="auto"/>
                <w:kern w:val="0"/>
                <w:highlight w:val="none"/>
              </w:rPr>
              <w:t>》；</w:t>
            </w:r>
          </w:p>
          <w:p>
            <w:pPr>
              <w:autoSpaceDE w:val="0"/>
              <w:autoSpaceDN w:val="0"/>
              <w:adjustRightInd w:val="0"/>
              <w:snapToGrid w:val="0"/>
              <w:spacing w:line="240" w:lineRule="auto"/>
              <w:ind w:firstLine="0" w:firstLineChars="0"/>
              <w:jc w:val="left"/>
              <w:rPr>
                <w:color w:val="auto"/>
                <w:kern w:val="0"/>
                <w:highlight w:val="none"/>
              </w:rPr>
            </w:pPr>
            <w:r>
              <w:rPr>
                <w:rFonts w:hint="eastAsia"/>
                <w:color w:val="auto"/>
                <w:kern w:val="0"/>
                <w:highlight w:val="none"/>
              </w:rPr>
              <w:t>审批机关：鄯善县人民政府；</w:t>
            </w:r>
          </w:p>
          <w:p>
            <w:pPr>
              <w:autoSpaceDE w:val="0"/>
              <w:autoSpaceDN w:val="0"/>
              <w:adjustRightInd w:val="0"/>
              <w:snapToGrid w:val="0"/>
              <w:spacing w:line="240" w:lineRule="auto"/>
              <w:ind w:firstLine="0" w:firstLineChars="0"/>
              <w:jc w:val="left"/>
              <w:rPr>
                <w:color w:val="auto"/>
                <w:kern w:val="0"/>
                <w:highlight w:val="none"/>
              </w:rPr>
            </w:pPr>
            <w:r>
              <w:rPr>
                <w:rFonts w:hint="eastAsia"/>
                <w:color w:val="auto"/>
                <w:kern w:val="0"/>
                <w:highlight w:val="none"/>
              </w:rPr>
              <w:t>审批文件名称：</w:t>
            </w:r>
            <w:r>
              <w:rPr>
                <w:rFonts w:eastAsia="Times New Roman"/>
                <w:color w:val="auto"/>
                <w:highlight w:val="none"/>
                <w:lang w:val="zh-CN"/>
              </w:rPr>
              <w:t>关于</w:t>
            </w:r>
            <w:r>
              <w:rPr>
                <w:rFonts w:hint="eastAsia" w:eastAsia="Times New Roman"/>
                <w:color w:val="auto"/>
                <w:highlight w:val="none"/>
                <w:lang w:val="zh-CN"/>
              </w:rPr>
              <w:t>《</w:t>
            </w:r>
            <w:r>
              <w:rPr>
                <w:rFonts w:eastAsia="Times New Roman"/>
                <w:color w:val="auto"/>
                <w:highlight w:val="none"/>
                <w:lang w:val="zh-CN"/>
              </w:rPr>
              <w:t>新疆吐鲁番市鄯善县“三河”流域综合规划（2025）版</w:t>
            </w:r>
            <w:r>
              <w:rPr>
                <w:rFonts w:hint="eastAsia" w:eastAsia="Times New Roman"/>
                <w:color w:val="auto"/>
                <w:highlight w:val="none"/>
                <w:lang w:val="zh-CN"/>
              </w:rPr>
              <w:t>》</w:t>
            </w:r>
            <w:r>
              <w:rPr>
                <w:rFonts w:eastAsia="Times New Roman"/>
                <w:color w:val="auto"/>
                <w:highlight w:val="none"/>
                <w:lang w:val="zh-CN"/>
              </w:rPr>
              <w:t>的批复</w:t>
            </w:r>
            <w:r>
              <w:rPr>
                <w:rFonts w:hint="eastAsia" w:eastAsia="Times New Roman"/>
                <w:color w:val="auto"/>
                <w:highlight w:val="none"/>
                <w:lang w:val="zh-CN"/>
              </w:rPr>
              <w:t>；</w:t>
            </w:r>
          </w:p>
          <w:p>
            <w:pPr>
              <w:autoSpaceDE w:val="0"/>
              <w:autoSpaceDN w:val="0"/>
              <w:adjustRightInd w:val="0"/>
              <w:snapToGrid w:val="0"/>
              <w:spacing w:line="240" w:lineRule="auto"/>
              <w:ind w:firstLine="0" w:firstLineChars="0"/>
              <w:jc w:val="left"/>
              <w:rPr>
                <w:color w:val="auto"/>
                <w:kern w:val="0"/>
                <w:highlight w:val="none"/>
              </w:rPr>
            </w:pPr>
            <w:r>
              <w:rPr>
                <w:rFonts w:hint="eastAsia"/>
                <w:color w:val="auto"/>
                <w:kern w:val="0"/>
                <w:highlight w:val="none"/>
              </w:rPr>
              <w:t>2.规划名称：《新疆鄯善工业园区总体规划（2024-2035年）》；</w:t>
            </w:r>
          </w:p>
          <w:p>
            <w:pPr>
              <w:autoSpaceDE w:val="0"/>
              <w:autoSpaceDN w:val="0"/>
              <w:adjustRightInd w:val="0"/>
              <w:snapToGrid w:val="0"/>
              <w:spacing w:line="240" w:lineRule="auto"/>
              <w:ind w:firstLine="0" w:firstLineChars="0"/>
              <w:jc w:val="left"/>
              <w:rPr>
                <w:color w:val="auto"/>
                <w:kern w:val="0"/>
                <w:highlight w:val="none"/>
              </w:rPr>
            </w:pPr>
            <w:r>
              <w:rPr>
                <w:rFonts w:hint="eastAsia"/>
                <w:color w:val="auto"/>
                <w:kern w:val="0"/>
                <w:highlight w:val="none"/>
              </w:rPr>
              <w:t>审批机关：鄯善县人民政府；</w:t>
            </w:r>
          </w:p>
          <w:p>
            <w:pPr>
              <w:autoSpaceDE w:val="0"/>
              <w:autoSpaceDN w:val="0"/>
              <w:adjustRightInd w:val="0"/>
              <w:snapToGrid w:val="0"/>
              <w:spacing w:line="240" w:lineRule="auto"/>
              <w:ind w:firstLine="0" w:firstLineChars="0"/>
              <w:jc w:val="left"/>
              <w:rPr>
                <w:color w:val="auto"/>
                <w:kern w:val="0"/>
                <w:highlight w:val="none"/>
              </w:rPr>
            </w:pPr>
            <w:r>
              <w:rPr>
                <w:rFonts w:hint="eastAsia"/>
                <w:color w:val="auto"/>
                <w:kern w:val="0"/>
                <w:highlight w:val="none"/>
              </w:rPr>
              <w:t>审批文件名称：关于同意《新疆鄯善工业园区总体规划（2024-2035年）》的批复；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127" w:type="pct"/>
            <w:gridSpan w:val="2"/>
            <w:tcMar>
              <w:top w:w="16" w:type="dxa"/>
              <w:left w:w="16" w:type="dxa"/>
              <w:right w:w="16" w:type="dxa"/>
            </w:tcMar>
            <w:vAlign w:val="center"/>
          </w:tcPr>
          <w:p>
            <w:pPr>
              <w:autoSpaceDE w:val="0"/>
              <w:autoSpaceDN w:val="0"/>
              <w:adjustRightInd w:val="0"/>
              <w:snapToGrid w:val="0"/>
              <w:spacing w:line="240" w:lineRule="auto"/>
              <w:ind w:firstLine="0" w:firstLineChars="0"/>
              <w:jc w:val="center"/>
              <w:rPr>
                <w:color w:val="auto"/>
                <w:highlight w:val="none"/>
              </w:rPr>
            </w:pPr>
            <w:r>
              <w:rPr>
                <w:color w:val="auto"/>
                <w:highlight w:val="none"/>
              </w:rPr>
              <w:t>规划环境影响</w:t>
            </w:r>
          </w:p>
          <w:p>
            <w:pPr>
              <w:autoSpaceDE w:val="0"/>
              <w:autoSpaceDN w:val="0"/>
              <w:adjustRightInd w:val="0"/>
              <w:snapToGrid w:val="0"/>
              <w:spacing w:line="240" w:lineRule="auto"/>
              <w:ind w:firstLine="0" w:firstLineChars="0"/>
              <w:jc w:val="center"/>
              <w:rPr>
                <w:color w:val="auto"/>
                <w:kern w:val="0"/>
                <w:highlight w:val="none"/>
              </w:rPr>
            </w:pPr>
            <w:r>
              <w:rPr>
                <w:color w:val="auto"/>
                <w:highlight w:val="none"/>
              </w:rPr>
              <w:t>评价情况</w:t>
            </w:r>
          </w:p>
        </w:tc>
        <w:tc>
          <w:tcPr>
            <w:tcW w:w="3872" w:type="pct"/>
            <w:gridSpan w:val="3"/>
            <w:tcMar>
              <w:top w:w="16" w:type="dxa"/>
              <w:left w:w="16" w:type="dxa"/>
              <w:right w:w="16" w:type="dxa"/>
            </w:tcMar>
            <w:vAlign w:val="center"/>
          </w:tcPr>
          <w:p>
            <w:pPr>
              <w:autoSpaceDE w:val="0"/>
              <w:autoSpaceDN w:val="0"/>
              <w:adjustRightInd w:val="0"/>
              <w:snapToGrid w:val="0"/>
              <w:spacing w:line="240" w:lineRule="auto"/>
              <w:ind w:firstLine="0" w:firstLineChars="0"/>
              <w:jc w:val="left"/>
              <w:rPr>
                <w:color w:val="auto"/>
                <w:kern w:val="0"/>
                <w:highlight w:val="none"/>
              </w:rPr>
            </w:pPr>
            <w:r>
              <w:rPr>
                <w:rFonts w:hint="eastAsia"/>
                <w:color w:val="auto"/>
                <w:kern w:val="0"/>
                <w:highlight w:val="none"/>
              </w:rPr>
              <w:t>1.规划环评名称：《新疆吐鲁番市鄯善县“三河”流域综合规划环境影响报告书》；</w:t>
            </w:r>
          </w:p>
          <w:p>
            <w:pPr>
              <w:autoSpaceDE w:val="0"/>
              <w:autoSpaceDN w:val="0"/>
              <w:adjustRightInd w:val="0"/>
              <w:snapToGrid w:val="0"/>
              <w:spacing w:line="240" w:lineRule="auto"/>
              <w:ind w:firstLine="0" w:firstLineChars="0"/>
              <w:jc w:val="left"/>
              <w:rPr>
                <w:color w:val="auto"/>
                <w:kern w:val="0"/>
                <w:highlight w:val="none"/>
              </w:rPr>
            </w:pPr>
            <w:r>
              <w:rPr>
                <w:rFonts w:hint="eastAsia"/>
                <w:color w:val="auto"/>
                <w:kern w:val="0"/>
                <w:highlight w:val="none"/>
              </w:rPr>
              <w:t>审查机关：吐鲁番市生态环境局；</w:t>
            </w:r>
          </w:p>
          <w:p>
            <w:pPr>
              <w:autoSpaceDE w:val="0"/>
              <w:autoSpaceDN w:val="0"/>
              <w:adjustRightInd w:val="0"/>
              <w:snapToGrid w:val="0"/>
              <w:spacing w:line="240" w:lineRule="auto"/>
              <w:ind w:firstLine="0" w:firstLineChars="0"/>
              <w:jc w:val="left"/>
              <w:rPr>
                <w:color w:val="auto"/>
                <w:kern w:val="0"/>
                <w:highlight w:val="none"/>
              </w:rPr>
            </w:pPr>
            <w:r>
              <w:rPr>
                <w:rFonts w:hint="eastAsia"/>
                <w:color w:val="auto"/>
                <w:kern w:val="0"/>
                <w:highlight w:val="none"/>
              </w:rPr>
              <w:t>审查文件名称：关于《新疆吐鲁番市鄯善县“三河”流域综合规划环境影响报告书》的审查意见；</w:t>
            </w:r>
          </w:p>
          <w:p>
            <w:pPr>
              <w:autoSpaceDE w:val="0"/>
              <w:autoSpaceDN w:val="0"/>
              <w:adjustRightInd w:val="0"/>
              <w:snapToGrid w:val="0"/>
              <w:spacing w:line="240" w:lineRule="auto"/>
              <w:ind w:firstLine="0" w:firstLineChars="0"/>
              <w:jc w:val="left"/>
              <w:rPr>
                <w:color w:val="auto"/>
                <w:kern w:val="0"/>
                <w:highlight w:val="none"/>
              </w:rPr>
            </w:pPr>
            <w:r>
              <w:rPr>
                <w:rFonts w:hint="eastAsia"/>
                <w:color w:val="auto"/>
                <w:kern w:val="0"/>
                <w:highlight w:val="none"/>
              </w:rPr>
              <w:t>2.规划环评名称：《鄯善工业园区总体规划（2024—2035年）环境影响报告书》；</w:t>
            </w:r>
          </w:p>
          <w:p>
            <w:pPr>
              <w:autoSpaceDE w:val="0"/>
              <w:autoSpaceDN w:val="0"/>
              <w:adjustRightInd w:val="0"/>
              <w:snapToGrid w:val="0"/>
              <w:spacing w:line="240" w:lineRule="auto"/>
              <w:ind w:firstLine="0" w:firstLineChars="0"/>
              <w:jc w:val="left"/>
              <w:rPr>
                <w:color w:val="auto"/>
                <w:kern w:val="0"/>
                <w:highlight w:val="none"/>
              </w:rPr>
            </w:pPr>
            <w:r>
              <w:rPr>
                <w:rFonts w:hint="eastAsia"/>
                <w:color w:val="auto"/>
                <w:kern w:val="0"/>
                <w:highlight w:val="none"/>
              </w:rPr>
              <w:t>审查机关：新疆维吾尔自治区生态环境厅；</w:t>
            </w:r>
          </w:p>
          <w:p>
            <w:pPr>
              <w:autoSpaceDE w:val="0"/>
              <w:autoSpaceDN w:val="0"/>
              <w:adjustRightInd w:val="0"/>
              <w:snapToGrid w:val="0"/>
              <w:spacing w:line="240" w:lineRule="auto"/>
              <w:ind w:firstLine="0" w:firstLineChars="0"/>
              <w:jc w:val="left"/>
              <w:rPr>
                <w:color w:val="auto"/>
                <w:kern w:val="0"/>
                <w:highlight w:val="none"/>
              </w:rPr>
            </w:pPr>
            <w:r>
              <w:rPr>
                <w:rFonts w:hint="eastAsia"/>
                <w:color w:val="auto"/>
                <w:kern w:val="0"/>
                <w:highlight w:val="none"/>
              </w:rPr>
              <w:t>审查文件名称：关于《鄯善工业园区总体规划（2024—2035年）环境影响报告书》的审查意见；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22" w:hRule="atLeast"/>
        </w:trPr>
        <w:tc>
          <w:tcPr>
            <w:tcW w:w="1127" w:type="pct"/>
            <w:gridSpan w:val="2"/>
            <w:tcMar>
              <w:top w:w="16" w:type="dxa"/>
              <w:left w:w="16" w:type="dxa"/>
              <w:right w:w="16" w:type="dxa"/>
            </w:tcMar>
            <w:vAlign w:val="center"/>
          </w:tcPr>
          <w:p>
            <w:pPr>
              <w:autoSpaceDE w:val="0"/>
              <w:autoSpaceDN w:val="0"/>
              <w:adjustRightInd w:val="0"/>
              <w:snapToGrid w:val="0"/>
              <w:spacing w:line="240" w:lineRule="auto"/>
              <w:ind w:firstLine="0" w:firstLineChars="0"/>
              <w:jc w:val="center"/>
              <w:rPr>
                <w:color w:val="auto"/>
                <w:kern w:val="0"/>
                <w:highlight w:val="none"/>
              </w:rPr>
            </w:pPr>
            <w:r>
              <w:rPr>
                <w:color w:val="auto"/>
                <w:kern w:val="0"/>
                <w:highlight w:val="none"/>
              </w:rPr>
              <w:t>规划及</w:t>
            </w:r>
            <w:r>
              <w:rPr>
                <w:color w:val="auto"/>
                <w:highlight w:val="none"/>
              </w:rPr>
              <w:t>规划环境影响评价</w:t>
            </w:r>
            <w:r>
              <w:rPr>
                <w:color w:val="auto"/>
                <w:kern w:val="0"/>
                <w:highlight w:val="none"/>
              </w:rPr>
              <w:t>符合性分析</w:t>
            </w:r>
          </w:p>
        </w:tc>
        <w:tc>
          <w:tcPr>
            <w:tcW w:w="3872" w:type="pct"/>
            <w:gridSpan w:val="3"/>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color w:val="auto"/>
                <w:kern w:val="0"/>
                <w:highlight w:val="none"/>
              </w:rPr>
            </w:pPr>
            <w:r>
              <w:rPr>
                <w:rFonts w:hint="eastAsia"/>
                <w:color w:val="auto"/>
                <w:kern w:val="0"/>
                <w:highlight w:val="none"/>
              </w:rPr>
              <w:t>1</w:t>
            </w:r>
            <w:r>
              <w:rPr>
                <w:rFonts w:hint="eastAsia"/>
                <w:color w:val="auto"/>
                <w:kern w:val="0"/>
                <w:highlight w:val="none"/>
                <w:lang w:eastAsia="zh-CN"/>
              </w:rPr>
              <w:t>、</w:t>
            </w:r>
            <w:r>
              <w:rPr>
                <w:rFonts w:hint="eastAsia"/>
                <w:color w:val="auto"/>
                <w:kern w:val="0"/>
                <w:highlight w:val="none"/>
              </w:rPr>
              <w:t>本项目</w:t>
            </w:r>
            <w:r>
              <w:rPr>
                <w:rFonts w:hint="eastAsia"/>
                <w:color w:val="auto"/>
                <w:kern w:val="0"/>
                <w:highlight w:val="none"/>
                <w:lang w:val="en-US" w:eastAsia="zh-CN"/>
              </w:rPr>
              <w:t>符合</w:t>
            </w:r>
            <w:r>
              <w:rPr>
                <w:rFonts w:hint="eastAsia"/>
                <w:color w:val="auto"/>
                <w:kern w:val="0"/>
                <w:highlight w:val="none"/>
              </w:rPr>
              <w:t>合《新疆吐鲁番市鄯善县“三河”流域综合规划（2025）版》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color w:val="auto"/>
                <w:kern w:val="0"/>
                <w:highlight w:val="none"/>
              </w:rPr>
            </w:pPr>
            <w:r>
              <w:rPr>
                <w:rFonts w:hint="eastAsia"/>
                <w:color w:val="auto"/>
                <w:kern w:val="0"/>
                <w:highlight w:val="none"/>
              </w:rPr>
              <w:t>2</w:t>
            </w:r>
            <w:r>
              <w:rPr>
                <w:rFonts w:hint="eastAsia"/>
                <w:color w:val="auto"/>
                <w:kern w:val="0"/>
                <w:highlight w:val="none"/>
                <w:lang w:eastAsia="zh-CN"/>
              </w:rPr>
              <w:t>、</w:t>
            </w:r>
            <w:r>
              <w:rPr>
                <w:rFonts w:hint="eastAsia"/>
                <w:color w:val="auto"/>
                <w:kern w:val="0"/>
                <w:highlight w:val="none"/>
              </w:rPr>
              <w:t>本项目</w:t>
            </w:r>
            <w:r>
              <w:rPr>
                <w:rFonts w:hint="eastAsia"/>
                <w:color w:val="auto"/>
                <w:kern w:val="0"/>
                <w:highlight w:val="none"/>
                <w:lang w:val="en-US" w:eastAsia="zh-CN"/>
              </w:rPr>
              <w:t>符合</w:t>
            </w:r>
            <w:r>
              <w:rPr>
                <w:rFonts w:hint="eastAsia"/>
                <w:color w:val="auto"/>
                <w:kern w:val="0"/>
                <w:highlight w:val="none"/>
              </w:rPr>
              <w:t>《新疆吐鲁番市鄯善县“三河”流域综合规划环境影响报告书》的审查意见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eastAsia="宋体"/>
                <w:color w:val="auto"/>
                <w:kern w:val="0"/>
                <w:highlight w:val="none"/>
                <w:lang w:eastAsia="zh-CN"/>
              </w:rPr>
            </w:pPr>
            <w:r>
              <w:rPr>
                <w:rFonts w:hint="eastAsia"/>
                <w:color w:val="auto"/>
                <w:kern w:val="0"/>
                <w:highlight w:val="none"/>
              </w:rPr>
              <w:t>3</w:t>
            </w:r>
            <w:r>
              <w:rPr>
                <w:rFonts w:hint="eastAsia"/>
                <w:color w:val="auto"/>
                <w:kern w:val="0"/>
                <w:highlight w:val="none"/>
                <w:lang w:eastAsia="zh-CN"/>
              </w:rPr>
              <w:t>、</w:t>
            </w:r>
            <w:r>
              <w:rPr>
                <w:rFonts w:hint="eastAsia"/>
                <w:color w:val="auto"/>
                <w:kern w:val="0"/>
                <w:highlight w:val="none"/>
              </w:rPr>
              <w:t>本项目</w:t>
            </w:r>
            <w:r>
              <w:rPr>
                <w:rFonts w:hint="eastAsia"/>
                <w:color w:val="auto"/>
                <w:kern w:val="0"/>
                <w:highlight w:val="none"/>
                <w:lang w:val="en-US" w:eastAsia="zh-CN"/>
              </w:rPr>
              <w:t>符合</w:t>
            </w:r>
            <w:r>
              <w:rPr>
                <w:rFonts w:hint="eastAsia"/>
                <w:color w:val="auto"/>
                <w:kern w:val="0"/>
                <w:highlight w:val="none"/>
              </w:rPr>
              <w:t>《</w:t>
            </w:r>
            <w:r>
              <w:rPr>
                <w:rFonts w:eastAsia="Times New Roman"/>
                <w:color w:val="auto"/>
                <w:highlight w:val="none"/>
                <w:lang w:val="zh-CN"/>
              </w:rPr>
              <w:t>新疆鄯善工业园区总体规划（2024-2035年）》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color w:val="auto"/>
                <w:highlight w:val="none"/>
              </w:rPr>
            </w:pPr>
            <w:r>
              <w:rPr>
                <w:rFonts w:hint="eastAsia"/>
                <w:color w:val="auto"/>
                <w:kern w:val="0"/>
                <w:highlight w:val="none"/>
              </w:rPr>
              <w:t>4</w:t>
            </w:r>
            <w:r>
              <w:rPr>
                <w:rFonts w:hint="eastAsia"/>
                <w:color w:val="auto"/>
                <w:kern w:val="0"/>
                <w:highlight w:val="none"/>
                <w:lang w:eastAsia="zh-CN"/>
              </w:rPr>
              <w:t>、</w:t>
            </w:r>
            <w:r>
              <w:rPr>
                <w:rFonts w:hint="eastAsia"/>
                <w:color w:val="auto"/>
                <w:kern w:val="0"/>
                <w:highlight w:val="none"/>
              </w:rPr>
              <w:t>本项目</w:t>
            </w:r>
            <w:r>
              <w:rPr>
                <w:rFonts w:hint="eastAsia"/>
                <w:color w:val="auto"/>
                <w:kern w:val="0"/>
                <w:highlight w:val="none"/>
                <w:lang w:val="en-US" w:eastAsia="zh-CN"/>
              </w:rPr>
              <w:t>符合</w:t>
            </w:r>
            <w:r>
              <w:rPr>
                <w:rFonts w:eastAsia="Times New Roman"/>
                <w:color w:val="auto"/>
                <w:highlight w:val="none"/>
                <w:lang w:val="zh-CN"/>
              </w:rPr>
              <w:t>《鄯善工业园区总体规划（2024--2035年）环境影响报告书》的审查意见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2" w:hRule="atLeast"/>
        </w:trPr>
        <w:tc>
          <w:tcPr>
            <w:tcW w:w="269" w:type="pct"/>
            <w:tcMar>
              <w:top w:w="16" w:type="dxa"/>
              <w:left w:w="16" w:type="dxa"/>
              <w:right w:w="16" w:type="dxa"/>
            </w:tcMar>
            <w:vAlign w:val="center"/>
          </w:tcPr>
          <w:p>
            <w:pPr>
              <w:autoSpaceDE w:val="0"/>
              <w:autoSpaceDN w:val="0"/>
              <w:adjustRightInd w:val="0"/>
              <w:snapToGrid w:val="0"/>
              <w:spacing w:line="240" w:lineRule="auto"/>
              <w:ind w:firstLine="0" w:firstLineChars="0"/>
              <w:jc w:val="center"/>
              <w:rPr>
                <w:color w:val="auto"/>
                <w:kern w:val="0"/>
                <w:highlight w:val="none"/>
              </w:rPr>
            </w:pPr>
            <w:bookmarkStart w:id="5" w:name="_Hlk56690880"/>
            <w:r>
              <w:rPr>
                <w:color w:val="auto"/>
                <w:kern w:val="0"/>
                <w:highlight w:val="none"/>
              </w:rPr>
              <w:t>其他符合性分析</w:t>
            </w:r>
            <w:bookmarkEnd w:id="5"/>
          </w:p>
        </w:tc>
        <w:tc>
          <w:tcPr>
            <w:tcW w:w="4730" w:type="pct"/>
            <w:gridSpan w:val="4"/>
            <w:tcMar>
              <w:top w:w="16" w:type="dxa"/>
              <w:left w:w="16" w:type="dxa"/>
              <w:right w:w="16" w:type="dxa"/>
            </w:tcMar>
            <w:vAlign w:val="center"/>
          </w:tcPr>
          <w:p>
            <w:pPr>
              <w:ind w:firstLine="482"/>
              <w:rPr>
                <w:b/>
                <w:bCs/>
                <w:color w:val="auto"/>
                <w:highlight w:val="none"/>
              </w:rPr>
            </w:pPr>
            <w:r>
              <w:rPr>
                <w:b/>
                <w:bCs/>
                <w:color w:val="auto"/>
                <w:highlight w:val="none"/>
              </w:rPr>
              <w:t>1、产业政策符合性</w:t>
            </w:r>
          </w:p>
          <w:p>
            <w:pPr>
              <w:ind w:firstLine="480"/>
              <w:rPr>
                <w:color w:val="auto"/>
                <w:highlight w:val="none"/>
              </w:rPr>
            </w:pPr>
            <w:r>
              <w:rPr>
                <w:rFonts w:hint="eastAsia"/>
                <w:color w:val="auto"/>
                <w:highlight w:val="none"/>
              </w:rPr>
              <w:t>本项目为</w:t>
            </w:r>
            <w:r>
              <w:rPr>
                <w:rFonts w:hint="eastAsia" w:ascii="宋体" w:hAnsi="宋体" w:cs="宋体"/>
                <w:color w:val="auto"/>
                <w:kern w:val="0"/>
                <w:highlight w:val="none"/>
              </w:rPr>
              <w:t>防渗渠建设项目</w:t>
            </w:r>
            <w:r>
              <w:rPr>
                <w:rFonts w:hint="eastAsia"/>
                <w:color w:val="auto"/>
                <w:highlight w:val="none"/>
              </w:rPr>
              <w:t>，根据</w:t>
            </w:r>
            <w:r>
              <w:rPr>
                <w:color w:val="auto"/>
                <w:highlight w:val="none"/>
              </w:rPr>
              <w:t>国家发展和改革委员会</w:t>
            </w:r>
            <w:r>
              <w:rPr>
                <w:rFonts w:hint="eastAsia"/>
                <w:color w:val="auto"/>
                <w:highlight w:val="none"/>
              </w:rPr>
              <w:t>发布的《产业结构调整指导目录（2024年本）》，本项目属于鼓励类中的“二、</w:t>
            </w:r>
            <w:r>
              <w:rPr>
                <w:color w:val="auto"/>
                <w:kern w:val="0"/>
                <w:highlight w:val="none"/>
              </w:rPr>
              <w:t>水利类</w:t>
            </w:r>
            <w:r>
              <w:rPr>
                <w:rFonts w:hint="eastAsia"/>
                <w:color w:val="auto"/>
                <w:kern w:val="0"/>
                <w:highlight w:val="none"/>
              </w:rPr>
              <w:t>—2.节水供水工程：</w:t>
            </w:r>
            <w:r>
              <w:rPr>
                <w:color w:val="auto"/>
                <w:kern w:val="0"/>
                <w:highlight w:val="none"/>
              </w:rPr>
              <w:t>灌区及配套设施建设、改造</w:t>
            </w:r>
            <w:r>
              <w:rPr>
                <w:rFonts w:hint="eastAsia"/>
                <w:color w:val="auto"/>
                <w:highlight w:val="none"/>
              </w:rPr>
              <w:t>”，因此符合国家产业政策</w:t>
            </w:r>
            <w:r>
              <w:rPr>
                <w:color w:val="auto"/>
                <w:highlight w:val="none"/>
              </w:rPr>
              <w:t>。</w:t>
            </w:r>
          </w:p>
          <w:p>
            <w:pPr>
              <w:ind w:firstLine="482"/>
              <w:rPr>
                <w:b/>
                <w:bCs/>
                <w:color w:val="auto"/>
                <w:highlight w:val="none"/>
              </w:rPr>
            </w:pPr>
            <w:r>
              <w:rPr>
                <w:rFonts w:hint="eastAsia"/>
                <w:b/>
                <w:bCs/>
                <w:color w:val="auto"/>
                <w:highlight w:val="none"/>
              </w:rPr>
              <w:t>2、选址合理性</w:t>
            </w:r>
          </w:p>
          <w:p>
            <w:pPr>
              <w:ind w:firstLine="480"/>
              <w:rPr>
                <w:color w:val="auto"/>
                <w:highlight w:val="none"/>
              </w:rPr>
            </w:pPr>
            <w:r>
              <w:rPr>
                <w:color w:val="auto"/>
                <w:kern w:val="0"/>
                <w:highlight w:val="none"/>
              </w:rPr>
              <w:t>本工程场址不占用基本农田，不在自然保护区、风景名胜区、世界文化和自然遗产地及饮用水水源保护区的敏感区范围内，项目不涉及搬迁安置。由于本次渠道工程在灌区内，渠道两侧林带、道路</w:t>
            </w:r>
            <w:r>
              <w:rPr>
                <w:color w:val="auto"/>
                <w:highlight w:val="none"/>
              </w:rPr>
              <w:t>、耕地</w:t>
            </w:r>
            <w:r>
              <w:rPr>
                <w:rFonts w:hint="eastAsia"/>
                <w:color w:val="auto"/>
                <w:highlight w:val="none"/>
                <w:lang w:eastAsia="zh-CN"/>
              </w:rPr>
              <w:t>、</w:t>
            </w:r>
            <w:r>
              <w:rPr>
                <w:color w:val="auto"/>
                <w:highlight w:val="none"/>
              </w:rPr>
              <w:t>居民点已经固定成形，并无改线的可能，故本项目在原有老渠线基础上进行</w:t>
            </w:r>
            <w:r>
              <w:rPr>
                <w:rFonts w:hint="eastAsia"/>
                <w:color w:val="auto"/>
                <w:highlight w:val="none"/>
                <w:lang w:val="en-US" w:eastAsia="zh-CN"/>
              </w:rPr>
              <w:t>渠道</w:t>
            </w:r>
            <w:r>
              <w:rPr>
                <w:color w:val="auto"/>
                <w:highlight w:val="none"/>
              </w:rPr>
              <w:t>防渗改建。</w:t>
            </w:r>
          </w:p>
          <w:p>
            <w:pPr>
              <w:ind w:firstLine="480"/>
              <w:rPr>
                <w:b/>
                <w:color w:val="auto"/>
                <w:highlight w:val="none"/>
              </w:rPr>
            </w:pPr>
            <w:r>
              <w:rPr>
                <w:rFonts w:hint="eastAsia"/>
                <w:color w:val="auto"/>
                <w:highlight w:val="none"/>
              </w:rPr>
              <w:t>3、</w:t>
            </w:r>
            <w:r>
              <w:rPr>
                <w:rFonts w:hint="eastAsia"/>
                <w:b/>
                <w:color w:val="auto"/>
                <w:highlight w:val="none"/>
              </w:rPr>
              <w:t>与《新疆维吾尔自治区生态环境分区管控动态更新成果》的符合性</w:t>
            </w:r>
          </w:p>
          <w:p>
            <w:pPr>
              <w:pStyle w:val="40"/>
              <w:ind w:firstLine="480"/>
              <w:rPr>
                <w:rFonts w:hint="default" w:eastAsia="宋体"/>
                <w:color w:val="auto"/>
                <w:highlight w:val="none"/>
                <w:lang w:val="en-US" w:eastAsia="zh-CN"/>
              </w:rPr>
            </w:pPr>
            <w:r>
              <w:rPr>
                <w:rFonts w:hint="eastAsia"/>
                <w:color w:val="auto"/>
                <w:highlight w:val="none"/>
                <w:lang w:val="en-US" w:eastAsia="zh-CN"/>
              </w:rPr>
              <w:t>本项目符合</w:t>
            </w:r>
            <w:r>
              <w:rPr>
                <w:rFonts w:hint="eastAsia"/>
                <w:color w:val="auto"/>
                <w:highlight w:val="none"/>
              </w:rPr>
              <w:t>《关于＜新疆维吾尔自治区生态环境分区管控动态更新成果</w:t>
            </w:r>
            <w:r>
              <w:rPr>
                <w:rFonts w:hint="eastAsia"/>
                <w:color w:val="auto"/>
                <w:highlight w:val="none"/>
                <w:lang w:val="en-US" w:eastAsia="zh-CN"/>
              </w:rPr>
              <w:t>&gt;</w:t>
            </w:r>
            <w:r>
              <w:rPr>
                <w:rFonts w:hint="eastAsia"/>
                <w:color w:val="auto"/>
                <w:highlight w:val="none"/>
              </w:rPr>
              <w:t>的通知》</w:t>
            </w:r>
            <w:r>
              <w:rPr>
                <w:rFonts w:hint="eastAsia"/>
                <w:color w:val="auto"/>
                <w:highlight w:val="none"/>
                <w:lang w:val="en-US" w:eastAsia="zh-CN"/>
              </w:rPr>
              <w:t>相关文件要求。</w:t>
            </w:r>
          </w:p>
          <w:p>
            <w:pPr>
              <w:ind w:firstLine="482"/>
              <w:rPr>
                <w:b/>
                <w:bCs/>
                <w:color w:val="auto"/>
                <w:highlight w:val="none"/>
              </w:rPr>
            </w:pPr>
            <w:r>
              <w:rPr>
                <w:rFonts w:hint="eastAsia"/>
                <w:b/>
                <w:bCs/>
                <w:color w:val="auto"/>
                <w:highlight w:val="none"/>
              </w:rPr>
              <w:t>4、“</w:t>
            </w:r>
            <w:r>
              <w:rPr>
                <w:b/>
                <w:bCs/>
                <w:color w:val="auto"/>
                <w:highlight w:val="none"/>
              </w:rPr>
              <w:t>三线一单</w:t>
            </w:r>
            <w:r>
              <w:rPr>
                <w:rFonts w:hint="eastAsia"/>
                <w:b/>
                <w:bCs/>
                <w:color w:val="auto"/>
                <w:highlight w:val="none"/>
              </w:rPr>
              <w:t>”</w:t>
            </w:r>
            <w:r>
              <w:rPr>
                <w:b/>
                <w:bCs/>
                <w:color w:val="auto"/>
                <w:highlight w:val="none"/>
              </w:rPr>
              <w:t>符合性分析</w:t>
            </w:r>
          </w:p>
          <w:p>
            <w:pPr>
              <w:ind w:firstLine="480"/>
              <w:rPr>
                <w:rStyle w:val="44"/>
                <w:color w:val="auto"/>
                <w:highlight w:val="none"/>
              </w:rPr>
            </w:pPr>
            <w:r>
              <w:rPr>
                <w:rFonts w:hint="eastAsia"/>
                <w:color w:val="auto"/>
                <w:highlight w:val="none"/>
              </w:rPr>
              <w:t>本项目位于新疆维吾尔自治区吐鲁番市鄯善县。本项目周围5km范围内无自然保护区、饮用水源保护区等生态保护目标，不在生态红线范围内。</w:t>
            </w:r>
          </w:p>
          <w:p>
            <w:pPr>
              <w:spacing w:before="120" w:beforeLines="50"/>
              <w:ind w:firstLine="482"/>
              <w:rPr>
                <w:color w:val="auto"/>
                <w:highlight w:val="none"/>
              </w:rPr>
            </w:pPr>
            <w:r>
              <w:rPr>
                <w:rFonts w:hint="eastAsia"/>
                <w:b/>
                <w:bCs/>
                <w:color w:val="auto"/>
                <w:highlight w:val="none"/>
              </w:rPr>
              <w:t>5、《鄯善县国土空间总体规划（2021-2030）》符合性分析</w:t>
            </w:r>
          </w:p>
          <w:p>
            <w:pPr>
              <w:ind w:firstLine="480"/>
              <w:rPr>
                <w:color w:val="auto"/>
                <w:highlight w:val="none"/>
              </w:rPr>
            </w:pPr>
            <w:r>
              <w:rPr>
                <w:color w:val="auto"/>
                <w:highlight w:val="none"/>
              </w:rPr>
              <w:t>本</w:t>
            </w:r>
            <w:r>
              <w:rPr>
                <w:rFonts w:hint="eastAsia"/>
                <w:color w:val="auto"/>
                <w:highlight w:val="none"/>
              </w:rPr>
              <w:t>项目将促进坎尔其中型灌区建设更高质量的绿洲农业特色发展区，构建“一屏三区、一心一轴”的国土空间开发总体格局，</w:t>
            </w:r>
            <w:r>
              <w:rPr>
                <w:color w:val="auto"/>
                <w:highlight w:val="none"/>
              </w:rPr>
              <w:t>符合</w:t>
            </w:r>
            <w:r>
              <w:rPr>
                <w:rFonts w:hint="eastAsia"/>
                <w:color w:val="auto"/>
                <w:highlight w:val="none"/>
              </w:rPr>
              <w:t>《鄯善县国土空间总体规划（2021-2030）》要求</w:t>
            </w:r>
            <w:r>
              <w:rPr>
                <w:color w:val="auto"/>
                <w:highlight w:val="none"/>
              </w:rPr>
              <w:t>。</w:t>
            </w:r>
          </w:p>
          <w:p>
            <w:pPr>
              <w:ind w:firstLine="482"/>
              <w:rPr>
                <w:b/>
                <w:bCs/>
                <w:color w:val="auto"/>
                <w:highlight w:val="none"/>
              </w:rPr>
            </w:pPr>
            <w:r>
              <w:rPr>
                <w:rFonts w:hint="eastAsia"/>
                <w:b/>
                <w:bCs/>
                <w:color w:val="auto"/>
                <w:highlight w:val="none"/>
              </w:rPr>
              <w:t>6、水利工程规划符合性</w:t>
            </w:r>
          </w:p>
          <w:p>
            <w:pPr>
              <w:ind w:firstLine="480"/>
              <w:rPr>
                <w:color w:val="auto"/>
                <w:highlight w:val="none"/>
              </w:rPr>
            </w:pPr>
            <w:r>
              <w:rPr>
                <w:rFonts w:hint="eastAsia"/>
                <w:color w:val="auto"/>
                <w:highlight w:val="none"/>
              </w:rPr>
              <w:t>本项目符合要求。</w:t>
            </w:r>
          </w:p>
          <w:p>
            <w:pPr>
              <w:ind w:firstLine="482"/>
              <w:rPr>
                <w:b/>
                <w:bCs/>
                <w:color w:val="auto"/>
                <w:highlight w:val="none"/>
              </w:rPr>
            </w:pPr>
            <w:r>
              <w:rPr>
                <w:rFonts w:hint="eastAsia"/>
                <w:b/>
                <w:bCs/>
                <w:color w:val="auto"/>
                <w:highlight w:val="none"/>
              </w:rPr>
              <w:t>7、《水利建设项目（灌区工程）环境影响评价文件审批原则（试行）》符合性</w:t>
            </w:r>
          </w:p>
          <w:p>
            <w:pPr>
              <w:ind w:firstLine="480"/>
              <w:rPr>
                <w:rFonts w:hint="default" w:eastAsia="宋体"/>
                <w:color w:val="auto"/>
                <w:highlight w:val="none"/>
                <w:lang w:val="en-US" w:eastAsia="zh-CN"/>
              </w:rPr>
            </w:pPr>
            <w:r>
              <w:rPr>
                <w:rFonts w:hint="eastAsia"/>
                <w:color w:val="auto"/>
                <w:highlight w:val="none"/>
                <w:lang w:val="en-US" w:eastAsia="zh-CN"/>
              </w:rPr>
              <w:t>本项目符合</w:t>
            </w:r>
            <w:r>
              <w:rPr>
                <w:rFonts w:hint="eastAsia"/>
                <w:color w:val="auto"/>
                <w:highlight w:val="none"/>
              </w:rPr>
              <w:t>《水利建设项目（灌区工程）环境影响评价文件审批原则（试行）》</w:t>
            </w:r>
            <w:r>
              <w:rPr>
                <w:rFonts w:hint="eastAsia"/>
                <w:color w:val="auto"/>
                <w:highlight w:val="none"/>
                <w:lang w:val="en-US" w:eastAsia="zh-CN"/>
              </w:rPr>
              <w:t>相关要求。</w:t>
            </w:r>
          </w:p>
          <w:p>
            <w:pPr>
              <w:pStyle w:val="3"/>
              <w:spacing w:before="120" w:after="120"/>
              <w:ind w:firstLine="0" w:firstLineChars="0"/>
              <w:rPr>
                <w:rFonts w:hint="eastAsia"/>
                <w:color w:val="auto"/>
                <w:highlight w:val="none"/>
              </w:rPr>
            </w:pPr>
          </w:p>
        </w:tc>
      </w:tr>
    </w:tbl>
    <w:p>
      <w:pPr>
        <w:ind w:firstLine="600"/>
        <w:outlineLvl w:val="0"/>
        <w:rPr>
          <w:color w:val="auto"/>
          <w:sz w:val="30"/>
          <w:highlight w:val="none"/>
        </w:rPr>
        <w:sectPr>
          <w:footerReference r:id="rId5" w:type="default"/>
          <w:pgSz w:w="11906" w:h="16838"/>
          <w:pgMar w:top="1701" w:right="1531" w:bottom="1701" w:left="1531" w:header="851" w:footer="1077" w:gutter="0"/>
          <w:pgNumType w:fmt="decimal" w:start="1"/>
          <w:cols w:space="720" w:num="1"/>
          <w:docGrid w:linePitch="312" w:charSpace="0"/>
        </w:sectPr>
      </w:pPr>
    </w:p>
    <w:p>
      <w:pPr>
        <w:pStyle w:val="26"/>
        <w:spacing w:before="0" w:beforeAutospacing="0" w:after="0" w:afterAutospacing="0" w:line="240" w:lineRule="auto"/>
        <w:ind w:firstLine="0" w:firstLineChars="0"/>
        <w:jc w:val="center"/>
        <w:outlineLvl w:val="0"/>
        <w:rPr>
          <w:rFonts w:ascii="Times New Roman" w:hAnsi="Times New Roman"/>
          <w:b/>
          <w:bCs/>
          <w:snapToGrid w:val="0"/>
          <w:color w:val="auto"/>
          <w:sz w:val="30"/>
          <w:szCs w:val="30"/>
          <w:highlight w:val="none"/>
        </w:rPr>
      </w:pPr>
      <w:bookmarkStart w:id="6" w:name="_Toc14092"/>
      <w:bookmarkStart w:id="7" w:name="_Toc6686"/>
      <w:bookmarkStart w:id="8" w:name="_Toc10798"/>
      <w:bookmarkStart w:id="9" w:name="_Toc1314"/>
      <w:r>
        <w:rPr>
          <w:rFonts w:ascii="Times New Roman" w:hAnsi="Times New Roman"/>
          <w:b/>
          <w:bCs/>
          <w:snapToGrid w:val="0"/>
          <w:color w:val="auto"/>
          <w:sz w:val="30"/>
          <w:szCs w:val="30"/>
          <w:highlight w:val="none"/>
        </w:rPr>
        <w:t>二、建设内容</w:t>
      </w:r>
      <w:bookmarkEnd w:id="6"/>
      <w:bookmarkEnd w:id="7"/>
      <w:bookmarkEnd w:id="8"/>
      <w:bookmarkEnd w:id="9"/>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3"/>
        <w:gridCol w:w="80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8" w:type="pct"/>
            <w:vAlign w:val="center"/>
          </w:tcPr>
          <w:p>
            <w:pPr>
              <w:adjustRightInd w:val="0"/>
              <w:snapToGrid w:val="0"/>
              <w:spacing w:line="240" w:lineRule="auto"/>
              <w:ind w:firstLine="0" w:firstLineChars="0"/>
              <w:jc w:val="center"/>
              <w:rPr>
                <w:color w:val="auto"/>
                <w:kern w:val="0"/>
                <w:highlight w:val="none"/>
              </w:rPr>
            </w:pPr>
            <w:r>
              <w:rPr>
                <w:color w:val="auto"/>
                <w:kern w:val="0"/>
                <w:highlight w:val="none"/>
              </w:rPr>
              <w:t>地理位置</w:t>
            </w:r>
          </w:p>
        </w:tc>
        <w:tc>
          <w:tcPr>
            <w:tcW w:w="4751" w:type="pct"/>
            <w:vAlign w:val="center"/>
          </w:tcPr>
          <w:p>
            <w:pPr>
              <w:pStyle w:val="5"/>
              <w:ind w:firstLine="420" w:firstLineChars="200"/>
              <w:jc w:val="left"/>
              <w:rPr>
                <w:color w:val="auto"/>
                <w:kern w:val="0"/>
                <w:szCs w:val="21"/>
                <w:highlight w:val="none"/>
              </w:rPr>
            </w:pPr>
            <w:r>
              <w:rPr>
                <w:rFonts w:hint="eastAsia"/>
                <w:color w:val="auto"/>
                <w:highlight w:val="none"/>
              </w:rPr>
              <w:t>坎尔其中型灌区位于吐鲁番市鄯善县，具体分布于</w:t>
            </w:r>
            <w:r>
              <w:rPr>
                <w:rFonts w:eastAsia="Times New Roman"/>
                <w:color w:val="auto"/>
                <w:highlight w:val="none"/>
                <w:lang w:val="zh-CN"/>
              </w:rPr>
              <w:t>鄯善县七克台镇及火车站镇</w:t>
            </w:r>
            <w:r>
              <w:rPr>
                <w:rFonts w:hint="eastAsia" w:eastAsia="Times New Roman"/>
                <w:color w:val="auto"/>
                <w:highlight w:val="none"/>
                <w:lang w:val="zh-CN"/>
              </w:rPr>
              <w:t>。</w:t>
            </w:r>
            <w:r>
              <w:rPr>
                <w:rFonts w:hint="eastAsia"/>
                <w:color w:val="auto"/>
                <w:highlight w:val="none"/>
              </w:rPr>
              <w:t>本项目设计灌溉面积5.2万亩，是新疆重点中型灌区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48" w:type="pct"/>
            <w:vAlign w:val="center"/>
          </w:tcPr>
          <w:p>
            <w:pPr>
              <w:adjustRightInd w:val="0"/>
              <w:snapToGrid w:val="0"/>
              <w:spacing w:line="240" w:lineRule="auto"/>
              <w:ind w:firstLine="0" w:firstLineChars="0"/>
              <w:jc w:val="center"/>
              <w:rPr>
                <w:color w:val="auto"/>
                <w:kern w:val="0"/>
                <w:highlight w:val="none"/>
              </w:rPr>
            </w:pPr>
            <w:r>
              <w:rPr>
                <w:color w:val="auto"/>
                <w:kern w:val="0"/>
                <w:highlight w:val="none"/>
              </w:rPr>
              <w:t>项目组成及规模</w:t>
            </w:r>
          </w:p>
        </w:tc>
        <w:tc>
          <w:tcPr>
            <w:tcW w:w="4751" w:type="pct"/>
            <w:vAlign w:val="center"/>
          </w:tcPr>
          <w:p>
            <w:pPr>
              <w:spacing w:before="120" w:beforeLines="50"/>
              <w:ind w:firstLine="0" w:firstLineChars="0"/>
              <w:rPr>
                <w:b/>
                <w:bCs/>
                <w:color w:val="auto"/>
                <w:highlight w:val="none"/>
              </w:rPr>
            </w:pPr>
            <w:r>
              <w:rPr>
                <w:rFonts w:hint="eastAsia"/>
                <w:b/>
                <w:bCs/>
                <w:color w:val="auto"/>
                <w:highlight w:val="none"/>
              </w:rPr>
              <w:t>1、工程任务</w:t>
            </w:r>
          </w:p>
          <w:p>
            <w:pPr>
              <w:ind w:firstLine="480"/>
              <w:rPr>
                <w:color w:val="auto"/>
                <w:highlight w:val="none"/>
              </w:rPr>
            </w:pPr>
            <w:r>
              <w:rPr>
                <w:rFonts w:eastAsia="Times New Roman"/>
                <w:color w:val="auto"/>
                <w:highlight w:val="none"/>
                <w:lang w:val="zh-CN"/>
              </w:rPr>
              <w:t>根据项目区输配水工程现状，确定本次建设任务为：对坎尔其干渠、一号支渠0+000~4+610段、三号支渠0+000~3+250段、五号支渠3+500~5+130段及七号支渠进行配套与节水改造，并完善坎尔其灌区管理设施及信息化工程。</w:t>
            </w:r>
          </w:p>
          <w:p>
            <w:pPr>
              <w:ind w:firstLine="0" w:firstLineChars="0"/>
              <w:rPr>
                <w:b/>
                <w:bCs/>
                <w:color w:val="auto"/>
                <w:highlight w:val="none"/>
              </w:rPr>
            </w:pPr>
            <w:r>
              <w:rPr>
                <w:rFonts w:hint="eastAsia"/>
                <w:b/>
                <w:bCs/>
                <w:color w:val="auto"/>
                <w:highlight w:val="none"/>
              </w:rPr>
              <w:t>2、工程规模</w:t>
            </w:r>
          </w:p>
          <w:p>
            <w:pPr>
              <w:ind w:firstLine="480"/>
              <w:rPr>
                <w:color w:val="auto"/>
                <w:highlight w:val="none"/>
              </w:rPr>
            </w:pPr>
            <w:r>
              <w:rPr>
                <w:rFonts w:hint="eastAsia"/>
                <w:color w:val="auto"/>
                <w:highlight w:val="none"/>
              </w:rPr>
              <w:t>本项目包含5条渠道工程，总长41.89km，设计流量在0.3~3.0m</w:t>
            </w:r>
            <w:r>
              <w:rPr>
                <w:rFonts w:hint="eastAsia"/>
                <w:color w:val="auto"/>
                <w:highlight w:val="none"/>
                <w:vertAlign w:val="superscript"/>
              </w:rPr>
              <w:t>3</w:t>
            </w:r>
            <w:r>
              <w:rPr>
                <w:rFonts w:hint="eastAsia"/>
                <w:color w:val="auto"/>
                <w:highlight w:val="none"/>
              </w:rPr>
              <w:t>/s之间。</w:t>
            </w:r>
          </w:p>
          <w:p>
            <w:pPr>
              <w:pStyle w:val="5"/>
              <w:rPr>
                <w:b/>
                <w:bCs/>
                <w:color w:val="auto"/>
                <w:highlight w:val="none"/>
              </w:rPr>
            </w:pPr>
            <w:r>
              <w:rPr>
                <w:rFonts w:hint="eastAsia"/>
                <w:b/>
                <w:bCs/>
                <w:color w:val="auto"/>
                <w:highlight w:val="none"/>
              </w:rPr>
              <w:t>表2-2     项目主要内容汇总表</w:t>
            </w:r>
          </w:p>
          <w:tbl>
            <w:tblPr>
              <w:tblStyle w:val="30"/>
              <w:tblW w:w="498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24"/>
              <w:gridCol w:w="5174"/>
              <w:gridCol w:w="6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09" w:type="pct"/>
                  <w:tcBorders>
                    <w:top w:val="single" w:color="auto" w:sz="2" w:space="0"/>
                    <w:left w:val="single" w:color="auto" w:sz="4" w:space="0"/>
                    <w:bottom w:val="single" w:color="auto" w:sz="2" w:space="0"/>
                    <w:right w:val="single" w:color="auto" w:sz="2" w:space="0"/>
                  </w:tcBorders>
                  <w:noWrap/>
                  <w:vAlign w:val="center"/>
                </w:tcPr>
                <w:p>
                  <w:pPr>
                    <w:pStyle w:val="5"/>
                    <w:rPr>
                      <w:color w:val="auto"/>
                      <w:highlight w:val="none"/>
                    </w:rPr>
                  </w:pPr>
                  <w:bookmarkStart w:id="10" w:name="_Hlk215847811"/>
                  <w:r>
                    <w:rPr>
                      <w:rFonts w:hint="eastAsia"/>
                      <w:color w:val="auto"/>
                      <w:highlight w:val="none"/>
                    </w:rPr>
                    <w:t>项目类别</w:t>
                  </w:r>
                </w:p>
              </w:tc>
              <w:tc>
                <w:tcPr>
                  <w:tcW w:w="833"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工程名称</w:t>
                  </w:r>
                </w:p>
              </w:tc>
              <w:tc>
                <w:tcPr>
                  <w:tcW w:w="3260"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建设内容</w:t>
                  </w:r>
                </w:p>
              </w:tc>
              <w:tc>
                <w:tcPr>
                  <w:tcW w:w="432"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09" w:type="pct"/>
                  <w:vMerge w:val="restart"/>
                  <w:tcBorders>
                    <w:top w:val="single" w:color="auto" w:sz="2" w:space="0"/>
                    <w:left w:val="single" w:color="auto" w:sz="2" w:space="0"/>
                    <w:right w:val="single" w:color="auto" w:sz="2" w:space="0"/>
                  </w:tcBorders>
                  <w:noWrap/>
                  <w:vAlign w:val="center"/>
                </w:tcPr>
                <w:p>
                  <w:pPr>
                    <w:pStyle w:val="5"/>
                    <w:rPr>
                      <w:color w:val="auto"/>
                      <w:highlight w:val="none"/>
                    </w:rPr>
                  </w:pPr>
                  <w:r>
                    <w:rPr>
                      <w:rFonts w:hint="eastAsia"/>
                      <w:color w:val="auto"/>
                      <w:highlight w:val="none"/>
                    </w:rPr>
                    <w:t>主体工程</w:t>
                  </w:r>
                </w:p>
              </w:tc>
              <w:tc>
                <w:tcPr>
                  <w:tcW w:w="833"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渠道工程</w:t>
                  </w:r>
                </w:p>
              </w:tc>
              <w:tc>
                <w:tcPr>
                  <w:tcW w:w="3260"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本次不对灌区的总体布局进行调整，仅对破损严重的渠道及渠系建筑物进行改造，本次改造渠道总长为41.89km，各条渠道设计流量均小于5m³/s。改造内容：改造5条渠道，总长度为41.89km，工程规模为中型，</w:t>
                  </w:r>
                  <w:r>
                    <w:rPr>
                      <w:color w:val="auto"/>
                      <w:highlight w:val="none"/>
                    </w:rPr>
                    <w:t>工程等别为Ⅲ等。</w:t>
                  </w:r>
                </w:p>
              </w:tc>
              <w:tc>
                <w:tcPr>
                  <w:tcW w:w="432"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09" w:type="pct"/>
                  <w:vMerge w:val="continue"/>
                  <w:tcBorders>
                    <w:left w:val="single" w:color="auto" w:sz="2" w:space="0"/>
                    <w:right w:val="single" w:color="auto" w:sz="2" w:space="0"/>
                  </w:tcBorders>
                  <w:noWrap/>
                  <w:vAlign w:val="center"/>
                </w:tcPr>
                <w:p>
                  <w:pPr>
                    <w:pStyle w:val="5"/>
                    <w:rPr>
                      <w:color w:val="auto"/>
                      <w:highlight w:val="none"/>
                    </w:rPr>
                  </w:pPr>
                </w:p>
              </w:tc>
              <w:tc>
                <w:tcPr>
                  <w:tcW w:w="833"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建筑物工程</w:t>
                  </w:r>
                </w:p>
              </w:tc>
              <w:tc>
                <w:tcPr>
                  <w:tcW w:w="3260"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本项目配套节制分水闸19座，交通桥21座，其中，改造坎尔其干渠21.9km，配套节制分水闸5座、交通桥14座；改造一号支渠4.61km，配套节制分水闸6座、交通桥5座；改造三号支渠3.25km，配套节制分水闸4座、交通桥2座；改造五号支渠1.63km；改造七号支渠10.5km，配套节制分水闸4座。</w:t>
                  </w:r>
                </w:p>
              </w:tc>
              <w:tc>
                <w:tcPr>
                  <w:tcW w:w="432"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09" w:type="pct"/>
                  <w:vMerge w:val="continue"/>
                  <w:tcBorders>
                    <w:left w:val="single" w:color="auto" w:sz="2" w:space="0"/>
                    <w:bottom w:val="single" w:color="auto" w:sz="2" w:space="0"/>
                    <w:right w:val="single" w:color="auto" w:sz="2" w:space="0"/>
                  </w:tcBorders>
                  <w:noWrap/>
                  <w:vAlign w:val="center"/>
                </w:tcPr>
                <w:p>
                  <w:pPr>
                    <w:pStyle w:val="5"/>
                    <w:rPr>
                      <w:color w:val="auto"/>
                      <w:highlight w:val="none"/>
                    </w:rPr>
                  </w:pPr>
                </w:p>
              </w:tc>
              <w:tc>
                <w:tcPr>
                  <w:tcW w:w="833"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灌区信息化建设</w:t>
                  </w:r>
                </w:p>
              </w:tc>
              <w:tc>
                <w:tcPr>
                  <w:tcW w:w="3260"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灌区信息化建设内容包含一体化闸门控制系统、水库闸门控制系统、明渠流量监测系统、地下水监控系统、水库闸门控制系统及一体化管控平台建设，完善水生态、水安全、地下水等前端感知监控设施；构建水利信息一张网建设水利一张图等内容。</w:t>
                  </w:r>
                </w:p>
              </w:tc>
              <w:tc>
                <w:tcPr>
                  <w:tcW w:w="432"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09" w:type="pct"/>
                  <w:vMerge w:val="restar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辅助工程</w:t>
                  </w:r>
                </w:p>
              </w:tc>
              <w:tc>
                <w:tcPr>
                  <w:tcW w:w="833"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施工用水</w:t>
                  </w:r>
                </w:p>
              </w:tc>
              <w:tc>
                <w:tcPr>
                  <w:tcW w:w="3260"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坎尔其河道符合施工期生产生活用水要求，施工用水采用水车在坎尔其河或附近村庄取水，平均运距5km。</w:t>
                  </w:r>
                </w:p>
              </w:tc>
              <w:tc>
                <w:tcPr>
                  <w:tcW w:w="432"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09" w:type="pct"/>
                  <w:vMerge w:val="continue"/>
                  <w:tcBorders>
                    <w:left w:val="single" w:color="auto" w:sz="2" w:space="0"/>
                    <w:right w:val="single" w:color="auto" w:sz="2" w:space="0"/>
                  </w:tcBorders>
                  <w:noWrap/>
                  <w:vAlign w:val="center"/>
                </w:tcPr>
                <w:p>
                  <w:pPr>
                    <w:pStyle w:val="5"/>
                    <w:rPr>
                      <w:color w:val="auto"/>
                      <w:highlight w:val="none"/>
                    </w:rPr>
                  </w:pPr>
                </w:p>
              </w:tc>
              <w:tc>
                <w:tcPr>
                  <w:tcW w:w="833"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施工用电</w:t>
                  </w:r>
                </w:p>
              </w:tc>
              <w:tc>
                <w:tcPr>
                  <w:tcW w:w="3260"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由于渠道工程施工流动性大，考虑采用自备50kW柴油发电机供电。</w:t>
                  </w:r>
                </w:p>
              </w:tc>
              <w:tc>
                <w:tcPr>
                  <w:tcW w:w="432"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09" w:type="pct"/>
                  <w:vMerge w:val="continue"/>
                  <w:tcBorders>
                    <w:left w:val="single" w:color="auto" w:sz="2" w:space="0"/>
                    <w:right w:val="single" w:color="auto" w:sz="2" w:space="0"/>
                  </w:tcBorders>
                  <w:noWrap/>
                  <w:vAlign w:val="center"/>
                </w:tcPr>
                <w:p>
                  <w:pPr>
                    <w:pStyle w:val="5"/>
                    <w:rPr>
                      <w:color w:val="auto"/>
                      <w:highlight w:val="none"/>
                    </w:rPr>
                  </w:pPr>
                </w:p>
              </w:tc>
              <w:tc>
                <w:tcPr>
                  <w:tcW w:w="833"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施工期通讯</w:t>
                  </w:r>
                </w:p>
              </w:tc>
              <w:tc>
                <w:tcPr>
                  <w:tcW w:w="3260"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因本项目区离乡镇较近，移动通讯网络覆盖全区，利用当地移动网络作为场内场外通讯方式</w:t>
                  </w:r>
                </w:p>
              </w:tc>
              <w:tc>
                <w:tcPr>
                  <w:tcW w:w="432"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09" w:type="pct"/>
                  <w:vMerge w:val="continue"/>
                  <w:tcBorders>
                    <w:left w:val="single" w:color="auto" w:sz="2" w:space="0"/>
                    <w:right w:val="single" w:color="auto" w:sz="2" w:space="0"/>
                  </w:tcBorders>
                  <w:noWrap/>
                  <w:vAlign w:val="center"/>
                </w:tcPr>
                <w:p>
                  <w:pPr>
                    <w:pStyle w:val="5"/>
                    <w:rPr>
                      <w:color w:val="auto"/>
                      <w:highlight w:val="none"/>
                    </w:rPr>
                  </w:pPr>
                </w:p>
              </w:tc>
              <w:tc>
                <w:tcPr>
                  <w:tcW w:w="833"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施工期</w:t>
                  </w:r>
                </w:p>
                <w:p>
                  <w:pPr>
                    <w:pStyle w:val="5"/>
                    <w:rPr>
                      <w:color w:val="auto"/>
                      <w:highlight w:val="none"/>
                    </w:rPr>
                  </w:pPr>
                  <w:r>
                    <w:rPr>
                      <w:rFonts w:hint="eastAsia"/>
                      <w:color w:val="auto"/>
                      <w:highlight w:val="none"/>
                    </w:rPr>
                    <w:t>管理区</w:t>
                  </w:r>
                </w:p>
              </w:tc>
              <w:tc>
                <w:tcPr>
                  <w:tcW w:w="3260"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工程施工管理区及临时生活区在工程附近居民区租用民房解决。主体工程施工区沿渠线分布有水闸、桥涵和量水设施等建筑物，水电系统沿渠道两侧布置，施工工厂设备布置在渠线主要建筑处。</w:t>
                  </w:r>
                </w:p>
              </w:tc>
              <w:tc>
                <w:tcPr>
                  <w:tcW w:w="432"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09" w:type="pct"/>
                  <w:vMerge w:val="continue"/>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p>
              </w:tc>
              <w:tc>
                <w:tcPr>
                  <w:tcW w:w="833"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施工道路</w:t>
                  </w:r>
                </w:p>
              </w:tc>
              <w:tc>
                <w:tcPr>
                  <w:tcW w:w="3260"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施工道路为现有乡村道路</w:t>
                  </w:r>
                </w:p>
              </w:tc>
              <w:tc>
                <w:tcPr>
                  <w:tcW w:w="432"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09" w:type="pct"/>
                  <w:vMerge w:val="continue"/>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p>
              </w:tc>
              <w:tc>
                <w:tcPr>
                  <w:tcW w:w="833"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弃渣场</w:t>
                  </w:r>
                </w:p>
              </w:tc>
              <w:tc>
                <w:tcPr>
                  <w:tcW w:w="3260"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坎尔其中型灌区项目区现状共有3个弃渣场，1号弃渣场位于坎尔其干渠左岸14+500处，2号弃渣场位于坎尔其干渠右岸23+300处，3号弃渣场位于七号支渠左岸2+500处，根据弃渣场地理位置，各渠道拆除建筑材料就近运输：坎尔其干渠运往1号弃渣场；一号支渠、三号支渠运往2号弃渣场；五号支渠、七号支渠运往3号弃渣场。</w:t>
                  </w:r>
                </w:p>
              </w:tc>
              <w:tc>
                <w:tcPr>
                  <w:tcW w:w="432"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09" w:type="pct"/>
                  <w:vMerge w:val="continue"/>
                  <w:tcBorders>
                    <w:left w:val="single" w:color="auto" w:sz="2" w:space="0"/>
                    <w:right w:val="single" w:color="auto" w:sz="2" w:space="0"/>
                  </w:tcBorders>
                  <w:noWrap/>
                  <w:vAlign w:val="center"/>
                </w:tcPr>
                <w:p>
                  <w:pPr>
                    <w:pStyle w:val="5"/>
                    <w:rPr>
                      <w:color w:val="auto"/>
                      <w:highlight w:val="none"/>
                    </w:rPr>
                  </w:pPr>
                </w:p>
              </w:tc>
              <w:tc>
                <w:tcPr>
                  <w:tcW w:w="833"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施工期废气</w:t>
                  </w:r>
                </w:p>
              </w:tc>
              <w:tc>
                <w:tcPr>
                  <w:tcW w:w="3260"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对施工现场不定时洒水抑尘，混凝土拌合站采取封闭式作业，并配备除尘设备，以减少扬尘的产生。骨料堆放场进行覆盖处理，防止风吹起尘。运输车辆采用密闭式车厢，出场前进行车轮清洗，避免带泥上路造成二次扬尘污染。</w:t>
                  </w:r>
                </w:p>
              </w:tc>
              <w:tc>
                <w:tcPr>
                  <w:tcW w:w="432"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09" w:type="pct"/>
                  <w:vMerge w:val="continue"/>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p>
              </w:tc>
              <w:tc>
                <w:tcPr>
                  <w:tcW w:w="833"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施工期废水</w:t>
                  </w:r>
                </w:p>
              </w:tc>
              <w:tc>
                <w:tcPr>
                  <w:tcW w:w="3260"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施工废水主要处理后回用或用于洒水降尘；少量生活污水</w:t>
                  </w:r>
                  <w:r>
                    <w:rPr>
                      <w:rFonts w:hint="eastAsia" w:ascii="宋体" w:hAnsi="宋体" w:cs="宋体"/>
                      <w:color w:val="auto"/>
                      <w:szCs w:val="21"/>
                      <w:highlight w:val="none"/>
                    </w:rPr>
                    <w:t>依托乡镇排水设施</w:t>
                  </w:r>
                </w:p>
              </w:tc>
              <w:tc>
                <w:tcPr>
                  <w:tcW w:w="432"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09" w:type="pct"/>
                  <w:vMerge w:val="continue"/>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p>
              </w:tc>
              <w:tc>
                <w:tcPr>
                  <w:tcW w:w="833"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施工期噪声</w:t>
                  </w:r>
                </w:p>
              </w:tc>
              <w:tc>
                <w:tcPr>
                  <w:tcW w:w="3260"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选用低噪声设备，对施工现场设置围挡，合理安排施工时间等</w:t>
                  </w:r>
                </w:p>
              </w:tc>
              <w:tc>
                <w:tcPr>
                  <w:tcW w:w="432"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09" w:type="pct"/>
                  <w:vMerge w:val="continue"/>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p>
              </w:tc>
              <w:tc>
                <w:tcPr>
                  <w:tcW w:w="833"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施工期固体废物</w:t>
                  </w:r>
                </w:p>
              </w:tc>
              <w:tc>
                <w:tcPr>
                  <w:tcW w:w="3260"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清基表土含有草根、腐殖质等用于工程沿线土地平整；施工过程中产生的生活垃圾清运至吐鲁番市生活垃圾填埋场处置，运营期清淤处理</w:t>
                  </w:r>
                </w:p>
              </w:tc>
              <w:tc>
                <w:tcPr>
                  <w:tcW w:w="432"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w:t>
                  </w:r>
                </w:p>
              </w:tc>
            </w:tr>
            <w:bookmarkEnd w:id="10"/>
          </w:tbl>
          <w:p>
            <w:pPr>
              <w:spacing w:before="120" w:beforeLines="50"/>
              <w:ind w:firstLine="480"/>
              <w:rPr>
                <w:color w:val="auto"/>
                <w:highlight w:val="none"/>
              </w:rPr>
            </w:pPr>
            <w:r>
              <w:rPr>
                <w:color w:val="auto"/>
                <w:highlight w:val="none"/>
              </w:rPr>
              <w:t>砼</w:t>
            </w:r>
            <w:r>
              <w:rPr>
                <w:rFonts w:hint="eastAsia"/>
                <w:color w:val="auto"/>
                <w:highlight w:val="none"/>
              </w:rPr>
              <w:t>拌合</w:t>
            </w:r>
            <w:r>
              <w:rPr>
                <w:color w:val="auto"/>
                <w:highlight w:val="none"/>
              </w:rPr>
              <w:t>采用搅拌机</w:t>
            </w:r>
            <w:r>
              <w:rPr>
                <w:rFonts w:hint="eastAsia"/>
                <w:color w:val="auto"/>
                <w:highlight w:val="none"/>
              </w:rPr>
              <w:t>拌合</w:t>
            </w:r>
            <w:r>
              <w:rPr>
                <w:color w:val="auto"/>
                <w:highlight w:val="none"/>
              </w:rPr>
              <w:t>，</w:t>
            </w:r>
            <w:r>
              <w:rPr>
                <w:rFonts w:hint="eastAsia"/>
                <w:color w:val="auto"/>
                <w:highlight w:val="none"/>
              </w:rPr>
              <w:t>混凝土</w:t>
            </w:r>
            <w:r>
              <w:rPr>
                <w:rFonts w:hint="eastAsia"/>
                <w:color w:val="auto"/>
                <w:highlight w:val="none"/>
                <w:lang w:val="en-US" w:eastAsia="zh-CN"/>
              </w:rPr>
              <w:t>由</w:t>
            </w:r>
            <w:r>
              <w:rPr>
                <w:rFonts w:hint="eastAsia"/>
                <w:color w:val="auto"/>
                <w:highlight w:val="none"/>
              </w:rPr>
              <w:t>外部购入</w:t>
            </w:r>
            <w:r>
              <w:rPr>
                <w:color w:val="auto"/>
                <w:highlight w:val="none"/>
              </w:rPr>
              <w:t>。钢筋加工厂、木材加工厂、金结加工厂等布置在工程附近；机械修配厂，工程距城区较近，工程所需进行大修的一些机械设备可考虑在城区进行，工地只考虑进行机械设备的小型维修和保养工作。</w:t>
            </w:r>
          </w:p>
          <w:p>
            <w:pPr>
              <w:ind w:firstLine="0" w:firstLineChars="0"/>
              <w:rPr>
                <w:b/>
                <w:bCs/>
                <w:color w:val="auto"/>
                <w:highlight w:val="none"/>
              </w:rPr>
            </w:pPr>
            <w:r>
              <w:rPr>
                <w:rFonts w:hint="eastAsia"/>
                <w:b/>
                <w:bCs/>
                <w:color w:val="auto"/>
                <w:highlight w:val="none"/>
              </w:rPr>
              <w:t>3、工程等别及建筑物级别</w:t>
            </w:r>
          </w:p>
          <w:p>
            <w:pPr>
              <w:ind w:firstLine="482"/>
              <w:rPr>
                <w:b/>
                <w:bCs/>
                <w:color w:val="auto"/>
                <w:highlight w:val="none"/>
              </w:rPr>
            </w:pPr>
            <w:r>
              <w:rPr>
                <w:rFonts w:hint="eastAsia"/>
                <w:b/>
                <w:bCs/>
                <w:color w:val="auto"/>
                <w:highlight w:val="none"/>
              </w:rPr>
              <w:t>3.1工程等别</w:t>
            </w:r>
          </w:p>
          <w:p>
            <w:pPr>
              <w:ind w:firstLine="480"/>
              <w:rPr>
                <w:color w:val="auto"/>
                <w:highlight w:val="none"/>
              </w:rPr>
            </w:pPr>
            <w:r>
              <w:rPr>
                <w:rFonts w:hint="eastAsia"/>
                <w:color w:val="auto"/>
                <w:highlight w:val="none"/>
              </w:rPr>
              <w:t>坎尔其中型灌区设计灌溉面积5.2万亩，根据《水利水电工程等级划分及洪水标准》（SL252-2017）表3.0.1，本项目属于灌溉工程，工程等别为Ⅱ等，工程规模为中型，建设内容中各条渠道设计流量均小于5m</w:t>
            </w:r>
            <w:r>
              <w:rPr>
                <w:rFonts w:hint="eastAsia"/>
                <w:color w:val="auto"/>
                <w:highlight w:val="none"/>
                <w:vertAlign w:val="superscript"/>
              </w:rPr>
              <w:t>3</w:t>
            </w:r>
            <w:r>
              <w:rPr>
                <w:rFonts w:hint="eastAsia"/>
                <w:color w:val="auto"/>
                <w:highlight w:val="none"/>
              </w:rPr>
              <w:t>/s。根据《水利水电工程等级划分及洪水标准》（SL252-2017）表4.6.1，本项目主要建筑物级别为5级，次要建筑物为5级。</w:t>
            </w:r>
          </w:p>
          <w:p>
            <w:pPr>
              <w:ind w:firstLine="482"/>
              <w:rPr>
                <w:b/>
                <w:bCs/>
                <w:color w:val="auto"/>
                <w:highlight w:val="none"/>
              </w:rPr>
            </w:pPr>
            <w:r>
              <w:rPr>
                <w:rFonts w:hint="eastAsia"/>
                <w:b/>
                <w:bCs/>
                <w:color w:val="auto"/>
                <w:highlight w:val="none"/>
              </w:rPr>
              <w:t>3.2主要建筑物</w:t>
            </w:r>
          </w:p>
          <w:p>
            <w:pPr>
              <w:ind w:firstLine="482"/>
              <w:rPr>
                <w:b/>
                <w:bCs/>
                <w:color w:val="auto"/>
                <w:highlight w:val="none"/>
              </w:rPr>
            </w:pPr>
            <w:r>
              <w:rPr>
                <w:rFonts w:hint="eastAsia"/>
                <w:b/>
                <w:bCs/>
                <w:color w:val="auto"/>
                <w:highlight w:val="none"/>
              </w:rPr>
              <w:t>3.2.2渠系建筑物</w:t>
            </w:r>
          </w:p>
          <w:p>
            <w:pPr>
              <w:ind w:firstLine="480"/>
              <w:rPr>
                <w:color w:val="auto"/>
                <w:highlight w:val="none"/>
              </w:rPr>
            </w:pPr>
            <w:r>
              <w:rPr>
                <w:rFonts w:hint="eastAsia"/>
                <w:color w:val="auto"/>
                <w:highlight w:val="none"/>
              </w:rPr>
              <w:t>本项目其他渠系建筑物主要有水闸和桥涵，结构形式为钢筋混凝土和矩形钢筋混凝土，共计</w:t>
            </w:r>
            <w:r>
              <w:rPr>
                <w:color w:val="auto"/>
                <w:highlight w:val="none"/>
                <w:lang w:val="zh-CN"/>
              </w:rPr>
              <w:t>配套节制分水闸19座，交通桥21座</w:t>
            </w:r>
            <w:r>
              <w:rPr>
                <w:rFonts w:hint="eastAsia"/>
                <w:color w:val="auto"/>
                <w:highlight w:val="none"/>
                <w:lang w:val="zh-CN"/>
              </w:rPr>
              <w:t>。</w:t>
            </w:r>
            <w:r>
              <w:rPr>
                <w:rFonts w:hint="eastAsia"/>
                <w:color w:val="auto"/>
                <w:highlight w:val="none"/>
              </w:rPr>
              <w:t>其中干渠改造节制分水闸5座，改造交通桥14座；一号支渠改造节制分水闸6座，改造交通桥5座；三号支渠改造节制分水闸4座，改造交通桥2座；七号支渠改造节制分水闸4座，为翻新利用或拆除重建，勘探深度内未揭露地下水，可不考虑地下水对设计和施工的影响。</w:t>
            </w:r>
          </w:p>
          <w:p>
            <w:pPr>
              <w:ind w:firstLine="0" w:firstLineChars="0"/>
              <w:rPr>
                <w:b/>
                <w:bCs/>
                <w:color w:val="auto"/>
                <w:highlight w:val="none"/>
              </w:rPr>
            </w:pPr>
            <w:r>
              <w:rPr>
                <w:rFonts w:hint="eastAsia"/>
                <w:b/>
                <w:bCs/>
                <w:color w:val="auto"/>
                <w:highlight w:val="none"/>
              </w:rPr>
              <w:t>4、工程运行</w:t>
            </w:r>
          </w:p>
          <w:p>
            <w:pPr>
              <w:ind w:firstLine="482"/>
              <w:rPr>
                <w:b/>
                <w:bCs/>
                <w:color w:val="auto"/>
                <w:highlight w:val="none"/>
              </w:rPr>
            </w:pPr>
            <w:r>
              <w:rPr>
                <w:rFonts w:hint="eastAsia"/>
                <w:b/>
                <w:bCs/>
                <w:color w:val="auto"/>
                <w:highlight w:val="none"/>
              </w:rPr>
              <w:t>4.1运行期管理</w:t>
            </w:r>
          </w:p>
          <w:p>
            <w:pPr>
              <w:ind w:firstLine="480"/>
              <w:rPr>
                <w:color w:val="auto"/>
                <w:highlight w:val="none"/>
              </w:rPr>
            </w:pPr>
            <w:r>
              <w:rPr>
                <w:rFonts w:hint="eastAsia"/>
                <w:color w:val="auto"/>
                <w:highlight w:val="none"/>
              </w:rPr>
              <w:t>工程竣工后，坎尔其灌区实行管理体制，采取统一管理，分级负责的原则。</w:t>
            </w:r>
          </w:p>
          <w:p>
            <w:pPr>
              <w:ind w:firstLine="482"/>
              <w:rPr>
                <w:b/>
                <w:bCs/>
                <w:color w:val="auto"/>
                <w:highlight w:val="none"/>
              </w:rPr>
            </w:pPr>
            <w:r>
              <w:rPr>
                <w:rFonts w:hint="eastAsia"/>
                <w:b/>
                <w:bCs/>
                <w:color w:val="auto"/>
                <w:highlight w:val="none"/>
              </w:rPr>
              <w:t>4.2管理范围及管理内容</w:t>
            </w:r>
          </w:p>
          <w:p>
            <w:pPr>
              <w:ind w:firstLine="480"/>
              <w:rPr>
                <w:color w:val="auto"/>
                <w:highlight w:val="none"/>
              </w:rPr>
            </w:pPr>
            <w:r>
              <w:rPr>
                <w:rFonts w:hint="eastAsia"/>
                <w:color w:val="auto"/>
                <w:highlight w:val="none"/>
              </w:rPr>
              <w:t>（1）管理范围</w:t>
            </w:r>
          </w:p>
          <w:p>
            <w:pPr>
              <w:ind w:firstLine="480"/>
              <w:rPr>
                <w:rFonts w:eastAsia="Times New Roman"/>
                <w:b/>
                <w:bCs/>
                <w:color w:val="auto"/>
                <w:highlight w:val="none"/>
                <w:lang w:val="zh-CN"/>
              </w:rPr>
            </w:pPr>
            <w:r>
              <w:rPr>
                <w:color w:val="auto"/>
                <w:highlight w:val="none"/>
                <w:lang w:val="zh-CN"/>
              </w:rPr>
              <w:t>工程征地范围是根据工程总体布置图和工程管理范围及施工组织设计确定。根据《新疆维吾尔自治区水利工程管理和保护办法》（2011年7月1日）中</w:t>
            </w:r>
            <w:r>
              <w:rPr>
                <w:rFonts w:hint="eastAsia"/>
                <w:color w:val="auto"/>
                <w:highlight w:val="none"/>
                <w:lang w:val="zh-CN"/>
              </w:rPr>
              <w:t>“</w:t>
            </w:r>
            <w:r>
              <w:rPr>
                <w:color w:val="auto"/>
                <w:highlight w:val="none"/>
                <w:lang w:val="zh-CN"/>
              </w:rPr>
              <w:t>三、渠道按设计流量和渠道规模划分管理范围和保护范围。</w:t>
            </w:r>
            <w:r>
              <w:rPr>
                <w:rFonts w:hint="eastAsia"/>
                <w:color w:val="auto"/>
                <w:highlight w:val="none"/>
                <w:lang w:val="zh-CN"/>
              </w:rPr>
              <w:t>”</w:t>
            </w:r>
            <w:r>
              <w:rPr>
                <w:color w:val="auto"/>
                <w:highlight w:val="none"/>
                <w:lang w:val="zh-CN"/>
              </w:rPr>
              <w:t>管理范围，挖方渠道从渠线计起，填方渠道从渠堤外坡脚线计起，傍山渠道从开挖线计起；保护范围从管理范围向外划定。（一）渠道设计流量在10m/s以下的，管理范围为2-10m，保护范围2-10m。（二）渠道设计流量在10-50m*/s，管理范围为10-20m，保护范围10-20m。（三）渠道设计流量在50mP/s以上的，管理范围为20-50m，保护范围20-50m。</w:t>
            </w:r>
          </w:p>
          <w:p>
            <w:pPr>
              <w:ind w:firstLine="480"/>
              <w:rPr>
                <w:color w:val="auto"/>
                <w:highlight w:val="none"/>
              </w:rPr>
            </w:pPr>
            <w:r>
              <w:rPr>
                <w:rFonts w:hint="eastAsia"/>
                <w:color w:val="auto"/>
                <w:highlight w:val="none"/>
              </w:rPr>
              <w:t>（2）管理要求</w:t>
            </w:r>
          </w:p>
          <w:p>
            <w:pPr>
              <w:ind w:firstLine="480"/>
              <w:rPr>
                <w:color w:val="auto"/>
                <w:highlight w:val="none"/>
              </w:rPr>
            </w:pPr>
            <w:r>
              <w:rPr>
                <w:rFonts w:hint="eastAsia"/>
                <w:color w:val="auto"/>
                <w:highlight w:val="none"/>
              </w:rPr>
              <w:t>根据《中华人民共和国水法》，在工程保护范围内，禁止进行爆破、打井、取土等危害水利工程安全的活动，任何单位，个人不得侵占毁坏渠堤、建筑物等有关设施及防汛、水文、测量控制、监测设施，违者追究其法律责任。</w:t>
            </w:r>
          </w:p>
          <w:p>
            <w:pPr>
              <w:ind w:firstLine="482"/>
              <w:rPr>
                <w:b/>
                <w:bCs/>
                <w:color w:val="auto"/>
                <w:highlight w:val="none"/>
              </w:rPr>
            </w:pPr>
            <w:r>
              <w:rPr>
                <w:rFonts w:hint="eastAsia"/>
                <w:b/>
                <w:bCs/>
                <w:color w:val="auto"/>
                <w:highlight w:val="none"/>
              </w:rPr>
              <w:t>4.3渠道运行方式</w:t>
            </w:r>
          </w:p>
          <w:p>
            <w:pPr>
              <w:ind w:firstLine="480"/>
              <w:rPr>
                <w:color w:val="auto"/>
                <w:highlight w:val="none"/>
              </w:rPr>
            </w:pPr>
            <w:r>
              <w:rPr>
                <w:rFonts w:hint="eastAsia"/>
                <w:color w:val="auto"/>
                <w:highlight w:val="none"/>
              </w:rPr>
              <w:t>（1）渠道运行过程中泥沙淤积的处理</w:t>
            </w:r>
          </w:p>
          <w:p>
            <w:pPr>
              <w:ind w:firstLine="480"/>
              <w:rPr>
                <w:color w:val="auto"/>
                <w:highlight w:val="none"/>
              </w:rPr>
            </w:pPr>
            <w:r>
              <w:rPr>
                <w:rFonts w:hint="eastAsia"/>
                <w:color w:val="auto"/>
                <w:highlight w:val="none"/>
              </w:rPr>
              <w:t>渠道运行过程中会出现泥沙淤泥和腐蚀冲刷现象。针对这一现象，首先了解泥沙淤积的情况，根据渠道各阶段泥沙淤积的具体情况采取相应的措施。例如，由于源头沙量过高而产生的淤积，在维护时可以控制水源中泥沙的含量，并将源头处的杂物清理干净；对于渠道中经常发生淤泥的地段，选用缩小渠道断面或增加渠道纵坡的方式告诉渠道的淤积现象，另外，还可通过设置拦洪沟的方式，在渠道放水运行前进行淤积泥沙的处理。</w:t>
            </w:r>
          </w:p>
          <w:p>
            <w:pPr>
              <w:ind w:firstLine="480"/>
              <w:rPr>
                <w:color w:val="auto"/>
                <w:highlight w:val="none"/>
              </w:rPr>
            </w:pPr>
            <w:r>
              <w:rPr>
                <w:rFonts w:hint="eastAsia"/>
                <w:color w:val="auto"/>
                <w:highlight w:val="none"/>
              </w:rPr>
              <w:t>（2）渠道冲刷决口的养护维护</w:t>
            </w:r>
          </w:p>
          <w:p>
            <w:pPr>
              <w:ind w:firstLine="480"/>
              <w:rPr>
                <w:color w:val="auto"/>
                <w:kern w:val="0"/>
                <w:szCs w:val="21"/>
                <w:highlight w:val="none"/>
              </w:rPr>
            </w:pPr>
            <w:r>
              <w:rPr>
                <w:rFonts w:hint="eastAsia"/>
                <w:color w:val="auto"/>
                <w:highlight w:val="none"/>
              </w:rPr>
              <w:t>渠道在运行过程中会受到水的冲刷。对于冲刷严重的渠道地段，养护维护时要采用砌筑修复的方式。具体可以采用石块堆砌局部的方式对渠道实施加固维护，对于水流速度较快的渠道段可以采用通过加大转弯半径来降低水流对渠道的压力，或是直接将弯道切断并给予修直的方式实现渠道的养护维护。针对那些工程相对薄弱的环节可以采用加厚的方式来增强渠道的抗洪能力。针对渠道工程运行中产生的裂缝，采取挖槽回填的方式给予解决。通过对渠道工程的养护和维护来提高渠道的功能和运行效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48" w:type="pct"/>
            <w:vAlign w:val="center"/>
          </w:tcPr>
          <w:p>
            <w:pPr>
              <w:adjustRightInd w:val="0"/>
              <w:snapToGrid w:val="0"/>
              <w:spacing w:line="240" w:lineRule="auto"/>
              <w:ind w:firstLine="0" w:firstLineChars="0"/>
              <w:jc w:val="center"/>
              <w:rPr>
                <w:color w:val="auto"/>
                <w:kern w:val="0"/>
                <w:highlight w:val="none"/>
              </w:rPr>
            </w:pPr>
            <w:r>
              <w:rPr>
                <w:color w:val="auto"/>
                <w:kern w:val="0"/>
                <w:highlight w:val="none"/>
              </w:rPr>
              <w:t>总平面及现场布置</w:t>
            </w:r>
          </w:p>
        </w:tc>
        <w:tc>
          <w:tcPr>
            <w:tcW w:w="4751" w:type="pct"/>
            <w:vAlign w:val="center"/>
          </w:tcPr>
          <w:p>
            <w:pPr>
              <w:ind w:firstLine="0" w:firstLineChars="0"/>
              <w:rPr>
                <w:b/>
                <w:bCs/>
                <w:color w:val="auto"/>
                <w:highlight w:val="none"/>
              </w:rPr>
            </w:pPr>
            <w:r>
              <w:rPr>
                <w:rFonts w:hint="eastAsia"/>
                <w:b/>
                <w:bCs/>
                <w:color w:val="auto"/>
                <w:highlight w:val="none"/>
              </w:rPr>
              <w:t>1、工程布局情况</w:t>
            </w:r>
          </w:p>
          <w:p>
            <w:pPr>
              <w:ind w:firstLine="482"/>
              <w:rPr>
                <w:b/>
                <w:bCs/>
                <w:color w:val="auto"/>
                <w:highlight w:val="none"/>
              </w:rPr>
            </w:pPr>
            <w:r>
              <w:rPr>
                <w:rFonts w:hint="eastAsia"/>
                <w:b/>
                <w:bCs/>
                <w:color w:val="auto"/>
                <w:highlight w:val="none"/>
              </w:rPr>
              <w:t>1.1工程布置</w:t>
            </w:r>
          </w:p>
          <w:p>
            <w:pPr>
              <w:ind w:firstLine="480"/>
              <w:rPr>
                <w:color w:val="auto"/>
                <w:highlight w:val="none"/>
              </w:rPr>
            </w:pPr>
            <w:r>
              <w:rPr>
                <w:rFonts w:hint="eastAsia"/>
                <w:color w:val="auto"/>
                <w:highlight w:val="none"/>
              </w:rPr>
              <w:t>本项目包括5条渠道工程的防渗改造，工程区涉及新疆维吾尔自治区吐鲁番市鄯善县。</w:t>
            </w:r>
          </w:p>
          <w:p>
            <w:pPr>
              <w:ind w:firstLine="482"/>
              <w:rPr>
                <w:b/>
                <w:bCs/>
                <w:color w:val="auto"/>
                <w:highlight w:val="none"/>
              </w:rPr>
            </w:pPr>
            <w:r>
              <w:rPr>
                <w:rFonts w:hint="eastAsia"/>
                <w:b/>
                <w:bCs/>
                <w:color w:val="auto"/>
                <w:highlight w:val="none"/>
              </w:rPr>
              <w:t>1.2建筑物布置</w:t>
            </w:r>
          </w:p>
          <w:p>
            <w:pPr>
              <w:ind w:firstLine="480"/>
              <w:rPr>
                <w:color w:val="auto"/>
                <w:highlight w:val="none"/>
              </w:rPr>
            </w:pPr>
            <w:r>
              <w:rPr>
                <w:rFonts w:hint="eastAsia"/>
                <w:color w:val="auto"/>
                <w:highlight w:val="none"/>
              </w:rPr>
              <w:t>渠道工程沿线共有40座配套渠系建筑物，配套节制分水闸19座，交通桥21座。</w:t>
            </w:r>
          </w:p>
          <w:p>
            <w:pPr>
              <w:ind w:firstLine="480"/>
              <w:rPr>
                <w:color w:val="auto"/>
                <w:highlight w:val="none"/>
              </w:rPr>
            </w:pPr>
            <w:r>
              <w:rPr>
                <w:rFonts w:hint="eastAsia"/>
                <w:color w:val="auto"/>
                <w:highlight w:val="none"/>
              </w:rPr>
              <w:t>（1）水闸</w:t>
            </w:r>
          </w:p>
          <w:p>
            <w:pPr>
              <w:ind w:firstLine="480"/>
              <w:rPr>
                <w:color w:val="auto"/>
                <w:highlight w:val="none"/>
              </w:rPr>
            </w:pPr>
            <w:r>
              <w:rPr>
                <w:rFonts w:hint="eastAsia"/>
                <w:color w:val="auto"/>
                <w:highlight w:val="none"/>
              </w:rPr>
              <w:t>本项目共设置分水闸19座，改建节制分水闸。</w:t>
            </w:r>
          </w:p>
          <w:p>
            <w:pPr>
              <w:ind w:firstLine="480"/>
              <w:rPr>
                <w:color w:val="auto"/>
                <w:highlight w:val="none"/>
              </w:rPr>
            </w:pPr>
            <w:r>
              <w:rPr>
                <w:rFonts w:hint="eastAsia"/>
                <w:color w:val="auto"/>
                <w:highlight w:val="none"/>
              </w:rPr>
              <w:t>（2）交通桥</w:t>
            </w:r>
          </w:p>
          <w:p>
            <w:pPr>
              <w:ind w:firstLine="480"/>
              <w:rPr>
                <w:color w:val="auto"/>
                <w:kern w:val="0"/>
                <w:szCs w:val="21"/>
                <w:highlight w:val="none"/>
              </w:rPr>
            </w:pPr>
            <w:r>
              <w:rPr>
                <w:rFonts w:hint="eastAsia"/>
                <w:color w:val="auto"/>
                <w:highlight w:val="none"/>
              </w:rPr>
              <w:t>为了当地居民生产、生活及工程管理便利，本项目沿线共布设交通桥21座。</w:t>
            </w:r>
          </w:p>
        </w:tc>
      </w:tr>
    </w:tbl>
    <w:p>
      <w:pPr>
        <w:pStyle w:val="26"/>
        <w:spacing w:before="0" w:beforeAutospacing="0" w:after="0" w:afterAutospacing="0" w:line="240" w:lineRule="auto"/>
        <w:ind w:firstLine="0" w:firstLineChars="0"/>
        <w:jc w:val="center"/>
        <w:outlineLvl w:val="0"/>
        <w:rPr>
          <w:rFonts w:ascii="Times New Roman" w:hAnsi="Times New Roman"/>
          <w:b/>
          <w:bCs/>
          <w:snapToGrid w:val="0"/>
          <w:color w:val="auto"/>
          <w:sz w:val="30"/>
          <w:szCs w:val="30"/>
          <w:highlight w:val="none"/>
        </w:rPr>
      </w:pPr>
      <w:r>
        <w:rPr>
          <w:rFonts w:ascii="Times New Roman" w:hAnsi="Times New Roman"/>
          <w:b/>
          <w:bCs/>
          <w:color w:val="auto"/>
          <w:highlight w:val="none"/>
        </w:rPr>
        <w:br w:type="page"/>
      </w:r>
      <w:bookmarkStart w:id="11" w:name="_Toc1642"/>
      <w:bookmarkStart w:id="12" w:name="_Toc19645"/>
      <w:bookmarkStart w:id="13" w:name="_Toc9639"/>
      <w:bookmarkStart w:id="14" w:name="_Toc10333"/>
      <w:r>
        <w:rPr>
          <w:rFonts w:ascii="Times New Roman" w:hAnsi="Times New Roman"/>
          <w:b/>
          <w:bCs/>
          <w:snapToGrid w:val="0"/>
          <w:color w:val="auto"/>
          <w:sz w:val="30"/>
          <w:szCs w:val="30"/>
          <w:highlight w:val="none"/>
        </w:rPr>
        <w:t>三、生态环境现状、保护目标及评价标准</w:t>
      </w:r>
      <w:bookmarkEnd w:id="11"/>
      <w:bookmarkEnd w:id="12"/>
      <w:bookmarkEnd w:id="13"/>
      <w:bookmarkEnd w:id="14"/>
    </w:p>
    <w:tbl>
      <w:tblPr>
        <w:tblStyle w:val="30"/>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5"/>
        <w:gridCol w:w="80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pPr>
              <w:snapToGrid w:val="0"/>
              <w:spacing w:line="240" w:lineRule="auto"/>
              <w:ind w:firstLine="0" w:firstLineChars="0"/>
              <w:jc w:val="center"/>
              <w:rPr>
                <w:color w:val="auto"/>
                <w:kern w:val="0"/>
                <w:szCs w:val="21"/>
                <w:highlight w:val="none"/>
              </w:rPr>
            </w:pPr>
            <w:r>
              <w:rPr>
                <w:color w:val="auto"/>
                <w:kern w:val="0"/>
                <w:szCs w:val="21"/>
                <w:highlight w:val="none"/>
              </w:rPr>
              <w:t>生态环境现状</w:t>
            </w:r>
          </w:p>
        </w:tc>
        <w:tc>
          <w:tcPr>
            <w:tcW w:w="4732" w:type="pct"/>
            <w:vAlign w:val="center"/>
          </w:tcPr>
          <w:p>
            <w:pPr>
              <w:adjustRightInd w:val="0"/>
              <w:snapToGrid w:val="0"/>
              <w:ind w:firstLine="482"/>
              <w:rPr>
                <w:b/>
                <w:bCs/>
                <w:color w:val="auto"/>
                <w:kern w:val="0"/>
                <w:highlight w:val="none"/>
              </w:rPr>
            </w:pPr>
            <w:r>
              <w:rPr>
                <w:b/>
                <w:bCs/>
                <w:color w:val="auto"/>
                <w:kern w:val="0"/>
                <w:highlight w:val="none"/>
              </w:rPr>
              <w:t>1、生态环境</w:t>
            </w:r>
          </w:p>
          <w:p>
            <w:pPr>
              <w:pStyle w:val="64"/>
              <w:adjustRightInd/>
              <w:snapToGrid/>
              <w:ind w:firstLine="482"/>
              <w:jc w:val="both"/>
              <w:rPr>
                <w:b/>
                <w:bCs/>
                <w:color w:val="auto"/>
                <w:highlight w:val="none"/>
              </w:rPr>
            </w:pPr>
            <w:r>
              <w:rPr>
                <w:b/>
                <w:bCs/>
                <w:color w:val="auto"/>
                <w:highlight w:val="none"/>
              </w:rPr>
              <w:t>1.1新疆维吾尔自治区主体功能区规划情况</w:t>
            </w:r>
          </w:p>
          <w:p>
            <w:pPr>
              <w:pStyle w:val="64"/>
              <w:adjustRightInd/>
              <w:snapToGrid/>
              <w:jc w:val="both"/>
              <w:rPr>
                <w:color w:val="auto"/>
                <w:highlight w:val="none"/>
              </w:rPr>
            </w:pPr>
            <w:r>
              <w:rPr>
                <w:color w:val="auto"/>
                <w:highlight w:val="none"/>
              </w:rPr>
              <w:t>本</w:t>
            </w:r>
            <w:r>
              <w:rPr>
                <w:rFonts w:hint="eastAsia"/>
                <w:color w:val="auto"/>
                <w:highlight w:val="none"/>
              </w:rPr>
              <w:t>项目为中型灌区续建配套与节水改造项目，</w:t>
            </w:r>
            <w:r>
              <w:rPr>
                <w:color w:val="auto"/>
                <w:highlight w:val="none"/>
              </w:rPr>
              <w:t>位于</w:t>
            </w:r>
            <w:r>
              <w:rPr>
                <w:rFonts w:hint="eastAsia"/>
                <w:color w:val="auto"/>
                <w:highlight w:val="none"/>
              </w:rPr>
              <w:t>吐鲁番市鄯善县</w:t>
            </w:r>
            <w:r>
              <w:rPr>
                <w:color w:val="auto"/>
                <w:highlight w:val="none"/>
              </w:rPr>
              <w:t>，属于主体功能区划中确定的</w:t>
            </w:r>
            <w:r>
              <w:rPr>
                <w:rFonts w:hint="eastAsia"/>
                <w:color w:val="auto"/>
                <w:highlight w:val="none"/>
              </w:rPr>
              <w:t>自治区级重点开发区域。因此，</w:t>
            </w:r>
            <w:r>
              <w:rPr>
                <w:rFonts w:hint="eastAsia"/>
                <w:color w:val="auto"/>
                <w:kern w:val="0"/>
                <w:highlight w:val="none"/>
              </w:rPr>
              <w:t>本项目符合《新疆维吾尔自治区主体功能区规划》相关要求。</w:t>
            </w:r>
            <w:bookmarkStart w:id="15" w:name="_Toc25168831"/>
            <w:bookmarkStart w:id="16" w:name="_Toc9731"/>
          </w:p>
          <w:bookmarkEnd w:id="15"/>
          <w:bookmarkEnd w:id="16"/>
          <w:p>
            <w:pPr>
              <w:ind w:firstLine="482"/>
              <w:rPr>
                <w:b/>
                <w:bCs/>
                <w:color w:val="auto"/>
                <w:highlight w:val="none"/>
              </w:rPr>
            </w:pPr>
            <w:r>
              <w:rPr>
                <w:rFonts w:hint="eastAsia"/>
                <w:b/>
                <w:bCs/>
                <w:color w:val="auto"/>
                <w:highlight w:val="none"/>
              </w:rPr>
              <w:t>3、水环境质量现状与评价</w:t>
            </w:r>
            <w:bookmarkStart w:id="17" w:name="OLE_LINK38"/>
          </w:p>
          <w:p>
            <w:pPr>
              <w:ind w:firstLine="482"/>
              <w:rPr>
                <w:b/>
                <w:bCs/>
                <w:color w:val="auto"/>
                <w:highlight w:val="none"/>
              </w:rPr>
            </w:pPr>
            <w:r>
              <w:rPr>
                <w:rFonts w:hint="eastAsia"/>
                <w:b/>
                <w:bCs/>
                <w:color w:val="auto"/>
                <w:highlight w:val="none"/>
              </w:rPr>
              <w:t>3.1</w:t>
            </w:r>
            <w:r>
              <w:rPr>
                <w:b/>
                <w:bCs/>
                <w:color w:val="auto"/>
                <w:highlight w:val="none"/>
                <w:lang w:val="zh-CN"/>
              </w:rPr>
              <w:t>地下水环境</w:t>
            </w:r>
          </w:p>
          <w:p>
            <w:pPr>
              <w:ind w:firstLine="480"/>
              <w:rPr>
                <w:color w:val="auto"/>
                <w:highlight w:val="none"/>
              </w:rPr>
            </w:pPr>
            <w:r>
              <w:rPr>
                <w:rFonts w:hint="eastAsia"/>
                <w:color w:val="auto"/>
                <w:highlight w:val="none"/>
              </w:rPr>
              <w:t>根据《环境影响评价技术导则 地下水环境》（HJ610-2016）附录A地下水环境影响评价行业分类，本项目属于“A水利2、灌区工程”，环评类别为报告表，地下水环境影响评价项目类别为Ⅳ类。根据一般性原则，本建设项目不开展地下水环境影响评价，因此本次环评未对项目区地下水进行监测。</w:t>
            </w:r>
            <w:bookmarkEnd w:id="17"/>
          </w:p>
          <w:p>
            <w:pPr>
              <w:ind w:firstLine="482"/>
              <w:rPr>
                <w:b/>
                <w:bCs/>
                <w:color w:val="auto"/>
                <w:highlight w:val="none"/>
              </w:rPr>
            </w:pPr>
            <w:r>
              <w:rPr>
                <w:rFonts w:hint="eastAsia"/>
                <w:b/>
                <w:bCs/>
                <w:color w:val="auto"/>
                <w:highlight w:val="none"/>
              </w:rPr>
              <w:t>3.2地表水环境</w:t>
            </w:r>
          </w:p>
          <w:p>
            <w:pPr>
              <w:pStyle w:val="10"/>
              <w:spacing w:before="0" w:after="0" w:line="360" w:lineRule="auto"/>
              <w:ind w:right="0" w:firstLine="480"/>
              <w:rPr>
                <w:color w:val="auto"/>
                <w:highlight w:val="none"/>
              </w:rPr>
            </w:pPr>
            <w:r>
              <w:rPr>
                <w:rFonts w:hint="eastAsia"/>
                <w:color w:val="auto"/>
                <w:sz w:val="24"/>
                <w:szCs w:val="24"/>
                <w:highlight w:val="none"/>
              </w:rPr>
              <w:t>根据《环境影响评价技术导则 地表水环境》（HJ2.3-2018），本项目地表水环境影响评价工作等级确定为三级B，可不开展区域污染源调查。因此本项目不对地表水环境现状进行调查及分析。</w:t>
            </w:r>
          </w:p>
          <w:p>
            <w:pPr>
              <w:ind w:firstLine="482"/>
              <w:rPr>
                <w:b/>
                <w:bCs/>
                <w:color w:val="auto"/>
                <w:highlight w:val="none"/>
              </w:rPr>
            </w:pPr>
            <w:r>
              <w:rPr>
                <w:rFonts w:hint="eastAsia"/>
                <w:b/>
                <w:bCs/>
                <w:color w:val="auto"/>
                <w:highlight w:val="none"/>
              </w:rPr>
              <w:t>5、</w:t>
            </w:r>
            <w:r>
              <w:rPr>
                <w:b/>
                <w:bCs/>
                <w:color w:val="auto"/>
                <w:highlight w:val="none"/>
              </w:rPr>
              <w:t>土壤环境状况调查及评价</w:t>
            </w:r>
          </w:p>
          <w:p>
            <w:pPr>
              <w:ind w:firstLine="480"/>
              <w:rPr>
                <w:color w:val="auto"/>
                <w:highlight w:val="none"/>
              </w:rPr>
            </w:pPr>
            <w:r>
              <w:rPr>
                <w:rFonts w:hint="eastAsia"/>
                <w:color w:val="auto"/>
                <w:highlight w:val="none"/>
              </w:rPr>
              <w:t>本次环评委托新疆锡水金山环境科技有限公司对项目区土壤环境进行了现状监测，共布设</w:t>
            </w:r>
            <w:r>
              <w:rPr>
                <w:rFonts w:hint="eastAsia"/>
                <w:color w:val="auto"/>
                <w:highlight w:val="none"/>
                <w:lang w:val="en-US" w:eastAsia="zh-CN"/>
              </w:rPr>
              <w:t>2</w:t>
            </w:r>
            <w:r>
              <w:rPr>
                <w:rFonts w:hint="eastAsia"/>
                <w:color w:val="auto"/>
                <w:highlight w:val="none"/>
              </w:rPr>
              <w:t>个监测点，用于说明项目区土壤环境质量现状。</w:t>
            </w:r>
          </w:p>
          <w:p>
            <w:pPr>
              <w:keepNext w:val="0"/>
              <w:keepLines w:val="0"/>
              <w:pageBreakBefore w:val="0"/>
              <w:widowControl w:val="0"/>
              <w:kinsoku/>
              <w:wordWrap/>
              <w:overflowPunct/>
              <w:topLinePunct w:val="0"/>
              <w:autoSpaceDE/>
              <w:autoSpaceDN/>
              <w:bidi w:val="0"/>
              <w:adjustRightInd/>
              <w:snapToGrid/>
              <w:spacing w:before="157" w:beforeLines="50"/>
              <w:ind w:firstLine="482"/>
              <w:textAlignment w:val="auto"/>
              <w:rPr>
                <w:b/>
                <w:bCs/>
                <w:color w:val="auto"/>
                <w:highlight w:val="none"/>
              </w:rPr>
            </w:pPr>
            <w:r>
              <w:rPr>
                <w:rFonts w:hint="eastAsia"/>
                <w:b/>
                <w:bCs/>
                <w:color w:val="auto"/>
                <w:highlight w:val="none"/>
              </w:rPr>
              <w:t>5.2监测方法</w:t>
            </w:r>
          </w:p>
          <w:p>
            <w:pPr>
              <w:ind w:firstLine="480"/>
              <w:rPr>
                <w:color w:val="auto"/>
                <w:highlight w:val="none"/>
              </w:rPr>
            </w:pPr>
            <w:r>
              <w:rPr>
                <w:rFonts w:hint="eastAsia"/>
                <w:color w:val="auto"/>
                <w:highlight w:val="none"/>
              </w:rPr>
              <w:t>各监测项目采样及分析方法，均按《环境监测分析方法》及《土壤环境监测技术规范》（HJ/T166-2004）的要求进行。</w:t>
            </w:r>
          </w:p>
          <w:p>
            <w:pPr>
              <w:ind w:firstLine="482"/>
              <w:rPr>
                <w:b/>
                <w:bCs/>
                <w:color w:val="auto"/>
                <w:highlight w:val="none"/>
              </w:rPr>
            </w:pPr>
            <w:r>
              <w:rPr>
                <w:rFonts w:hint="eastAsia"/>
                <w:b/>
                <w:bCs/>
                <w:color w:val="auto"/>
                <w:highlight w:val="none"/>
              </w:rPr>
              <w:t>5.3监测依据</w:t>
            </w:r>
          </w:p>
          <w:p>
            <w:pPr>
              <w:ind w:firstLine="480"/>
              <w:rPr>
                <w:color w:val="auto"/>
                <w:highlight w:val="none"/>
              </w:rPr>
            </w:pPr>
            <w:r>
              <w:rPr>
                <w:rFonts w:hint="eastAsia"/>
                <w:color w:val="auto"/>
                <w:highlight w:val="none"/>
              </w:rPr>
              <w:t>土壤环境监测技术规范（HJT166-2004）。</w:t>
            </w:r>
          </w:p>
          <w:p>
            <w:pPr>
              <w:keepNext w:val="0"/>
              <w:keepLines w:val="0"/>
              <w:pageBreakBefore w:val="0"/>
              <w:widowControl w:val="0"/>
              <w:kinsoku/>
              <w:wordWrap/>
              <w:overflowPunct/>
              <w:topLinePunct w:val="0"/>
              <w:autoSpaceDE/>
              <w:autoSpaceDN/>
              <w:bidi w:val="0"/>
              <w:adjustRightInd/>
              <w:snapToGrid/>
              <w:spacing w:before="157" w:beforeLines="50"/>
              <w:ind w:firstLine="480"/>
              <w:textAlignment w:val="auto"/>
              <w:rPr>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67" w:type="pct"/>
            <w:vAlign w:val="center"/>
          </w:tcPr>
          <w:p>
            <w:pPr>
              <w:snapToGrid w:val="0"/>
              <w:spacing w:line="240" w:lineRule="auto"/>
              <w:ind w:firstLine="0" w:firstLineChars="0"/>
              <w:jc w:val="center"/>
              <w:rPr>
                <w:color w:val="auto"/>
                <w:kern w:val="0"/>
                <w:szCs w:val="21"/>
                <w:highlight w:val="none"/>
              </w:rPr>
            </w:pPr>
            <w:r>
              <w:rPr>
                <w:color w:val="auto"/>
                <w:kern w:val="0"/>
                <w:szCs w:val="21"/>
                <w:highlight w:val="none"/>
              </w:rPr>
              <w:t>生态环境保护目标</w:t>
            </w:r>
          </w:p>
        </w:tc>
        <w:tc>
          <w:tcPr>
            <w:tcW w:w="4732" w:type="pct"/>
            <w:vAlign w:val="center"/>
          </w:tcPr>
          <w:p>
            <w:pPr>
              <w:ind w:firstLine="480"/>
              <w:rPr>
                <w:color w:val="auto"/>
                <w:highlight w:val="none"/>
              </w:rPr>
            </w:pPr>
            <w:r>
              <w:rPr>
                <w:rFonts w:hint="eastAsia"/>
                <w:color w:val="auto"/>
                <w:highlight w:val="none"/>
              </w:rPr>
              <w:t>本项目位于吐鲁番市鄯善县，项目区周围无重要保护文物、风景名胜区等环境保护目标。根据本项目所在区域环境状况和项目本身特点，确定环境保护目标如下：</w:t>
            </w:r>
          </w:p>
          <w:p>
            <w:pPr>
              <w:ind w:firstLine="480"/>
              <w:rPr>
                <w:color w:val="auto"/>
                <w:highlight w:val="none"/>
              </w:rPr>
            </w:pPr>
            <w:r>
              <w:rPr>
                <w:rFonts w:hint="eastAsia"/>
                <w:color w:val="auto"/>
                <w:highlight w:val="none"/>
              </w:rPr>
              <w:t>（1）大气环境：做好施工期环境保护工作，避免工程施工对区域空气的不利影响，使项目区大气环境质量达到《环境空气质量标准》（GB3095-2012）二级标准。</w:t>
            </w:r>
          </w:p>
          <w:p>
            <w:pPr>
              <w:ind w:firstLine="480"/>
              <w:rPr>
                <w:color w:val="auto"/>
                <w:highlight w:val="none"/>
              </w:rPr>
            </w:pPr>
            <w:r>
              <w:rPr>
                <w:rFonts w:hint="eastAsia"/>
                <w:color w:val="auto"/>
                <w:highlight w:val="none"/>
              </w:rPr>
              <w:t>（2）水环境：保护项目区域地下水环境功能满足《地下水质量标准》（GB/T14848-2017）Ⅲ类标准。</w:t>
            </w:r>
          </w:p>
          <w:p>
            <w:pPr>
              <w:ind w:firstLine="480"/>
              <w:rPr>
                <w:color w:val="auto"/>
                <w:highlight w:val="none"/>
              </w:rPr>
            </w:pPr>
            <w:r>
              <w:rPr>
                <w:rFonts w:hint="eastAsia"/>
                <w:color w:val="auto"/>
                <w:highlight w:val="none"/>
              </w:rPr>
              <w:t>（3）声环境：控制工程施工噪声，使施工场界噪声达到《建筑施工场界环境噪声排放标准》GB12523-2011）“表1”中所规定的限值要求。</w:t>
            </w:r>
          </w:p>
          <w:p>
            <w:pPr>
              <w:ind w:firstLine="480"/>
              <w:rPr>
                <w:color w:val="auto"/>
                <w:highlight w:val="none"/>
              </w:rPr>
            </w:pPr>
            <w:r>
              <w:rPr>
                <w:rFonts w:hint="eastAsia"/>
                <w:color w:val="auto"/>
                <w:highlight w:val="none"/>
              </w:rPr>
              <w:t>（4）土壤环境：保护项目区内的土壤环境质量，维持其现状水平。满足《土壤环境质量 农用地土壤污染风险管控标准（试行）》（GB15618-2018）。</w:t>
            </w:r>
          </w:p>
          <w:p>
            <w:pPr>
              <w:ind w:firstLine="480"/>
              <w:rPr>
                <w:color w:val="auto"/>
                <w:highlight w:val="none"/>
              </w:rPr>
            </w:pPr>
            <w:r>
              <w:rPr>
                <w:rFonts w:hint="eastAsia"/>
                <w:color w:val="auto"/>
                <w:highlight w:val="none"/>
              </w:rPr>
              <w:t>（5）生态环境：减少工程施工对沿线施工区地表植被和动物的影响，维护项目实施过程中景观环境及生态系统的完整性。</w:t>
            </w:r>
          </w:p>
          <w:p>
            <w:pPr>
              <w:ind w:firstLine="480"/>
              <w:rPr>
                <w:color w:val="auto"/>
                <w:highlight w:val="none"/>
              </w:rPr>
            </w:pPr>
            <w:r>
              <w:rPr>
                <w:rFonts w:hint="eastAsia"/>
                <w:color w:val="auto"/>
                <w:highlight w:val="none"/>
              </w:rPr>
              <w:t>（6）社会环境：保障施工区附近道路的正常通行，减少施工期对附近公路通行影响。</w:t>
            </w:r>
          </w:p>
          <w:p>
            <w:pPr>
              <w:ind w:firstLine="480"/>
              <w:rPr>
                <w:color w:val="auto"/>
                <w:highlight w:val="none"/>
              </w:rPr>
            </w:pPr>
            <w:r>
              <w:rPr>
                <w:rFonts w:hint="eastAsia"/>
                <w:color w:val="auto"/>
                <w:highlight w:val="none"/>
              </w:rPr>
              <w:t>本项目主要环境敏感目标见下表</w:t>
            </w:r>
            <w:r>
              <w:rPr>
                <w:rFonts w:hint="eastAsia"/>
                <w:color w:val="auto"/>
                <w:highlight w:val="none"/>
                <w:lang w:val="en-US" w:eastAsia="zh-CN"/>
              </w:rPr>
              <w:t>3-6</w:t>
            </w:r>
            <w:r>
              <w:rPr>
                <w:rFonts w:hint="eastAsia"/>
                <w:color w:val="auto"/>
                <w:highlight w:val="none"/>
              </w:rPr>
              <w:t>：</w:t>
            </w:r>
          </w:p>
          <w:p>
            <w:pPr>
              <w:pStyle w:val="5"/>
              <w:rPr>
                <w:b/>
                <w:bCs/>
                <w:color w:val="auto"/>
                <w:highlight w:val="none"/>
              </w:rPr>
            </w:pPr>
            <w:r>
              <w:rPr>
                <w:rFonts w:hint="eastAsia"/>
                <w:b/>
                <w:bCs/>
                <w:color w:val="auto"/>
                <w:highlight w:val="none"/>
              </w:rPr>
              <w:t>表3-</w:t>
            </w:r>
            <w:r>
              <w:rPr>
                <w:rFonts w:hint="eastAsia"/>
                <w:b/>
                <w:bCs/>
                <w:color w:val="auto"/>
                <w:highlight w:val="none"/>
                <w:lang w:val="en-US" w:eastAsia="zh-CN"/>
              </w:rPr>
              <w:t>6</w:t>
            </w:r>
            <w:r>
              <w:rPr>
                <w:rFonts w:hint="eastAsia"/>
                <w:b/>
                <w:bCs/>
                <w:color w:val="auto"/>
                <w:highlight w:val="none"/>
              </w:rPr>
              <w:t xml:space="preserve">      环境主要敏感目标</w:t>
            </w:r>
          </w:p>
          <w:tbl>
            <w:tblPr>
              <w:tblStyle w:val="30"/>
              <w:tblW w:w="474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001"/>
              <w:gridCol w:w="2107"/>
              <w:gridCol w:w="780"/>
              <w:gridCol w:w="874"/>
              <w:gridCol w:w="19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7" w:type="pct"/>
                  <w:tcBorders>
                    <w:top w:val="single" w:color="auto" w:sz="2" w:space="0"/>
                    <w:left w:val="single" w:color="auto" w:sz="4" w:space="0"/>
                    <w:bottom w:val="single" w:color="auto" w:sz="4" w:space="0"/>
                    <w:right w:val="single" w:color="auto" w:sz="2" w:space="0"/>
                  </w:tcBorders>
                  <w:noWrap/>
                  <w:vAlign w:val="center"/>
                </w:tcPr>
                <w:p>
                  <w:pPr>
                    <w:pStyle w:val="5"/>
                    <w:rPr>
                      <w:color w:val="auto"/>
                      <w:highlight w:val="none"/>
                    </w:rPr>
                  </w:pPr>
                  <w:r>
                    <w:rPr>
                      <w:color w:val="auto"/>
                      <w:highlight w:val="none"/>
                    </w:rPr>
                    <w:t>环境类别</w:t>
                  </w:r>
                </w:p>
              </w:tc>
              <w:tc>
                <w:tcPr>
                  <w:tcW w:w="674"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color w:val="auto"/>
                      <w:highlight w:val="none"/>
                    </w:rPr>
                    <w:t>环境保护目标</w:t>
                  </w:r>
                </w:p>
              </w:tc>
              <w:tc>
                <w:tcPr>
                  <w:tcW w:w="1419"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color w:val="auto"/>
                      <w:highlight w:val="none"/>
                    </w:rPr>
                    <w:t>相对方位</w:t>
                  </w:r>
                </w:p>
              </w:tc>
              <w:tc>
                <w:tcPr>
                  <w:tcW w:w="525"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color w:val="auto"/>
                      <w:highlight w:val="none"/>
                    </w:rPr>
                    <w:t>保护规模</w:t>
                  </w:r>
                </w:p>
              </w:tc>
              <w:tc>
                <w:tcPr>
                  <w:tcW w:w="589"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rFonts w:hint="eastAsia"/>
                      <w:color w:val="auto"/>
                      <w:highlight w:val="none"/>
                    </w:rPr>
                    <w:t>与</w:t>
                  </w:r>
                  <w:r>
                    <w:rPr>
                      <w:color w:val="auto"/>
                      <w:highlight w:val="none"/>
                    </w:rPr>
                    <w:t>渠道</w:t>
                  </w:r>
                  <w:r>
                    <w:rPr>
                      <w:rFonts w:hint="eastAsia"/>
                      <w:color w:val="auto"/>
                      <w:highlight w:val="none"/>
                    </w:rPr>
                    <w:t>最近</w:t>
                  </w:r>
                  <w:r>
                    <w:rPr>
                      <w:color w:val="auto"/>
                      <w:highlight w:val="none"/>
                    </w:rPr>
                    <w:t>距离（m）</w:t>
                  </w:r>
                </w:p>
              </w:tc>
              <w:tc>
                <w:tcPr>
                  <w:tcW w:w="1344" w:type="pct"/>
                  <w:tcBorders>
                    <w:top w:val="single" w:color="auto" w:sz="2" w:space="0"/>
                    <w:left w:val="single" w:color="auto" w:sz="2" w:space="0"/>
                    <w:bottom w:val="single" w:color="auto" w:sz="2" w:space="0"/>
                    <w:right w:val="single" w:color="auto" w:sz="2" w:space="0"/>
                  </w:tcBorders>
                  <w:noWrap/>
                  <w:vAlign w:val="center"/>
                </w:tcPr>
                <w:p>
                  <w:pPr>
                    <w:pStyle w:val="5"/>
                    <w:rPr>
                      <w:color w:val="auto"/>
                      <w:highlight w:val="none"/>
                    </w:rPr>
                  </w:pPr>
                  <w:r>
                    <w:rPr>
                      <w:color w:val="auto"/>
                      <w:highlight w:val="none"/>
                    </w:rPr>
                    <w:t>环境功能要求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47" w:type="pct"/>
                  <w:vMerge w:val="restart"/>
                  <w:tcBorders>
                    <w:top w:val="single" w:color="auto" w:sz="4" w:space="0"/>
                    <w:left w:val="single" w:color="auto" w:sz="4" w:space="0"/>
                    <w:right w:val="single" w:color="auto" w:sz="4" w:space="0"/>
                  </w:tcBorders>
                  <w:noWrap/>
                  <w:vAlign w:val="center"/>
                </w:tcPr>
                <w:p>
                  <w:pPr>
                    <w:pStyle w:val="5"/>
                    <w:rPr>
                      <w:color w:val="auto"/>
                      <w:highlight w:val="none"/>
                    </w:rPr>
                  </w:pPr>
                  <w:r>
                    <w:rPr>
                      <w:rFonts w:hint="eastAsia"/>
                      <w:color w:val="auto"/>
                      <w:highlight w:val="none"/>
                    </w:rPr>
                    <w:t>声环境</w:t>
                  </w:r>
                </w:p>
              </w:tc>
              <w:tc>
                <w:tcPr>
                  <w:tcW w:w="674" w:type="pct"/>
                  <w:vMerge w:val="restart"/>
                  <w:tcBorders>
                    <w:top w:val="single" w:color="auto" w:sz="2" w:space="0"/>
                    <w:left w:val="single" w:color="auto" w:sz="4" w:space="0"/>
                    <w:right w:val="single" w:color="auto" w:sz="2" w:space="0"/>
                  </w:tcBorders>
                  <w:noWrap/>
                  <w:vAlign w:val="center"/>
                </w:tcPr>
                <w:p>
                  <w:pPr>
                    <w:pStyle w:val="5"/>
                    <w:rPr>
                      <w:color w:val="auto"/>
                      <w:highlight w:val="none"/>
                    </w:rPr>
                  </w:pPr>
                  <w:r>
                    <w:rPr>
                      <w:rFonts w:hint="eastAsia"/>
                      <w:color w:val="auto"/>
                      <w:highlight w:val="none"/>
                    </w:rPr>
                    <w:t>七克台镇及火车站镇</w:t>
                  </w:r>
                </w:p>
              </w:tc>
              <w:tc>
                <w:tcPr>
                  <w:tcW w:w="1419" w:type="pct"/>
                  <w:tcBorders>
                    <w:top w:val="single" w:color="auto" w:sz="2" w:space="0"/>
                    <w:left w:val="single" w:color="auto" w:sz="2" w:space="0"/>
                    <w:bottom w:val="single" w:color="auto" w:sz="2" w:space="0"/>
                    <w:right w:val="single" w:color="auto" w:sz="2" w:space="0"/>
                  </w:tcBorders>
                  <w:noWrap/>
                  <w:vAlign w:val="center"/>
                </w:tcPr>
                <w:p>
                  <w:pPr>
                    <w:pStyle w:val="5"/>
                    <w:rPr>
                      <w:rFonts w:hint="default"/>
                      <w:color w:val="auto"/>
                      <w:highlight w:val="none"/>
                      <w:lang w:val="en-US" w:eastAsia="zh-CN"/>
                    </w:rPr>
                  </w:pPr>
                  <w:r>
                    <w:rPr>
                      <w:rFonts w:hint="eastAsia"/>
                      <w:color w:val="auto"/>
                      <w:highlight w:val="none"/>
                    </w:rPr>
                    <w:t>坎而其干渠</w:t>
                  </w:r>
                  <w:r>
                    <w:rPr>
                      <w:rFonts w:hint="eastAsia"/>
                      <w:color w:val="auto"/>
                      <w:highlight w:val="none"/>
                      <w:lang w:val="en-US" w:eastAsia="zh-CN"/>
                    </w:rPr>
                    <w:t>穿过鄯善工业园区区域</w:t>
                  </w:r>
                </w:p>
              </w:tc>
              <w:tc>
                <w:tcPr>
                  <w:tcW w:w="525" w:type="pct"/>
                  <w:vMerge w:val="restart"/>
                  <w:tcBorders>
                    <w:top w:val="single" w:color="auto" w:sz="2" w:space="0"/>
                    <w:left w:val="single" w:color="auto" w:sz="2" w:space="0"/>
                    <w:right w:val="single" w:color="auto" w:sz="2" w:space="0"/>
                  </w:tcBorders>
                  <w:noWrap/>
                  <w:vAlign w:val="center"/>
                </w:tcPr>
                <w:p>
                  <w:pPr>
                    <w:pStyle w:val="5"/>
                    <w:rPr>
                      <w:color w:val="auto"/>
                      <w:highlight w:val="none"/>
                    </w:rPr>
                  </w:pPr>
                  <w:r>
                    <w:rPr>
                      <w:rFonts w:hint="eastAsia"/>
                      <w:color w:val="auto"/>
                      <w:highlight w:val="none"/>
                    </w:rPr>
                    <w:t>/</w:t>
                  </w:r>
                </w:p>
              </w:tc>
              <w:tc>
                <w:tcPr>
                  <w:tcW w:w="589" w:type="pct"/>
                  <w:vMerge w:val="restart"/>
                  <w:tcBorders>
                    <w:top w:val="single" w:color="auto" w:sz="2" w:space="0"/>
                    <w:left w:val="single" w:color="auto" w:sz="2" w:space="0"/>
                    <w:right w:val="single" w:color="auto" w:sz="2" w:space="0"/>
                  </w:tcBorders>
                  <w:noWrap/>
                  <w:vAlign w:val="center"/>
                </w:tcPr>
                <w:p>
                  <w:pPr>
                    <w:pStyle w:val="5"/>
                    <w:rPr>
                      <w:color w:val="auto"/>
                      <w:highlight w:val="none"/>
                    </w:rPr>
                  </w:pPr>
                  <w:r>
                    <w:rPr>
                      <w:rFonts w:hint="eastAsia"/>
                      <w:color w:val="auto"/>
                      <w:highlight w:val="none"/>
                    </w:rPr>
                    <w:t>/</w:t>
                  </w:r>
                </w:p>
              </w:tc>
              <w:tc>
                <w:tcPr>
                  <w:tcW w:w="1344" w:type="pct"/>
                  <w:tcBorders>
                    <w:left w:val="single" w:color="auto" w:sz="2" w:space="0"/>
                    <w:right w:val="single" w:color="auto" w:sz="4" w:space="0"/>
                  </w:tcBorders>
                  <w:noWrap/>
                  <w:vAlign w:val="center"/>
                </w:tcPr>
                <w:p>
                  <w:pPr>
                    <w:pStyle w:val="5"/>
                    <w:keepNext/>
                    <w:keepLines/>
                    <w:pageBreakBefore w:val="0"/>
                    <w:widowControl w:val="0"/>
                    <w:kinsoku/>
                    <w:wordWrap/>
                    <w:overflowPunct/>
                    <w:topLinePunct w:val="0"/>
                    <w:autoSpaceDE/>
                    <w:autoSpaceDN/>
                    <w:bidi w:val="0"/>
                    <w:adjustRightInd/>
                    <w:snapToGrid/>
                    <w:jc w:val="center"/>
                    <w:textAlignment w:val="auto"/>
                    <w:rPr>
                      <w:rFonts w:hint="eastAsia"/>
                      <w:color w:val="auto"/>
                      <w:highlight w:val="none"/>
                    </w:rPr>
                  </w:pPr>
                  <w:r>
                    <w:rPr>
                      <w:rFonts w:hint="eastAsia"/>
                      <w:color w:val="auto"/>
                      <w:highlight w:val="none"/>
                    </w:rPr>
                    <w:t>《声环境质量标准》（GB3096-2008）中3类区限值要求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47" w:type="pct"/>
                  <w:vMerge w:val="continue"/>
                  <w:tcBorders>
                    <w:left w:val="single" w:color="auto" w:sz="4" w:space="0"/>
                    <w:right w:val="single" w:color="auto" w:sz="4" w:space="0"/>
                  </w:tcBorders>
                  <w:noWrap/>
                  <w:vAlign w:val="center"/>
                </w:tcPr>
                <w:p>
                  <w:pPr>
                    <w:pStyle w:val="5"/>
                    <w:rPr>
                      <w:color w:val="auto"/>
                      <w:highlight w:val="none"/>
                    </w:rPr>
                  </w:pPr>
                </w:p>
              </w:tc>
              <w:tc>
                <w:tcPr>
                  <w:tcW w:w="674" w:type="pct"/>
                  <w:vMerge w:val="continue"/>
                  <w:tcBorders>
                    <w:left w:val="single" w:color="auto" w:sz="4" w:space="0"/>
                    <w:right w:val="single" w:color="auto" w:sz="2" w:space="0"/>
                  </w:tcBorders>
                  <w:noWrap/>
                  <w:vAlign w:val="center"/>
                </w:tcPr>
                <w:p>
                  <w:pPr>
                    <w:pStyle w:val="5"/>
                    <w:rPr>
                      <w:color w:val="auto"/>
                      <w:highlight w:val="none"/>
                    </w:rPr>
                  </w:pPr>
                </w:p>
              </w:tc>
              <w:tc>
                <w:tcPr>
                  <w:tcW w:w="1419" w:type="pct"/>
                  <w:tcBorders>
                    <w:top w:val="single" w:color="auto" w:sz="2" w:space="0"/>
                    <w:left w:val="single" w:color="auto" w:sz="2" w:space="0"/>
                    <w:bottom w:val="single" w:color="auto" w:sz="2" w:space="0"/>
                    <w:right w:val="single" w:color="auto" w:sz="2" w:space="0"/>
                  </w:tcBorders>
                  <w:noWrap/>
                  <w:vAlign w:val="center"/>
                </w:tcPr>
                <w:p>
                  <w:pPr>
                    <w:pStyle w:val="5"/>
                    <w:rPr>
                      <w:rFonts w:hint="eastAsia"/>
                      <w:color w:val="auto"/>
                      <w:highlight w:val="none"/>
                      <w:lang w:val="en-US" w:eastAsia="zh-CN"/>
                    </w:rPr>
                  </w:pPr>
                  <w:r>
                    <w:rPr>
                      <w:rFonts w:hint="eastAsia"/>
                      <w:color w:val="auto"/>
                      <w:highlight w:val="none"/>
                      <w:lang w:val="en-US" w:eastAsia="zh-CN"/>
                    </w:rPr>
                    <w:t>本项目</w:t>
                  </w:r>
                  <w:r>
                    <w:rPr>
                      <w:rFonts w:hint="eastAsia"/>
                      <w:color w:val="auto"/>
                      <w:highlight w:val="none"/>
                    </w:rPr>
                    <w:t>一号支渠、三号支渠</w:t>
                  </w:r>
                  <w:r>
                    <w:rPr>
                      <w:rFonts w:hint="eastAsia"/>
                      <w:color w:val="auto"/>
                      <w:highlight w:val="none"/>
                      <w:lang w:val="en-US" w:eastAsia="zh-CN"/>
                    </w:rPr>
                    <w:t>临近高速公路区域</w:t>
                  </w:r>
                </w:p>
              </w:tc>
              <w:tc>
                <w:tcPr>
                  <w:tcW w:w="525" w:type="pct"/>
                  <w:vMerge w:val="continue"/>
                  <w:tcBorders>
                    <w:left w:val="single" w:color="auto" w:sz="2" w:space="0"/>
                    <w:right w:val="single" w:color="auto" w:sz="2" w:space="0"/>
                  </w:tcBorders>
                  <w:noWrap/>
                  <w:vAlign w:val="center"/>
                </w:tcPr>
                <w:p>
                  <w:pPr>
                    <w:pStyle w:val="5"/>
                    <w:rPr>
                      <w:rFonts w:hint="eastAsia"/>
                      <w:color w:val="auto"/>
                      <w:highlight w:val="none"/>
                      <w:lang w:val="en-US" w:eastAsia="zh-CN"/>
                    </w:rPr>
                  </w:pPr>
                </w:p>
              </w:tc>
              <w:tc>
                <w:tcPr>
                  <w:tcW w:w="589" w:type="pct"/>
                  <w:vMerge w:val="continue"/>
                  <w:tcBorders>
                    <w:left w:val="single" w:color="auto" w:sz="2" w:space="0"/>
                    <w:right w:val="single" w:color="auto" w:sz="2" w:space="0"/>
                  </w:tcBorders>
                  <w:noWrap/>
                  <w:vAlign w:val="center"/>
                </w:tcPr>
                <w:p>
                  <w:pPr>
                    <w:pStyle w:val="5"/>
                    <w:rPr>
                      <w:rFonts w:hint="eastAsia"/>
                      <w:color w:val="auto"/>
                      <w:highlight w:val="none"/>
                      <w:lang w:val="en-US" w:eastAsia="zh-CN"/>
                    </w:rPr>
                  </w:pPr>
                </w:p>
              </w:tc>
              <w:tc>
                <w:tcPr>
                  <w:tcW w:w="1344" w:type="pct"/>
                  <w:tcBorders>
                    <w:left w:val="single" w:color="auto" w:sz="2" w:space="0"/>
                    <w:right w:val="single" w:color="auto" w:sz="4" w:space="0"/>
                  </w:tcBorders>
                  <w:noWrap/>
                  <w:vAlign w:val="center"/>
                </w:tcPr>
                <w:p>
                  <w:pPr>
                    <w:pStyle w:val="5"/>
                    <w:keepNext/>
                    <w:keepLines/>
                    <w:pageBreakBefore w:val="0"/>
                    <w:widowControl w:val="0"/>
                    <w:kinsoku/>
                    <w:wordWrap/>
                    <w:overflowPunct/>
                    <w:topLinePunct w:val="0"/>
                    <w:autoSpaceDE/>
                    <w:autoSpaceDN/>
                    <w:bidi w:val="0"/>
                    <w:adjustRightInd/>
                    <w:snapToGrid/>
                    <w:textAlignment w:val="auto"/>
                    <w:rPr>
                      <w:rFonts w:hint="eastAsia"/>
                      <w:color w:val="auto"/>
                      <w:highlight w:val="none"/>
                      <w:lang w:val="en-US" w:eastAsia="zh-CN"/>
                    </w:rPr>
                  </w:pPr>
                  <w:r>
                    <w:rPr>
                      <w:rFonts w:hint="eastAsia"/>
                      <w:color w:val="auto"/>
                      <w:highlight w:val="none"/>
                    </w:rPr>
                    <w:t>《声环境质量标准》（GB3096-2008）中4a类</w:t>
                  </w:r>
                  <w:r>
                    <w:rPr>
                      <w:rFonts w:hint="eastAsia"/>
                      <w:color w:val="auto"/>
                      <w:highlight w:val="none"/>
                      <w:lang w:val="en-US" w:eastAsia="zh-CN"/>
                    </w:rPr>
                    <w:t>区限值要求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47" w:type="pct"/>
                  <w:vMerge w:val="continue"/>
                  <w:tcBorders>
                    <w:left w:val="single" w:color="auto" w:sz="4" w:space="0"/>
                    <w:bottom w:val="single" w:color="auto" w:sz="4" w:space="0"/>
                    <w:right w:val="single" w:color="auto" w:sz="4" w:space="0"/>
                  </w:tcBorders>
                  <w:noWrap/>
                  <w:vAlign w:val="center"/>
                </w:tcPr>
                <w:p>
                  <w:pPr>
                    <w:pStyle w:val="5"/>
                    <w:rPr>
                      <w:rFonts w:hint="eastAsia"/>
                      <w:color w:val="auto"/>
                      <w:highlight w:val="none"/>
                      <w:lang w:val="en-US" w:eastAsia="zh-CN"/>
                    </w:rPr>
                  </w:pPr>
                </w:p>
              </w:tc>
              <w:tc>
                <w:tcPr>
                  <w:tcW w:w="674" w:type="pct"/>
                  <w:vMerge w:val="continue"/>
                  <w:tcBorders>
                    <w:left w:val="single" w:color="auto" w:sz="4" w:space="0"/>
                    <w:bottom w:val="single" w:color="auto" w:sz="2" w:space="0"/>
                    <w:right w:val="single" w:color="auto" w:sz="2" w:space="0"/>
                  </w:tcBorders>
                  <w:noWrap/>
                  <w:vAlign w:val="center"/>
                </w:tcPr>
                <w:p>
                  <w:pPr>
                    <w:pStyle w:val="5"/>
                    <w:rPr>
                      <w:rFonts w:hint="eastAsia"/>
                      <w:color w:val="auto"/>
                      <w:highlight w:val="none"/>
                      <w:lang w:val="en-US" w:eastAsia="zh-CN"/>
                    </w:rPr>
                  </w:pPr>
                </w:p>
              </w:tc>
              <w:tc>
                <w:tcPr>
                  <w:tcW w:w="1419" w:type="pct"/>
                  <w:tcBorders>
                    <w:top w:val="single" w:color="auto" w:sz="2" w:space="0"/>
                    <w:left w:val="single" w:color="auto" w:sz="2" w:space="0"/>
                    <w:bottom w:val="single" w:color="auto" w:sz="2" w:space="0"/>
                    <w:right w:val="single" w:color="auto" w:sz="2" w:space="0"/>
                  </w:tcBorders>
                  <w:noWrap/>
                  <w:vAlign w:val="center"/>
                </w:tcPr>
                <w:p>
                  <w:pPr>
                    <w:pStyle w:val="5"/>
                    <w:rPr>
                      <w:rFonts w:hint="eastAsia"/>
                      <w:color w:val="auto"/>
                      <w:highlight w:val="none"/>
                      <w:lang w:val="en-US" w:eastAsia="zh-CN"/>
                    </w:rPr>
                  </w:pPr>
                  <w:r>
                    <w:rPr>
                      <w:rFonts w:hint="eastAsia"/>
                      <w:color w:val="auto"/>
                      <w:highlight w:val="none"/>
                      <w:lang w:val="en-US" w:eastAsia="zh-CN"/>
                    </w:rPr>
                    <w:t>本项目其他区域</w:t>
                  </w:r>
                </w:p>
              </w:tc>
              <w:tc>
                <w:tcPr>
                  <w:tcW w:w="525" w:type="pct"/>
                  <w:vMerge w:val="continue"/>
                  <w:tcBorders>
                    <w:left w:val="single" w:color="auto" w:sz="2" w:space="0"/>
                    <w:bottom w:val="single" w:color="auto" w:sz="2" w:space="0"/>
                    <w:right w:val="single" w:color="auto" w:sz="2" w:space="0"/>
                  </w:tcBorders>
                  <w:noWrap/>
                  <w:vAlign w:val="center"/>
                </w:tcPr>
                <w:p>
                  <w:pPr>
                    <w:pStyle w:val="5"/>
                    <w:rPr>
                      <w:rFonts w:hint="eastAsia"/>
                      <w:color w:val="auto"/>
                      <w:highlight w:val="none"/>
                      <w:lang w:val="en-US" w:eastAsia="zh-CN"/>
                    </w:rPr>
                  </w:pPr>
                </w:p>
              </w:tc>
              <w:tc>
                <w:tcPr>
                  <w:tcW w:w="589" w:type="pct"/>
                  <w:vMerge w:val="continue"/>
                  <w:tcBorders>
                    <w:left w:val="single" w:color="auto" w:sz="2" w:space="0"/>
                    <w:bottom w:val="single" w:color="auto" w:sz="4" w:space="0"/>
                    <w:right w:val="single" w:color="auto" w:sz="2" w:space="0"/>
                  </w:tcBorders>
                  <w:noWrap/>
                  <w:vAlign w:val="center"/>
                </w:tcPr>
                <w:p>
                  <w:pPr>
                    <w:pStyle w:val="5"/>
                    <w:rPr>
                      <w:rFonts w:hint="eastAsia"/>
                      <w:color w:val="auto"/>
                      <w:highlight w:val="none"/>
                      <w:lang w:val="en-US" w:eastAsia="zh-CN"/>
                    </w:rPr>
                  </w:pPr>
                </w:p>
              </w:tc>
              <w:tc>
                <w:tcPr>
                  <w:tcW w:w="1344" w:type="pct"/>
                  <w:tcBorders>
                    <w:left w:val="single" w:color="auto" w:sz="2" w:space="0"/>
                    <w:bottom w:val="single" w:color="auto" w:sz="4" w:space="0"/>
                    <w:right w:val="single" w:color="auto" w:sz="4" w:space="0"/>
                  </w:tcBorders>
                  <w:noWrap/>
                  <w:vAlign w:val="center"/>
                </w:tcPr>
                <w:p>
                  <w:pPr>
                    <w:pStyle w:val="5"/>
                    <w:keepNext/>
                    <w:keepLines/>
                    <w:pageBreakBefore w:val="0"/>
                    <w:widowControl w:val="0"/>
                    <w:kinsoku/>
                    <w:wordWrap/>
                    <w:overflowPunct/>
                    <w:topLinePunct w:val="0"/>
                    <w:autoSpaceDE/>
                    <w:autoSpaceDN/>
                    <w:bidi w:val="0"/>
                    <w:adjustRightInd/>
                    <w:snapToGrid/>
                    <w:textAlignment w:val="auto"/>
                    <w:rPr>
                      <w:rFonts w:hint="eastAsia"/>
                      <w:color w:val="auto"/>
                      <w:highlight w:val="none"/>
                      <w:lang w:val="en-US" w:eastAsia="zh-CN"/>
                    </w:rPr>
                  </w:pPr>
                  <w:r>
                    <w:rPr>
                      <w:rFonts w:hint="eastAsia"/>
                      <w:color w:val="auto"/>
                      <w:highlight w:val="none"/>
                    </w:rPr>
                    <w:t>《声环境质量标准》（GB3096-2008）中2类</w:t>
                  </w:r>
                  <w:r>
                    <w:rPr>
                      <w:rFonts w:hint="eastAsia"/>
                      <w:color w:val="auto"/>
                      <w:highlight w:val="none"/>
                      <w:lang w:val="en-US" w:eastAsia="zh-CN"/>
                    </w:rPr>
                    <w:t>区限值要求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7" w:type="pct"/>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r>
                    <w:rPr>
                      <w:color w:val="auto"/>
                      <w:highlight w:val="none"/>
                    </w:rPr>
                    <w:t>空气环境</w:t>
                  </w:r>
                </w:p>
              </w:tc>
              <w:tc>
                <w:tcPr>
                  <w:tcW w:w="674" w:type="pct"/>
                  <w:tcBorders>
                    <w:top w:val="single" w:color="auto" w:sz="4" w:space="0"/>
                    <w:left w:val="single" w:color="auto" w:sz="4" w:space="0"/>
                    <w:right w:val="single" w:color="auto" w:sz="4" w:space="0"/>
                  </w:tcBorders>
                  <w:noWrap/>
                  <w:vAlign w:val="center"/>
                </w:tcPr>
                <w:p>
                  <w:pPr>
                    <w:pStyle w:val="5"/>
                    <w:rPr>
                      <w:color w:val="auto"/>
                      <w:highlight w:val="none"/>
                    </w:rPr>
                  </w:pPr>
                  <w:r>
                    <w:rPr>
                      <w:rFonts w:hint="eastAsia"/>
                      <w:color w:val="auto"/>
                      <w:highlight w:val="none"/>
                    </w:rPr>
                    <w:t>七克台镇及火车站镇</w:t>
                  </w:r>
                </w:p>
              </w:tc>
              <w:tc>
                <w:tcPr>
                  <w:tcW w:w="1419" w:type="pct"/>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r>
                    <w:rPr>
                      <w:rFonts w:hint="eastAsia"/>
                      <w:color w:val="auto"/>
                      <w:highlight w:val="none"/>
                    </w:rPr>
                    <w:t>坎而其干渠、一号支渠、三号支渠、五号支渠、七号支渠</w:t>
                  </w:r>
                </w:p>
              </w:tc>
              <w:tc>
                <w:tcPr>
                  <w:tcW w:w="525" w:type="pct"/>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r>
                    <w:rPr>
                      <w:rFonts w:hint="eastAsia"/>
                      <w:color w:val="auto"/>
                      <w:highlight w:val="none"/>
                    </w:rPr>
                    <w:t>900</w:t>
                  </w:r>
                  <w:r>
                    <w:rPr>
                      <w:color w:val="auto"/>
                      <w:highlight w:val="none"/>
                    </w:rPr>
                    <w:t>人</w:t>
                  </w:r>
                </w:p>
              </w:tc>
              <w:tc>
                <w:tcPr>
                  <w:tcW w:w="589" w:type="pct"/>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r>
                    <w:rPr>
                      <w:rFonts w:hint="eastAsia"/>
                      <w:color w:val="auto"/>
                      <w:highlight w:val="none"/>
                    </w:rPr>
                    <w:t>0</w:t>
                  </w:r>
                </w:p>
              </w:tc>
              <w:tc>
                <w:tcPr>
                  <w:tcW w:w="1344" w:type="pct"/>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r>
                    <w:rPr>
                      <w:color w:val="auto"/>
                      <w:highlight w:val="none"/>
                    </w:rPr>
                    <w:t>《环境空气质量标准》（GB3095-2012）的二级标准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47" w:type="pct"/>
                  <w:tcBorders>
                    <w:top w:val="single" w:color="auto" w:sz="2" w:space="0"/>
                    <w:left w:val="single" w:color="auto" w:sz="4" w:space="0"/>
                    <w:bottom w:val="single" w:color="auto" w:sz="2" w:space="0"/>
                    <w:right w:val="single" w:color="auto" w:sz="4" w:space="0"/>
                  </w:tcBorders>
                  <w:noWrap/>
                  <w:vAlign w:val="center"/>
                </w:tcPr>
                <w:p>
                  <w:pPr>
                    <w:pStyle w:val="5"/>
                    <w:rPr>
                      <w:color w:val="auto"/>
                      <w:highlight w:val="none"/>
                    </w:rPr>
                  </w:pPr>
                  <w:r>
                    <w:rPr>
                      <w:color w:val="auto"/>
                      <w:highlight w:val="none"/>
                    </w:rPr>
                    <w:t>地下水环境</w:t>
                  </w:r>
                </w:p>
              </w:tc>
              <w:tc>
                <w:tcPr>
                  <w:tcW w:w="674" w:type="pct"/>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r>
                    <w:rPr>
                      <w:rFonts w:hint="eastAsia"/>
                      <w:color w:val="auto"/>
                      <w:highlight w:val="none"/>
                    </w:rPr>
                    <w:t>渠道周边地下水环境</w:t>
                  </w:r>
                </w:p>
              </w:tc>
              <w:tc>
                <w:tcPr>
                  <w:tcW w:w="1419" w:type="pct"/>
                  <w:vMerge w:val="restart"/>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r>
                    <w:rPr>
                      <w:color w:val="auto"/>
                      <w:highlight w:val="none"/>
                    </w:rPr>
                    <w:t>项目区</w:t>
                  </w:r>
                  <w:r>
                    <w:rPr>
                      <w:rFonts w:hint="eastAsia"/>
                      <w:color w:val="auto"/>
                      <w:highlight w:val="none"/>
                    </w:rPr>
                    <w:t>5</w:t>
                  </w:r>
                  <w:r>
                    <w:rPr>
                      <w:color w:val="auto"/>
                      <w:highlight w:val="none"/>
                    </w:rPr>
                    <w:t>条渠道周围</w:t>
                  </w:r>
                </w:p>
              </w:tc>
              <w:tc>
                <w:tcPr>
                  <w:tcW w:w="525" w:type="pct"/>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r>
                    <w:rPr>
                      <w:rFonts w:hint="eastAsia"/>
                      <w:color w:val="auto"/>
                      <w:highlight w:val="none"/>
                    </w:rPr>
                    <w:t>80</w:t>
                  </w:r>
                  <w:r>
                    <w:rPr>
                      <w:color w:val="auto"/>
                      <w:highlight w:val="none"/>
                    </w:rPr>
                    <w:t>km</w:t>
                  </w:r>
                  <w:r>
                    <w:rPr>
                      <w:color w:val="auto"/>
                      <w:highlight w:val="none"/>
                      <w:vertAlign w:val="superscript"/>
                    </w:rPr>
                    <w:t>2</w:t>
                  </w:r>
                </w:p>
              </w:tc>
              <w:tc>
                <w:tcPr>
                  <w:tcW w:w="589" w:type="pct"/>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r>
                    <w:rPr>
                      <w:rFonts w:hint="eastAsia"/>
                      <w:color w:val="auto"/>
                      <w:highlight w:val="none"/>
                    </w:rPr>
                    <w:t>/</w:t>
                  </w:r>
                </w:p>
              </w:tc>
              <w:tc>
                <w:tcPr>
                  <w:tcW w:w="1344" w:type="pct"/>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r>
                    <w:rPr>
                      <w:color w:val="auto"/>
                      <w:highlight w:val="none"/>
                    </w:rPr>
                    <w:t>《地下水质量标准》（GB/T14848-2017）Ⅲ类标准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47" w:type="pct"/>
                  <w:tcBorders>
                    <w:top w:val="single" w:color="auto" w:sz="2" w:space="0"/>
                    <w:left w:val="single" w:color="auto" w:sz="4" w:space="0"/>
                    <w:bottom w:val="single" w:color="auto" w:sz="2" w:space="0"/>
                    <w:right w:val="single" w:color="auto" w:sz="4" w:space="0"/>
                  </w:tcBorders>
                  <w:noWrap/>
                  <w:vAlign w:val="center"/>
                </w:tcPr>
                <w:p>
                  <w:pPr>
                    <w:pStyle w:val="5"/>
                    <w:rPr>
                      <w:color w:val="auto"/>
                      <w:highlight w:val="none"/>
                    </w:rPr>
                  </w:pPr>
                  <w:r>
                    <w:rPr>
                      <w:color w:val="auto"/>
                      <w:highlight w:val="none"/>
                    </w:rPr>
                    <w:t>土壤环境</w:t>
                  </w:r>
                </w:p>
              </w:tc>
              <w:tc>
                <w:tcPr>
                  <w:tcW w:w="674" w:type="pct"/>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r>
                    <w:rPr>
                      <w:color w:val="auto"/>
                      <w:highlight w:val="none"/>
                    </w:rPr>
                    <w:t>农田</w:t>
                  </w:r>
                </w:p>
              </w:tc>
              <w:tc>
                <w:tcPr>
                  <w:tcW w:w="1419" w:type="pct"/>
                  <w:vMerge w:val="continue"/>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p>
              </w:tc>
              <w:tc>
                <w:tcPr>
                  <w:tcW w:w="525" w:type="pct"/>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r>
                    <w:rPr>
                      <w:rFonts w:hint="eastAsia"/>
                      <w:color w:val="auto"/>
                      <w:highlight w:val="none"/>
                    </w:rPr>
                    <w:t>/</w:t>
                  </w:r>
                </w:p>
              </w:tc>
              <w:tc>
                <w:tcPr>
                  <w:tcW w:w="589" w:type="pct"/>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r>
                    <w:rPr>
                      <w:rFonts w:hint="eastAsia"/>
                      <w:color w:val="auto"/>
                      <w:highlight w:val="none"/>
                    </w:rPr>
                    <w:t>/</w:t>
                  </w:r>
                </w:p>
              </w:tc>
              <w:tc>
                <w:tcPr>
                  <w:tcW w:w="1344" w:type="pct"/>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r>
                    <w:rPr>
                      <w:color w:val="auto"/>
                      <w:highlight w:val="none"/>
                    </w:rPr>
                    <w:t>《</w:t>
                  </w:r>
                  <w:r>
                    <w:rPr>
                      <w:rFonts w:hint="eastAsia"/>
                      <w:color w:val="auto"/>
                      <w:highlight w:val="none"/>
                    </w:rPr>
                    <w:t>土壤环境质量 农用地土壤污染风险管控标准（试行）</w:t>
                  </w:r>
                  <w:r>
                    <w:rPr>
                      <w:color w:val="auto"/>
                      <w:highlight w:val="none"/>
                    </w:rPr>
                    <w:t>》</w:t>
                  </w:r>
                  <w:r>
                    <w:rPr>
                      <w:rFonts w:hint="eastAsia"/>
                      <w:color w:val="auto"/>
                      <w:highlight w:val="none"/>
                    </w:rPr>
                    <w:t>（GB 15618-2018）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47" w:type="pct"/>
                  <w:tcBorders>
                    <w:top w:val="single" w:color="auto" w:sz="2" w:space="0"/>
                    <w:left w:val="single" w:color="auto" w:sz="4" w:space="0"/>
                    <w:bottom w:val="single" w:color="auto" w:sz="2" w:space="0"/>
                    <w:right w:val="single" w:color="auto" w:sz="4" w:space="0"/>
                  </w:tcBorders>
                  <w:noWrap/>
                  <w:vAlign w:val="center"/>
                </w:tcPr>
                <w:p>
                  <w:pPr>
                    <w:pStyle w:val="5"/>
                    <w:rPr>
                      <w:color w:val="auto"/>
                      <w:highlight w:val="none"/>
                    </w:rPr>
                  </w:pPr>
                  <w:r>
                    <w:rPr>
                      <w:color w:val="auto"/>
                      <w:highlight w:val="none"/>
                    </w:rPr>
                    <w:t>生态环境</w:t>
                  </w:r>
                </w:p>
              </w:tc>
              <w:tc>
                <w:tcPr>
                  <w:tcW w:w="674" w:type="pct"/>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r>
                    <w:rPr>
                      <w:rFonts w:hint="eastAsia"/>
                      <w:color w:val="auto"/>
                      <w:highlight w:val="none"/>
                    </w:rPr>
                    <w:t>动植物、生物群落及生态空间等</w:t>
                  </w:r>
                </w:p>
              </w:tc>
              <w:tc>
                <w:tcPr>
                  <w:tcW w:w="1419" w:type="pct"/>
                  <w:vMerge w:val="continue"/>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p>
              </w:tc>
              <w:tc>
                <w:tcPr>
                  <w:tcW w:w="525" w:type="pct"/>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r>
                    <w:rPr>
                      <w:rFonts w:hint="eastAsia"/>
                      <w:color w:val="auto"/>
                      <w:highlight w:val="none"/>
                    </w:rPr>
                    <w:t>/</w:t>
                  </w:r>
                </w:p>
              </w:tc>
              <w:tc>
                <w:tcPr>
                  <w:tcW w:w="589" w:type="pct"/>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r>
                    <w:rPr>
                      <w:rFonts w:hint="eastAsia"/>
                      <w:color w:val="auto"/>
                      <w:highlight w:val="none"/>
                    </w:rPr>
                    <w:t>/</w:t>
                  </w:r>
                </w:p>
              </w:tc>
              <w:tc>
                <w:tcPr>
                  <w:tcW w:w="1344" w:type="pct"/>
                  <w:tcBorders>
                    <w:top w:val="single" w:color="auto" w:sz="4" w:space="0"/>
                    <w:left w:val="single" w:color="auto" w:sz="4" w:space="0"/>
                    <w:bottom w:val="single" w:color="auto" w:sz="4" w:space="0"/>
                    <w:right w:val="single" w:color="auto" w:sz="4" w:space="0"/>
                  </w:tcBorders>
                  <w:noWrap/>
                  <w:vAlign w:val="center"/>
                </w:tcPr>
                <w:p>
                  <w:pPr>
                    <w:pStyle w:val="5"/>
                    <w:rPr>
                      <w:color w:val="auto"/>
                      <w:highlight w:val="none"/>
                    </w:rPr>
                  </w:pPr>
                  <w:r>
                    <w:rPr>
                      <w:color w:val="auto"/>
                      <w:highlight w:val="none"/>
                    </w:rPr>
                    <w:t>/</w:t>
                  </w:r>
                </w:p>
              </w:tc>
            </w:tr>
          </w:tbl>
          <w:p>
            <w:pPr>
              <w:ind w:firstLine="480"/>
              <w:rPr>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7" w:type="pct"/>
            <w:vAlign w:val="center"/>
          </w:tcPr>
          <w:p>
            <w:pPr>
              <w:snapToGrid w:val="0"/>
              <w:spacing w:line="240" w:lineRule="auto"/>
              <w:ind w:firstLine="0" w:firstLineChars="0"/>
              <w:jc w:val="center"/>
              <w:rPr>
                <w:color w:val="auto"/>
                <w:kern w:val="0"/>
                <w:szCs w:val="21"/>
                <w:highlight w:val="none"/>
              </w:rPr>
            </w:pPr>
            <w:r>
              <w:rPr>
                <w:color w:val="auto"/>
                <w:kern w:val="0"/>
                <w:szCs w:val="21"/>
                <w:highlight w:val="none"/>
              </w:rPr>
              <w:t>评价</w:t>
            </w:r>
          </w:p>
          <w:p>
            <w:pPr>
              <w:snapToGrid w:val="0"/>
              <w:spacing w:line="240" w:lineRule="auto"/>
              <w:ind w:firstLine="0" w:firstLineChars="0"/>
              <w:jc w:val="center"/>
              <w:rPr>
                <w:color w:val="auto"/>
                <w:kern w:val="0"/>
                <w:szCs w:val="21"/>
                <w:highlight w:val="none"/>
              </w:rPr>
            </w:pPr>
            <w:r>
              <w:rPr>
                <w:color w:val="auto"/>
                <w:kern w:val="0"/>
                <w:szCs w:val="21"/>
                <w:highlight w:val="none"/>
              </w:rPr>
              <w:t>标准</w:t>
            </w:r>
          </w:p>
        </w:tc>
        <w:tc>
          <w:tcPr>
            <w:tcW w:w="4732" w:type="pct"/>
            <w:vAlign w:val="center"/>
          </w:tcPr>
          <w:p>
            <w:pPr>
              <w:ind w:firstLine="0" w:firstLineChars="0"/>
              <w:rPr>
                <w:b/>
                <w:bCs/>
                <w:color w:val="auto"/>
                <w:highlight w:val="none"/>
              </w:rPr>
            </w:pPr>
            <w:r>
              <w:rPr>
                <w:rFonts w:hint="eastAsia"/>
                <w:b/>
                <w:bCs/>
                <w:color w:val="auto"/>
                <w:highlight w:val="none"/>
              </w:rPr>
              <w:t>1、环境质量标准</w:t>
            </w:r>
          </w:p>
          <w:p>
            <w:pPr>
              <w:ind w:firstLine="480"/>
              <w:rPr>
                <w:color w:val="auto"/>
                <w:highlight w:val="none"/>
              </w:rPr>
            </w:pPr>
            <w:r>
              <w:rPr>
                <w:rFonts w:hint="eastAsia"/>
                <w:color w:val="auto"/>
                <w:highlight w:val="none"/>
              </w:rPr>
              <w:t>（1）《环境空气质量标准》（GB3095-2012）中二级标准；</w:t>
            </w:r>
          </w:p>
          <w:p>
            <w:pPr>
              <w:ind w:firstLine="480"/>
              <w:rPr>
                <w:color w:val="auto"/>
                <w:highlight w:val="none"/>
              </w:rPr>
            </w:pPr>
            <w:r>
              <w:rPr>
                <w:rFonts w:hint="eastAsia"/>
                <w:color w:val="auto"/>
                <w:highlight w:val="none"/>
              </w:rPr>
              <w:t>（2）《地下水质量标准》（GB/T14848-2017）Ⅲ类标准；</w:t>
            </w:r>
          </w:p>
          <w:p>
            <w:pPr>
              <w:ind w:firstLine="480"/>
              <w:rPr>
                <w:color w:val="auto"/>
                <w:highlight w:val="none"/>
              </w:rPr>
            </w:pPr>
            <w:r>
              <w:rPr>
                <w:rFonts w:hint="eastAsia"/>
                <w:color w:val="auto"/>
                <w:highlight w:val="none"/>
              </w:rPr>
              <w:t>（3）本项目穿</w:t>
            </w:r>
            <w:r>
              <w:rPr>
                <w:rFonts w:hint="eastAsia"/>
                <w:color w:val="auto"/>
                <w:highlight w:val="none"/>
                <w:lang w:val="en-US" w:eastAsia="zh-CN"/>
              </w:rPr>
              <w:t>过</w:t>
            </w:r>
            <w:r>
              <w:rPr>
                <w:rFonts w:hint="eastAsia"/>
                <w:color w:val="auto"/>
                <w:highlight w:val="none"/>
              </w:rPr>
              <w:t>鄯善工业园区部分区域执行《声环境质量标准》（GB3096-2008）中3类</w:t>
            </w:r>
            <w:r>
              <w:rPr>
                <w:rFonts w:hint="eastAsia"/>
                <w:color w:val="auto"/>
                <w:highlight w:val="none"/>
                <w:lang w:val="en-US" w:eastAsia="zh-CN"/>
              </w:rPr>
              <w:t>区限值要求</w:t>
            </w:r>
            <w:r>
              <w:rPr>
                <w:rFonts w:hint="eastAsia"/>
                <w:color w:val="auto"/>
                <w:highlight w:val="none"/>
              </w:rPr>
              <w:t>，本项目一号支渠、三号支渠临近高速公路部分区域执行《声环境质量标准》（GB3096-2008）中4a类</w:t>
            </w:r>
            <w:r>
              <w:rPr>
                <w:rFonts w:hint="eastAsia"/>
                <w:color w:val="auto"/>
                <w:highlight w:val="none"/>
                <w:lang w:val="en-US" w:eastAsia="zh-CN"/>
              </w:rPr>
              <w:t>区限值要求</w:t>
            </w:r>
            <w:r>
              <w:rPr>
                <w:rFonts w:hint="eastAsia"/>
                <w:color w:val="auto"/>
                <w:highlight w:val="none"/>
              </w:rPr>
              <w:t>，本项目其他区域执行《声环境质量标准》（GB3096-2008）中2类</w:t>
            </w:r>
            <w:r>
              <w:rPr>
                <w:rFonts w:hint="eastAsia"/>
                <w:color w:val="auto"/>
                <w:highlight w:val="none"/>
                <w:lang w:val="en-US" w:eastAsia="zh-CN"/>
              </w:rPr>
              <w:t>区限值要求</w:t>
            </w:r>
            <w:r>
              <w:rPr>
                <w:rFonts w:hint="eastAsia"/>
                <w:color w:val="auto"/>
                <w:highlight w:val="none"/>
              </w:rPr>
              <w:t>。</w:t>
            </w:r>
          </w:p>
          <w:p>
            <w:pPr>
              <w:ind w:firstLine="0" w:firstLineChars="0"/>
              <w:rPr>
                <w:b/>
                <w:bCs/>
                <w:color w:val="auto"/>
                <w:highlight w:val="none"/>
              </w:rPr>
            </w:pPr>
            <w:r>
              <w:rPr>
                <w:rFonts w:hint="eastAsia"/>
                <w:b/>
                <w:bCs/>
                <w:color w:val="auto"/>
                <w:highlight w:val="none"/>
              </w:rPr>
              <w:t>2、污染物排放标准</w:t>
            </w:r>
          </w:p>
          <w:p>
            <w:pPr>
              <w:ind w:firstLine="480"/>
              <w:rPr>
                <w:color w:val="auto"/>
                <w:highlight w:val="none"/>
              </w:rPr>
            </w:pPr>
            <w:r>
              <w:rPr>
                <w:rFonts w:hint="eastAsia"/>
                <w:color w:val="auto"/>
                <w:highlight w:val="none"/>
              </w:rPr>
              <w:t>（1）废气：《大气污染物综合排放标准》（GB16297-1996）中二级标准；</w:t>
            </w:r>
          </w:p>
          <w:p>
            <w:pPr>
              <w:ind w:firstLine="480"/>
              <w:rPr>
                <w:color w:val="auto"/>
                <w:highlight w:val="none"/>
              </w:rPr>
            </w:pPr>
            <w:r>
              <w:rPr>
                <w:rFonts w:hint="eastAsia"/>
                <w:color w:val="auto"/>
                <w:highlight w:val="none"/>
              </w:rPr>
              <w:t>（2）废水：《农村生活污水处理排放标准》（DB65 4275-2019）；</w:t>
            </w:r>
          </w:p>
          <w:p>
            <w:pPr>
              <w:ind w:firstLine="480"/>
              <w:rPr>
                <w:color w:val="auto"/>
                <w:highlight w:val="none"/>
              </w:rPr>
            </w:pPr>
            <w:r>
              <w:rPr>
                <w:rFonts w:hint="eastAsia"/>
                <w:color w:val="auto"/>
                <w:highlight w:val="none"/>
              </w:rPr>
              <w:t>（3）噪声：《建筑施工场界环境噪声排放标准》（GB12523-2025）；</w:t>
            </w:r>
          </w:p>
          <w:p>
            <w:pPr>
              <w:ind w:firstLine="480"/>
              <w:rPr>
                <w:color w:val="auto"/>
                <w:highlight w:val="none"/>
              </w:rPr>
            </w:pPr>
            <w:r>
              <w:rPr>
                <w:rFonts w:hint="eastAsia"/>
                <w:color w:val="auto"/>
                <w:highlight w:val="none"/>
              </w:rPr>
              <w:t>（4）固废：《一般工业固体废物贮存和填埋污染控制标准》（GB18599-2020）中相关标准。</w:t>
            </w:r>
          </w:p>
          <w:p>
            <w:pPr>
              <w:ind w:firstLine="0" w:firstLineChars="0"/>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67" w:type="pct"/>
            <w:vAlign w:val="center"/>
          </w:tcPr>
          <w:p>
            <w:pPr>
              <w:snapToGrid w:val="0"/>
              <w:spacing w:line="240" w:lineRule="auto"/>
              <w:ind w:firstLine="0" w:firstLineChars="0"/>
              <w:jc w:val="center"/>
              <w:rPr>
                <w:color w:val="auto"/>
                <w:kern w:val="0"/>
                <w:szCs w:val="21"/>
                <w:highlight w:val="none"/>
              </w:rPr>
            </w:pPr>
            <w:r>
              <w:rPr>
                <w:color w:val="auto"/>
                <w:kern w:val="0"/>
                <w:szCs w:val="21"/>
                <w:highlight w:val="none"/>
              </w:rPr>
              <w:t>其他</w:t>
            </w:r>
          </w:p>
        </w:tc>
        <w:tc>
          <w:tcPr>
            <w:tcW w:w="4732" w:type="pct"/>
            <w:vAlign w:val="center"/>
          </w:tcPr>
          <w:p>
            <w:pPr>
              <w:adjustRightInd w:val="0"/>
              <w:snapToGrid w:val="0"/>
              <w:ind w:firstLine="480"/>
              <w:jc w:val="left"/>
              <w:rPr>
                <w:color w:val="auto"/>
                <w:kern w:val="0"/>
                <w:szCs w:val="21"/>
                <w:highlight w:val="none"/>
              </w:rPr>
            </w:pPr>
            <w:r>
              <w:rPr>
                <w:rFonts w:hint="eastAsia"/>
                <w:color w:val="auto"/>
                <w:kern w:val="0"/>
                <w:szCs w:val="21"/>
                <w:highlight w:val="none"/>
              </w:rPr>
              <w:t>根据本项目的特点，建议本项目不设污染物总量控制指标。</w:t>
            </w:r>
          </w:p>
        </w:tc>
      </w:tr>
    </w:tbl>
    <w:p>
      <w:pPr>
        <w:pStyle w:val="26"/>
        <w:spacing w:before="0" w:beforeAutospacing="0" w:after="0" w:afterAutospacing="0"/>
        <w:ind w:firstLine="600"/>
        <w:jc w:val="center"/>
        <w:outlineLvl w:val="0"/>
        <w:rPr>
          <w:rFonts w:ascii="Times New Roman" w:hAnsi="Times New Roman"/>
          <w:snapToGrid w:val="0"/>
          <w:color w:val="auto"/>
          <w:sz w:val="30"/>
          <w:szCs w:val="30"/>
          <w:highlight w:val="none"/>
        </w:rPr>
        <w:sectPr>
          <w:pgSz w:w="11906" w:h="16838"/>
          <w:pgMar w:top="1440" w:right="1800" w:bottom="1440" w:left="1800" w:header="851" w:footer="1077" w:gutter="0"/>
          <w:pgNumType w:fmt="decimal"/>
          <w:cols w:space="720" w:num="1"/>
          <w:docGrid w:linePitch="312" w:charSpace="0"/>
        </w:sectPr>
      </w:pPr>
    </w:p>
    <w:p>
      <w:pPr>
        <w:pStyle w:val="26"/>
        <w:spacing w:before="0" w:beforeAutospacing="0" w:after="0" w:afterAutospacing="0" w:line="240" w:lineRule="auto"/>
        <w:ind w:firstLine="0" w:firstLineChars="0"/>
        <w:jc w:val="center"/>
        <w:outlineLvl w:val="0"/>
        <w:rPr>
          <w:rFonts w:ascii="Times New Roman" w:hAnsi="Times New Roman"/>
          <w:b/>
          <w:bCs/>
          <w:snapToGrid w:val="0"/>
          <w:color w:val="auto"/>
          <w:sz w:val="30"/>
          <w:szCs w:val="30"/>
          <w:highlight w:val="none"/>
        </w:rPr>
      </w:pPr>
      <w:bookmarkStart w:id="18" w:name="_Toc15470"/>
      <w:bookmarkStart w:id="19" w:name="_Toc3661"/>
      <w:bookmarkStart w:id="20" w:name="_Toc280"/>
      <w:bookmarkStart w:id="21" w:name="_Toc11947"/>
      <w:r>
        <w:rPr>
          <w:rFonts w:ascii="Times New Roman" w:hAnsi="Times New Roman"/>
          <w:b/>
          <w:bCs/>
          <w:snapToGrid w:val="0"/>
          <w:color w:val="auto"/>
          <w:sz w:val="30"/>
          <w:szCs w:val="30"/>
          <w:highlight w:val="none"/>
        </w:rPr>
        <w:t>四、生态环境影响分析</w:t>
      </w:r>
      <w:bookmarkEnd w:id="18"/>
      <w:bookmarkEnd w:id="19"/>
      <w:bookmarkEnd w:id="20"/>
      <w:bookmarkEnd w:id="21"/>
    </w:p>
    <w:tbl>
      <w:tblPr>
        <w:tblStyle w:val="30"/>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0"/>
        <w:gridCol w:w="80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 w:type="pct"/>
            <w:tcMar>
              <w:left w:w="28" w:type="dxa"/>
              <w:right w:w="28" w:type="dxa"/>
            </w:tcMar>
            <w:vAlign w:val="center"/>
          </w:tcPr>
          <w:p>
            <w:pPr>
              <w:spacing w:line="240" w:lineRule="auto"/>
              <w:ind w:firstLine="0" w:firstLineChars="0"/>
              <w:jc w:val="center"/>
              <w:rPr>
                <w:color w:val="auto"/>
                <w:highlight w:val="none"/>
              </w:rPr>
            </w:pPr>
            <w:bookmarkStart w:id="22" w:name="_Hlk49796138"/>
            <w:r>
              <w:rPr>
                <w:color w:val="auto"/>
                <w:highlight w:val="none"/>
              </w:rPr>
              <w:t>施工期生态环境影响分析</w:t>
            </w:r>
            <w:bookmarkEnd w:id="22"/>
          </w:p>
        </w:tc>
        <w:tc>
          <w:tcPr>
            <w:tcW w:w="4756" w:type="pct"/>
          </w:tcPr>
          <w:p>
            <w:pPr>
              <w:ind w:firstLine="0" w:firstLineChars="0"/>
              <w:rPr>
                <w:b/>
                <w:bCs/>
                <w:color w:val="auto"/>
                <w:highlight w:val="none"/>
              </w:rPr>
            </w:pPr>
            <w:r>
              <w:rPr>
                <w:rFonts w:hint="eastAsia"/>
                <w:b/>
                <w:bCs/>
                <w:color w:val="auto"/>
                <w:highlight w:val="none"/>
              </w:rPr>
              <w:t>1、施工期对生态环境的影响</w:t>
            </w:r>
          </w:p>
          <w:p>
            <w:pPr>
              <w:ind w:firstLine="482"/>
              <w:rPr>
                <w:b/>
                <w:bCs/>
                <w:color w:val="auto"/>
                <w:highlight w:val="none"/>
              </w:rPr>
            </w:pPr>
            <w:r>
              <w:rPr>
                <w:rFonts w:hint="eastAsia"/>
                <w:b/>
                <w:bCs/>
                <w:color w:val="auto"/>
                <w:highlight w:val="none"/>
              </w:rPr>
              <w:t>1.2临时堆土、弃土</w:t>
            </w:r>
            <w:r>
              <w:rPr>
                <w:rFonts w:hint="eastAsia"/>
                <w:b/>
                <w:bCs/>
                <w:color w:val="auto"/>
                <w:highlight w:val="none"/>
                <w:lang w:val="en-US" w:eastAsia="zh-CN"/>
              </w:rPr>
              <w:t>及弃渣场</w:t>
            </w:r>
            <w:r>
              <w:rPr>
                <w:rFonts w:hint="eastAsia"/>
                <w:b/>
                <w:bCs/>
                <w:color w:val="auto"/>
                <w:highlight w:val="none"/>
              </w:rPr>
              <w:t>对生态环境的影响</w:t>
            </w:r>
          </w:p>
          <w:p>
            <w:pPr>
              <w:ind w:firstLine="480"/>
              <w:rPr>
                <w:rStyle w:val="35"/>
                <w:color w:val="auto"/>
                <w:sz w:val="24"/>
                <w:highlight w:val="none"/>
              </w:rPr>
            </w:pPr>
            <w:r>
              <w:rPr>
                <w:rFonts w:hint="eastAsia"/>
                <w:color w:val="auto"/>
                <w:highlight w:val="none"/>
              </w:rPr>
              <w:t>工程建设过程中将产生大量的土方动迁，基础土方开挖产生的弃土大约2.17万m</w:t>
            </w:r>
            <w:r>
              <w:rPr>
                <w:rFonts w:hint="eastAsia"/>
                <w:color w:val="auto"/>
                <w:highlight w:val="none"/>
                <w:vertAlign w:val="superscript"/>
              </w:rPr>
              <w:t>3</w:t>
            </w:r>
            <w:r>
              <w:rPr>
                <w:rFonts w:hint="eastAsia"/>
                <w:color w:val="auto"/>
                <w:highlight w:val="none"/>
              </w:rPr>
              <w:t>，用于主体工程的填筑、外边坡回填以及堤顶平整，清基土用于堤防沿线平整及绿化覆土。临时堆土、弃土会对环境造成不利影响，但随着工程完成及对堆土、弃土的利用，对环境的影响较小。</w:t>
            </w:r>
          </w:p>
          <w:p>
            <w:pPr>
              <w:ind w:firstLine="0" w:firstLineChars="0"/>
              <w:rPr>
                <w:b/>
                <w:bCs/>
                <w:color w:val="auto"/>
                <w:highlight w:val="none"/>
              </w:rPr>
            </w:pPr>
            <w:r>
              <w:rPr>
                <w:rFonts w:hint="eastAsia"/>
                <w:b/>
                <w:bCs/>
                <w:color w:val="auto"/>
                <w:highlight w:val="none"/>
              </w:rPr>
              <w:t>2、大气环境影响分析</w:t>
            </w:r>
          </w:p>
          <w:p>
            <w:pPr>
              <w:ind w:firstLine="480"/>
              <w:rPr>
                <w:color w:val="auto"/>
                <w:highlight w:val="none"/>
              </w:rPr>
            </w:pPr>
            <w:r>
              <w:rPr>
                <w:rFonts w:hint="eastAsia"/>
                <w:color w:val="auto"/>
                <w:highlight w:val="none"/>
              </w:rPr>
              <w:t>施工期废气主要来源于燃油机械，粉尘来源于土方开挖、填方、机械车辆运输以及混凝土拌和。</w:t>
            </w:r>
          </w:p>
          <w:p>
            <w:pPr>
              <w:ind w:firstLine="480"/>
              <w:rPr>
                <w:color w:val="auto"/>
                <w:highlight w:val="none"/>
              </w:rPr>
            </w:pPr>
            <w:r>
              <w:rPr>
                <w:rFonts w:hint="eastAsia"/>
                <w:color w:val="auto"/>
                <w:highlight w:val="none"/>
              </w:rPr>
              <w:t>燃油机械废气及土方开挖、填方、机械车辆运输粉尘等污染源属于流动性和间歇性的，会对施工人员以及周边村庄的居民产生不利影响。但项目区目前无大气污染源，加之该工程施工大气污染源强</w:t>
            </w:r>
            <w:r>
              <w:rPr>
                <w:rFonts w:hint="eastAsia"/>
                <w:color w:val="auto"/>
                <w:highlight w:val="none"/>
                <w:lang w:eastAsia="zh-CN"/>
              </w:rPr>
              <w:t>度</w:t>
            </w:r>
            <w:r>
              <w:rPr>
                <w:rFonts w:hint="eastAsia"/>
                <w:color w:val="auto"/>
                <w:highlight w:val="none"/>
              </w:rPr>
              <w:t>较小，且施工期间会实施洒水降尘等措施，所以施工期废气、粉尘对环境以及周边环境敏感目标影响不大。</w:t>
            </w:r>
          </w:p>
          <w:p>
            <w:pPr>
              <w:ind w:firstLine="480"/>
              <w:rPr>
                <w:b/>
                <w:bCs/>
                <w:color w:val="auto"/>
                <w:highlight w:val="none"/>
              </w:rPr>
            </w:pPr>
            <w:r>
              <w:rPr>
                <w:rFonts w:hint="eastAsia"/>
                <w:color w:val="auto"/>
                <w:highlight w:val="none"/>
              </w:rPr>
              <w:t>混凝土拌和过程中，由于水泥、砂石等原材料的搅拌和运输，会产生一定量的粉尘。这些粉尘在无有效防护措施的情况下，会扩散至空气中，对施工区域及周边的大气环境造成一定程度的污染。然而，通过采取密闭搅拌、洒水降尘以及合理安排作业时间等措施，可以显著降低混凝土拌和过程中粉尘的产生和扩散，从而减轻其对大气环境的影响。</w:t>
            </w:r>
          </w:p>
          <w:p>
            <w:pPr>
              <w:ind w:firstLine="482"/>
              <w:rPr>
                <w:b/>
                <w:bCs/>
                <w:color w:val="auto"/>
                <w:highlight w:val="none"/>
              </w:rPr>
            </w:pPr>
            <w:r>
              <w:rPr>
                <w:rFonts w:hint="eastAsia"/>
                <w:b/>
                <w:bCs/>
                <w:color w:val="auto"/>
                <w:highlight w:val="none"/>
              </w:rPr>
              <w:t>2.1油料燃烧废气</w:t>
            </w:r>
          </w:p>
          <w:p>
            <w:pPr>
              <w:ind w:firstLine="480"/>
              <w:rPr>
                <w:color w:val="auto"/>
                <w:highlight w:val="none"/>
              </w:rPr>
            </w:pPr>
            <w:r>
              <w:rPr>
                <w:rFonts w:hint="eastAsia"/>
                <w:color w:val="auto"/>
                <w:highlight w:val="none"/>
              </w:rPr>
              <w:t>尾气污染产生的主要决定因素为燃料油种类、机械性能、作业方式和风力等。施工机械的废气基本是以点源形式排放，项目施工期需要动用一定数量的施工车辆和运输车辆，但项目施工所增加的车辆数量较少，因而尾气排放量有限且污染源多为流动的无组织排放，排放源较为分散。另外，工程施工区场地开阔，空气流通性好，排放废气中的各项污染物能够很快扩散，不会引起局部大气环境质量的恶化。加之废气排放的不连续性和工程施工期较短，排放的废气对区域的环境空气质量及附近居民影响很小。</w:t>
            </w:r>
          </w:p>
          <w:p>
            <w:pPr>
              <w:ind w:firstLine="480"/>
              <w:rPr>
                <w:color w:val="auto"/>
                <w:highlight w:val="none"/>
              </w:rPr>
            </w:pPr>
            <w:r>
              <w:rPr>
                <w:rFonts w:hint="eastAsia"/>
                <w:color w:val="auto"/>
                <w:highlight w:val="none"/>
              </w:rPr>
              <w:t>因此，施工期机械废气及车辆尾气对环境的影响是短暂且有限的。</w:t>
            </w:r>
          </w:p>
          <w:p>
            <w:pPr>
              <w:ind w:firstLine="482"/>
              <w:rPr>
                <w:b/>
                <w:bCs/>
                <w:color w:val="auto"/>
                <w:highlight w:val="none"/>
              </w:rPr>
            </w:pPr>
            <w:r>
              <w:rPr>
                <w:rFonts w:hint="eastAsia"/>
                <w:b/>
                <w:bCs/>
                <w:color w:val="auto"/>
                <w:highlight w:val="none"/>
              </w:rPr>
              <w:t>2.2扬尘</w:t>
            </w:r>
          </w:p>
          <w:p>
            <w:pPr>
              <w:ind w:firstLine="480"/>
              <w:rPr>
                <w:rFonts w:hint="eastAsia"/>
                <w:color w:val="auto"/>
                <w:highlight w:val="none"/>
              </w:rPr>
            </w:pPr>
            <w:r>
              <w:rPr>
                <w:rFonts w:hint="eastAsia"/>
                <w:color w:val="auto"/>
                <w:highlight w:val="none"/>
              </w:rPr>
              <w:t>施工扬尘是影响施工区附近环境空气的主要污染物，其来源于各种无组织排放源。其中包括：土方的挖掘扬尘及现场堆放扬尘；建筑材料（水泥、砂砾料等）的现场搬运及堆放扬尘；施工垃圾的清理及堆放扬尘；车辆运输造成的现场道路扬尘等。</w:t>
            </w:r>
          </w:p>
          <w:p>
            <w:pPr>
              <w:ind w:firstLine="480"/>
              <w:rPr>
                <w:color w:val="auto"/>
                <w:highlight w:val="none"/>
              </w:rPr>
            </w:pPr>
            <w:r>
              <w:rPr>
                <w:rFonts w:hint="eastAsia"/>
                <w:color w:val="auto"/>
                <w:highlight w:val="none"/>
              </w:rPr>
              <w:t>在同样路面清洁情况下，车速越快，扬尘量越大；而在同样车速情况下，路面清洁度越差，则扬尘量越大。根据类比调查，一般情况下，施工场地、施工道路在自然风作用下产生的扬尘所影响的范围在</w:t>
            </w:r>
            <w:r>
              <w:rPr>
                <w:color w:val="auto"/>
                <w:highlight w:val="none"/>
              </w:rPr>
              <w:t>100m</w:t>
            </w:r>
            <w:r>
              <w:rPr>
                <w:rFonts w:hint="eastAsia"/>
                <w:color w:val="auto"/>
                <w:highlight w:val="none"/>
              </w:rPr>
              <w:t>以内。</w:t>
            </w:r>
          </w:p>
          <w:p>
            <w:pPr>
              <w:ind w:firstLine="480"/>
              <w:rPr>
                <w:color w:val="auto"/>
                <w:highlight w:val="none"/>
              </w:rPr>
            </w:pPr>
            <w:r>
              <w:rPr>
                <w:rFonts w:hint="eastAsia"/>
                <w:color w:val="auto"/>
                <w:highlight w:val="none"/>
              </w:rPr>
              <w:t>抑制扬尘的一个简洁有效的措施是洒水。如果在施工期内对车辆行驶的路面实施洒水抑尘，每天洒水</w:t>
            </w:r>
            <w:r>
              <w:rPr>
                <w:color w:val="auto"/>
                <w:highlight w:val="none"/>
              </w:rPr>
              <w:t>4-5</w:t>
            </w:r>
            <w:r>
              <w:rPr>
                <w:rFonts w:hint="eastAsia"/>
                <w:color w:val="auto"/>
                <w:highlight w:val="none"/>
              </w:rPr>
              <w:t>次，可使扬尘减少</w:t>
            </w:r>
            <w:r>
              <w:rPr>
                <w:color w:val="auto"/>
                <w:highlight w:val="none"/>
              </w:rPr>
              <w:t>70%</w:t>
            </w:r>
            <w:r>
              <w:rPr>
                <w:rFonts w:hint="eastAsia"/>
                <w:color w:val="auto"/>
                <w:highlight w:val="none"/>
              </w:rPr>
              <w:t>左右。</w:t>
            </w:r>
          </w:p>
          <w:p>
            <w:pPr>
              <w:ind w:firstLine="480"/>
              <w:rPr>
                <w:color w:val="auto"/>
                <w:highlight w:val="none"/>
              </w:rPr>
            </w:pPr>
            <w:r>
              <w:rPr>
                <w:rFonts w:hint="eastAsia"/>
                <w:color w:val="auto"/>
                <w:highlight w:val="none"/>
              </w:rPr>
              <w:t>表4-2为施工场地洒水抑尘的试验结果。</w:t>
            </w:r>
          </w:p>
          <w:p>
            <w:pPr>
              <w:pStyle w:val="5"/>
              <w:rPr>
                <w:b/>
                <w:bCs/>
                <w:color w:val="auto"/>
                <w:highlight w:val="none"/>
              </w:rPr>
            </w:pPr>
            <w:r>
              <w:rPr>
                <w:rFonts w:hint="eastAsia"/>
                <w:b/>
                <w:bCs/>
                <w:color w:val="auto"/>
                <w:highlight w:val="none"/>
              </w:rPr>
              <w:t>表4-2      施工场地洒水抑尘试验结果    单位：</w:t>
            </w:r>
            <w:r>
              <w:rPr>
                <w:b/>
                <w:bCs/>
                <w:color w:val="auto"/>
                <w:highlight w:val="none"/>
              </w:rPr>
              <w:t xml:space="preserve">mg/m3  </w:t>
            </w:r>
          </w:p>
          <w:tbl>
            <w:tblPr>
              <w:tblStyle w:val="30"/>
              <w:tblW w:w="499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52"/>
              <w:gridCol w:w="1191"/>
              <w:gridCol w:w="1115"/>
              <w:gridCol w:w="1296"/>
              <w:gridCol w:w="1113"/>
              <w:gridCol w:w="11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1" w:hRule="atLeast"/>
                <w:jc w:val="center"/>
              </w:trPr>
              <w:tc>
                <w:tcPr>
                  <w:tcW w:w="2019" w:type="pct"/>
                  <w:gridSpan w:val="2"/>
                  <w:tcBorders>
                    <w:top w:val="single" w:color="auto" w:sz="4" w:space="0"/>
                    <w:left w:val="single" w:color="auto" w:sz="4" w:space="0"/>
                    <w:bottom w:val="single" w:color="auto" w:sz="4" w:space="0"/>
                    <w:right w:val="single" w:color="auto" w:sz="4" w:space="0"/>
                  </w:tcBorders>
                  <w:vAlign w:val="center"/>
                </w:tcPr>
                <w:p>
                  <w:pPr>
                    <w:pStyle w:val="5"/>
                    <w:rPr>
                      <w:color w:val="auto"/>
                      <w:highlight w:val="none"/>
                    </w:rPr>
                  </w:pPr>
                  <w:r>
                    <w:rPr>
                      <w:rFonts w:hint="eastAsia"/>
                      <w:color w:val="auto"/>
                      <w:highlight w:val="none"/>
                    </w:rPr>
                    <w:t>距离</w:t>
                  </w:r>
                </w:p>
              </w:tc>
              <w:tc>
                <w:tcPr>
                  <w:tcW w:w="716" w:type="pct"/>
                  <w:tcBorders>
                    <w:top w:val="single" w:color="auto" w:sz="4" w:space="0"/>
                    <w:left w:val="single" w:color="auto" w:sz="4" w:space="0"/>
                    <w:bottom w:val="single" w:color="auto" w:sz="4" w:space="0"/>
                    <w:right w:val="single" w:color="auto" w:sz="4" w:space="0"/>
                  </w:tcBorders>
                  <w:vAlign w:val="center"/>
                </w:tcPr>
                <w:p>
                  <w:pPr>
                    <w:pStyle w:val="5"/>
                    <w:rPr>
                      <w:color w:val="auto"/>
                      <w:highlight w:val="none"/>
                    </w:rPr>
                  </w:pPr>
                  <w:r>
                    <w:rPr>
                      <w:color w:val="auto"/>
                      <w:highlight w:val="none"/>
                    </w:rPr>
                    <w:t>5m</w:t>
                  </w:r>
                </w:p>
              </w:tc>
              <w:tc>
                <w:tcPr>
                  <w:tcW w:w="833" w:type="pct"/>
                  <w:tcBorders>
                    <w:top w:val="single" w:color="auto" w:sz="4" w:space="0"/>
                    <w:left w:val="single" w:color="auto" w:sz="4" w:space="0"/>
                    <w:bottom w:val="single" w:color="auto" w:sz="4" w:space="0"/>
                    <w:right w:val="single" w:color="auto" w:sz="4" w:space="0"/>
                  </w:tcBorders>
                  <w:vAlign w:val="center"/>
                </w:tcPr>
                <w:p>
                  <w:pPr>
                    <w:pStyle w:val="5"/>
                    <w:rPr>
                      <w:color w:val="auto"/>
                      <w:highlight w:val="none"/>
                    </w:rPr>
                  </w:pPr>
                  <w:r>
                    <w:rPr>
                      <w:color w:val="auto"/>
                      <w:highlight w:val="none"/>
                    </w:rPr>
                    <w:t>20m</w:t>
                  </w:r>
                </w:p>
              </w:tc>
              <w:tc>
                <w:tcPr>
                  <w:tcW w:w="715" w:type="pct"/>
                  <w:tcBorders>
                    <w:top w:val="single" w:color="auto" w:sz="4" w:space="0"/>
                    <w:left w:val="single" w:color="auto" w:sz="4" w:space="0"/>
                    <w:bottom w:val="single" w:color="auto" w:sz="4" w:space="0"/>
                    <w:right w:val="single" w:color="auto" w:sz="4" w:space="0"/>
                  </w:tcBorders>
                  <w:vAlign w:val="center"/>
                </w:tcPr>
                <w:p>
                  <w:pPr>
                    <w:pStyle w:val="5"/>
                    <w:rPr>
                      <w:color w:val="auto"/>
                      <w:highlight w:val="none"/>
                    </w:rPr>
                  </w:pPr>
                  <w:r>
                    <w:rPr>
                      <w:color w:val="auto"/>
                      <w:highlight w:val="none"/>
                    </w:rPr>
                    <w:t>50m</w:t>
                  </w:r>
                </w:p>
              </w:tc>
              <w:tc>
                <w:tcPr>
                  <w:tcW w:w="715" w:type="pct"/>
                  <w:tcBorders>
                    <w:top w:val="single" w:color="auto" w:sz="4" w:space="0"/>
                    <w:left w:val="single" w:color="auto" w:sz="4" w:space="0"/>
                    <w:bottom w:val="single" w:color="auto" w:sz="4" w:space="0"/>
                    <w:right w:val="single" w:color="auto" w:sz="4" w:space="0"/>
                  </w:tcBorders>
                  <w:vAlign w:val="center"/>
                </w:tcPr>
                <w:p>
                  <w:pPr>
                    <w:pStyle w:val="5"/>
                    <w:rPr>
                      <w:color w:val="auto"/>
                      <w:highlight w:val="none"/>
                    </w:rPr>
                  </w:pPr>
                  <w:r>
                    <w:rPr>
                      <w:color w:val="auto"/>
                      <w:highlight w:val="none"/>
                    </w:rPr>
                    <w:t>100m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1" w:hRule="atLeast"/>
                <w:jc w:val="center"/>
              </w:trPr>
              <w:tc>
                <w:tcPr>
                  <w:tcW w:w="1253" w:type="pct"/>
                  <w:vMerge w:val="restart"/>
                  <w:tcBorders>
                    <w:top w:val="single" w:color="auto" w:sz="4" w:space="0"/>
                    <w:left w:val="single" w:color="auto" w:sz="4" w:space="0"/>
                    <w:bottom w:val="single" w:color="auto" w:sz="4" w:space="0"/>
                    <w:right w:val="single" w:color="auto" w:sz="4" w:space="0"/>
                  </w:tcBorders>
                  <w:vAlign w:val="center"/>
                </w:tcPr>
                <w:p>
                  <w:pPr>
                    <w:pStyle w:val="5"/>
                    <w:rPr>
                      <w:color w:val="auto"/>
                      <w:highlight w:val="none"/>
                    </w:rPr>
                  </w:pPr>
                  <w:r>
                    <w:rPr>
                      <w:color w:val="auto"/>
                      <w:highlight w:val="none"/>
                    </w:rPr>
                    <w:t>TSP</w:t>
                  </w:r>
                  <w:r>
                    <w:rPr>
                      <w:rFonts w:hint="eastAsia"/>
                      <w:color w:val="auto"/>
                      <w:highlight w:val="none"/>
                    </w:rPr>
                    <w:t>小时平均浓度</w:t>
                  </w:r>
                </w:p>
              </w:tc>
              <w:tc>
                <w:tcPr>
                  <w:tcW w:w="765" w:type="pct"/>
                  <w:tcBorders>
                    <w:top w:val="single" w:color="auto" w:sz="4" w:space="0"/>
                    <w:left w:val="single" w:color="auto" w:sz="4" w:space="0"/>
                    <w:bottom w:val="single" w:color="auto" w:sz="4" w:space="0"/>
                    <w:right w:val="single" w:color="auto" w:sz="4" w:space="0"/>
                  </w:tcBorders>
                  <w:vAlign w:val="center"/>
                </w:tcPr>
                <w:p>
                  <w:pPr>
                    <w:pStyle w:val="5"/>
                    <w:rPr>
                      <w:color w:val="auto"/>
                      <w:highlight w:val="none"/>
                    </w:rPr>
                  </w:pPr>
                  <w:r>
                    <w:rPr>
                      <w:rFonts w:hint="eastAsia"/>
                      <w:color w:val="auto"/>
                      <w:highlight w:val="none"/>
                    </w:rPr>
                    <w:t>不洒水</w:t>
                  </w:r>
                </w:p>
              </w:tc>
              <w:tc>
                <w:tcPr>
                  <w:tcW w:w="716" w:type="pct"/>
                  <w:tcBorders>
                    <w:top w:val="single" w:color="auto" w:sz="4" w:space="0"/>
                    <w:left w:val="single" w:color="auto" w:sz="4" w:space="0"/>
                    <w:bottom w:val="single" w:color="auto" w:sz="4" w:space="0"/>
                    <w:right w:val="single" w:color="auto" w:sz="4" w:space="0"/>
                  </w:tcBorders>
                  <w:vAlign w:val="center"/>
                </w:tcPr>
                <w:p>
                  <w:pPr>
                    <w:pStyle w:val="5"/>
                    <w:rPr>
                      <w:color w:val="auto"/>
                      <w:highlight w:val="none"/>
                    </w:rPr>
                  </w:pPr>
                  <w:r>
                    <w:rPr>
                      <w:color w:val="auto"/>
                      <w:highlight w:val="none"/>
                    </w:rPr>
                    <w:t>10.14</w:t>
                  </w:r>
                </w:p>
              </w:tc>
              <w:tc>
                <w:tcPr>
                  <w:tcW w:w="833" w:type="pct"/>
                  <w:tcBorders>
                    <w:top w:val="single" w:color="auto" w:sz="4" w:space="0"/>
                    <w:left w:val="single" w:color="auto" w:sz="4" w:space="0"/>
                    <w:bottom w:val="single" w:color="auto" w:sz="4" w:space="0"/>
                    <w:right w:val="single" w:color="auto" w:sz="4" w:space="0"/>
                  </w:tcBorders>
                  <w:vAlign w:val="center"/>
                </w:tcPr>
                <w:p>
                  <w:pPr>
                    <w:pStyle w:val="5"/>
                    <w:rPr>
                      <w:color w:val="auto"/>
                      <w:highlight w:val="none"/>
                    </w:rPr>
                  </w:pPr>
                  <w:r>
                    <w:rPr>
                      <w:color w:val="auto"/>
                      <w:highlight w:val="none"/>
                    </w:rPr>
                    <w:t>2.89</w:t>
                  </w:r>
                </w:p>
              </w:tc>
              <w:tc>
                <w:tcPr>
                  <w:tcW w:w="715" w:type="pct"/>
                  <w:tcBorders>
                    <w:top w:val="single" w:color="auto" w:sz="4" w:space="0"/>
                    <w:left w:val="single" w:color="auto" w:sz="4" w:space="0"/>
                    <w:bottom w:val="single" w:color="auto" w:sz="4" w:space="0"/>
                    <w:right w:val="single" w:color="auto" w:sz="4" w:space="0"/>
                  </w:tcBorders>
                  <w:vAlign w:val="center"/>
                </w:tcPr>
                <w:p>
                  <w:pPr>
                    <w:pStyle w:val="5"/>
                    <w:rPr>
                      <w:color w:val="auto"/>
                      <w:highlight w:val="none"/>
                    </w:rPr>
                  </w:pPr>
                  <w:r>
                    <w:rPr>
                      <w:color w:val="auto"/>
                      <w:highlight w:val="none"/>
                    </w:rPr>
                    <w:t>1.15</w:t>
                  </w:r>
                </w:p>
              </w:tc>
              <w:tc>
                <w:tcPr>
                  <w:tcW w:w="715" w:type="pct"/>
                  <w:tcBorders>
                    <w:top w:val="single" w:color="auto" w:sz="4" w:space="0"/>
                    <w:left w:val="single" w:color="auto" w:sz="4" w:space="0"/>
                    <w:bottom w:val="single" w:color="auto" w:sz="4" w:space="0"/>
                    <w:right w:val="single" w:color="auto" w:sz="4" w:space="0"/>
                  </w:tcBorders>
                  <w:vAlign w:val="center"/>
                </w:tcPr>
                <w:p>
                  <w:pPr>
                    <w:pStyle w:val="5"/>
                    <w:rPr>
                      <w:color w:val="auto"/>
                      <w:highlight w:val="none"/>
                    </w:rPr>
                  </w:pPr>
                  <w:r>
                    <w:rPr>
                      <w:color w:val="auto"/>
                      <w:highlight w:val="none"/>
                    </w:rPr>
                    <w:t>0.86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1" w:hRule="atLeast"/>
                <w:jc w:val="center"/>
              </w:trPr>
              <w:tc>
                <w:tcPr>
                  <w:tcW w:w="1253" w:type="pct"/>
                  <w:vMerge w:val="continue"/>
                  <w:tcBorders>
                    <w:top w:val="single" w:color="auto" w:sz="4" w:space="0"/>
                    <w:left w:val="single" w:color="auto" w:sz="4" w:space="0"/>
                    <w:bottom w:val="single" w:color="auto" w:sz="4" w:space="0"/>
                    <w:right w:val="single" w:color="auto" w:sz="4" w:space="0"/>
                  </w:tcBorders>
                  <w:vAlign w:val="center"/>
                </w:tcPr>
                <w:p>
                  <w:pPr>
                    <w:pStyle w:val="5"/>
                    <w:rPr>
                      <w:color w:val="auto"/>
                      <w:highlight w:val="none"/>
                    </w:rPr>
                  </w:pPr>
                </w:p>
              </w:tc>
              <w:tc>
                <w:tcPr>
                  <w:tcW w:w="765" w:type="pct"/>
                  <w:tcBorders>
                    <w:top w:val="single" w:color="auto" w:sz="4" w:space="0"/>
                    <w:left w:val="single" w:color="auto" w:sz="4" w:space="0"/>
                    <w:bottom w:val="single" w:color="auto" w:sz="4" w:space="0"/>
                    <w:right w:val="single" w:color="auto" w:sz="4" w:space="0"/>
                  </w:tcBorders>
                  <w:vAlign w:val="center"/>
                </w:tcPr>
                <w:p>
                  <w:pPr>
                    <w:pStyle w:val="5"/>
                    <w:rPr>
                      <w:color w:val="auto"/>
                      <w:highlight w:val="none"/>
                    </w:rPr>
                  </w:pPr>
                  <w:r>
                    <w:rPr>
                      <w:rFonts w:hint="eastAsia"/>
                      <w:color w:val="auto"/>
                      <w:highlight w:val="none"/>
                    </w:rPr>
                    <w:t>洒水</w:t>
                  </w:r>
                </w:p>
              </w:tc>
              <w:tc>
                <w:tcPr>
                  <w:tcW w:w="716" w:type="pct"/>
                  <w:tcBorders>
                    <w:top w:val="single" w:color="auto" w:sz="4" w:space="0"/>
                    <w:left w:val="single" w:color="auto" w:sz="4" w:space="0"/>
                    <w:bottom w:val="single" w:color="auto" w:sz="4" w:space="0"/>
                    <w:right w:val="single" w:color="auto" w:sz="4" w:space="0"/>
                  </w:tcBorders>
                  <w:vAlign w:val="center"/>
                </w:tcPr>
                <w:p>
                  <w:pPr>
                    <w:pStyle w:val="5"/>
                    <w:rPr>
                      <w:color w:val="auto"/>
                      <w:highlight w:val="none"/>
                    </w:rPr>
                  </w:pPr>
                  <w:r>
                    <w:rPr>
                      <w:color w:val="auto"/>
                      <w:highlight w:val="none"/>
                    </w:rPr>
                    <w:t>2.01</w:t>
                  </w:r>
                </w:p>
              </w:tc>
              <w:tc>
                <w:tcPr>
                  <w:tcW w:w="833" w:type="pct"/>
                  <w:tcBorders>
                    <w:top w:val="single" w:color="auto" w:sz="4" w:space="0"/>
                    <w:left w:val="single" w:color="auto" w:sz="4" w:space="0"/>
                    <w:bottom w:val="single" w:color="auto" w:sz="4" w:space="0"/>
                    <w:right w:val="single" w:color="auto" w:sz="4" w:space="0"/>
                  </w:tcBorders>
                  <w:vAlign w:val="center"/>
                </w:tcPr>
                <w:p>
                  <w:pPr>
                    <w:pStyle w:val="5"/>
                    <w:rPr>
                      <w:color w:val="auto"/>
                      <w:highlight w:val="none"/>
                    </w:rPr>
                  </w:pPr>
                  <w:r>
                    <w:rPr>
                      <w:color w:val="auto"/>
                      <w:highlight w:val="none"/>
                    </w:rPr>
                    <w:t>1.40</w:t>
                  </w:r>
                </w:p>
              </w:tc>
              <w:tc>
                <w:tcPr>
                  <w:tcW w:w="715" w:type="pct"/>
                  <w:tcBorders>
                    <w:top w:val="single" w:color="auto" w:sz="4" w:space="0"/>
                    <w:left w:val="single" w:color="auto" w:sz="4" w:space="0"/>
                    <w:bottom w:val="single" w:color="auto" w:sz="4" w:space="0"/>
                    <w:right w:val="single" w:color="auto" w:sz="4" w:space="0"/>
                  </w:tcBorders>
                  <w:vAlign w:val="center"/>
                </w:tcPr>
                <w:p>
                  <w:pPr>
                    <w:pStyle w:val="5"/>
                    <w:rPr>
                      <w:color w:val="auto"/>
                      <w:highlight w:val="none"/>
                    </w:rPr>
                  </w:pPr>
                  <w:r>
                    <w:rPr>
                      <w:color w:val="auto"/>
                      <w:highlight w:val="none"/>
                    </w:rPr>
                    <w:t>0.67</w:t>
                  </w:r>
                </w:p>
              </w:tc>
              <w:tc>
                <w:tcPr>
                  <w:tcW w:w="715" w:type="pct"/>
                  <w:tcBorders>
                    <w:top w:val="single" w:color="auto" w:sz="4" w:space="0"/>
                    <w:left w:val="single" w:color="auto" w:sz="4" w:space="0"/>
                    <w:bottom w:val="single" w:color="auto" w:sz="4" w:space="0"/>
                    <w:right w:val="single" w:color="auto" w:sz="4" w:space="0"/>
                  </w:tcBorders>
                  <w:vAlign w:val="center"/>
                </w:tcPr>
                <w:p>
                  <w:pPr>
                    <w:pStyle w:val="5"/>
                    <w:rPr>
                      <w:color w:val="auto"/>
                      <w:highlight w:val="none"/>
                    </w:rPr>
                  </w:pPr>
                  <w:r>
                    <w:rPr>
                      <w:color w:val="auto"/>
                      <w:highlight w:val="none"/>
                    </w:rPr>
                    <w:t>0.60</w:t>
                  </w:r>
                </w:p>
              </w:tc>
            </w:tr>
          </w:tbl>
          <w:p>
            <w:pPr>
              <w:ind w:firstLine="480"/>
              <w:rPr>
                <w:color w:val="auto"/>
                <w:highlight w:val="none"/>
              </w:rPr>
            </w:pPr>
            <w:r>
              <w:rPr>
                <w:rFonts w:hint="eastAsia"/>
                <w:color w:val="auto"/>
                <w:highlight w:val="none"/>
              </w:rPr>
              <w:t>由该表数据可以看出对施工场地实施每天洒水</w:t>
            </w:r>
            <w:r>
              <w:rPr>
                <w:color w:val="auto"/>
                <w:highlight w:val="none"/>
              </w:rPr>
              <w:t>4-5</w:t>
            </w:r>
            <w:r>
              <w:rPr>
                <w:rFonts w:hint="eastAsia"/>
                <w:color w:val="auto"/>
                <w:highlight w:val="none"/>
              </w:rPr>
              <w:t>次进行抑尘，可有效地控制施工扬尘，并可将</w:t>
            </w:r>
            <w:r>
              <w:rPr>
                <w:color w:val="auto"/>
                <w:highlight w:val="none"/>
              </w:rPr>
              <w:t>TSP</w:t>
            </w:r>
            <w:r>
              <w:rPr>
                <w:rFonts w:hint="eastAsia"/>
                <w:color w:val="auto"/>
                <w:highlight w:val="none"/>
              </w:rPr>
              <w:t>污染距离缩小到</w:t>
            </w:r>
            <w:r>
              <w:rPr>
                <w:color w:val="auto"/>
                <w:highlight w:val="none"/>
              </w:rPr>
              <w:t>20-50m</w:t>
            </w:r>
            <w:r>
              <w:rPr>
                <w:rFonts w:hint="eastAsia"/>
                <w:color w:val="auto"/>
                <w:highlight w:val="none"/>
              </w:rPr>
              <w:t>范围。施工扬尘的另一种重要产生方式是建筑材料的露天堆放和搅拌作业，这类扬尘的主要特点是受作业时风速大小的影响显著。因此，禁止在大风天气时进行此类作业以及减少建筑材料的露天堆放是抑制这类扬尘的一种很有效的手段。</w:t>
            </w:r>
          </w:p>
          <w:p>
            <w:pPr>
              <w:ind w:firstLine="480"/>
              <w:rPr>
                <w:color w:val="auto"/>
                <w:highlight w:val="none"/>
              </w:rPr>
            </w:pPr>
            <w:r>
              <w:rPr>
                <w:rFonts w:hint="eastAsia"/>
                <w:color w:val="auto"/>
                <w:highlight w:val="none"/>
              </w:rPr>
              <w:t>由此可见，本项目施工期产生的扬尘是对环境空气产生影响的首要因素。针对施工期扬尘污染问题，项目施工中采取洒水降尘等措施来减轻扬尘对周围环境的影响。</w:t>
            </w:r>
          </w:p>
          <w:p>
            <w:pPr>
              <w:ind w:firstLine="482"/>
              <w:rPr>
                <w:b/>
                <w:bCs/>
                <w:color w:val="auto"/>
                <w:highlight w:val="none"/>
              </w:rPr>
            </w:pPr>
            <w:r>
              <w:rPr>
                <w:rFonts w:hint="eastAsia"/>
                <w:b/>
                <w:bCs/>
                <w:color w:val="auto"/>
                <w:highlight w:val="none"/>
              </w:rPr>
              <w:t>2.3混凝土拌和产生的粉尘</w:t>
            </w:r>
          </w:p>
          <w:p>
            <w:pPr>
              <w:ind w:firstLine="480"/>
              <w:rPr>
                <w:color w:val="auto"/>
                <w:highlight w:val="none"/>
              </w:rPr>
            </w:pPr>
            <w:r>
              <w:rPr>
                <w:rFonts w:hint="eastAsia"/>
                <w:color w:val="auto"/>
                <w:highlight w:val="none"/>
              </w:rPr>
              <w:t>混凝土拌和过程中，由于水泥、砂石等原材料的搅拌和运输，会产生一定量的粉尘。具体环境影响如下：</w:t>
            </w:r>
          </w:p>
          <w:p>
            <w:pPr>
              <w:ind w:firstLine="480"/>
              <w:rPr>
                <w:color w:val="auto"/>
                <w:highlight w:val="none"/>
              </w:rPr>
            </w:pPr>
            <w:r>
              <w:rPr>
                <w:rFonts w:hint="eastAsia"/>
                <w:color w:val="auto"/>
                <w:highlight w:val="none"/>
              </w:rPr>
              <w:t>在混凝土拌合站，水泥、砂石等原材料的装卸和搅拌环节是粉尘产生的主要源头。这些粉尘不仅含有大量的细微颗粒物，还可能携带部分有害物质，对施工现场及周边环境空气质量造成不良影响。尤其是在干燥多风的天气条件下，粉尘更容易扩散，形成扬尘污染，影响施工人员的健康以及周边居民的正常生活。</w:t>
            </w:r>
          </w:p>
          <w:p>
            <w:pPr>
              <w:ind w:firstLine="480"/>
              <w:rPr>
                <w:color w:val="auto"/>
                <w:highlight w:val="none"/>
              </w:rPr>
            </w:pPr>
            <w:r>
              <w:rPr>
                <w:rFonts w:hint="eastAsia"/>
                <w:color w:val="auto"/>
                <w:highlight w:val="none"/>
              </w:rPr>
              <w:t>为了有效控制混凝土拌和产生的粉尘污染，项目施工中采取了一系列针对性的措施。首先，对拌合站进行封闭处理，减少粉尘的外逸。通过搭建封闭式的拌合车间，将搅拌设备、原材料堆放区等全部纳入封闭空间内，从源头上控制粉尘的产生和扩散。其次，配备高效的除尘设备，如布袋除尘器等，对拌合过程中产生的粉尘进行收集和处理。这些除尘设备能够高效地捕捉空气中的粉尘颗粒，将其收集并集中处理，从而显著降低施工现场的粉尘浓度。此外，还定期对拌合站进行清扫和洒水降尘，保持施工现场的清洁和湿润，进一步减少粉尘的产生和飞扬。</w:t>
            </w:r>
          </w:p>
          <w:p>
            <w:pPr>
              <w:ind w:firstLine="0" w:firstLineChars="0"/>
              <w:rPr>
                <w:b/>
                <w:bCs/>
                <w:color w:val="auto"/>
                <w:highlight w:val="none"/>
              </w:rPr>
            </w:pPr>
            <w:r>
              <w:rPr>
                <w:rFonts w:hint="eastAsia"/>
                <w:b/>
                <w:bCs/>
                <w:color w:val="auto"/>
                <w:highlight w:val="none"/>
              </w:rPr>
              <w:t>3、水环境影响分析</w:t>
            </w:r>
          </w:p>
          <w:p>
            <w:pPr>
              <w:ind w:firstLine="480"/>
              <w:rPr>
                <w:color w:val="auto"/>
                <w:highlight w:val="none"/>
              </w:rPr>
            </w:pPr>
            <w:r>
              <w:rPr>
                <w:rFonts w:hint="eastAsia"/>
                <w:color w:val="auto"/>
                <w:highlight w:val="none"/>
              </w:rPr>
              <w:t>施工期废水主要为施工人员的生活污水以及施工废水。</w:t>
            </w:r>
          </w:p>
          <w:p>
            <w:pPr>
              <w:ind w:firstLine="480"/>
              <w:rPr>
                <w:color w:val="auto"/>
                <w:highlight w:val="none"/>
              </w:rPr>
            </w:pPr>
            <w:r>
              <w:rPr>
                <w:rFonts w:hint="eastAsia"/>
                <w:color w:val="auto"/>
                <w:highlight w:val="none"/>
              </w:rPr>
              <w:t>施工废水主要为混凝土系统废水，其中主要污染物为泥沙、岩石碎屑等固体物质，一般不产生其他溶于水的有毒物质，水质中除悬浮物浓度较高外，其余指标基本无变化。施工废水经过沉淀处理后重复利用，减少排放，或沉淀后用于施工场地附近的道路洒水降尘，所以施工废水对周边环境影响较小。</w:t>
            </w:r>
          </w:p>
          <w:p>
            <w:pPr>
              <w:ind w:firstLine="480"/>
              <w:rPr>
                <w:color w:val="auto"/>
                <w:highlight w:val="none"/>
              </w:rPr>
            </w:pPr>
            <w:r>
              <w:rPr>
                <w:rFonts w:hint="eastAsia"/>
                <w:color w:val="auto"/>
                <w:highlight w:val="none"/>
              </w:rPr>
              <w:t>综上所述，只要加强管理，采取相应的环保措施后，施工期废水对周围水环境影响较小。</w:t>
            </w:r>
          </w:p>
          <w:p>
            <w:pPr>
              <w:ind w:firstLine="0" w:firstLineChars="0"/>
              <w:rPr>
                <w:b/>
                <w:bCs/>
                <w:color w:val="auto"/>
                <w:highlight w:val="none"/>
              </w:rPr>
            </w:pPr>
            <w:r>
              <w:rPr>
                <w:rFonts w:hint="eastAsia"/>
                <w:b/>
                <w:bCs/>
                <w:color w:val="auto"/>
                <w:highlight w:val="none"/>
              </w:rPr>
              <w:t>4、声环境影响分析</w:t>
            </w:r>
          </w:p>
          <w:p>
            <w:pPr>
              <w:ind w:firstLine="480"/>
              <w:rPr>
                <w:color w:val="auto"/>
                <w:highlight w:val="none"/>
              </w:rPr>
            </w:pPr>
            <w:r>
              <w:rPr>
                <w:rFonts w:hint="eastAsia"/>
                <w:color w:val="auto"/>
                <w:highlight w:val="none"/>
              </w:rPr>
              <w:t>本项目施工噪声主要来自施工运输机械运行、土石方开挖和车辆运输等。其中交通噪声是间歇性的，其他施工机械的噪声是持续性的。土石方开挖机械噪声强度一般超过84dB（A）；大型运输机械噪声源声级多在89dB（A）以上，联合作业时叠加影响更加突出。而且本项目有些渠道位于居民区内，所以将对施工人员和周围居民生活产生不利影响。但施工期一般选择白天施工，避开居民休息时间，且尽可能避免高噪声设备同时使用，通过实施以上措施，将尽可能地减少噪声对项目周边环境敏感目标以及施工人员的影响。</w:t>
            </w:r>
          </w:p>
          <w:p>
            <w:pPr>
              <w:ind w:firstLine="0" w:firstLineChars="0"/>
              <w:rPr>
                <w:b/>
                <w:bCs/>
                <w:color w:val="auto"/>
                <w:highlight w:val="none"/>
              </w:rPr>
            </w:pPr>
            <w:r>
              <w:rPr>
                <w:rFonts w:hint="eastAsia"/>
                <w:b/>
                <w:bCs/>
                <w:color w:val="auto"/>
                <w:highlight w:val="none"/>
              </w:rPr>
              <w:t>5、固体废弃物影响分析</w:t>
            </w:r>
          </w:p>
          <w:p>
            <w:pPr>
              <w:ind w:firstLine="480"/>
              <w:rPr>
                <w:color w:val="auto"/>
                <w:highlight w:val="none"/>
              </w:rPr>
            </w:pPr>
            <w:r>
              <w:rPr>
                <w:rFonts w:hint="eastAsia"/>
                <w:color w:val="auto"/>
                <w:highlight w:val="none"/>
              </w:rPr>
              <w:t>施工期固体废物主要为施工过程中产生的土方以及施工人员产生的生活垃圾。施工人员的日常生活不可避免的将产生生活垃圾，每人每天平均产生1kg生活垃圾，本项目施工人数为80人，预计高峰期日产生生活垃圾约80kg，生活垃圾禁止随意堆放，采取集中堆放、定期收集清运至</w:t>
            </w:r>
            <w:r>
              <w:rPr>
                <w:rFonts w:hint="eastAsia" w:eastAsiaTheme="minorEastAsia"/>
                <w:color w:val="auto"/>
                <w:highlight w:val="none"/>
              </w:rPr>
              <w:t>吐鲁番市生活垃圾填埋场处置</w:t>
            </w:r>
            <w:r>
              <w:rPr>
                <w:rFonts w:hint="eastAsia"/>
                <w:color w:val="auto"/>
                <w:highlight w:val="none"/>
              </w:rPr>
              <w:t>，生活垃圾对环境影响不大。</w:t>
            </w:r>
          </w:p>
          <w:p>
            <w:pPr>
              <w:ind w:firstLine="480"/>
              <w:rPr>
                <w:color w:val="auto"/>
                <w:highlight w:val="none"/>
              </w:rPr>
            </w:pPr>
            <w:r>
              <w:rPr>
                <w:color w:val="auto"/>
                <w:highlight w:val="none"/>
              </w:rPr>
              <w:t>工程建设过程中将产生大量的土方动迁，</w:t>
            </w:r>
            <w:r>
              <w:rPr>
                <w:rFonts w:hint="eastAsia"/>
                <w:color w:val="auto"/>
                <w:highlight w:val="none"/>
              </w:rPr>
              <w:t>根据土石方平衡评价，本项目土石方开挖总量为20.80万m³（自然方），土石方回填总量为12.58万m³（压实方），余方8.22万m³（松方），其中2.17万m³沿渠线两侧就地平摊，对渠进行垫高，剩余6.05万m³（原渠道衬砌结构拆除料）回填至弃渣场。</w:t>
            </w:r>
          </w:p>
          <w:p>
            <w:pPr>
              <w:ind w:firstLine="0" w:firstLineChars="0"/>
              <w:rPr>
                <w:b/>
                <w:bCs/>
                <w:color w:val="auto"/>
                <w:highlight w:val="none"/>
              </w:rPr>
            </w:pPr>
            <w:r>
              <w:rPr>
                <w:rFonts w:hint="eastAsia"/>
                <w:b/>
                <w:bCs/>
                <w:color w:val="auto"/>
                <w:highlight w:val="none"/>
              </w:rPr>
              <w:t>6、土壤环境影响分析</w:t>
            </w:r>
          </w:p>
          <w:p>
            <w:pPr>
              <w:ind w:firstLine="480"/>
              <w:rPr>
                <w:bCs/>
                <w:color w:val="auto"/>
                <w:szCs w:val="21"/>
                <w:highlight w:val="none"/>
              </w:rPr>
            </w:pPr>
            <w:r>
              <w:rPr>
                <w:rFonts w:hint="eastAsia"/>
                <w:color w:val="auto"/>
                <w:highlight w:val="none"/>
              </w:rPr>
              <w:t>由于工程的施工，地表植被受到破坏，地表土壤疏松，表土层剥离及地表机械车辆碾压，道路硬化，项目区土壤侵蚀加剧，土壤结构遭到破坏，土壤有机质流失、保水土能力下降。工程建设产生的临时土方如果不采取拦挡措施，一遇降水、大风等外力，极易造成局部小范围水土流失。在工程运行初期，工程区水保工程措施与主体工程同时配套建设，则可以减少水土流失的影响。要妥善保护好地表剥离表层和土壤，施工活动完成后，进行场地恢复时重新覆盖在表面，尽快使地表恢复原貌。施工结束后对项目周边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3" w:type="pct"/>
            <w:tcMar>
              <w:left w:w="28" w:type="dxa"/>
              <w:right w:w="28" w:type="dxa"/>
            </w:tcMar>
            <w:vAlign w:val="center"/>
          </w:tcPr>
          <w:p>
            <w:pPr>
              <w:spacing w:line="240" w:lineRule="auto"/>
              <w:ind w:firstLine="0" w:firstLineChars="0"/>
              <w:jc w:val="center"/>
              <w:rPr>
                <w:color w:val="auto"/>
                <w:highlight w:val="none"/>
              </w:rPr>
            </w:pPr>
            <w:r>
              <w:rPr>
                <w:color w:val="auto"/>
                <w:highlight w:val="none"/>
              </w:rPr>
              <w:t>运营期生态环境影响分析</w:t>
            </w:r>
          </w:p>
        </w:tc>
        <w:tc>
          <w:tcPr>
            <w:tcW w:w="4756" w:type="pct"/>
          </w:tcPr>
          <w:p>
            <w:pPr>
              <w:ind w:firstLine="480"/>
              <w:rPr>
                <w:color w:val="auto"/>
                <w:highlight w:val="none"/>
              </w:rPr>
            </w:pPr>
            <w:r>
              <w:rPr>
                <w:rFonts w:hint="eastAsia"/>
                <w:color w:val="auto"/>
                <w:highlight w:val="none"/>
              </w:rPr>
              <w:t>本项目对环境的影响主要体现在对水资源量、地下水环境和渠道沿线的生态影响。</w:t>
            </w:r>
          </w:p>
          <w:p>
            <w:pPr>
              <w:ind w:firstLine="0" w:firstLineChars="0"/>
              <w:rPr>
                <w:b/>
                <w:bCs/>
                <w:color w:val="auto"/>
                <w:highlight w:val="none"/>
              </w:rPr>
            </w:pPr>
            <w:r>
              <w:rPr>
                <w:rFonts w:hint="eastAsia"/>
                <w:b/>
                <w:bCs/>
                <w:color w:val="auto"/>
                <w:highlight w:val="none"/>
              </w:rPr>
              <w:t>1、水环境影响分析</w:t>
            </w:r>
          </w:p>
          <w:p>
            <w:pPr>
              <w:ind w:firstLine="480"/>
              <w:rPr>
                <w:color w:val="auto"/>
                <w:highlight w:val="none"/>
              </w:rPr>
            </w:pPr>
            <w:r>
              <w:rPr>
                <w:rFonts w:hint="eastAsia"/>
                <w:color w:val="auto"/>
                <w:highlight w:val="none"/>
              </w:rPr>
              <w:t>本项目通过渠道防渗改造后，沿线输水损失减少，渠道水利用系数提高，灌区引水对水资源量的保护起到积极的作用。</w:t>
            </w:r>
          </w:p>
          <w:p>
            <w:pPr>
              <w:ind w:firstLine="480"/>
              <w:rPr>
                <w:color w:val="auto"/>
                <w:highlight w:val="none"/>
              </w:rPr>
            </w:pPr>
            <w:r>
              <w:rPr>
                <w:rFonts w:hint="eastAsia"/>
                <w:color w:val="auto"/>
                <w:highlight w:val="none"/>
              </w:rPr>
              <w:t>工程防渗处理后，输水过程中没有形成对渠道土壤的冲刷，减少输水的泥沙含量，对原来输水过程中可能引起的水质影响产生积极作用。</w:t>
            </w:r>
          </w:p>
          <w:p>
            <w:pPr>
              <w:ind w:firstLine="480"/>
              <w:rPr>
                <w:color w:val="auto"/>
                <w:highlight w:val="none"/>
              </w:rPr>
            </w:pPr>
            <w:r>
              <w:rPr>
                <w:rFonts w:hint="eastAsia"/>
                <w:color w:val="auto"/>
                <w:highlight w:val="none"/>
              </w:rPr>
              <w:t>工程防渗处理后，输水过程中渗漏水量减少，将会降低沿线表潜水的地下水位，地下水量减少，表潜水中的可溶盐分含量浓度将变大，表潜水水质将变差。</w:t>
            </w:r>
          </w:p>
          <w:p>
            <w:pPr>
              <w:ind w:firstLine="0" w:firstLineChars="0"/>
              <w:rPr>
                <w:b/>
                <w:bCs/>
                <w:color w:val="auto"/>
                <w:highlight w:val="none"/>
              </w:rPr>
            </w:pPr>
            <w:r>
              <w:rPr>
                <w:rFonts w:hint="eastAsia"/>
                <w:b/>
                <w:bCs/>
                <w:color w:val="auto"/>
                <w:highlight w:val="none"/>
              </w:rPr>
              <w:t>2、土壤环境影响分析</w:t>
            </w:r>
          </w:p>
          <w:p>
            <w:pPr>
              <w:ind w:firstLine="480"/>
              <w:rPr>
                <w:color w:val="auto"/>
                <w:highlight w:val="none"/>
              </w:rPr>
            </w:pPr>
            <w:r>
              <w:rPr>
                <w:rFonts w:hint="eastAsia"/>
                <w:color w:val="auto"/>
                <w:highlight w:val="none"/>
              </w:rPr>
              <w:t>渠道沿线土壤类型较为简单，主要为石膏棕漠土，少量分布草甸盐土、灌淤土、典型盐土。根据土壤普查报告，整个项目区土壤肥力水平中等。项目实施后提高了耕地的灌溉效率，减少运输过程中水的下渗量，使灌区的水能够被充分利用。其次，工程防渗处理后，输水过程中没有形成对渠道土壤的冲刷，减少输水的泥沙含量，且减少渠道冲刷淤积及坍塌，节约运行管理费用，有利于灌区的管理；可以降低地下水位，防止土壤盐碱化及沼泽化。因此，本项目的建设对土壤的影响总体是朝着良性的趋势发展。</w:t>
            </w:r>
          </w:p>
          <w:p>
            <w:pPr>
              <w:ind w:firstLine="0" w:firstLineChars="0"/>
              <w:rPr>
                <w:b/>
                <w:bCs/>
                <w:color w:val="auto"/>
                <w:highlight w:val="none"/>
              </w:rPr>
            </w:pPr>
            <w:r>
              <w:rPr>
                <w:rFonts w:hint="eastAsia"/>
                <w:b/>
                <w:bCs/>
                <w:color w:val="auto"/>
                <w:highlight w:val="none"/>
              </w:rPr>
              <w:t>3、生态环境影响分析</w:t>
            </w:r>
          </w:p>
          <w:p>
            <w:pPr>
              <w:ind w:firstLine="480"/>
              <w:rPr>
                <w:bCs/>
                <w:color w:val="auto"/>
                <w:szCs w:val="21"/>
                <w:highlight w:val="none"/>
              </w:rPr>
            </w:pPr>
            <w:r>
              <w:rPr>
                <w:rFonts w:hint="eastAsia"/>
                <w:color w:val="auto"/>
                <w:highlight w:val="none"/>
              </w:rPr>
              <w:t>工程防渗处理后，输水过程中渗漏水量减少，减少渠道沿线的地下水补给，将会导致原来靠地下水浸润灌溉的植被生存条件变差，但可通过加大生态水的补充来解决，不会造成明显影响，同时渗漏水量的减少，也可以减少</w:t>
            </w:r>
            <w:r>
              <w:rPr>
                <w:color w:val="auto"/>
                <w:highlight w:val="none"/>
              </w:rPr>
              <w:t>土壤</w:t>
            </w:r>
            <w:r>
              <w:rPr>
                <w:rFonts w:hint="eastAsia"/>
                <w:color w:val="auto"/>
                <w:highlight w:val="none"/>
              </w:rPr>
              <w:t>的</w:t>
            </w:r>
            <w:r>
              <w:rPr>
                <w:color w:val="auto"/>
                <w:highlight w:val="none"/>
              </w:rPr>
              <w:t>盐碱化</w:t>
            </w:r>
            <w:r>
              <w:rPr>
                <w:rFonts w:hint="eastAsia"/>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243" w:type="pct"/>
            <w:vAlign w:val="center"/>
          </w:tcPr>
          <w:p>
            <w:pPr>
              <w:spacing w:line="240" w:lineRule="auto"/>
              <w:ind w:firstLine="0" w:firstLineChars="0"/>
              <w:rPr>
                <w:color w:val="auto"/>
                <w:highlight w:val="none"/>
              </w:rPr>
            </w:pPr>
            <w:r>
              <w:rPr>
                <w:color w:val="auto"/>
                <w:highlight w:val="none"/>
              </w:rPr>
              <w:t>选址选线环境合理性分析</w:t>
            </w:r>
          </w:p>
        </w:tc>
        <w:tc>
          <w:tcPr>
            <w:tcW w:w="4756" w:type="pct"/>
          </w:tcPr>
          <w:p>
            <w:pPr>
              <w:ind w:firstLine="480"/>
              <w:rPr>
                <w:color w:val="auto"/>
                <w:highlight w:val="none"/>
              </w:rPr>
            </w:pPr>
            <w:r>
              <w:rPr>
                <w:rFonts w:hint="eastAsia"/>
                <w:color w:val="auto"/>
                <w:highlight w:val="none"/>
              </w:rPr>
              <w:t>本项目位于吐鲁番市鄯善县。该区域非饮用水水源保护地，项目区及周围区域外环境关系较单纯，项目区及周边区域不涉及特殊保护文物古迹、无自然保护区、风景名胜区、世界文化和自然遗产地、饮用水水源保护区；无森林公园、地质公园、天然林、珍稀濒危野生动植物分布区；无重要水生生物自然产卵场及索饵场、越冬场和洞游通道、天然渔场等特殊环境制约因素。项目选址符合相关规范要求。</w:t>
            </w:r>
          </w:p>
          <w:p>
            <w:pPr>
              <w:ind w:firstLine="480"/>
              <w:rPr>
                <w:color w:val="auto"/>
                <w:highlight w:val="none"/>
              </w:rPr>
            </w:pPr>
          </w:p>
          <w:p>
            <w:pPr>
              <w:ind w:firstLine="480"/>
              <w:rPr>
                <w:color w:val="auto"/>
                <w:highlight w:val="none"/>
              </w:rPr>
            </w:pPr>
          </w:p>
          <w:p>
            <w:pPr>
              <w:ind w:firstLine="480"/>
              <w:rPr>
                <w:color w:val="auto"/>
                <w:highlight w:val="none"/>
              </w:rPr>
            </w:pPr>
          </w:p>
          <w:p>
            <w:pPr>
              <w:ind w:firstLine="480"/>
              <w:rPr>
                <w:color w:val="auto"/>
                <w:highlight w:val="none"/>
              </w:rPr>
            </w:pPr>
          </w:p>
          <w:p>
            <w:pPr>
              <w:ind w:firstLine="480"/>
              <w:rPr>
                <w:color w:val="auto"/>
                <w:highlight w:val="none"/>
              </w:rPr>
            </w:pPr>
          </w:p>
          <w:p>
            <w:pPr>
              <w:ind w:firstLine="480"/>
              <w:rPr>
                <w:color w:val="auto"/>
                <w:highlight w:val="none"/>
              </w:rPr>
            </w:pPr>
          </w:p>
          <w:p>
            <w:pPr>
              <w:ind w:firstLine="480"/>
              <w:rPr>
                <w:color w:val="auto"/>
                <w:highlight w:val="none"/>
              </w:rPr>
            </w:pPr>
          </w:p>
          <w:p>
            <w:pPr>
              <w:ind w:firstLine="480"/>
              <w:rPr>
                <w:color w:val="auto"/>
                <w:highlight w:val="none"/>
              </w:rPr>
            </w:pPr>
          </w:p>
          <w:p>
            <w:pPr>
              <w:ind w:firstLine="480"/>
              <w:rPr>
                <w:color w:val="auto"/>
                <w:highlight w:val="none"/>
              </w:rPr>
            </w:pPr>
          </w:p>
          <w:p>
            <w:pPr>
              <w:ind w:firstLine="480"/>
              <w:rPr>
                <w:color w:val="auto"/>
                <w:highlight w:val="none"/>
              </w:rPr>
            </w:pPr>
          </w:p>
          <w:p>
            <w:pPr>
              <w:ind w:firstLine="480"/>
              <w:rPr>
                <w:color w:val="auto"/>
                <w:highlight w:val="none"/>
              </w:rPr>
            </w:pPr>
          </w:p>
          <w:p>
            <w:pPr>
              <w:ind w:firstLine="480"/>
              <w:rPr>
                <w:color w:val="auto"/>
                <w:highlight w:val="none"/>
              </w:rPr>
            </w:pPr>
          </w:p>
          <w:p>
            <w:pPr>
              <w:ind w:firstLine="0" w:firstLineChars="0"/>
              <w:rPr>
                <w:bCs/>
                <w:color w:val="auto"/>
                <w:szCs w:val="21"/>
                <w:highlight w:val="none"/>
              </w:rPr>
            </w:pPr>
          </w:p>
        </w:tc>
      </w:tr>
    </w:tbl>
    <w:p>
      <w:pPr>
        <w:pStyle w:val="26"/>
        <w:jc w:val="center"/>
        <w:rPr>
          <w:rFonts w:ascii="Times New Roman" w:hAnsi="Times New Roman"/>
          <w:snapToGrid w:val="0"/>
          <w:color w:val="auto"/>
          <w:sz w:val="36"/>
          <w:szCs w:val="36"/>
          <w:highlight w:val="none"/>
        </w:rPr>
        <w:sectPr>
          <w:pgSz w:w="11906" w:h="16838"/>
          <w:pgMar w:top="1440" w:right="1800" w:bottom="1440" w:left="1800" w:header="851" w:footer="1077" w:gutter="0"/>
          <w:pgNumType w:fmt="decimal"/>
          <w:cols w:space="720" w:num="1"/>
          <w:docGrid w:linePitch="312" w:charSpace="0"/>
        </w:sectPr>
      </w:pPr>
    </w:p>
    <w:p>
      <w:pPr>
        <w:pStyle w:val="26"/>
        <w:spacing w:before="0" w:beforeAutospacing="0" w:after="0" w:afterAutospacing="0" w:line="240" w:lineRule="auto"/>
        <w:ind w:firstLine="0" w:firstLineChars="0"/>
        <w:jc w:val="center"/>
        <w:outlineLvl w:val="0"/>
        <w:rPr>
          <w:rFonts w:ascii="Times New Roman" w:hAnsi="Times New Roman"/>
          <w:b/>
          <w:bCs/>
          <w:snapToGrid w:val="0"/>
          <w:color w:val="auto"/>
          <w:sz w:val="30"/>
          <w:szCs w:val="30"/>
          <w:highlight w:val="none"/>
        </w:rPr>
      </w:pPr>
      <w:bookmarkStart w:id="23" w:name="_Toc23567"/>
      <w:bookmarkStart w:id="24" w:name="_Toc6169"/>
      <w:bookmarkStart w:id="25" w:name="_Toc20496"/>
      <w:bookmarkStart w:id="26" w:name="_Toc14874"/>
      <w:r>
        <w:rPr>
          <w:rFonts w:ascii="Times New Roman" w:hAnsi="Times New Roman"/>
          <w:b/>
          <w:bCs/>
          <w:snapToGrid w:val="0"/>
          <w:color w:val="auto"/>
          <w:sz w:val="30"/>
          <w:szCs w:val="30"/>
          <w:highlight w:val="none"/>
        </w:rPr>
        <w:t>五、主要生态环境保护措施</w:t>
      </w:r>
      <w:bookmarkEnd w:id="23"/>
      <w:bookmarkEnd w:id="24"/>
      <w:bookmarkEnd w:id="25"/>
      <w:bookmarkEnd w:id="26"/>
    </w:p>
    <w:tbl>
      <w:tblPr>
        <w:tblStyle w:val="30"/>
        <w:tblW w:w="504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80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269" w:type="pct"/>
            <w:tcMar>
              <w:left w:w="28" w:type="dxa"/>
              <w:right w:w="28" w:type="dxa"/>
            </w:tcMar>
            <w:vAlign w:val="center"/>
          </w:tcPr>
          <w:p>
            <w:pPr>
              <w:spacing w:line="240" w:lineRule="auto"/>
              <w:ind w:firstLine="0" w:firstLineChars="0"/>
              <w:jc w:val="center"/>
              <w:rPr>
                <w:color w:val="auto"/>
                <w:highlight w:val="none"/>
              </w:rPr>
            </w:pPr>
            <w:r>
              <w:rPr>
                <w:color w:val="auto"/>
                <w:highlight w:val="none"/>
              </w:rPr>
              <w:t>施工期生态环境保护措施</w:t>
            </w:r>
          </w:p>
        </w:tc>
        <w:tc>
          <w:tcPr>
            <w:tcW w:w="4730" w:type="pct"/>
          </w:tcPr>
          <w:p>
            <w:pPr>
              <w:ind w:firstLine="0" w:firstLineChars="0"/>
              <w:rPr>
                <w:b/>
                <w:bCs/>
                <w:color w:val="auto"/>
                <w:highlight w:val="none"/>
              </w:rPr>
            </w:pPr>
            <w:r>
              <w:rPr>
                <w:rFonts w:hint="eastAsia"/>
                <w:b/>
                <w:bCs/>
                <w:color w:val="auto"/>
                <w:highlight w:val="none"/>
              </w:rPr>
              <w:t>1、施工期生态环境保护措施</w:t>
            </w:r>
          </w:p>
          <w:p>
            <w:pPr>
              <w:ind w:firstLine="482"/>
              <w:rPr>
                <w:b/>
                <w:bCs/>
                <w:color w:val="auto"/>
                <w:highlight w:val="none"/>
              </w:rPr>
            </w:pPr>
            <w:r>
              <w:rPr>
                <w:rFonts w:hint="eastAsia"/>
                <w:b/>
                <w:bCs/>
                <w:color w:val="auto"/>
                <w:highlight w:val="none"/>
              </w:rPr>
              <w:t>1.1植被的保护措施</w:t>
            </w:r>
          </w:p>
          <w:p>
            <w:pPr>
              <w:ind w:firstLine="480"/>
              <w:rPr>
                <w:color w:val="auto"/>
                <w:highlight w:val="none"/>
              </w:rPr>
            </w:pPr>
            <w:r>
              <w:rPr>
                <w:rFonts w:hint="eastAsia"/>
                <w:color w:val="auto"/>
                <w:highlight w:val="none"/>
              </w:rPr>
              <w:t>项目区植被主要为渠道左右两岸的灌木林及耕地，施工人员频繁活动于无限定区域，存在对沿线植被资源、野生动物生存环境的影响及破坏。</w:t>
            </w:r>
          </w:p>
          <w:p>
            <w:pPr>
              <w:ind w:firstLine="480"/>
              <w:rPr>
                <w:color w:val="auto"/>
                <w:highlight w:val="none"/>
              </w:rPr>
            </w:pPr>
            <w:r>
              <w:rPr>
                <w:rFonts w:hint="eastAsia"/>
                <w:color w:val="auto"/>
                <w:highlight w:val="none"/>
              </w:rPr>
              <w:t>应采取相应的保护措施：</w:t>
            </w:r>
          </w:p>
          <w:p>
            <w:pPr>
              <w:ind w:firstLine="480"/>
              <w:rPr>
                <w:color w:val="auto"/>
                <w:highlight w:val="none"/>
              </w:rPr>
            </w:pPr>
            <w:r>
              <w:rPr>
                <w:rFonts w:hint="eastAsia"/>
                <w:color w:val="auto"/>
                <w:highlight w:val="none"/>
              </w:rPr>
              <w:t>（1）项目区内严禁随意搭灶点火、烧荒。加强对易燃、易爆危险品的管理，并对工作人员和外来人员宣传教育；</w:t>
            </w:r>
          </w:p>
          <w:p>
            <w:pPr>
              <w:ind w:firstLine="480"/>
              <w:rPr>
                <w:color w:val="auto"/>
                <w:highlight w:val="none"/>
              </w:rPr>
            </w:pPr>
            <w:r>
              <w:rPr>
                <w:rFonts w:hint="eastAsia"/>
                <w:color w:val="auto"/>
                <w:highlight w:val="none"/>
              </w:rPr>
              <w:t>（2）禁止施工人员乱丢垃圾和烟头；</w:t>
            </w:r>
          </w:p>
          <w:p>
            <w:pPr>
              <w:ind w:firstLine="480"/>
              <w:rPr>
                <w:color w:val="auto"/>
                <w:highlight w:val="none"/>
              </w:rPr>
            </w:pPr>
            <w:r>
              <w:rPr>
                <w:rFonts w:hint="eastAsia"/>
                <w:color w:val="auto"/>
                <w:highlight w:val="none"/>
              </w:rPr>
              <w:t>（3）施工完毕后对施工场地进行土地平整，撒播草籽等，恢复渠道两侧植被覆盖。</w:t>
            </w:r>
          </w:p>
          <w:p>
            <w:pPr>
              <w:ind w:firstLine="480"/>
              <w:rPr>
                <w:color w:val="auto"/>
                <w:highlight w:val="none"/>
              </w:rPr>
            </w:pPr>
            <w:r>
              <w:rPr>
                <w:rFonts w:hint="eastAsia"/>
                <w:color w:val="auto"/>
                <w:highlight w:val="none"/>
              </w:rPr>
              <w:t>（4）本工程开挖的土方和淤泥全部就地回用，本项目不占用农田及防护林，本次环评要求施工期不得破坏周边防护林，影响其生长；如施工过程中不得不破坏防护林，环评要求对防护林进行移栽，待施工结束后，进行植被恢复。</w:t>
            </w:r>
          </w:p>
          <w:p>
            <w:pPr>
              <w:ind w:firstLine="482"/>
              <w:rPr>
                <w:b/>
                <w:bCs/>
                <w:color w:val="auto"/>
                <w:highlight w:val="none"/>
              </w:rPr>
            </w:pPr>
            <w:r>
              <w:rPr>
                <w:rFonts w:hint="eastAsia"/>
                <w:b/>
                <w:bCs/>
                <w:color w:val="auto"/>
                <w:highlight w:val="none"/>
              </w:rPr>
              <w:t>1.2陆生生物保护措施</w:t>
            </w:r>
          </w:p>
          <w:p>
            <w:pPr>
              <w:ind w:firstLine="480"/>
              <w:rPr>
                <w:color w:val="auto"/>
                <w:highlight w:val="none"/>
              </w:rPr>
            </w:pPr>
            <w:r>
              <w:rPr>
                <w:rFonts w:hint="eastAsia"/>
                <w:color w:val="auto"/>
                <w:highlight w:val="none"/>
              </w:rPr>
              <w:t>工程区内部分野生陆生生物的活动区域、觅食范围会因施工受到一定限制，但是由于动物具有迁徙性，它们会在工程施工时离开施工区域，工程结束后返回原栖息地或逐渐适应新的环境，并在新的环境中繁衍生息。</w:t>
            </w:r>
          </w:p>
          <w:p>
            <w:pPr>
              <w:ind w:firstLine="480"/>
              <w:rPr>
                <w:color w:val="auto"/>
                <w:highlight w:val="none"/>
              </w:rPr>
            </w:pPr>
            <w:r>
              <w:rPr>
                <w:rFonts w:hint="eastAsia"/>
                <w:color w:val="auto"/>
                <w:highlight w:val="none"/>
              </w:rPr>
              <w:t>因此，工程施工不会对野生陆生动物的生存环境造成明显的不利影响，也不会引起区域动物物种和数量的减少。但为了进一步保护工程区内的陆生生物，仍需采取一定的保护措施：</w:t>
            </w:r>
          </w:p>
          <w:p>
            <w:pPr>
              <w:ind w:firstLine="480"/>
              <w:rPr>
                <w:color w:val="auto"/>
                <w:highlight w:val="none"/>
              </w:rPr>
            </w:pPr>
            <w:r>
              <w:rPr>
                <w:rFonts w:hint="eastAsia"/>
                <w:color w:val="auto"/>
                <w:highlight w:val="none"/>
              </w:rPr>
              <w:t>（1）施工期间，施工单位应加强对施工人员的管理，严令禁止到非施工区活动。</w:t>
            </w:r>
          </w:p>
          <w:p>
            <w:pPr>
              <w:ind w:firstLine="480"/>
              <w:rPr>
                <w:color w:val="auto"/>
                <w:highlight w:val="none"/>
              </w:rPr>
            </w:pPr>
            <w:r>
              <w:rPr>
                <w:rFonts w:hint="eastAsia"/>
                <w:color w:val="auto"/>
                <w:highlight w:val="none"/>
              </w:rPr>
              <w:t>（2）教育施工人员，禁止捕食蛙类、蛇类、鸟类等，以减轻施工对陆生动物的影响。</w:t>
            </w:r>
          </w:p>
          <w:p>
            <w:pPr>
              <w:ind w:firstLine="480"/>
              <w:rPr>
                <w:color w:val="auto"/>
                <w:highlight w:val="none"/>
              </w:rPr>
            </w:pPr>
            <w:r>
              <w:rPr>
                <w:rFonts w:hint="eastAsia"/>
                <w:color w:val="auto"/>
                <w:highlight w:val="none"/>
              </w:rPr>
              <w:t xml:space="preserve">（3）合理安排施工时间，避免在野生动物活动频繁的时段进行高噪音作业，减少对动物栖息环境的干扰。  </w:t>
            </w:r>
          </w:p>
          <w:p>
            <w:pPr>
              <w:ind w:firstLine="480"/>
              <w:rPr>
                <w:color w:val="auto"/>
                <w:highlight w:val="none"/>
              </w:rPr>
            </w:pPr>
            <w:r>
              <w:rPr>
                <w:rFonts w:hint="eastAsia"/>
                <w:color w:val="auto"/>
                <w:highlight w:val="none"/>
              </w:rPr>
              <w:t>（4）在施工区域设置明显的警示标志，防止无关人员进入生态敏感区，同时严格控制施工范围，并加强对施工车辆的管控，避免对周边植被和动物造成碾压或破坏。</w:t>
            </w:r>
          </w:p>
          <w:p>
            <w:pPr>
              <w:ind w:firstLine="480"/>
              <w:rPr>
                <w:rFonts w:hint="eastAsia"/>
                <w:color w:val="auto"/>
                <w:highlight w:val="none"/>
              </w:rPr>
            </w:pPr>
            <w:r>
              <w:rPr>
                <w:rFonts w:hint="eastAsia"/>
                <w:color w:val="auto"/>
                <w:highlight w:val="none"/>
              </w:rPr>
              <w:t>（5）施工结束后，及时清理施工现场，移除临时设施，在适宜种植的临时占地区域通过播撒草籽等方式，恢复植被。</w:t>
            </w:r>
          </w:p>
          <w:p>
            <w:pPr>
              <w:ind w:firstLine="482"/>
              <w:rPr>
                <w:b/>
                <w:bCs/>
                <w:color w:val="auto"/>
                <w:highlight w:val="none"/>
              </w:rPr>
            </w:pPr>
            <w:r>
              <w:rPr>
                <w:rFonts w:hint="eastAsia"/>
                <w:b/>
                <w:bCs/>
                <w:color w:val="auto"/>
                <w:highlight w:val="none"/>
              </w:rPr>
              <w:t>1.</w:t>
            </w:r>
            <w:r>
              <w:rPr>
                <w:rFonts w:hint="eastAsia"/>
                <w:b/>
                <w:bCs/>
                <w:color w:val="auto"/>
                <w:highlight w:val="none"/>
                <w:lang w:val="en-US" w:eastAsia="zh-CN"/>
              </w:rPr>
              <w:t>3弃渣场</w:t>
            </w:r>
            <w:r>
              <w:rPr>
                <w:rFonts w:hint="eastAsia"/>
                <w:b/>
                <w:bCs/>
                <w:color w:val="auto"/>
                <w:highlight w:val="none"/>
              </w:rPr>
              <w:t>保护措施</w:t>
            </w:r>
          </w:p>
          <w:p>
            <w:pPr>
              <w:ind w:firstLine="480"/>
              <w:rPr>
                <w:rFonts w:hint="default"/>
                <w:color w:val="auto"/>
                <w:highlight w:val="none"/>
                <w:lang w:val="en-US" w:eastAsia="zh-CN"/>
              </w:rPr>
            </w:pPr>
            <w:r>
              <w:rPr>
                <w:rFonts w:hint="eastAsia"/>
                <w:color w:val="auto"/>
                <w:highlight w:val="none"/>
                <w:lang w:val="en-US" w:eastAsia="zh-CN"/>
              </w:rPr>
              <w:t>本项目共设有3处弃渣场，在弃渣场的使用过程中，应严格按照设计要求进行堆放弃渣，避免随意扩大占用面积。同时，对弃渣场周边设置有效的排水设施，防止雨季时因雨水冲刷导致水土流失现象的发生。在弃渣堆放达到设计高度后，及时进行平整和压实工作，并覆盖一定厚度的土壤，为后续的植被恢复创造有利条件。此外，定期对弃渣场进行巡查和维护，确保各项防护措施的有效性，防止出现滑坡、坍塌等安全隐患，确保周边生态环境不受过度干扰。施工结束后，对弃渣场进行清理并做好土地平整工作，确保场地整洁。可根据当地的气候条件和土壤特性，选择适宜的植被种类进行绿化恢复，优先选用耐旱、耐贫瘠且生长迅速的植物，以加快生态修复进程。</w:t>
            </w:r>
          </w:p>
          <w:p>
            <w:pPr>
              <w:ind w:firstLine="0" w:firstLineChars="0"/>
              <w:rPr>
                <w:b/>
                <w:bCs/>
                <w:color w:val="auto"/>
                <w:highlight w:val="none"/>
              </w:rPr>
            </w:pPr>
            <w:r>
              <w:rPr>
                <w:rFonts w:hint="eastAsia"/>
                <w:b/>
                <w:bCs/>
                <w:color w:val="auto"/>
                <w:highlight w:val="none"/>
              </w:rPr>
              <w:t>2、施工期水土保持措施</w:t>
            </w:r>
          </w:p>
          <w:p>
            <w:pPr>
              <w:ind w:firstLine="482"/>
              <w:rPr>
                <w:b/>
                <w:bCs/>
                <w:color w:val="auto"/>
                <w:highlight w:val="none"/>
              </w:rPr>
            </w:pPr>
            <w:r>
              <w:rPr>
                <w:rFonts w:hint="eastAsia"/>
                <w:b/>
                <w:bCs/>
                <w:color w:val="auto"/>
                <w:highlight w:val="none"/>
              </w:rPr>
              <w:t>2.1工程措施</w:t>
            </w:r>
          </w:p>
          <w:p>
            <w:pPr>
              <w:ind w:firstLine="480"/>
              <w:rPr>
                <w:color w:val="auto"/>
                <w:highlight w:val="none"/>
              </w:rPr>
            </w:pPr>
            <w:r>
              <w:rPr>
                <w:rFonts w:hint="eastAsia"/>
                <w:color w:val="auto"/>
                <w:highlight w:val="none"/>
              </w:rPr>
              <w:t>（1）土地平整</w:t>
            </w:r>
          </w:p>
          <w:p>
            <w:pPr>
              <w:ind w:firstLine="480"/>
              <w:rPr>
                <w:color w:val="auto"/>
                <w:highlight w:val="none"/>
              </w:rPr>
            </w:pPr>
            <w:r>
              <w:rPr>
                <w:rFonts w:hint="eastAsia"/>
                <w:color w:val="auto"/>
                <w:highlight w:val="none"/>
              </w:rPr>
              <w:t>工程施工完毕后，对施工扰动区域进行平整，本方案提出对渠道及建筑物工程防治区、施工</w:t>
            </w:r>
            <w:r>
              <w:rPr>
                <w:rFonts w:hint="eastAsia"/>
                <w:color w:val="auto"/>
                <w:highlight w:val="none"/>
                <w:lang w:val="en-US" w:eastAsia="zh-CN"/>
              </w:rPr>
              <w:t>场地</w:t>
            </w:r>
            <w:r>
              <w:rPr>
                <w:rFonts w:hint="eastAsia"/>
                <w:color w:val="auto"/>
                <w:highlight w:val="none"/>
              </w:rPr>
              <w:t>防治区、临时弃渣场防治区进行土地平整。</w:t>
            </w:r>
          </w:p>
          <w:p>
            <w:pPr>
              <w:ind w:firstLine="480"/>
              <w:rPr>
                <w:color w:val="auto"/>
                <w:highlight w:val="none"/>
              </w:rPr>
            </w:pPr>
            <w:r>
              <w:rPr>
                <w:rFonts w:hint="eastAsia"/>
                <w:color w:val="auto"/>
                <w:highlight w:val="none"/>
              </w:rPr>
              <w:t>（2）覆盖防护</w:t>
            </w:r>
          </w:p>
          <w:p>
            <w:pPr>
              <w:ind w:firstLine="480"/>
              <w:rPr>
                <w:color w:val="auto"/>
                <w:highlight w:val="none"/>
              </w:rPr>
            </w:pPr>
            <w:r>
              <w:rPr>
                <w:rFonts w:hint="eastAsia"/>
                <w:color w:val="auto"/>
                <w:highlight w:val="none"/>
              </w:rPr>
              <w:t>对临时堆放的土方、弃渣等，采用密目网等材料进行覆盖，减少扬尘和水土流失。同时，在覆盖材料的选择上应考虑其环保性和耐用性，确保防护效果。</w:t>
            </w:r>
          </w:p>
          <w:p>
            <w:pPr>
              <w:ind w:firstLine="482"/>
              <w:rPr>
                <w:b/>
                <w:bCs/>
                <w:color w:val="auto"/>
                <w:highlight w:val="none"/>
              </w:rPr>
            </w:pPr>
            <w:r>
              <w:rPr>
                <w:rFonts w:hint="eastAsia"/>
                <w:b/>
                <w:bCs/>
                <w:color w:val="auto"/>
                <w:highlight w:val="none"/>
              </w:rPr>
              <w:t>2.2临时措施</w:t>
            </w:r>
          </w:p>
          <w:p>
            <w:pPr>
              <w:ind w:firstLine="480"/>
              <w:rPr>
                <w:color w:val="auto"/>
                <w:highlight w:val="none"/>
              </w:rPr>
            </w:pPr>
            <w:r>
              <w:rPr>
                <w:rFonts w:hint="eastAsia"/>
                <w:color w:val="auto"/>
                <w:highlight w:val="none"/>
              </w:rPr>
              <w:t>（1）施工道路</w:t>
            </w:r>
          </w:p>
          <w:p>
            <w:pPr>
              <w:ind w:firstLine="480"/>
              <w:rPr>
                <w:color w:val="auto"/>
                <w:highlight w:val="none"/>
              </w:rPr>
            </w:pPr>
            <w:r>
              <w:rPr>
                <w:rFonts w:hint="eastAsia"/>
                <w:color w:val="auto"/>
                <w:highlight w:val="none"/>
              </w:rPr>
              <w:t>本工程不设置施工进场便道，施工进场通过项目区现有乡级道路入场，施工期间对施工道路扰动区域进行经常洒水。</w:t>
            </w:r>
          </w:p>
          <w:p>
            <w:pPr>
              <w:ind w:firstLine="480"/>
              <w:rPr>
                <w:color w:val="auto"/>
                <w:highlight w:val="none"/>
              </w:rPr>
            </w:pPr>
            <w:r>
              <w:rPr>
                <w:rFonts w:hint="eastAsia"/>
                <w:color w:val="auto"/>
                <w:highlight w:val="none"/>
              </w:rPr>
              <w:t>（2）临时堆土</w:t>
            </w:r>
          </w:p>
          <w:p>
            <w:pPr>
              <w:ind w:firstLine="480"/>
              <w:rPr>
                <w:color w:val="auto"/>
                <w:highlight w:val="none"/>
              </w:rPr>
            </w:pPr>
            <w:r>
              <w:rPr>
                <w:rFonts w:hint="eastAsia"/>
                <w:color w:val="auto"/>
                <w:highlight w:val="none"/>
              </w:rPr>
              <w:t>防尘网苫盖：防渗渠工程施工时产生一定量的临时性弃土，弃土在临时堆放过程中利用防尘网防护。</w:t>
            </w:r>
          </w:p>
          <w:p>
            <w:pPr>
              <w:ind w:firstLine="480"/>
              <w:rPr>
                <w:color w:val="auto"/>
                <w:highlight w:val="none"/>
              </w:rPr>
            </w:pPr>
            <w:r>
              <w:rPr>
                <w:rFonts w:hint="eastAsia"/>
                <w:color w:val="auto"/>
                <w:highlight w:val="none"/>
              </w:rPr>
              <w:t>洒水除尘：在施工过程中，应定期在临时建设区洒水降尘。</w:t>
            </w:r>
          </w:p>
          <w:p>
            <w:pPr>
              <w:ind w:firstLine="0" w:firstLineChars="0"/>
              <w:rPr>
                <w:b/>
                <w:bCs/>
                <w:color w:val="auto"/>
                <w:highlight w:val="none"/>
              </w:rPr>
            </w:pPr>
            <w:r>
              <w:rPr>
                <w:rFonts w:hint="eastAsia"/>
                <w:b/>
                <w:bCs/>
                <w:color w:val="auto"/>
                <w:highlight w:val="none"/>
              </w:rPr>
              <w:t>3、施工扬尘污染防治措施</w:t>
            </w:r>
          </w:p>
          <w:p>
            <w:pPr>
              <w:ind w:firstLine="480"/>
              <w:rPr>
                <w:color w:val="auto"/>
                <w:highlight w:val="none"/>
              </w:rPr>
            </w:pPr>
            <w:r>
              <w:rPr>
                <w:rFonts w:hint="eastAsia"/>
                <w:color w:val="auto"/>
                <w:highlight w:val="none"/>
              </w:rPr>
              <w:t>施工期间大气污染防治主要针对粉尘污染，施工期间运输车辆和施工扬尘主要影响项目区周边敏感点。本环评提出以下扬尘防治措施：</w:t>
            </w:r>
          </w:p>
          <w:p>
            <w:pPr>
              <w:ind w:firstLine="480"/>
              <w:rPr>
                <w:color w:val="auto"/>
                <w:highlight w:val="none"/>
              </w:rPr>
            </w:pPr>
            <w:r>
              <w:rPr>
                <w:rFonts w:hint="eastAsia"/>
                <w:color w:val="auto"/>
                <w:highlight w:val="none"/>
              </w:rPr>
              <w:t>（1）土石方开挖防尘</w:t>
            </w:r>
          </w:p>
          <w:p>
            <w:pPr>
              <w:ind w:firstLine="480"/>
              <w:rPr>
                <w:color w:val="auto"/>
                <w:highlight w:val="none"/>
              </w:rPr>
            </w:pPr>
            <w:r>
              <w:rPr>
                <w:rFonts w:hint="eastAsia"/>
                <w:color w:val="auto"/>
                <w:highlight w:val="none"/>
              </w:rPr>
              <w:t>土石方开挖等应采取喷洒水防尘。</w:t>
            </w:r>
          </w:p>
          <w:p>
            <w:pPr>
              <w:ind w:firstLine="480"/>
              <w:rPr>
                <w:color w:val="auto"/>
                <w:highlight w:val="none"/>
              </w:rPr>
            </w:pPr>
            <w:r>
              <w:rPr>
                <w:rFonts w:hint="eastAsia"/>
                <w:color w:val="auto"/>
                <w:highlight w:val="none"/>
              </w:rPr>
              <w:t>（2）运输过程中防尘</w:t>
            </w:r>
          </w:p>
          <w:p>
            <w:pPr>
              <w:ind w:firstLine="480"/>
              <w:rPr>
                <w:color w:val="auto"/>
                <w:highlight w:val="none"/>
              </w:rPr>
            </w:pPr>
            <w:r>
              <w:rPr>
                <w:rFonts w:hint="eastAsia"/>
                <w:color w:val="auto"/>
                <w:highlight w:val="none"/>
              </w:rPr>
              <w:t>物资运输过程中注意防止污染空气，在装载多尘物料时，应对物料采取覆盖措施，运送散装水泥车辆的储罐应保持良好密封状态，运送袋装水泥必须覆盖封闭。运输道路每日洒水2～4次，降低车辆运行产生扬尘。</w:t>
            </w:r>
          </w:p>
          <w:p>
            <w:pPr>
              <w:ind w:firstLine="480"/>
              <w:rPr>
                <w:color w:val="auto"/>
                <w:highlight w:val="none"/>
              </w:rPr>
            </w:pPr>
            <w:r>
              <w:rPr>
                <w:rFonts w:hint="eastAsia"/>
                <w:color w:val="auto"/>
                <w:highlight w:val="none"/>
              </w:rPr>
              <w:t>（3）混凝土拌合站防尘措施</w:t>
            </w:r>
          </w:p>
          <w:p>
            <w:pPr>
              <w:ind w:firstLine="480"/>
              <w:rPr>
                <w:color w:val="auto"/>
                <w:highlight w:val="none"/>
              </w:rPr>
            </w:pPr>
            <w:r>
              <w:rPr>
                <w:rFonts w:hint="eastAsia"/>
                <w:color w:val="auto"/>
                <w:highlight w:val="none"/>
              </w:rPr>
              <w:t>混凝土拌合站应设置封闭的拌合楼，减少粉尘外逸。同时，在拌合楼顶部安装除尘装置，对产生的粉尘进行有效收集和处理。拌合站周边设置围挡，防止粉尘向周边扩散。定期对拌合站内部及周边进行清扫和洒水，保持场地清洁，降低扬尘污染。</w:t>
            </w:r>
          </w:p>
          <w:p>
            <w:pPr>
              <w:ind w:firstLine="480"/>
              <w:rPr>
                <w:color w:val="auto"/>
                <w:highlight w:val="none"/>
              </w:rPr>
            </w:pPr>
            <w:r>
              <w:rPr>
                <w:rFonts w:hint="eastAsia"/>
                <w:color w:val="auto"/>
                <w:highlight w:val="none"/>
              </w:rPr>
              <w:t>（4）劳动保护</w:t>
            </w:r>
          </w:p>
          <w:p>
            <w:pPr>
              <w:ind w:firstLine="480"/>
              <w:rPr>
                <w:color w:val="auto"/>
                <w:highlight w:val="none"/>
              </w:rPr>
            </w:pPr>
            <w:r>
              <w:rPr>
                <w:rFonts w:hint="eastAsia"/>
                <w:color w:val="auto"/>
                <w:highlight w:val="none"/>
              </w:rPr>
              <w:t>对处于产尘量较大的水泥拌合、砂石料加工等现场作业人员，按照劳动保护的规定，发放防尘用品，给受噪声影响大的施工作业人员配发噪声防护用具。</w:t>
            </w:r>
          </w:p>
          <w:p>
            <w:pPr>
              <w:ind w:firstLine="0" w:firstLineChars="0"/>
              <w:rPr>
                <w:b/>
                <w:bCs/>
                <w:color w:val="auto"/>
                <w:highlight w:val="none"/>
              </w:rPr>
            </w:pPr>
            <w:r>
              <w:rPr>
                <w:rFonts w:hint="eastAsia"/>
                <w:b/>
                <w:bCs/>
                <w:color w:val="auto"/>
                <w:highlight w:val="none"/>
              </w:rPr>
              <w:t>4、施工废水和生活污水污染防治措施</w:t>
            </w:r>
          </w:p>
          <w:p>
            <w:pPr>
              <w:ind w:firstLine="480"/>
              <w:rPr>
                <w:color w:val="auto"/>
                <w:highlight w:val="none"/>
              </w:rPr>
            </w:pPr>
            <w:r>
              <w:rPr>
                <w:rFonts w:hint="eastAsia"/>
                <w:color w:val="auto"/>
                <w:highlight w:val="none"/>
              </w:rPr>
              <w:t>施工废水主要是混凝土系统废水，其中主要污染物为泥沙、岩石碎屑等固体物质，一般不产生其他溶于水的有毒物质，水质中除悬浮物浓度较高外，其余指标基本无变化。施工废水经过沉淀处理后重复利用，减少排放，或用于施工区附近的道路洒水降尘。</w:t>
            </w:r>
          </w:p>
          <w:p>
            <w:pPr>
              <w:ind w:firstLine="480"/>
              <w:rPr>
                <w:color w:val="auto"/>
                <w:highlight w:val="none"/>
              </w:rPr>
            </w:pPr>
            <w:r>
              <w:rPr>
                <w:rFonts w:hint="eastAsia"/>
                <w:color w:val="auto"/>
                <w:highlight w:val="none"/>
              </w:rPr>
              <w:t>生活污水主要为施工人员的生活污水及粪便排放，施工期少量的生活污水</w:t>
            </w:r>
            <w:r>
              <w:rPr>
                <w:rFonts w:hint="eastAsia" w:ascii="宋体" w:hAnsi="宋体" w:cs="宋体"/>
                <w:color w:val="auto"/>
                <w:szCs w:val="21"/>
                <w:highlight w:val="none"/>
              </w:rPr>
              <w:t>依托乡镇排水设施</w:t>
            </w:r>
            <w:r>
              <w:rPr>
                <w:rFonts w:hint="eastAsia"/>
                <w:color w:val="auto"/>
                <w:highlight w:val="none"/>
              </w:rPr>
              <w:t>，不会对表潜水造成影响，更不会对该区的承压水造成影响。</w:t>
            </w:r>
          </w:p>
          <w:p>
            <w:pPr>
              <w:ind w:firstLine="0" w:firstLineChars="0"/>
              <w:rPr>
                <w:b/>
                <w:bCs/>
                <w:color w:val="auto"/>
                <w:highlight w:val="none"/>
              </w:rPr>
            </w:pPr>
            <w:r>
              <w:rPr>
                <w:rFonts w:hint="eastAsia"/>
                <w:b/>
                <w:bCs/>
                <w:color w:val="auto"/>
                <w:highlight w:val="none"/>
              </w:rPr>
              <w:t>5、施工噪声污染防治措施</w:t>
            </w:r>
          </w:p>
          <w:p>
            <w:pPr>
              <w:ind w:firstLine="482"/>
              <w:rPr>
                <w:b/>
                <w:bCs/>
                <w:color w:val="auto"/>
                <w:highlight w:val="none"/>
              </w:rPr>
            </w:pPr>
            <w:r>
              <w:rPr>
                <w:rFonts w:hint="eastAsia"/>
                <w:b/>
                <w:bCs/>
                <w:color w:val="auto"/>
                <w:highlight w:val="none"/>
              </w:rPr>
              <w:t>5.1合理安排施工时段</w:t>
            </w:r>
          </w:p>
          <w:p>
            <w:pPr>
              <w:ind w:firstLine="480"/>
              <w:rPr>
                <w:color w:val="auto"/>
                <w:highlight w:val="none"/>
              </w:rPr>
            </w:pPr>
            <w:r>
              <w:rPr>
                <w:rFonts w:hint="eastAsia"/>
                <w:color w:val="auto"/>
                <w:highlight w:val="none"/>
              </w:rPr>
              <w:t>制定施工计划时，应尽可能避免大量噪声设备同时使用。工程应安排在白天施工，夜间禁止施工。如确实要在夜间施工，需向当地生态环境部门提出夜间施工的申请。</w:t>
            </w:r>
          </w:p>
          <w:p>
            <w:pPr>
              <w:ind w:firstLine="482"/>
              <w:rPr>
                <w:b/>
                <w:bCs/>
                <w:color w:val="auto"/>
                <w:highlight w:val="none"/>
              </w:rPr>
            </w:pPr>
            <w:r>
              <w:rPr>
                <w:rFonts w:hint="eastAsia"/>
                <w:b/>
                <w:bCs/>
                <w:color w:val="auto"/>
                <w:highlight w:val="none"/>
              </w:rPr>
              <w:t>5.2合理布局施工场地</w:t>
            </w:r>
          </w:p>
          <w:p>
            <w:pPr>
              <w:ind w:firstLine="480"/>
              <w:rPr>
                <w:color w:val="auto"/>
                <w:highlight w:val="none"/>
              </w:rPr>
            </w:pPr>
            <w:r>
              <w:rPr>
                <w:rFonts w:hint="eastAsia"/>
                <w:color w:val="auto"/>
                <w:highlight w:val="none"/>
              </w:rPr>
              <w:t>避免在同一地点安排大量动力机械设备，以免局部声级过高。</w:t>
            </w:r>
          </w:p>
          <w:p>
            <w:pPr>
              <w:ind w:firstLine="482"/>
              <w:rPr>
                <w:b/>
                <w:bCs/>
                <w:color w:val="auto"/>
                <w:highlight w:val="none"/>
              </w:rPr>
            </w:pPr>
            <w:r>
              <w:rPr>
                <w:rFonts w:hint="eastAsia"/>
                <w:b/>
                <w:bCs/>
                <w:color w:val="auto"/>
                <w:highlight w:val="none"/>
              </w:rPr>
              <w:t>5.3采取降噪措施</w:t>
            </w:r>
          </w:p>
          <w:p>
            <w:pPr>
              <w:ind w:firstLine="482"/>
              <w:rPr>
                <w:b/>
                <w:bCs/>
                <w:color w:val="auto"/>
                <w:highlight w:val="none"/>
              </w:rPr>
            </w:pPr>
            <w:r>
              <w:rPr>
                <w:rFonts w:hint="eastAsia"/>
                <w:b/>
                <w:bCs/>
                <w:color w:val="auto"/>
                <w:highlight w:val="none"/>
              </w:rPr>
              <w:t>5.3.1降低声源噪声</w:t>
            </w:r>
          </w:p>
          <w:p>
            <w:pPr>
              <w:ind w:firstLine="480"/>
              <w:rPr>
                <w:color w:val="auto"/>
                <w:highlight w:val="none"/>
              </w:rPr>
            </w:pPr>
            <w:r>
              <w:rPr>
                <w:rFonts w:hint="eastAsia"/>
                <w:color w:val="auto"/>
                <w:highlight w:val="none"/>
              </w:rPr>
              <w:t>（1）在施工设备的选型上尽量采用低噪声设备；</w:t>
            </w:r>
          </w:p>
          <w:p>
            <w:pPr>
              <w:ind w:firstLine="480"/>
              <w:rPr>
                <w:color w:val="auto"/>
                <w:highlight w:val="none"/>
              </w:rPr>
            </w:pPr>
            <w:r>
              <w:rPr>
                <w:rFonts w:hint="eastAsia"/>
                <w:color w:val="auto"/>
                <w:highlight w:val="none"/>
              </w:rPr>
              <w:t>（2）固定机械设备与挖土、运土机构，如挖土机、推土机等，可通过消音器和隔离发动机振动部件的方法降低噪声；</w:t>
            </w:r>
          </w:p>
          <w:p>
            <w:pPr>
              <w:ind w:firstLine="480"/>
              <w:rPr>
                <w:color w:val="auto"/>
                <w:highlight w:val="none"/>
              </w:rPr>
            </w:pPr>
            <w:r>
              <w:rPr>
                <w:rFonts w:hint="eastAsia"/>
                <w:color w:val="auto"/>
                <w:highlight w:val="none"/>
              </w:rPr>
              <w:t>（3）加强对设备的维护、养护，闲置设备应关闭或减速；</w:t>
            </w:r>
          </w:p>
          <w:p>
            <w:pPr>
              <w:ind w:firstLine="480"/>
              <w:rPr>
                <w:color w:val="auto"/>
                <w:highlight w:val="none"/>
              </w:rPr>
            </w:pPr>
            <w:r>
              <w:rPr>
                <w:rFonts w:hint="eastAsia"/>
                <w:color w:val="auto"/>
                <w:highlight w:val="none"/>
              </w:rPr>
              <w:t>（4）尽可能采用外加工材料，减少现场加工的工作量；</w:t>
            </w:r>
          </w:p>
          <w:p>
            <w:pPr>
              <w:ind w:firstLine="480"/>
              <w:rPr>
                <w:color w:val="auto"/>
                <w:highlight w:val="none"/>
              </w:rPr>
            </w:pPr>
            <w:r>
              <w:rPr>
                <w:rFonts w:hint="eastAsia"/>
                <w:color w:val="auto"/>
                <w:highlight w:val="none"/>
              </w:rPr>
              <w:t>（5）尽量缩短高噪声机械设备的使用时间；</w:t>
            </w:r>
          </w:p>
          <w:p>
            <w:pPr>
              <w:ind w:firstLine="480"/>
              <w:rPr>
                <w:color w:val="auto"/>
                <w:highlight w:val="none"/>
              </w:rPr>
            </w:pPr>
            <w:r>
              <w:rPr>
                <w:rFonts w:hint="eastAsia"/>
                <w:color w:val="auto"/>
                <w:highlight w:val="none"/>
              </w:rPr>
              <w:t>（6）为减少运输车辆交通噪声，应采取以下措施进行防治：</w:t>
            </w:r>
          </w:p>
          <w:p>
            <w:pPr>
              <w:ind w:firstLine="960" w:firstLineChars="400"/>
              <w:rPr>
                <w:color w:val="auto"/>
                <w:highlight w:val="none"/>
              </w:rPr>
            </w:pPr>
            <w:r>
              <w:rPr>
                <w:rFonts w:hint="eastAsia"/>
                <w:color w:val="auto"/>
                <w:highlight w:val="none"/>
              </w:rPr>
              <w:t>A.尽量避免夜间运输，适当限制大型载重车的车速，尤其进入噪声敏感区时应限速；</w:t>
            </w:r>
          </w:p>
          <w:p>
            <w:pPr>
              <w:ind w:firstLine="960" w:firstLineChars="400"/>
              <w:rPr>
                <w:color w:val="auto"/>
                <w:highlight w:val="none"/>
              </w:rPr>
            </w:pPr>
            <w:r>
              <w:rPr>
                <w:rFonts w:hint="eastAsia"/>
                <w:color w:val="auto"/>
                <w:highlight w:val="none"/>
              </w:rPr>
              <w:t>B.对运输车辆定期维修、养护；</w:t>
            </w:r>
          </w:p>
          <w:p>
            <w:pPr>
              <w:ind w:firstLine="960" w:firstLineChars="400"/>
              <w:rPr>
                <w:color w:val="auto"/>
                <w:highlight w:val="none"/>
              </w:rPr>
            </w:pPr>
            <w:r>
              <w:rPr>
                <w:rFonts w:hint="eastAsia"/>
                <w:color w:val="auto"/>
                <w:highlight w:val="none"/>
              </w:rPr>
              <w:t>C.减少或杜绝鸣笛。</w:t>
            </w:r>
          </w:p>
          <w:p>
            <w:pPr>
              <w:ind w:firstLine="482"/>
              <w:rPr>
                <w:b/>
                <w:bCs/>
                <w:color w:val="auto"/>
                <w:highlight w:val="none"/>
              </w:rPr>
            </w:pPr>
            <w:r>
              <w:rPr>
                <w:rFonts w:hint="eastAsia"/>
                <w:b/>
                <w:bCs/>
                <w:color w:val="auto"/>
                <w:highlight w:val="none"/>
              </w:rPr>
              <w:t>5.3.2控制传声途径</w:t>
            </w:r>
          </w:p>
          <w:p>
            <w:pPr>
              <w:ind w:firstLine="480"/>
              <w:rPr>
                <w:color w:val="auto"/>
                <w:highlight w:val="none"/>
              </w:rPr>
            </w:pPr>
            <w:r>
              <w:rPr>
                <w:rFonts w:hint="eastAsia"/>
                <w:color w:val="auto"/>
                <w:highlight w:val="none"/>
              </w:rPr>
              <w:t>项目区附近有居民点，存在声环境敏感目标，因此需要采取相应的传播途径防治措施。</w:t>
            </w:r>
          </w:p>
          <w:p>
            <w:pPr>
              <w:ind w:firstLine="480"/>
              <w:rPr>
                <w:color w:val="auto"/>
                <w:highlight w:val="none"/>
              </w:rPr>
            </w:pPr>
            <w:r>
              <w:rPr>
                <w:rFonts w:hint="eastAsia"/>
                <w:color w:val="auto"/>
                <w:highlight w:val="none"/>
              </w:rPr>
              <w:t>在施工道路</w:t>
            </w:r>
            <w:r>
              <w:rPr>
                <w:color w:val="auto"/>
                <w:highlight w:val="none"/>
              </w:rPr>
              <w:fldChar w:fldCharType="begin"/>
            </w:r>
            <w:r>
              <w:rPr>
                <w:color w:val="auto"/>
                <w:highlight w:val="none"/>
              </w:rPr>
              <w:instrText xml:space="preserve"> HYPERLINK "http://www.so.com/s?q=%E4%B8%BB%E5%B9%B2%E7%BA%BF&amp;ie=utf-8&amp;src=internal_wenda_recommend_textn" \t "_blank" </w:instrText>
            </w:r>
            <w:r>
              <w:rPr>
                <w:color w:val="auto"/>
                <w:highlight w:val="none"/>
              </w:rPr>
              <w:fldChar w:fldCharType="separate"/>
            </w:r>
            <w:r>
              <w:rPr>
                <w:rStyle w:val="34"/>
                <w:rFonts w:hint="eastAsia" w:ascii="宋体" w:hAnsi="宋体" w:cs="宋体"/>
                <w:color w:val="auto"/>
                <w:highlight w:val="none"/>
                <w:u w:val="none"/>
                <w:shd w:val="clear" w:color="auto" w:fill="FFFFFF"/>
              </w:rPr>
              <w:t>主干线</w:t>
            </w:r>
            <w:r>
              <w:rPr>
                <w:rStyle w:val="34"/>
                <w:rFonts w:hint="eastAsia" w:ascii="宋体" w:hAnsi="宋体" w:cs="宋体"/>
                <w:color w:val="auto"/>
                <w:highlight w:val="none"/>
                <w:u w:val="none"/>
                <w:shd w:val="clear" w:color="auto" w:fill="FFFFFF"/>
              </w:rPr>
              <w:fldChar w:fldCharType="end"/>
            </w:r>
            <w:r>
              <w:rPr>
                <w:rFonts w:hint="eastAsia"/>
                <w:color w:val="auto"/>
                <w:highlight w:val="none"/>
              </w:rPr>
              <w:t>两侧设置围挡（声屏障），以减弱反射声能及绕射声能，阻断声波的传播，以降低噪声对附近居民的影响。也可在居民住房附近种植树木及灌木丛，可减弱声反射、增加噪声衰减量。</w:t>
            </w:r>
          </w:p>
          <w:p>
            <w:pPr>
              <w:ind w:firstLine="482"/>
              <w:rPr>
                <w:b/>
                <w:bCs/>
                <w:color w:val="auto"/>
                <w:highlight w:val="none"/>
              </w:rPr>
            </w:pPr>
            <w:r>
              <w:rPr>
                <w:rFonts w:hint="eastAsia"/>
                <w:b/>
                <w:bCs/>
                <w:color w:val="auto"/>
                <w:highlight w:val="none"/>
              </w:rPr>
              <w:t>5.3.3降低人为噪声影响</w:t>
            </w:r>
          </w:p>
          <w:p>
            <w:pPr>
              <w:ind w:firstLine="480"/>
              <w:rPr>
                <w:color w:val="auto"/>
                <w:highlight w:val="none"/>
              </w:rPr>
            </w:pPr>
            <w:r>
              <w:rPr>
                <w:rFonts w:hint="eastAsia"/>
                <w:color w:val="auto"/>
                <w:highlight w:val="none"/>
              </w:rPr>
              <w:t>按操作规范操作机械设备等过程中减少碰撞噪声，并对工人进行环保方面的教育。在装卸进程中，禁止野蛮作业，减少作业噪声。</w:t>
            </w:r>
          </w:p>
          <w:p>
            <w:pPr>
              <w:ind w:firstLine="480"/>
              <w:rPr>
                <w:color w:val="auto"/>
                <w:highlight w:val="none"/>
              </w:rPr>
            </w:pPr>
            <w:r>
              <w:rPr>
                <w:rFonts w:hint="eastAsia"/>
                <w:color w:val="auto"/>
                <w:highlight w:val="none"/>
              </w:rPr>
              <w:t>通过采取上述措施后，噪声消减值可达15dB（A）以上，满足《建筑施工场界环境噪声排放标准》的规定，再者，由该项目组成情况、施工方式及施工机械噪声源强情况看，渠道建设属线性施工，工程较短，噪声影响范围有限，且施工周期短，因此，施工噪声防治措施可行，对当地声环境影响较小。</w:t>
            </w:r>
          </w:p>
          <w:p>
            <w:pPr>
              <w:ind w:firstLine="0" w:firstLineChars="0"/>
              <w:rPr>
                <w:b/>
                <w:bCs/>
                <w:color w:val="auto"/>
                <w:highlight w:val="none"/>
              </w:rPr>
            </w:pPr>
            <w:r>
              <w:rPr>
                <w:rFonts w:hint="eastAsia"/>
                <w:b/>
                <w:bCs/>
                <w:color w:val="auto"/>
                <w:highlight w:val="none"/>
              </w:rPr>
              <w:t>6、施工固废污染防治措施</w:t>
            </w:r>
          </w:p>
          <w:p>
            <w:pPr>
              <w:ind w:firstLine="482"/>
              <w:rPr>
                <w:b/>
                <w:bCs/>
                <w:color w:val="auto"/>
                <w:highlight w:val="none"/>
              </w:rPr>
            </w:pPr>
            <w:r>
              <w:rPr>
                <w:rFonts w:hint="eastAsia"/>
                <w:b/>
                <w:bCs/>
                <w:color w:val="auto"/>
                <w:highlight w:val="none"/>
              </w:rPr>
              <w:t>6.1临时堆土环境保护措施</w:t>
            </w:r>
          </w:p>
          <w:p>
            <w:pPr>
              <w:ind w:firstLine="480"/>
              <w:rPr>
                <w:color w:val="auto"/>
                <w:highlight w:val="none"/>
              </w:rPr>
            </w:pPr>
            <w:r>
              <w:rPr>
                <w:rFonts w:hint="eastAsia"/>
                <w:color w:val="auto"/>
                <w:highlight w:val="none"/>
              </w:rPr>
              <w:t>本项目产生的临时堆土主要由清基土及堤防基础土方开挖产生的弃土。堆土表面应定期洒水、表层压实，以防止下雨、大风天气造成水土流失。基础土方开挖产生的弃土用于主体工程的填筑、外边坡回填以及堤顶平整；清基土用于堤防沿线平整及绿化覆土。</w:t>
            </w:r>
          </w:p>
          <w:p>
            <w:pPr>
              <w:ind w:firstLine="482"/>
              <w:rPr>
                <w:rFonts w:hint="eastAsia" w:eastAsia="宋体"/>
                <w:b/>
                <w:bCs/>
                <w:color w:val="auto"/>
                <w:highlight w:val="none"/>
                <w:lang w:val="en-US" w:eastAsia="zh-CN"/>
              </w:rPr>
            </w:pPr>
            <w:r>
              <w:rPr>
                <w:rFonts w:hint="eastAsia"/>
                <w:b/>
                <w:bCs/>
                <w:color w:val="auto"/>
                <w:highlight w:val="none"/>
              </w:rPr>
              <w:t>6.2生活垃圾</w:t>
            </w:r>
            <w:r>
              <w:rPr>
                <w:rFonts w:hint="eastAsia"/>
                <w:b/>
                <w:bCs/>
                <w:color w:val="auto"/>
                <w:highlight w:val="none"/>
                <w:lang w:val="en-US" w:eastAsia="zh-CN"/>
              </w:rPr>
              <w:t>的处置</w:t>
            </w:r>
          </w:p>
          <w:p>
            <w:pPr>
              <w:ind w:firstLine="480"/>
              <w:rPr>
                <w:rFonts w:hint="eastAsia"/>
                <w:color w:val="auto"/>
                <w:highlight w:val="none"/>
              </w:rPr>
            </w:pPr>
            <w:r>
              <w:rPr>
                <w:rFonts w:hint="eastAsia"/>
                <w:color w:val="auto"/>
                <w:highlight w:val="none"/>
              </w:rPr>
              <w:t>在各施工点设置垃圾桶，并每2天外运至</w:t>
            </w:r>
            <w:r>
              <w:rPr>
                <w:rFonts w:hint="eastAsia" w:eastAsiaTheme="minorEastAsia"/>
                <w:color w:val="auto"/>
                <w:highlight w:val="none"/>
              </w:rPr>
              <w:t>吐鲁番市生活垃圾填埋场处置</w:t>
            </w:r>
            <w:r>
              <w:rPr>
                <w:rFonts w:hint="eastAsia"/>
                <w:color w:val="auto"/>
                <w:highlight w:val="none"/>
              </w:rPr>
              <w:t>。同时对垃圾桶、垃圾集中存放处定期喷药消毒，防止苍蝇等害虫滋生。</w:t>
            </w:r>
          </w:p>
          <w:p>
            <w:pPr>
              <w:ind w:firstLine="482"/>
              <w:rPr>
                <w:rFonts w:hint="eastAsia" w:eastAsia="宋体"/>
                <w:color w:val="auto"/>
                <w:highlight w:val="none"/>
                <w:lang w:eastAsia="zh-CN"/>
              </w:rPr>
            </w:pPr>
            <w:r>
              <w:rPr>
                <w:rFonts w:hint="eastAsia"/>
                <w:b/>
                <w:bCs/>
                <w:color w:val="auto"/>
                <w:highlight w:val="none"/>
                <w:lang w:eastAsia="zh-CN"/>
              </w:rPr>
              <w:t xml:space="preserve">6.2 </w:t>
            </w:r>
            <w:r>
              <w:rPr>
                <w:rFonts w:hint="eastAsia"/>
                <w:b/>
                <w:bCs/>
                <w:color w:val="auto"/>
                <w:highlight w:val="none"/>
                <w:lang w:val="en-US" w:eastAsia="zh-CN"/>
              </w:rPr>
              <w:t>弃土与弃渣的处置</w:t>
            </w:r>
          </w:p>
          <w:p>
            <w:pPr>
              <w:keepNext w:val="0"/>
              <w:keepLines w:val="0"/>
              <w:pageBreakBefore w:val="0"/>
              <w:widowControl w:val="0"/>
              <w:kinsoku/>
              <w:wordWrap/>
              <w:overflowPunct/>
              <w:topLinePunct w:val="0"/>
              <w:autoSpaceDE/>
              <w:autoSpaceDN/>
              <w:bidi w:val="0"/>
              <w:adjustRightInd/>
              <w:snapToGrid/>
              <w:ind w:firstLine="482"/>
              <w:textAlignment w:val="auto"/>
              <w:rPr>
                <w:rFonts w:hint="eastAsia"/>
                <w:b w:val="0"/>
                <w:bCs w:val="0"/>
                <w:color w:val="auto"/>
                <w:highlight w:val="none"/>
                <w:lang w:val="en-US" w:eastAsia="zh-CN"/>
              </w:rPr>
            </w:pPr>
            <w:r>
              <w:rPr>
                <w:rFonts w:hint="eastAsia"/>
                <w:b w:val="0"/>
                <w:bCs w:val="0"/>
                <w:color w:val="auto"/>
                <w:highlight w:val="none"/>
                <w:lang w:val="en-US" w:eastAsia="zh-CN"/>
              </w:rPr>
              <w:t>本项目在施工过程中所产生的弃土与弃渣，主要包括无法就地利用的各类土石方材料、开挖产生的碎石块以及拆除或浇筑过程中形成的水泥块等建筑废料。</w:t>
            </w:r>
          </w:p>
          <w:p>
            <w:pPr>
              <w:keepNext w:val="0"/>
              <w:keepLines w:val="0"/>
              <w:pageBreakBefore w:val="0"/>
              <w:widowControl w:val="0"/>
              <w:kinsoku/>
              <w:wordWrap/>
              <w:overflowPunct/>
              <w:topLinePunct w:val="0"/>
              <w:autoSpaceDE/>
              <w:autoSpaceDN/>
              <w:bidi w:val="0"/>
              <w:adjustRightInd/>
              <w:snapToGrid/>
              <w:ind w:firstLine="482"/>
              <w:textAlignment w:val="auto"/>
              <w:rPr>
                <w:rFonts w:hint="eastAsia"/>
                <w:b w:val="0"/>
                <w:bCs w:val="0"/>
                <w:color w:val="auto"/>
                <w:highlight w:val="none"/>
                <w:lang w:val="en-US" w:eastAsia="zh-CN"/>
              </w:rPr>
            </w:pPr>
            <w:r>
              <w:rPr>
                <w:rFonts w:hint="eastAsia"/>
                <w:b w:val="0"/>
                <w:bCs w:val="0"/>
                <w:color w:val="auto"/>
                <w:highlight w:val="none"/>
                <w:lang w:val="en-US" w:eastAsia="zh-CN"/>
              </w:rPr>
              <w:t>施工过程中，可利用的弃土与弃渣可以用于工程现场的填筑作业、场地平整或回填等，以实现废弃材料的二次使用和价值再生。无法就地消纳的弃渣，则须严格按照相关规定运输至项目专用渣场进行集中堆放与管理。在渣场堆放过程中，需采取分层摊铺、机械压实、表面覆盖防尘网或种植临时植被等有效措施，以控制扬尘产生，减少水土流失风险。同时，应在渣场周边合理布设截水沟和排水系统，防止雨水径流对堆体造成冲刷，避免引发渣体滑坡或导致污染物扩散至周围水环境。施工结束后，须对渣场实施系统而持续的生态修复工作，如进行覆土、植草等，以逐步恢复其生态功能，降低施工期不利的环境影响。</w:t>
            </w:r>
          </w:p>
          <w:p>
            <w:pPr>
              <w:ind w:firstLine="0" w:firstLineChars="0"/>
              <w:rPr>
                <w:b/>
                <w:bCs/>
                <w:color w:val="auto"/>
                <w:highlight w:val="none"/>
              </w:rPr>
            </w:pPr>
            <w:r>
              <w:rPr>
                <w:rFonts w:hint="eastAsia"/>
                <w:b/>
                <w:bCs/>
                <w:color w:val="auto"/>
                <w:highlight w:val="none"/>
              </w:rPr>
              <w:t>7、环境保护目标的保护措施</w:t>
            </w:r>
          </w:p>
          <w:p>
            <w:pPr>
              <w:ind w:firstLine="482"/>
              <w:rPr>
                <w:b/>
                <w:bCs/>
                <w:color w:val="auto"/>
                <w:highlight w:val="none"/>
              </w:rPr>
            </w:pPr>
            <w:r>
              <w:rPr>
                <w:rFonts w:hint="eastAsia"/>
                <w:b/>
                <w:bCs/>
                <w:color w:val="auto"/>
                <w:highlight w:val="none"/>
              </w:rPr>
              <w:t>7.1对居民的保护措施</w:t>
            </w:r>
          </w:p>
          <w:p>
            <w:pPr>
              <w:ind w:firstLine="480"/>
              <w:rPr>
                <w:color w:val="auto"/>
                <w:highlight w:val="none"/>
              </w:rPr>
            </w:pPr>
            <w:r>
              <w:rPr>
                <w:rFonts w:hint="eastAsia"/>
                <w:color w:val="auto"/>
                <w:highlight w:val="none"/>
              </w:rPr>
              <w:t>制定施工计划时，应尽可能避免大量噪声设备同时使用。工程应安排在白天施工，夜间禁止施工。避免在同一地点安排大量动力机械设备，以免局部声级过高。为减少物料运输车辆以及施工器械产生的噪声污染，物料运输及施工尽量安排昼间实施。施工期物料运输以临时道路和已有道路为主，已有道路运输时沿途将经过少量集中的村屯，以此降低对环境保护目标的影响。</w:t>
            </w:r>
          </w:p>
          <w:p>
            <w:pPr>
              <w:ind w:firstLine="480"/>
              <w:rPr>
                <w:color w:val="auto"/>
                <w:highlight w:val="none"/>
              </w:rPr>
            </w:pPr>
            <w:r>
              <w:rPr>
                <w:rFonts w:hint="eastAsia"/>
                <w:color w:val="auto"/>
                <w:highlight w:val="none"/>
              </w:rPr>
              <w:t>大气环境对环境保护目标的影响较小，可不做防治措施。</w:t>
            </w:r>
          </w:p>
          <w:p>
            <w:pPr>
              <w:ind w:firstLine="482"/>
              <w:rPr>
                <w:b/>
                <w:bCs/>
                <w:color w:val="auto"/>
                <w:highlight w:val="none"/>
              </w:rPr>
            </w:pPr>
            <w:r>
              <w:rPr>
                <w:rFonts w:hint="eastAsia"/>
                <w:b/>
                <w:bCs/>
                <w:color w:val="auto"/>
                <w:highlight w:val="none"/>
              </w:rPr>
              <w:t>7.2对农田的保护措施</w:t>
            </w:r>
          </w:p>
          <w:p>
            <w:pPr>
              <w:ind w:firstLine="480"/>
              <w:rPr>
                <w:b/>
                <w:bCs/>
                <w:color w:val="auto"/>
                <w:highlight w:val="none"/>
              </w:rPr>
            </w:pPr>
            <w:r>
              <w:rPr>
                <w:rFonts w:hint="eastAsia"/>
                <w:color w:val="auto"/>
                <w:highlight w:val="none"/>
              </w:rPr>
              <w:t>施工过程中，应严格控制施工范围，避免机械设备进入农田区域，防止对土壤结构造成破坏。对于施工产生的废水，需经过沉淀处理后排放，严禁直接排入农田灌溉系统，以确保农田水质不受污染。同时，施工期间应注意保护农田周边的排水设施，避免因施工导致排水不畅，影响农田正常灌溉和排水功能。此外，施工结束后，应及时清理现场，恢复农田周边的原有地貌，确保不影响后续农业生产活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69" w:type="pct"/>
            <w:tcMar>
              <w:left w:w="28" w:type="dxa"/>
              <w:right w:w="28" w:type="dxa"/>
            </w:tcMar>
            <w:vAlign w:val="center"/>
          </w:tcPr>
          <w:p>
            <w:pPr>
              <w:spacing w:line="240" w:lineRule="auto"/>
              <w:ind w:firstLine="0" w:firstLineChars="0"/>
              <w:jc w:val="center"/>
              <w:rPr>
                <w:color w:val="auto"/>
                <w:highlight w:val="none"/>
              </w:rPr>
            </w:pPr>
            <w:r>
              <w:rPr>
                <w:color w:val="auto"/>
                <w:highlight w:val="none"/>
              </w:rPr>
              <w:t>运营期生态环境保护措施</w:t>
            </w:r>
          </w:p>
        </w:tc>
        <w:tc>
          <w:tcPr>
            <w:tcW w:w="4730" w:type="pct"/>
          </w:tcPr>
          <w:p>
            <w:pPr>
              <w:ind w:firstLine="0" w:firstLineChars="0"/>
              <w:rPr>
                <w:b/>
                <w:bCs/>
                <w:color w:val="auto"/>
                <w:highlight w:val="none"/>
              </w:rPr>
            </w:pPr>
            <w:r>
              <w:rPr>
                <w:rFonts w:hint="eastAsia"/>
                <w:b/>
                <w:bCs/>
                <w:color w:val="auto"/>
                <w:highlight w:val="none"/>
              </w:rPr>
              <w:t>1、运营期生态保护措施</w:t>
            </w:r>
          </w:p>
          <w:p>
            <w:pPr>
              <w:ind w:firstLine="480"/>
              <w:rPr>
                <w:color w:val="auto"/>
                <w:highlight w:val="none"/>
              </w:rPr>
            </w:pPr>
            <w:r>
              <w:rPr>
                <w:rFonts w:hint="eastAsia"/>
                <w:color w:val="auto"/>
                <w:highlight w:val="none"/>
              </w:rPr>
              <w:t>工程运行后，各项绿化、水土保持措施的实施将有效减少工程区的水土流失，增加项目区的绿地面积和植被覆盖率，工程区的生态环境将有一定的改善和提高。此外，需加强宣传教育，增强居民和施工人员的环保意识，禁止破坏渠道以外的草地。</w:t>
            </w:r>
          </w:p>
          <w:p>
            <w:pPr>
              <w:ind w:firstLine="0" w:firstLineChars="0"/>
              <w:rPr>
                <w:b/>
                <w:bCs/>
                <w:color w:val="auto"/>
                <w:highlight w:val="none"/>
              </w:rPr>
            </w:pPr>
            <w:r>
              <w:rPr>
                <w:rFonts w:hint="eastAsia"/>
                <w:b/>
                <w:bCs/>
                <w:color w:val="auto"/>
                <w:highlight w:val="none"/>
              </w:rPr>
              <w:t>2、大气污染环境保护措施</w:t>
            </w:r>
          </w:p>
          <w:p>
            <w:pPr>
              <w:ind w:firstLine="480"/>
              <w:rPr>
                <w:color w:val="auto"/>
                <w:highlight w:val="none"/>
              </w:rPr>
            </w:pPr>
            <w:r>
              <w:rPr>
                <w:rFonts w:hint="eastAsia"/>
                <w:color w:val="auto"/>
                <w:highlight w:val="none"/>
              </w:rPr>
              <w:t>本项目为防渗渠灌溉项目，在项目运营期间将不产生大气污染，本环评不提出大气污染环境保护措施。</w:t>
            </w:r>
          </w:p>
          <w:p>
            <w:pPr>
              <w:ind w:firstLine="0" w:firstLineChars="0"/>
              <w:rPr>
                <w:b/>
                <w:bCs/>
                <w:color w:val="auto"/>
                <w:highlight w:val="none"/>
              </w:rPr>
            </w:pPr>
            <w:r>
              <w:rPr>
                <w:rFonts w:hint="eastAsia"/>
                <w:b/>
                <w:bCs/>
                <w:color w:val="auto"/>
                <w:highlight w:val="none"/>
              </w:rPr>
              <w:t>3、水污染环境保护措施</w:t>
            </w:r>
          </w:p>
          <w:p>
            <w:pPr>
              <w:ind w:firstLine="480"/>
              <w:rPr>
                <w:color w:val="auto"/>
                <w:highlight w:val="none"/>
              </w:rPr>
            </w:pPr>
            <w:r>
              <w:rPr>
                <w:rFonts w:hint="eastAsia"/>
                <w:color w:val="auto"/>
                <w:highlight w:val="none"/>
              </w:rPr>
              <w:t>本项目为防渗渠灌溉项目，严格执行“三条红线”控制指标，禁止超过规定的引水量定额。</w:t>
            </w:r>
          </w:p>
          <w:p>
            <w:pPr>
              <w:ind w:firstLine="0" w:firstLineChars="0"/>
              <w:rPr>
                <w:b/>
                <w:bCs/>
                <w:color w:val="auto"/>
                <w:highlight w:val="none"/>
              </w:rPr>
            </w:pPr>
            <w:r>
              <w:rPr>
                <w:rFonts w:hint="eastAsia"/>
                <w:b/>
                <w:bCs/>
                <w:color w:val="auto"/>
                <w:highlight w:val="none"/>
              </w:rPr>
              <w:t>4、噪声污染环境保护措施</w:t>
            </w:r>
          </w:p>
          <w:p>
            <w:pPr>
              <w:ind w:firstLine="480"/>
              <w:rPr>
                <w:color w:val="auto"/>
                <w:highlight w:val="none"/>
              </w:rPr>
            </w:pPr>
            <w:r>
              <w:rPr>
                <w:rFonts w:hint="eastAsia"/>
                <w:color w:val="auto"/>
                <w:highlight w:val="none"/>
              </w:rPr>
              <w:t>本项目为防渗渠灌溉项目，项目运营期无噪声污染，故本环评不再提出噪声污染环境保护措施。</w:t>
            </w:r>
          </w:p>
          <w:p>
            <w:pPr>
              <w:ind w:firstLine="0" w:firstLineChars="0"/>
              <w:rPr>
                <w:b/>
                <w:bCs/>
                <w:color w:val="auto"/>
                <w:highlight w:val="none"/>
              </w:rPr>
            </w:pPr>
            <w:r>
              <w:rPr>
                <w:rFonts w:hint="eastAsia"/>
                <w:b/>
                <w:bCs/>
                <w:color w:val="auto"/>
                <w:highlight w:val="none"/>
              </w:rPr>
              <w:t>5、固体废物污染环境保护措施</w:t>
            </w:r>
          </w:p>
          <w:p>
            <w:pPr>
              <w:ind w:firstLine="480"/>
              <w:rPr>
                <w:color w:val="auto"/>
                <w:highlight w:val="none"/>
              </w:rPr>
            </w:pPr>
            <w:r>
              <w:rPr>
                <w:rFonts w:hint="eastAsia"/>
                <w:color w:val="auto"/>
                <w:highlight w:val="none"/>
              </w:rPr>
              <w:t>本项目管理人员在运营期提示严禁将垃圾遗留在项目区内，并及时清理渠道上已有固废。</w:t>
            </w:r>
          </w:p>
          <w:p>
            <w:pPr>
              <w:ind w:firstLine="0" w:firstLineChars="0"/>
              <w:rPr>
                <w:b/>
                <w:bCs/>
                <w:color w:val="auto"/>
                <w:highlight w:val="none"/>
              </w:rPr>
            </w:pPr>
            <w:r>
              <w:rPr>
                <w:rFonts w:hint="eastAsia"/>
                <w:b/>
                <w:bCs/>
                <w:color w:val="auto"/>
                <w:highlight w:val="none"/>
              </w:rPr>
              <w:t>6、环境风险环境保护措施</w:t>
            </w:r>
          </w:p>
          <w:p>
            <w:pPr>
              <w:ind w:firstLine="480"/>
              <w:rPr>
                <w:color w:val="auto"/>
                <w:highlight w:val="none"/>
              </w:rPr>
            </w:pPr>
            <w:r>
              <w:rPr>
                <w:rFonts w:hint="eastAsia"/>
                <w:color w:val="auto"/>
                <w:highlight w:val="none"/>
              </w:rPr>
              <w:t>本项目不涉及环境风险物质，运营期也基本不存在环境风险的因素，运营期总体是对环境有利的。</w:t>
            </w:r>
          </w:p>
          <w:p>
            <w:pPr>
              <w:ind w:firstLine="0" w:firstLineChars="0"/>
              <w:rPr>
                <w:b/>
                <w:bCs/>
                <w:color w:val="auto"/>
                <w:highlight w:val="none"/>
              </w:rPr>
            </w:pPr>
            <w:r>
              <w:rPr>
                <w:rFonts w:hint="eastAsia"/>
                <w:b/>
                <w:bCs/>
                <w:color w:val="auto"/>
                <w:highlight w:val="none"/>
              </w:rPr>
              <w:t>7、环境管理</w:t>
            </w:r>
          </w:p>
          <w:p>
            <w:pPr>
              <w:ind w:firstLine="482"/>
              <w:rPr>
                <w:b/>
                <w:bCs/>
                <w:color w:val="auto"/>
                <w:highlight w:val="none"/>
              </w:rPr>
            </w:pPr>
            <w:r>
              <w:rPr>
                <w:rFonts w:hint="eastAsia"/>
                <w:b/>
                <w:bCs/>
                <w:color w:val="auto"/>
                <w:highlight w:val="none"/>
              </w:rPr>
              <w:t>7.1施工期环境管理</w:t>
            </w:r>
          </w:p>
          <w:p>
            <w:pPr>
              <w:ind w:firstLine="480"/>
              <w:rPr>
                <w:color w:val="auto"/>
                <w:highlight w:val="none"/>
              </w:rPr>
            </w:pPr>
            <w:r>
              <w:rPr>
                <w:rFonts w:hint="eastAsia"/>
                <w:color w:val="auto"/>
                <w:highlight w:val="none"/>
              </w:rPr>
              <w:t>严格落实报告中提出的各项环境保护措施，包括：生态保护措施、施工废水治理措施、大气保护措施、生活垃圾处理措施、噪声控制措施、人群健康保护措施等。在工程招标及合同签订时，将上述措施的相关设计和要求作为环境保护条款，结合不同标段，纳入招标文件及施工合同之中。责任人为建设管理部门、实施人为各标段施工单位、监督人为吐鲁番市生态环境局鄯善县市分局。</w:t>
            </w:r>
          </w:p>
          <w:p>
            <w:pPr>
              <w:ind w:firstLine="480"/>
              <w:rPr>
                <w:color w:val="auto"/>
                <w:highlight w:val="none"/>
              </w:rPr>
            </w:pPr>
            <w:r>
              <w:rPr>
                <w:rFonts w:hint="eastAsia"/>
                <w:color w:val="auto"/>
                <w:highlight w:val="none"/>
              </w:rPr>
              <w:t>对施工人员进行环境保护法律、法规教育，增强其环保意识。具体措施包括：在施工人员进驻施工场地前进行环境保护法律、法规的宣传，并结合施工场区环境特点，明确具体的环保要求，同时将有关内容印制成宣传材料分发，制定相应的奖惩措施，定期检测，及时予以表彰或处罚。</w:t>
            </w:r>
          </w:p>
          <w:p>
            <w:pPr>
              <w:ind w:firstLine="480"/>
              <w:rPr>
                <w:color w:val="auto"/>
                <w:highlight w:val="none"/>
              </w:rPr>
            </w:pPr>
            <w:r>
              <w:rPr>
                <w:rFonts w:hint="eastAsia"/>
                <w:color w:val="auto"/>
                <w:highlight w:val="none"/>
              </w:rPr>
              <w:t>实施环境保护监理制度，严格依据有关监理技术规范要求，做好各项环保工程的监理工作。</w:t>
            </w:r>
          </w:p>
          <w:p>
            <w:pPr>
              <w:ind w:firstLine="482"/>
              <w:rPr>
                <w:b/>
                <w:bCs/>
                <w:color w:val="auto"/>
                <w:highlight w:val="none"/>
              </w:rPr>
            </w:pPr>
            <w:r>
              <w:rPr>
                <w:rFonts w:hint="eastAsia"/>
                <w:b/>
                <w:bCs/>
                <w:color w:val="auto"/>
                <w:highlight w:val="none"/>
              </w:rPr>
              <w:t>7.2运行期环境管理</w:t>
            </w:r>
          </w:p>
          <w:p>
            <w:pPr>
              <w:ind w:firstLine="480"/>
              <w:rPr>
                <w:color w:val="auto"/>
                <w:highlight w:val="none"/>
              </w:rPr>
            </w:pPr>
            <w:r>
              <w:rPr>
                <w:rFonts w:hint="eastAsia"/>
                <w:color w:val="auto"/>
                <w:highlight w:val="none"/>
              </w:rPr>
              <w:t>（1）建立健全工程环境保护各项规章制度，设立专门环管机构，配备专职环保人员，做到专人</w:t>
            </w:r>
            <w:r>
              <w:rPr>
                <w:rFonts w:hint="eastAsia"/>
                <w:color w:val="auto"/>
                <w:highlight w:val="none"/>
                <w:lang w:eastAsia="zh-CN"/>
              </w:rPr>
              <w:t>专责</w:t>
            </w:r>
            <w:r>
              <w:rPr>
                <w:rFonts w:hint="eastAsia"/>
                <w:color w:val="auto"/>
                <w:highlight w:val="none"/>
              </w:rPr>
              <w:t>，责任到人。</w:t>
            </w:r>
          </w:p>
          <w:p>
            <w:pPr>
              <w:ind w:firstLine="480"/>
              <w:rPr>
                <w:color w:val="auto"/>
                <w:highlight w:val="none"/>
              </w:rPr>
            </w:pPr>
            <w:r>
              <w:rPr>
                <w:rFonts w:hint="eastAsia"/>
                <w:color w:val="auto"/>
                <w:highlight w:val="none"/>
              </w:rPr>
              <w:t>（2）建立工程环境保护技术档案。编制水环境、生态环境、水土保持监测结果及调查表，对调查的监测资料进行汇总、分析整理，保管并与工程兴建前或上一年的环境状况进行分析比较，根据监测结果写出分析报告，及时提出环境保护建议、措施。</w:t>
            </w:r>
          </w:p>
          <w:p>
            <w:pPr>
              <w:ind w:firstLine="480"/>
              <w:rPr>
                <w:color w:val="auto"/>
                <w:highlight w:val="none"/>
              </w:rPr>
            </w:pPr>
            <w:r>
              <w:rPr>
                <w:rFonts w:hint="eastAsia"/>
                <w:color w:val="auto"/>
                <w:highlight w:val="none"/>
              </w:rPr>
              <w:t>（3）建立报表的送审制度。本项目环境分析报告和环境监测调查表由工程专职人员逐级上报至生态环境主管部门审查，为管理部门对工程运行环境管理提供依据。</w:t>
            </w:r>
          </w:p>
          <w:p>
            <w:pPr>
              <w:ind w:firstLine="0" w:firstLineChars="0"/>
              <w:rPr>
                <w:b/>
                <w:bCs/>
                <w:color w:val="auto"/>
                <w:highlight w:val="none"/>
              </w:rPr>
            </w:pPr>
            <w:r>
              <w:rPr>
                <w:rFonts w:hint="eastAsia"/>
                <w:b/>
                <w:bCs/>
                <w:color w:val="auto"/>
                <w:highlight w:val="none"/>
              </w:rPr>
              <w:t>8、环境监测</w:t>
            </w:r>
          </w:p>
          <w:p>
            <w:pPr>
              <w:ind w:firstLine="480"/>
              <w:rPr>
                <w:color w:val="auto"/>
                <w:highlight w:val="none"/>
              </w:rPr>
            </w:pPr>
            <w:r>
              <w:rPr>
                <w:rFonts w:hint="eastAsia"/>
                <w:color w:val="auto"/>
                <w:highlight w:val="none"/>
              </w:rPr>
              <w:t>在项目实施的建设期与运行期间，为了保证环境影响预测的精度，确认环境保护措施消减工程对环境影响的有效性，同时为了及时对未曾预料的潜在环境问题采取补救措施，有必要进行环境影响监测工作。</w:t>
            </w:r>
          </w:p>
          <w:p>
            <w:pPr>
              <w:ind w:firstLine="482"/>
              <w:rPr>
                <w:b/>
                <w:bCs/>
                <w:color w:val="auto"/>
                <w:highlight w:val="none"/>
              </w:rPr>
            </w:pPr>
            <w:r>
              <w:rPr>
                <w:rFonts w:hint="eastAsia"/>
                <w:b/>
                <w:bCs/>
                <w:color w:val="auto"/>
                <w:highlight w:val="none"/>
              </w:rPr>
              <w:t>8.1监测目的及内容</w:t>
            </w:r>
          </w:p>
          <w:p>
            <w:pPr>
              <w:ind w:firstLine="480"/>
              <w:rPr>
                <w:color w:val="auto"/>
                <w:highlight w:val="none"/>
              </w:rPr>
            </w:pPr>
            <w:r>
              <w:rPr>
                <w:rFonts w:hint="eastAsia"/>
                <w:color w:val="auto"/>
                <w:highlight w:val="none"/>
              </w:rPr>
              <w:t>环境监测工作的实施分施工期和运行期两个阶段。根据本项目的环境影响特性，监测内容主要为运营期的土壤及生态环境等。</w:t>
            </w:r>
          </w:p>
          <w:p>
            <w:pPr>
              <w:ind w:firstLine="480"/>
              <w:rPr>
                <w:color w:val="auto"/>
                <w:highlight w:val="none"/>
              </w:rPr>
            </w:pPr>
            <w:r>
              <w:rPr>
                <w:rFonts w:hint="eastAsia"/>
                <w:color w:val="auto"/>
                <w:highlight w:val="none"/>
              </w:rPr>
              <w:t>运行期主要对土壤环境进行监测。</w:t>
            </w:r>
          </w:p>
          <w:p>
            <w:pPr>
              <w:ind w:firstLine="480"/>
              <w:rPr>
                <w:color w:val="auto"/>
                <w:highlight w:val="none"/>
              </w:rPr>
            </w:pPr>
            <w:r>
              <w:rPr>
                <w:rFonts w:hint="eastAsia"/>
                <w:color w:val="auto"/>
                <w:highlight w:val="none"/>
              </w:rPr>
              <w:t>项目施工期与运行期的环境监测工作委托有资质的监测单位负责，监测成果每年上报吐鲁番市生态环境局鄯善县分局，定期进行环境质量分析。监测费用计入环境保护投资之中。</w:t>
            </w:r>
          </w:p>
          <w:p>
            <w:pPr>
              <w:ind w:firstLine="482"/>
              <w:rPr>
                <w:b/>
                <w:bCs/>
                <w:color w:val="auto"/>
                <w:highlight w:val="none"/>
              </w:rPr>
            </w:pPr>
            <w:r>
              <w:rPr>
                <w:rFonts w:hint="eastAsia"/>
                <w:b/>
                <w:bCs/>
                <w:color w:val="auto"/>
                <w:highlight w:val="none"/>
              </w:rPr>
              <w:t>8.2土壤监测</w:t>
            </w:r>
          </w:p>
          <w:p>
            <w:pPr>
              <w:ind w:firstLine="480"/>
              <w:rPr>
                <w:color w:val="auto"/>
                <w:highlight w:val="none"/>
              </w:rPr>
            </w:pPr>
            <w:r>
              <w:rPr>
                <w:rFonts w:hint="eastAsia"/>
                <w:color w:val="auto"/>
                <w:highlight w:val="none"/>
              </w:rPr>
              <w:t>本项目运行期主要针对土壤监测。本项目环境监测计划如下：</w:t>
            </w:r>
          </w:p>
          <w:p>
            <w:pPr>
              <w:pStyle w:val="5"/>
              <w:rPr>
                <w:b/>
                <w:bCs/>
                <w:color w:val="auto"/>
                <w:highlight w:val="none"/>
              </w:rPr>
            </w:pPr>
            <w:r>
              <w:rPr>
                <w:rFonts w:hint="eastAsia"/>
                <w:b/>
                <w:bCs/>
                <w:color w:val="auto"/>
                <w:highlight w:val="none"/>
              </w:rPr>
              <w:t>表5-1      运营期土壤监测内容</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118"/>
              <w:gridCol w:w="1493"/>
              <w:gridCol w:w="2368"/>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699" w:type="pct"/>
                  <w:vAlign w:val="center"/>
                </w:tcPr>
                <w:p>
                  <w:pPr>
                    <w:pStyle w:val="5"/>
                    <w:rPr>
                      <w:color w:val="auto"/>
                      <w:highlight w:val="none"/>
                    </w:rPr>
                  </w:pPr>
                  <w:r>
                    <w:rPr>
                      <w:rFonts w:hint="eastAsia"/>
                      <w:color w:val="auto"/>
                      <w:highlight w:val="none"/>
                    </w:rPr>
                    <w:t>监测时段</w:t>
                  </w:r>
                </w:p>
              </w:tc>
              <w:tc>
                <w:tcPr>
                  <w:tcW w:w="713" w:type="pct"/>
                  <w:vAlign w:val="center"/>
                </w:tcPr>
                <w:p>
                  <w:pPr>
                    <w:pStyle w:val="5"/>
                    <w:rPr>
                      <w:color w:val="auto"/>
                      <w:highlight w:val="none"/>
                    </w:rPr>
                  </w:pPr>
                  <w:r>
                    <w:rPr>
                      <w:rFonts w:hint="eastAsia"/>
                      <w:color w:val="auto"/>
                      <w:highlight w:val="none"/>
                    </w:rPr>
                    <w:t>监测内容</w:t>
                  </w:r>
                </w:p>
              </w:tc>
              <w:tc>
                <w:tcPr>
                  <w:tcW w:w="952" w:type="pct"/>
                  <w:vAlign w:val="center"/>
                </w:tcPr>
                <w:p>
                  <w:pPr>
                    <w:pStyle w:val="5"/>
                    <w:rPr>
                      <w:color w:val="auto"/>
                      <w:highlight w:val="none"/>
                    </w:rPr>
                  </w:pPr>
                  <w:r>
                    <w:rPr>
                      <w:rFonts w:hint="eastAsia"/>
                      <w:color w:val="auto"/>
                      <w:highlight w:val="none"/>
                    </w:rPr>
                    <w:t>检测项目</w:t>
                  </w:r>
                </w:p>
              </w:tc>
              <w:tc>
                <w:tcPr>
                  <w:tcW w:w="1510" w:type="pct"/>
                  <w:vAlign w:val="center"/>
                </w:tcPr>
                <w:p>
                  <w:pPr>
                    <w:pStyle w:val="5"/>
                    <w:rPr>
                      <w:color w:val="auto"/>
                      <w:highlight w:val="none"/>
                    </w:rPr>
                  </w:pPr>
                  <w:r>
                    <w:rPr>
                      <w:rFonts w:hint="eastAsia"/>
                      <w:color w:val="auto"/>
                      <w:highlight w:val="none"/>
                    </w:rPr>
                    <w:t>监测地点</w:t>
                  </w:r>
                </w:p>
              </w:tc>
              <w:tc>
                <w:tcPr>
                  <w:tcW w:w="1124" w:type="pct"/>
                  <w:vAlign w:val="center"/>
                </w:tcPr>
                <w:p>
                  <w:pPr>
                    <w:pStyle w:val="5"/>
                    <w:rPr>
                      <w:color w:val="auto"/>
                      <w:highlight w:val="none"/>
                    </w:rPr>
                  </w:pPr>
                  <w:r>
                    <w:rPr>
                      <w:rFonts w:hint="eastAsia"/>
                      <w:color w:val="auto"/>
                      <w:highlight w:val="none"/>
                    </w:rPr>
                    <w:t>监测时间及频率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699" w:type="pct"/>
                  <w:vAlign w:val="center"/>
                </w:tcPr>
                <w:p>
                  <w:pPr>
                    <w:pStyle w:val="5"/>
                    <w:rPr>
                      <w:color w:val="auto"/>
                      <w:highlight w:val="none"/>
                    </w:rPr>
                  </w:pPr>
                  <w:r>
                    <w:rPr>
                      <w:rFonts w:hint="eastAsia"/>
                      <w:color w:val="auto"/>
                      <w:highlight w:val="none"/>
                    </w:rPr>
                    <w:t>运营期</w:t>
                  </w:r>
                </w:p>
              </w:tc>
              <w:tc>
                <w:tcPr>
                  <w:tcW w:w="713" w:type="pct"/>
                  <w:vAlign w:val="center"/>
                </w:tcPr>
                <w:p>
                  <w:pPr>
                    <w:pStyle w:val="5"/>
                    <w:rPr>
                      <w:color w:val="auto"/>
                      <w:highlight w:val="none"/>
                    </w:rPr>
                  </w:pPr>
                  <w:r>
                    <w:rPr>
                      <w:rFonts w:hint="eastAsia"/>
                      <w:color w:val="auto"/>
                      <w:highlight w:val="none"/>
                    </w:rPr>
                    <w:t>土壤环境</w:t>
                  </w:r>
                </w:p>
              </w:tc>
              <w:tc>
                <w:tcPr>
                  <w:tcW w:w="952" w:type="pct"/>
                  <w:vAlign w:val="center"/>
                </w:tcPr>
                <w:p>
                  <w:pPr>
                    <w:pStyle w:val="5"/>
                    <w:rPr>
                      <w:color w:val="auto"/>
                      <w:highlight w:val="none"/>
                    </w:rPr>
                  </w:pPr>
                  <w:r>
                    <w:rPr>
                      <w:rFonts w:hint="eastAsia"/>
                      <w:color w:val="auto"/>
                      <w:highlight w:val="none"/>
                    </w:rPr>
                    <w:t>pH、全盐量等</w:t>
                  </w:r>
                </w:p>
              </w:tc>
              <w:tc>
                <w:tcPr>
                  <w:tcW w:w="1510" w:type="pct"/>
                  <w:vAlign w:val="center"/>
                </w:tcPr>
                <w:p>
                  <w:pPr>
                    <w:pStyle w:val="5"/>
                    <w:rPr>
                      <w:color w:val="auto"/>
                      <w:highlight w:val="none"/>
                    </w:rPr>
                  </w:pPr>
                  <w:r>
                    <w:rPr>
                      <w:rFonts w:hint="eastAsia"/>
                      <w:color w:val="auto"/>
                      <w:highlight w:val="none"/>
                    </w:rPr>
                    <w:t>坎尔其干渠及1、3、5、号支渠</w:t>
                  </w:r>
                </w:p>
              </w:tc>
              <w:tc>
                <w:tcPr>
                  <w:tcW w:w="1124" w:type="pct"/>
                  <w:vAlign w:val="center"/>
                </w:tcPr>
                <w:p>
                  <w:pPr>
                    <w:pStyle w:val="5"/>
                    <w:rPr>
                      <w:color w:val="auto"/>
                      <w:highlight w:val="none"/>
                    </w:rPr>
                  </w:pPr>
                  <w:r>
                    <w:rPr>
                      <w:rFonts w:hint="eastAsia"/>
                      <w:color w:val="auto"/>
                      <w:highlight w:val="none"/>
                    </w:rPr>
                    <w:t>1次/年</w:t>
                  </w:r>
                </w:p>
              </w:tc>
            </w:tr>
          </w:tbl>
          <w:p>
            <w:pPr>
              <w:ind w:firstLine="0" w:firstLineChars="0"/>
              <w:rPr>
                <w:b/>
                <w:bCs/>
                <w:color w:val="auto"/>
                <w:highlight w:val="none"/>
              </w:rPr>
            </w:pPr>
          </w:p>
          <w:p>
            <w:pPr>
              <w:ind w:firstLine="0" w:firstLineChars="0"/>
              <w:rPr>
                <w:b/>
                <w:bCs/>
                <w:color w:val="auto"/>
                <w:highlight w:val="none"/>
              </w:rPr>
            </w:pPr>
            <w:r>
              <w:rPr>
                <w:rFonts w:hint="eastAsia"/>
                <w:b/>
                <w:bCs/>
                <w:color w:val="auto"/>
                <w:highlight w:val="none"/>
              </w:rPr>
              <w:t>9、验收监测</w:t>
            </w:r>
          </w:p>
          <w:p>
            <w:pPr>
              <w:ind w:firstLine="480"/>
              <w:rPr>
                <w:color w:val="auto"/>
                <w:highlight w:val="none"/>
              </w:rPr>
            </w:pPr>
            <w:r>
              <w:rPr>
                <w:rFonts w:hint="eastAsia"/>
                <w:color w:val="auto"/>
                <w:highlight w:val="none"/>
              </w:rPr>
              <w:t>根据《建设项目环境保护管理条例》</w:t>
            </w:r>
            <w:r>
              <w:rPr>
                <w:rFonts w:hint="eastAsia"/>
                <w:color w:val="auto"/>
                <w:highlight w:val="none"/>
                <w:lang w:eastAsia="zh-CN"/>
              </w:rPr>
              <w:t>，</w:t>
            </w:r>
            <w:bookmarkStart w:id="35" w:name="_GoBack"/>
            <w:bookmarkEnd w:id="35"/>
            <w:r>
              <w:rPr>
                <w:rFonts w:hint="eastAsia"/>
                <w:color w:val="auto"/>
                <w:highlight w:val="none"/>
              </w:rPr>
              <w:t>该项目进入生产运营期，应进行自主验收，委托有资质的监测单位对该项目的环境保护设施进行现场监测及调查，并相应编制《建设项目竣工环境保护验收报告》。本项目为生态类建设项目，污染工序主要集中在施工期，项目竣工后验收内容主要为生产生活区、临时堆土场等生态恢复措施。本项目验收内容及监测因子见下表：</w:t>
            </w:r>
          </w:p>
          <w:p>
            <w:pPr>
              <w:pStyle w:val="5"/>
              <w:rPr>
                <w:b/>
                <w:bCs/>
                <w:color w:val="auto"/>
                <w:highlight w:val="none"/>
                <w:lang w:val="en-GB"/>
              </w:rPr>
            </w:pPr>
            <w:r>
              <w:rPr>
                <w:rFonts w:hint="eastAsia"/>
                <w:b/>
                <w:bCs/>
                <w:color w:val="auto"/>
                <w:highlight w:val="none"/>
                <w:lang w:val="en-GB"/>
              </w:rPr>
              <w:t>表</w:t>
            </w:r>
            <w:r>
              <w:rPr>
                <w:rFonts w:hint="eastAsia"/>
                <w:b/>
                <w:bCs/>
                <w:color w:val="auto"/>
                <w:highlight w:val="none"/>
              </w:rPr>
              <w:t xml:space="preserve">5-2      </w:t>
            </w:r>
            <w:r>
              <w:rPr>
                <w:rFonts w:hint="eastAsia"/>
                <w:b/>
                <w:bCs/>
                <w:color w:val="auto"/>
                <w:highlight w:val="none"/>
                <w:lang w:val="en-GB"/>
              </w:rPr>
              <w:t>验收项目及监测因子一览表</w:t>
            </w:r>
          </w:p>
          <w:tbl>
            <w:tblPr>
              <w:tblStyle w:val="30"/>
              <w:tblW w:w="4953"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167"/>
              <w:gridCol w:w="1917"/>
              <w:gridCol w:w="466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7" w:hRule="atLeast"/>
              </w:trPr>
              <w:tc>
                <w:tcPr>
                  <w:tcW w:w="753" w:type="pct"/>
                  <w:tcBorders>
                    <w:top w:val="single" w:color="auto" w:sz="2" w:space="0"/>
                    <w:left w:val="single" w:color="auto" w:sz="4" w:space="0"/>
                    <w:bottom w:val="single" w:color="auto" w:sz="2" w:space="0"/>
                    <w:right w:val="single" w:color="auto" w:sz="2" w:space="0"/>
                  </w:tcBorders>
                  <w:vAlign w:val="center"/>
                </w:tcPr>
                <w:p>
                  <w:pPr>
                    <w:pStyle w:val="5"/>
                    <w:rPr>
                      <w:color w:val="auto"/>
                      <w:highlight w:val="none"/>
                    </w:rPr>
                  </w:pPr>
                  <w:r>
                    <w:rPr>
                      <w:rFonts w:hint="eastAsia"/>
                      <w:color w:val="auto"/>
                      <w:highlight w:val="none"/>
                    </w:rPr>
                    <w:t>类型</w:t>
                  </w:r>
                </w:p>
              </w:tc>
              <w:tc>
                <w:tcPr>
                  <w:tcW w:w="4246" w:type="pct"/>
                  <w:gridSpan w:val="2"/>
                  <w:tcBorders>
                    <w:top w:val="single" w:color="auto" w:sz="2" w:space="0"/>
                    <w:left w:val="single" w:color="auto" w:sz="2" w:space="0"/>
                    <w:bottom w:val="single" w:color="auto" w:sz="2" w:space="0"/>
                    <w:right w:val="single" w:color="auto" w:sz="2" w:space="0"/>
                  </w:tcBorders>
                  <w:vAlign w:val="center"/>
                </w:tcPr>
                <w:p>
                  <w:pPr>
                    <w:pStyle w:val="5"/>
                    <w:rPr>
                      <w:color w:val="auto"/>
                      <w:highlight w:val="none"/>
                    </w:rPr>
                  </w:pPr>
                  <w:r>
                    <w:rPr>
                      <w:rFonts w:hint="eastAsia"/>
                      <w:color w:val="auto"/>
                      <w:highlight w:val="none"/>
                    </w:rPr>
                    <w:t>验收内容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7" w:hRule="atLeast"/>
              </w:trPr>
              <w:tc>
                <w:tcPr>
                  <w:tcW w:w="753" w:type="pct"/>
                  <w:vMerge w:val="restart"/>
                  <w:tcBorders>
                    <w:top w:val="single" w:color="auto" w:sz="2" w:space="0"/>
                    <w:left w:val="single" w:color="auto" w:sz="4" w:space="0"/>
                    <w:bottom w:val="single" w:color="auto" w:sz="2" w:space="0"/>
                    <w:right w:val="single" w:color="auto" w:sz="2" w:space="0"/>
                  </w:tcBorders>
                  <w:vAlign w:val="center"/>
                </w:tcPr>
                <w:p>
                  <w:pPr>
                    <w:pStyle w:val="5"/>
                    <w:rPr>
                      <w:color w:val="auto"/>
                      <w:highlight w:val="none"/>
                    </w:rPr>
                  </w:pPr>
                  <w:r>
                    <w:rPr>
                      <w:rFonts w:hint="eastAsia"/>
                      <w:color w:val="auto"/>
                      <w:highlight w:val="none"/>
                    </w:rPr>
                    <w:t>施工期</w:t>
                  </w:r>
                </w:p>
                <w:p>
                  <w:pPr>
                    <w:pStyle w:val="5"/>
                    <w:rPr>
                      <w:color w:val="auto"/>
                      <w:highlight w:val="none"/>
                    </w:rPr>
                  </w:pPr>
                  <w:r>
                    <w:rPr>
                      <w:rFonts w:hint="eastAsia"/>
                      <w:color w:val="auto"/>
                      <w:highlight w:val="none"/>
                    </w:rPr>
                    <w:t>生态恢复</w:t>
                  </w:r>
                </w:p>
              </w:tc>
              <w:tc>
                <w:tcPr>
                  <w:tcW w:w="1237" w:type="pct"/>
                  <w:tcBorders>
                    <w:top w:val="single" w:color="auto" w:sz="2" w:space="0"/>
                    <w:left w:val="single" w:color="auto" w:sz="2" w:space="0"/>
                    <w:bottom w:val="single" w:color="auto" w:sz="2" w:space="0"/>
                    <w:right w:val="single" w:color="auto" w:sz="2" w:space="0"/>
                  </w:tcBorders>
                  <w:vAlign w:val="center"/>
                </w:tcPr>
                <w:p>
                  <w:pPr>
                    <w:pStyle w:val="5"/>
                    <w:rPr>
                      <w:color w:val="auto"/>
                      <w:highlight w:val="none"/>
                    </w:rPr>
                  </w:pPr>
                  <w:r>
                    <w:rPr>
                      <w:rFonts w:hint="eastAsia"/>
                      <w:color w:val="auto"/>
                      <w:highlight w:val="none"/>
                    </w:rPr>
                    <w:t>施工营地和施工区</w:t>
                  </w:r>
                </w:p>
              </w:tc>
              <w:tc>
                <w:tcPr>
                  <w:tcW w:w="3009" w:type="pct"/>
                  <w:tcBorders>
                    <w:top w:val="single" w:color="auto" w:sz="2" w:space="0"/>
                    <w:left w:val="single" w:color="auto" w:sz="2" w:space="0"/>
                    <w:bottom w:val="single" w:color="auto" w:sz="2" w:space="0"/>
                    <w:right w:val="single" w:color="auto" w:sz="2" w:space="0"/>
                  </w:tcBorders>
                  <w:vAlign w:val="center"/>
                </w:tcPr>
                <w:p>
                  <w:pPr>
                    <w:pStyle w:val="5"/>
                    <w:rPr>
                      <w:color w:val="auto"/>
                      <w:highlight w:val="none"/>
                    </w:rPr>
                  </w:pPr>
                  <w:r>
                    <w:rPr>
                      <w:rFonts w:hint="eastAsia"/>
                      <w:color w:val="auto"/>
                      <w:highlight w:val="none"/>
                    </w:rPr>
                    <w:t>土地平整和地表恢复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7" w:hRule="atLeast"/>
              </w:trPr>
              <w:tc>
                <w:tcPr>
                  <w:tcW w:w="753" w:type="pct"/>
                  <w:vMerge w:val="continue"/>
                  <w:tcBorders>
                    <w:top w:val="single" w:color="auto" w:sz="2" w:space="0"/>
                    <w:left w:val="single" w:color="auto" w:sz="4" w:space="0"/>
                    <w:bottom w:val="single" w:color="auto" w:sz="2" w:space="0"/>
                    <w:right w:val="single" w:color="auto" w:sz="2" w:space="0"/>
                  </w:tcBorders>
                  <w:vAlign w:val="center"/>
                </w:tcPr>
                <w:p>
                  <w:pPr>
                    <w:pStyle w:val="5"/>
                    <w:rPr>
                      <w:color w:val="auto"/>
                      <w:highlight w:val="none"/>
                    </w:rPr>
                  </w:pPr>
                </w:p>
              </w:tc>
              <w:tc>
                <w:tcPr>
                  <w:tcW w:w="1237" w:type="pct"/>
                  <w:tcBorders>
                    <w:top w:val="single" w:color="auto" w:sz="2" w:space="0"/>
                    <w:left w:val="single" w:color="auto" w:sz="2" w:space="0"/>
                    <w:bottom w:val="single" w:color="auto" w:sz="2" w:space="0"/>
                    <w:right w:val="single" w:color="auto" w:sz="2" w:space="0"/>
                  </w:tcBorders>
                  <w:vAlign w:val="center"/>
                </w:tcPr>
                <w:p>
                  <w:pPr>
                    <w:pStyle w:val="5"/>
                    <w:rPr>
                      <w:color w:val="auto"/>
                      <w:highlight w:val="none"/>
                    </w:rPr>
                  </w:pPr>
                  <w:r>
                    <w:rPr>
                      <w:rFonts w:hint="eastAsia"/>
                      <w:color w:val="auto"/>
                      <w:highlight w:val="none"/>
                    </w:rPr>
                    <w:t>临时堆土场</w:t>
                  </w:r>
                </w:p>
              </w:tc>
              <w:tc>
                <w:tcPr>
                  <w:tcW w:w="3009" w:type="pct"/>
                  <w:tcBorders>
                    <w:top w:val="single" w:color="auto" w:sz="2" w:space="0"/>
                    <w:left w:val="single" w:color="auto" w:sz="2" w:space="0"/>
                    <w:bottom w:val="single" w:color="auto" w:sz="2" w:space="0"/>
                    <w:right w:val="single" w:color="auto" w:sz="2" w:space="0"/>
                  </w:tcBorders>
                  <w:vAlign w:val="center"/>
                </w:tcPr>
                <w:p>
                  <w:pPr>
                    <w:pStyle w:val="5"/>
                    <w:rPr>
                      <w:color w:val="auto"/>
                      <w:highlight w:val="none"/>
                    </w:rPr>
                  </w:pPr>
                  <w:r>
                    <w:rPr>
                      <w:rFonts w:hint="eastAsia"/>
                      <w:color w:val="auto"/>
                      <w:highlight w:val="none"/>
                    </w:rPr>
                    <w:t>场地平整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7" w:hRule="atLeast"/>
              </w:trPr>
              <w:tc>
                <w:tcPr>
                  <w:tcW w:w="753" w:type="pct"/>
                  <w:tcBorders>
                    <w:top w:val="single" w:color="auto" w:sz="2" w:space="0"/>
                    <w:left w:val="single" w:color="auto" w:sz="4" w:space="0"/>
                    <w:bottom w:val="single" w:color="auto" w:sz="4" w:space="0"/>
                    <w:right w:val="single" w:color="auto" w:sz="2" w:space="0"/>
                  </w:tcBorders>
                  <w:vAlign w:val="center"/>
                </w:tcPr>
                <w:p>
                  <w:pPr>
                    <w:pStyle w:val="5"/>
                    <w:rPr>
                      <w:color w:val="auto"/>
                      <w:highlight w:val="none"/>
                    </w:rPr>
                  </w:pPr>
                  <w:r>
                    <w:rPr>
                      <w:rFonts w:hint="eastAsia"/>
                      <w:color w:val="auto"/>
                      <w:highlight w:val="none"/>
                    </w:rPr>
                    <w:t>废水</w:t>
                  </w:r>
                </w:p>
              </w:tc>
              <w:tc>
                <w:tcPr>
                  <w:tcW w:w="1237" w:type="pct"/>
                  <w:tcBorders>
                    <w:top w:val="single" w:color="auto" w:sz="2" w:space="0"/>
                    <w:left w:val="single" w:color="auto" w:sz="2" w:space="0"/>
                    <w:bottom w:val="single" w:color="auto" w:sz="4" w:space="0"/>
                    <w:right w:val="single" w:color="auto" w:sz="2" w:space="0"/>
                  </w:tcBorders>
                  <w:vAlign w:val="center"/>
                </w:tcPr>
                <w:p>
                  <w:pPr>
                    <w:pStyle w:val="5"/>
                    <w:rPr>
                      <w:color w:val="auto"/>
                      <w:highlight w:val="none"/>
                    </w:rPr>
                  </w:pPr>
                  <w:r>
                    <w:rPr>
                      <w:rFonts w:hint="eastAsia"/>
                      <w:color w:val="auto"/>
                      <w:highlight w:val="none"/>
                    </w:rPr>
                    <w:t>施工期生活污水</w:t>
                  </w:r>
                </w:p>
              </w:tc>
              <w:tc>
                <w:tcPr>
                  <w:tcW w:w="3009" w:type="pct"/>
                  <w:tcBorders>
                    <w:top w:val="single" w:color="auto" w:sz="2" w:space="0"/>
                    <w:left w:val="single" w:color="auto" w:sz="2" w:space="0"/>
                    <w:bottom w:val="single" w:color="auto" w:sz="4" w:space="0"/>
                    <w:right w:val="single" w:color="auto" w:sz="2" w:space="0"/>
                  </w:tcBorders>
                  <w:vAlign w:val="center"/>
                </w:tcPr>
                <w:p>
                  <w:pPr>
                    <w:pStyle w:val="5"/>
                    <w:rPr>
                      <w:color w:val="auto"/>
                      <w:highlight w:val="none"/>
                    </w:rPr>
                  </w:pPr>
                  <w:r>
                    <w:rPr>
                      <w:rFonts w:hint="eastAsia" w:ascii="宋体" w:hAnsi="宋体" w:cs="宋体"/>
                      <w:color w:val="auto"/>
                      <w:szCs w:val="21"/>
                      <w:highlight w:val="none"/>
                    </w:rPr>
                    <w:t>生活污水依托乡镇排水设施，</w:t>
                  </w:r>
                  <w:r>
                    <w:rPr>
                      <w:rFonts w:hint="eastAsia"/>
                      <w:color w:val="auto"/>
                      <w:highlight w:val="none"/>
                    </w:rPr>
                    <w:t xml:space="preserve">不得随意排放 </w:t>
                  </w:r>
                </w:p>
              </w:tc>
            </w:tr>
          </w:tbl>
          <w:p>
            <w:pPr>
              <w:ind w:firstLine="520"/>
              <w:rPr>
                <w:bCs/>
                <w:color w:val="auto"/>
                <w:spacing w:val="1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69" w:type="pct"/>
            <w:vAlign w:val="center"/>
          </w:tcPr>
          <w:p>
            <w:pPr>
              <w:spacing w:line="240" w:lineRule="auto"/>
              <w:ind w:firstLine="0" w:firstLineChars="0"/>
              <w:rPr>
                <w:color w:val="auto"/>
                <w:highlight w:val="none"/>
              </w:rPr>
            </w:pPr>
            <w:r>
              <w:rPr>
                <w:color w:val="auto"/>
                <w:highlight w:val="none"/>
              </w:rPr>
              <w:t>其他</w:t>
            </w:r>
          </w:p>
        </w:tc>
        <w:tc>
          <w:tcPr>
            <w:tcW w:w="4730" w:type="pct"/>
            <w:vAlign w:val="center"/>
          </w:tcPr>
          <w:p>
            <w:pPr>
              <w:adjustRightInd w:val="0"/>
              <w:snapToGrid w:val="0"/>
              <w:ind w:firstLine="520"/>
              <w:jc w:val="center"/>
              <w:rPr>
                <w:bCs/>
                <w:color w:val="auto"/>
                <w:spacing w:val="10"/>
                <w:szCs w:val="21"/>
                <w:highlight w:val="none"/>
              </w:rPr>
            </w:pPr>
            <w:r>
              <w:rPr>
                <w:rFonts w:hint="eastAsia"/>
                <w:bCs/>
                <w:color w:val="auto"/>
                <w:spacing w:val="10"/>
                <w:szCs w:val="21"/>
                <w:highlight w:val="none"/>
              </w:rPr>
              <w:t>无</w:t>
            </w:r>
          </w:p>
        </w:tc>
      </w:tr>
    </w:tbl>
    <w:p>
      <w:pPr>
        <w:ind w:firstLine="480"/>
        <w:rPr>
          <w:color w:val="auto"/>
          <w:highlight w:val="none"/>
        </w:rPr>
        <w:sectPr>
          <w:pgSz w:w="11907" w:h="16840"/>
          <w:pgMar w:top="1440" w:right="1797" w:bottom="1440" w:left="1797" w:header="851" w:footer="1077" w:gutter="0"/>
          <w:pgNumType w:fmt="decimal"/>
          <w:cols w:space="720" w:num="1"/>
          <w:docGrid w:linePitch="312" w:charSpace="0"/>
        </w:sectPr>
      </w:pPr>
    </w:p>
    <w:p>
      <w:pPr>
        <w:pStyle w:val="26"/>
        <w:spacing w:before="0" w:beforeAutospacing="0" w:after="0" w:afterAutospacing="0" w:line="240" w:lineRule="auto"/>
        <w:ind w:firstLine="0" w:firstLineChars="0"/>
        <w:jc w:val="center"/>
        <w:outlineLvl w:val="0"/>
        <w:rPr>
          <w:rFonts w:ascii="Times New Roman" w:hAnsi="Times New Roman"/>
          <w:b/>
          <w:bCs/>
          <w:snapToGrid w:val="0"/>
          <w:color w:val="auto"/>
          <w:sz w:val="30"/>
          <w:szCs w:val="30"/>
          <w:highlight w:val="none"/>
        </w:rPr>
      </w:pPr>
      <w:bookmarkStart w:id="27" w:name="_Toc26062"/>
      <w:bookmarkStart w:id="28" w:name="_Toc166"/>
      <w:bookmarkStart w:id="29" w:name="_Toc24747"/>
      <w:bookmarkStart w:id="30" w:name="_Toc13919"/>
      <w:r>
        <w:rPr>
          <w:rFonts w:ascii="Times New Roman" w:hAnsi="Times New Roman"/>
          <w:b/>
          <w:bCs/>
          <w:snapToGrid w:val="0"/>
          <w:color w:val="auto"/>
          <w:sz w:val="30"/>
          <w:szCs w:val="30"/>
          <w:highlight w:val="none"/>
        </w:rPr>
        <w:t>六、生态环境保护措施监督检查清单</w:t>
      </w:r>
      <w:bookmarkEnd w:id="27"/>
      <w:bookmarkEnd w:id="28"/>
      <w:bookmarkEnd w:id="29"/>
      <w:bookmarkEnd w:id="30"/>
    </w:p>
    <w:tbl>
      <w:tblPr>
        <w:tblStyle w:val="30"/>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355"/>
        <w:gridCol w:w="1140"/>
        <w:gridCol w:w="1863"/>
        <w:gridCol w:w="13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6" w:type="pct"/>
            <w:vMerge w:val="restart"/>
            <w:tcBorders>
              <w:tl2br w:val="single" w:color="auto" w:sz="4" w:space="0"/>
            </w:tcBorders>
            <w:vAlign w:val="center"/>
          </w:tcPr>
          <w:p>
            <w:pPr>
              <w:spacing w:line="240" w:lineRule="auto"/>
              <w:ind w:firstLine="0" w:firstLineChars="0"/>
              <w:jc w:val="center"/>
              <w:rPr>
                <w:color w:val="auto"/>
                <w:highlight w:val="none"/>
              </w:rPr>
            </w:pPr>
          </w:p>
          <w:p>
            <w:pPr>
              <w:spacing w:line="240" w:lineRule="auto"/>
              <w:ind w:firstLine="0" w:firstLineChars="0"/>
              <w:jc w:val="center"/>
              <w:rPr>
                <w:color w:val="auto"/>
                <w:highlight w:val="none"/>
              </w:rPr>
            </w:pPr>
            <w:r>
              <w:rPr>
                <w:color w:val="auto"/>
                <w:highlight w:val="none"/>
              </w:rPr>
              <w:t xml:space="preserve">            内容</w:t>
            </w:r>
          </w:p>
          <w:p>
            <w:pPr>
              <w:spacing w:line="240" w:lineRule="auto"/>
              <w:ind w:firstLine="0" w:firstLineChars="0"/>
              <w:jc w:val="center"/>
              <w:rPr>
                <w:color w:val="auto"/>
                <w:highlight w:val="none"/>
              </w:rPr>
            </w:pPr>
          </w:p>
          <w:p>
            <w:pPr>
              <w:spacing w:line="240" w:lineRule="auto"/>
              <w:ind w:firstLine="0" w:firstLineChars="0"/>
              <w:rPr>
                <w:color w:val="auto"/>
                <w:highlight w:val="none"/>
              </w:rPr>
            </w:pPr>
            <w:r>
              <w:rPr>
                <w:color w:val="auto"/>
                <w:highlight w:val="none"/>
              </w:rPr>
              <w:t>要素</w:t>
            </w:r>
          </w:p>
        </w:tc>
        <w:tc>
          <w:tcPr>
            <w:tcW w:w="2637" w:type="pct"/>
            <w:gridSpan w:val="2"/>
            <w:vAlign w:val="center"/>
          </w:tcPr>
          <w:p>
            <w:pPr>
              <w:spacing w:line="240" w:lineRule="auto"/>
              <w:ind w:firstLine="0" w:firstLineChars="0"/>
              <w:jc w:val="center"/>
              <w:rPr>
                <w:color w:val="auto"/>
                <w:highlight w:val="none"/>
              </w:rPr>
            </w:pPr>
            <w:r>
              <w:rPr>
                <w:color w:val="auto"/>
                <w:highlight w:val="none"/>
              </w:rPr>
              <w:t>施工期</w:t>
            </w:r>
          </w:p>
        </w:tc>
        <w:tc>
          <w:tcPr>
            <w:tcW w:w="1866" w:type="pct"/>
            <w:gridSpan w:val="2"/>
            <w:vAlign w:val="center"/>
          </w:tcPr>
          <w:p>
            <w:pPr>
              <w:spacing w:line="240" w:lineRule="auto"/>
              <w:ind w:firstLine="0" w:firstLineChars="0"/>
              <w:jc w:val="center"/>
              <w:rPr>
                <w:color w:val="auto"/>
                <w:highlight w:val="none"/>
              </w:rPr>
            </w:pPr>
            <w:r>
              <w:rPr>
                <w:color w:val="auto"/>
                <w:highlight w:val="none"/>
              </w:rPr>
              <w:t>运营期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6" w:type="pct"/>
            <w:vMerge w:val="continue"/>
            <w:vAlign w:val="center"/>
          </w:tcPr>
          <w:p>
            <w:pPr>
              <w:spacing w:line="240" w:lineRule="auto"/>
              <w:ind w:firstLine="0" w:firstLineChars="0"/>
              <w:jc w:val="center"/>
              <w:rPr>
                <w:color w:val="auto"/>
                <w:highlight w:val="none"/>
              </w:rPr>
            </w:pPr>
          </w:p>
        </w:tc>
        <w:tc>
          <w:tcPr>
            <w:tcW w:w="1968" w:type="pct"/>
            <w:vAlign w:val="center"/>
          </w:tcPr>
          <w:p>
            <w:pPr>
              <w:spacing w:line="240" w:lineRule="auto"/>
              <w:ind w:firstLine="0" w:firstLineChars="0"/>
              <w:jc w:val="center"/>
              <w:rPr>
                <w:color w:val="auto"/>
                <w:highlight w:val="none"/>
              </w:rPr>
            </w:pPr>
            <w:r>
              <w:rPr>
                <w:color w:val="auto"/>
                <w:highlight w:val="none"/>
              </w:rPr>
              <w:t>环境保护措施</w:t>
            </w:r>
          </w:p>
        </w:tc>
        <w:tc>
          <w:tcPr>
            <w:tcW w:w="668" w:type="pct"/>
            <w:vAlign w:val="center"/>
          </w:tcPr>
          <w:p>
            <w:pPr>
              <w:spacing w:line="240" w:lineRule="auto"/>
              <w:ind w:firstLine="0" w:firstLineChars="0"/>
              <w:jc w:val="center"/>
              <w:rPr>
                <w:color w:val="auto"/>
                <w:highlight w:val="none"/>
              </w:rPr>
            </w:pPr>
            <w:r>
              <w:rPr>
                <w:color w:val="auto"/>
                <w:highlight w:val="none"/>
              </w:rPr>
              <w:t>验收</w:t>
            </w:r>
          </w:p>
          <w:p>
            <w:pPr>
              <w:spacing w:line="240" w:lineRule="auto"/>
              <w:ind w:firstLine="0" w:firstLineChars="0"/>
              <w:jc w:val="center"/>
              <w:rPr>
                <w:color w:val="auto"/>
                <w:highlight w:val="none"/>
              </w:rPr>
            </w:pPr>
            <w:r>
              <w:rPr>
                <w:color w:val="auto"/>
                <w:highlight w:val="none"/>
              </w:rPr>
              <w:t>要求</w:t>
            </w:r>
          </w:p>
        </w:tc>
        <w:tc>
          <w:tcPr>
            <w:tcW w:w="1093" w:type="pct"/>
            <w:vAlign w:val="center"/>
          </w:tcPr>
          <w:p>
            <w:pPr>
              <w:spacing w:line="240" w:lineRule="auto"/>
              <w:ind w:firstLine="0" w:firstLineChars="0"/>
              <w:jc w:val="center"/>
              <w:rPr>
                <w:color w:val="auto"/>
                <w:highlight w:val="none"/>
              </w:rPr>
            </w:pPr>
            <w:r>
              <w:rPr>
                <w:color w:val="auto"/>
                <w:highlight w:val="none"/>
              </w:rPr>
              <w:t>环境保护措施</w:t>
            </w:r>
          </w:p>
        </w:tc>
        <w:tc>
          <w:tcPr>
            <w:tcW w:w="773" w:type="pct"/>
            <w:vAlign w:val="center"/>
          </w:tcPr>
          <w:p>
            <w:pPr>
              <w:spacing w:line="240" w:lineRule="auto"/>
              <w:ind w:firstLine="0" w:firstLineChars="0"/>
              <w:jc w:val="center"/>
              <w:rPr>
                <w:color w:val="auto"/>
                <w:highlight w:val="none"/>
              </w:rPr>
            </w:pPr>
            <w:r>
              <w:rPr>
                <w:color w:val="auto"/>
                <w:highlight w:val="none"/>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6" w:type="pct"/>
            <w:vAlign w:val="center"/>
          </w:tcPr>
          <w:p>
            <w:pPr>
              <w:spacing w:line="240" w:lineRule="auto"/>
              <w:ind w:firstLine="0" w:firstLineChars="0"/>
              <w:jc w:val="center"/>
              <w:rPr>
                <w:color w:val="auto"/>
                <w:highlight w:val="none"/>
              </w:rPr>
            </w:pPr>
            <w:r>
              <w:rPr>
                <w:color w:val="auto"/>
                <w:highlight w:val="none"/>
              </w:rPr>
              <w:t>陆生生态</w:t>
            </w:r>
          </w:p>
        </w:tc>
        <w:tc>
          <w:tcPr>
            <w:tcW w:w="1968" w:type="pct"/>
            <w:vAlign w:val="center"/>
          </w:tcPr>
          <w:p>
            <w:pPr>
              <w:adjustRightInd w:val="0"/>
              <w:snapToGrid w:val="0"/>
              <w:spacing w:line="240" w:lineRule="auto"/>
              <w:ind w:firstLine="0" w:firstLineChars="0"/>
              <w:jc w:val="center"/>
              <w:rPr>
                <w:color w:val="auto"/>
                <w:szCs w:val="21"/>
                <w:highlight w:val="none"/>
                <w:lang w:val="zh-CN"/>
              </w:rPr>
            </w:pPr>
            <w:r>
              <w:rPr>
                <w:color w:val="auto"/>
                <w:szCs w:val="21"/>
                <w:highlight w:val="none"/>
              </w:rPr>
              <w:t>1、</w:t>
            </w:r>
            <w:r>
              <w:rPr>
                <w:color w:val="auto"/>
                <w:szCs w:val="21"/>
                <w:highlight w:val="none"/>
                <w:lang w:val="zh-CN"/>
              </w:rPr>
              <w:t>施工期间，施工单位应加强对施工人员的管理，严令禁止到非施工区活动。</w:t>
            </w:r>
          </w:p>
          <w:p>
            <w:pPr>
              <w:adjustRightInd w:val="0"/>
              <w:snapToGrid w:val="0"/>
              <w:spacing w:line="240" w:lineRule="auto"/>
              <w:ind w:firstLine="0" w:firstLineChars="0"/>
              <w:jc w:val="center"/>
              <w:rPr>
                <w:color w:val="auto"/>
                <w:szCs w:val="21"/>
                <w:highlight w:val="none"/>
                <w:lang w:val="zh-CN"/>
              </w:rPr>
            </w:pPr>
            <w:r>
              <w:rPr>
                <w:color w:val="auto"/>
                <w:szCs w:val="21"/>
                <w:highlight w:val="none"/>
              </w:rPr>
              <w:t>2、</w:t>
            </w:r>
            <w:r>
              <w:rPr>
                <w:color w:val="auto"/>
                <w:szCs w:val="21"/>
                <w:highlight w:val="none"/>
                <w:lang w:val="zh-CN"/>
              </w:rPr>
              <w:t>教育施工人员，禁止捕食蛙类、蛇类、鸟类等，以减轻施工对陆生动物的影响。</w:t>
            </w:r>
          </w:p>
          <w:p>
            <w:pPr>
              <w:adjustRightInd w:val="0"/>
              <w:snapToGrid w:val="0"/>
              <w:spacing w:line="240" w:lineRule="auto"/>
              <w:ind w:firstLine="0" w:firstLineChars="0"/>
              <w:jc w:val="center"/>
              <w:rPr>
                <w:color w:val="auto"/>
                <w:szCs w:val="21"/>
                <w:highlight w:val="none"/>
                <w:lang w:val="zh-CN"/>
              </w:rPr>
            </w:pPr>
            <w:r>
              <w:rPr>
                <w:color w:val="auto"/>
                <w:szCs w:val="21"/>
                <w:highlight w:val="none"/>
                <w:lang w:val="zh-CN"/>
              </w:rPr>
              <w:t>3、施工人员注意不要踩踏农田，不要随意采摘农田中的农作物，处理好施工时产生的垃圾，不要随意丢弃，以免破坏农田的生态环境，给农民们造成损失。</w:t>
            </w:r>
          </w:p>
          <w:p>
            <w:pPr>
              <w:adjustRightInd w:val="0"/>
              <w:snapToGrid w:val="0"/>
              <w:spacing w:line="240" w:lineRule="auto"/>
              <w:ind w:firstLine="0" w:firstLineChars="0"/>
              <w:jc w:val="center"/>
              <w:rPr>
                <w:color w:val="auto"/>
                <w:highlight w:val="none"/>
              </w:rPr>
            </w:pPr>
            <w:r>
              <w:rPr>
                <w:rFonts w:hint="eastAsia"/>
                <w:color w:val="auto"/>
                <w:szCs w:val="21"/>
                <w:highlight w:val="none"/>
              </w:rPr>
              <w:t>4、</w:t>
            </w:r>
            <w:r>
              <w:rPr>
                <w:rFonts w:hint="eastAsia"/>
                <w:color w:val="auto"/>
                <w:highlight w:val="none"/>
              </w:rPr>
              <w:t>施工完毕后对施工场地进行土地平整，对有条件的临时用地部分区块撒播草籽等，尽可能恢复渠道两侧植被覆盖</w:t>
            </w:r>
          </w:p>
        </w:tc>
        <w:tc>
          <w:tcPr>
            <w:tcW w:w="668" w:type="pct"/>
            <w:vAlign w:val="center"/>
          </w:tcPr>
          <w:p>
            <w:pPr>
              <w:adjustRightInd w:val="0"/>
              <w:snapToGrid w:val="0"/>
              <w:spacing w:line="240" w:lineRule="auto"/>
              <w:ind w:firstLine="0" w:firstLineChars="0"/>
              <w:jc w:val="center"/>
              <w:rPr>
                <w:color w:val="auto"/>
                <w:highlight w:val="none"/>
              </w:rPr>
            </w:pPr>
            <w:r>
              <w:rPr>
                <w:color w:val="auto"/>
                <w:szCs w:val="21"/>
                <w:highlight w:val="none"/>
              </w:rPr>
              <w:t>相关措施落实、对周围陆生</w:t>
            </w:r>
            <w:r>
              <w:rPr>
                <w:rFonts w:hint="eastAsia"/>
                <w:color w:val="auto"/>
                <w:szCs w:val="21"/>
                <w:highlight w:val="none"/>
              </w:rPr>
              <w:t>生</w:t>
            </w:r>
            <w:r>
              <w:rPr>
                <w:color w:val="auto"/>
                <w:szCs w:val="21"/>
                <w:highlight w:val="none"/>
              </w:rPr>
              <w:t>态环境无影响。</w:t>
            </w:r>
          </w:p>
        </w:tc>
        <w:tc>
          <w:tcPr>
            <w:tcW w:w="109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c>
          <w:tcPr>
            <w:tcW w:w="77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6" w:type="pct"/>
            <w:vAlign w:val="center"/>
          </w:tcPr>
          <w:p>
            <w:pPr>
              <w:spacing w:line="240" w:lineRule="auto"/>
              <w:ind w:firstLine="0" w:firstLineChars="0"/>
              <w:jc w:val="center"/>
              <w:rPr>
                <w:color w:val="auto"/>
                <w:highlight w:val="none"/>
              </w:rPr>
            </w:pPr>
            <w:r>
              <w:rPr>
                <w:color w:val="auto"/>
                <w:highlight w:val="none"/>
              </w:rPr>
              <w:t>水生生态</w:t>
            </w:r>
          </w:p>
        </w:tc>
        <w:tc>
          <w:tcPr>
            <w:tcW w:w="1968" w:type="pct"/>
            <w:vAlign w:val="center"/>
          </w:tcPr>
          <w:p>
            <w:pPr>
              <w:adjustRightInd w:val="0"/>
              <w:snapToGrid w:val="0"/>
              <w:spacing w:line="240" w:lineRule="auto"/>
              <w:ind w:firstLine="0" w:firstLineChars="0"/>
              <w:jc w:val="center"/>
              <w:rPr>
                <w:color w:val="auto"/>
                <w:highlight w:val="none"/>
              </w:rPr>
            </w:pPr>
            <w:r>
              <w:rPr>
                <w:rFonts w:hint="eastAsia"/>
                <w:color w:val="auto"/>
                <w:highlight w:val="none"/>
              </w:rPr>
              <w:t>/</w:t>
            </w:r>
          </w:p>
        </w:tc>
        <w:tc>
          <w:tcPr>
            <w:tcW w:w="668" w:type="pct"/>
            <w:vAlign w:val="center"/>
          </w:tcPr>
          <w:p>
            <w:pPr>
              <w:adjustRightInd w:val="0"/>
              <w:snapToGrid w:val="0"/>
              <w:spacing w:line="240" w:lineRule="auto"/>
              <w:ind w:firstLine="0" w:firstLineChars="0"/>
              <w:jc w:val="center"/>
              <w:rPr>
                <w:color w:val="auto"/>
                <w:highlight w:val="none"/>
              </w:rPr>
            </w:pPr>
            <w:r>
              <w:rPr>
                <w:rFonts w:hint="eastAsia"/>
                <w:color w:val="auto"/>
                <w:highlight w:val="none"/>
              </w:rPr>
              <w:t>/</w:t>
            </w:r>
          </w:p>
        </w:tc>
        <w:tc>
          <w:tcPr>
            <w:tcW w:w="109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c>
          <w:tcPr>
            <w:tcW w:w="77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6" w:type="pct"/>
            <w:vAlign w:val="center"/>
          </w:tcPr>
          <w:p>
            <w:pPr>
              <w:spacing w:line="240" w:lineRule="auto"/>
              <w:ind w:firstLine="0" w:firstLineChars="0"/>
              <w:jc w:val="center"/>
              <w:rPr>
                <w:color w:val="auto"/>
                <w:highlight w:val="none"/>
              </w:rPr>
            </w:pPr>
            <w:r>
              <w:rPr>
                <w:color w:val="auto"/>
                <w:highlight w:val="none"/>
              </w:rPr>
              <w:t>地表水环境</w:t>
            </w:r>
          </w:p>
        </w:tc>
        <w:tc>
          <w:tcPr>
            <w:tcW w:w="1968" w:type="pct"/>
            <w:vAlign w:val="center"/>
          </w:tcPr>
          <w:p>
            <w:pPr>
              <w:adjustRightInd w:val="0"/>
              <w:snapToGrid w:val="0"/>
              <w:spacing w:line="240" w:lineRule="auto"/>
              <w:ind w:firstLine="0" w:firstLineChars="0"/>
              <w:jc w:val="center"/>
              <w:rPr>
                <w:color w:val="auto"/>
                <w:highlight w:val="none"/>
              </w:rPr>
            </w:pPr>
            <w:r>
              <w:rPr>
                <w:rFonts w:hint="eastAsia"/>
                <w:color w:val="auto"/>
                <w:szCs w:val="21"/>
                <w:highlight w:val="none"/>
              </w:rPr>
              <w:t>施工期</w:t>
            </w:r>
            <w:r>
              <w:rPr>
                <w:color w:val="auto"/>
                <w:szCs w:val="21"/>
                <w:highlight w:val="none"/>
              </w:rPr>
              <w:t>污水依托</w:t>
            </w:r>
            <w:r>
              <w:rPr>
                <w:rFonts w:hint="eastAsia" w:ascii="宋体" w:hAnsi="宋体" w:cs="宋体"/>
                <w:color w:val="auto"/>
                <w:szCs w:val="21"/>
                <w:highlight w:val="none"/>
              </w:rPr>
              <w:t>乡镇</w:t>
            </w:r>
            <w:r>
              <w:rPr>
                <w:color w:val="auto"/>
                <w:szCs w:val="21"/>
                <w:highlight w:val="none"/>
              </w:rPr>
              <w:t>排水设施</w:t>
            </w:r>
            <w:r>
              <w:rPr>
                <w:rFonts w:hint="eastAsia"/>
                <w:color w:val="auto"/>
                <w:szCs w:val="21"/>
                <w:highlight w:val="none"/>
              </w:rPr>
              <w:t>；施工废水经沉淀池处理后回用。</w:t>
            </w:r>
          </w:p>
        </w:tc>
        <w:tc>
          <w:tcPr>
            <w:tcW w:w="668" w:type="pct"/>
            <w:vAlign w:val="center"/>
          </w:tcPr>
          <w:p>
            <w:pPr>
              <w:adjustRightInd w:val="0"/>
              <w:snapToGrid w:val="0"/>
              <w:spacing w:line="240" w:lineRule="auto"/>
              <w:ind w:firstLine="0" w:firstLineChars="0"/>
              <w:jc w:val="center"/>
              <w:rPr>
                <w:color w:val="auto"/>
                <w:highlight w:val="none"/>
              </w:rPr>
            </w:pPr>
            <w:r>
              <w:rPr>
                <w:color w:val="auto"/>
                <w:szCs w:val="21"/>
                <w:highlight w:val="none"/>
              </w:rPr>
              <w:t>相关措施落实、对周围水环境无影响。</w:t>
            </w:r>
          </w:p>
        </w:tc>
        <w:tc>
          <w:tcPr>
            <w:tcW w:w="109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c>
          <w:tcPr>
            <w:tcW w:w="77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6" w:type="pct"/>
            <w:vAlign w:val="center"/>
          </w:tcPr>
          <w:p>
            <w:pPr>
              <w:spacing w:line="240" w:lineRule="auto"/>
              <w:ind w:firstLine="0" w:firstLineChars="0"/>
              <w:jc w:val="center"/>
              <w:rPr>
                <w:color w:val="auto"/>
                <w:highlight w:val="none"/>
              </w:rPr>
            </w:pPr>
            <w:r>
              <w:rPr>
                <w:color w:val="auto"/>
                <w:highlight w:val="none"/>
              </w:rPr>
              <w:t>地下水及土壤环境</w:t>
            </w:r>
          </w:p>
        </w:tc>
        <w:tc>
          <w:tcPr>
            <w:tcW w:w="1968" w:type="pct"/>
            <w:vAlign w:val="center"/>
          </w:tcPr>
          <w:p>
            <w:pPr>
              <w:adjustRightInd w:val="0"/>
              <w:snapToGrid w:val="0"/>
              <w:spacing w:line="240" w:lineRule="auto"/>
              <w:ind w:firstLine="0" w:firstLineChars="0"/>
              <w:jc w:val="center"/>
              <w:rPr>
                <w:color w:val="auto"/>
                <w:highlight w:val="none"/>
              </w:rPr>
            </w:pPr>
            <w:r>
              <w:rPr>
                <w:rFonts w:hint="eastAsia"/>
                <w:color w:val="auto"/>
                <w:highlight w:val="none"/>
              </w:rPr>
              <w:t>/</w:t>
            </w:r>
          </w:p>
        </w:tc>
        <w:tc>
          <w:tcPr>
            <w:tcW w:w="668" w:type="pct"/>
            <w:vAlign w:val="center"/>
          </w:tcPr>
          <w:p>
            <w:pPr>
              <w:adjustRightInd w:val="0"/>
              <w:snapToGrid w:val="0"/>
              <w:spacing w:line="240" w:lineRule="auto"/>
              <w:ind w:firstLine="0" w:firstLineChars="0"/>
              <w:jc w:val="center"/>
              <w:rPr>
                <w:color w:val="auto"/>
                <w:highlight w:val="none"/>
              </w:rPr>
            </w:pPr>
            <w:r>
              <w:rPr>
                <w:rFonts w:hint="eastAsia"/>
                <w:color w:val="auto"/>
                <w:highlight w:val="none"/>
              </w:rPr>
              <w:t>/</w:t>
            </w:r>
          </w:p>
        </w:tc>
        <w:tc>
          <w:tcPr>
            <w:tcW w:w="109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c>
          <w:tcPr>
            <w:tcW w:w="77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6" w:type="pct"/>
            <w:vAlign w:val="center"/>
          </w:tcPr>
          <w:p>
            <w:pPr>
              <w:spacing w:line="240" w:lineRule="auto"/>
              <w:ind w:firstLine="0" w:firstLineChars="0"/>
              <w:jc w:val="center"/>
              <w:rPr>
                <w:color w:val="auto"/>
                <w:highlight w:val="none"/>
              </w:rPr>
            </w:pPr>
            <w:r>
              <w:rPr>
                <w:color w:val="auto"/>
                <w:highlight w:val="none"/>
              </w:rPr>
              <w:t>声环境</w:t>
            </w:r>
          </w:p>
        </w:tc>
        <w:tc>
          <w:tcPr>
            <w:tcW w:w="1968" w:type="pct"/>
            <w:vAlign w:val="center"/>
          </w:tcPr>
          <w:p>
            <w:pPr>
              <w:adjustRightInd w:val="0"/>
              <w:snapToGrid w:val="0"/>
              <w:spacing w:line="240" w:lineRule="auto"/>
              <w:ind w:firstLine="0" w:firstLineChars="0"/>
              <w:rPr>
                <w:color w:val="auto"/>
                <w:highlight w:val="none"/>
              </w:rPr>
            </w:pPr>
            <w:r>
              <w:rPr>
                <w:color w:val="auto"/>
                <w:szCs w:val="21"/>
                <w:highlight w:val="none"/>
              </w:rPr>
              <w:t>居民居住区要合理安排施工时间和施工器械机械位置，高噪声施工时间尽量安排在昼间，在施工设备的选型上尽量采用低噪声设备；使用已有道路运输时沿途将经过少量集中的村庄，以此降低对环境敏感目标的影响。</w:t>
            </w:r>
          </w:p>
        </w:tc>
        <w:tc>
          <w:tcPr>
            <w:tcW w:w="668" w:type="pct"/>
            <w:vAlign w:val="center"/>
          </w:tcPr>
          <w:p>
            <w:pPr>
              <w:adjustRightInd w:val="0"/>
              <w:snapToGrid w:val="0"/>
              <w:spacing w:line="240" w:lineRule="auto"/>
              <w:ind w:firstLine="0" w:firstLineChars="0"/>
              <w:rPr>
                <w:color w:val="auto"/>
                <w:highlight w:val="none"/>
              </w:rPr>
            </w:pPr>
            <w:r>
              <w:rPr>
                <w:color w:val="auto"/>
                <w:szCs w:val="21"/>
                <w:highlight w:val="none"/>
              </w:rPr>
              <w:t>满足</w:t>
            </w:r>
            <w:r>
              <w:rPr>
                <w:rFonts w:hint="eastAsia"/>
                <w:color w:val="auto"/>
                <w:szCs w:val="21"/>
                <w:highlight w:val="none"/>
              </w:rPr>
              <w:t>《建筑施工场界环境噪声排放标准》（GB12523-2025）</w:t>
            </w:r>
            <w:r>
              <w:rPr>
                <w:color w:val="auto"/>
                <w:szCs w:val="21"/>
                <w:highlight w:val="none"/>
              </w:rPr>
              <w:t>的规定</w:t>
            </w:r>
          </w:p>
        </w:tc>
        <w:tc>
          <w:tcPr>
            <w:tcW w:w="109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c>
          <w:tcPr>
            <w:tcW w:w="77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6" w:type="pct"/>
            <w:vAlign w:val="center"/>
          </w:tcPr>
          <w:p>
            <w:pPr>
              <w:spacing w:line="240" w:lineRule="auto"/>
              <w:ind w:firstLine="0" w:firstLineChars="0"/>
              <w:jc w:val="center"/>
              <w:rPr>
                <w:color w:val="auto"/>
                <w:highlight w:val="none"/>
              </w:rPr>
            </w:pPr>
            <w:r>
              <w:rPr>
                <w:color w:val="auto"/>
                <w:highlight w:val="none"/>
              </w:rPr>
              <w:t>振动</w:t>
            </w:r>
          </w:p>
        </w:tc>
        <w:tc>
          <w:tcPr>
            <w:tcW w:w="1968" w:type="pct"/>
            <w:vAlign w:val="center"/>
          </w:tcPr>
          <w:p>
            <w:pPr>
              <w:adjustRightInd w:val="0"/>
              <w:snapToGrid w:val="0"/>
              <w:spacing w:line="240" w:lineRule="auto"/>
              <w:ind w:firstLine="0" w:firstLineChars="0"/>
              <w:jc w:val="center"/>
              <w:rPr>
                <w:color w:val="auto"/>
                <w:highlight w:val="none"/>
              </w:rPr>
            </w:pPr>
            <w:r>
              <w:rPr>
                <w:rFonts w:hint="eastAsia"/>
                <w:color w:val="auto"/>
                <w:highlight w:val="none"/>
              </w:rPr>
              <w:t>/</w:t>
            </w:r>
          </w:p>
        </w:tc>
        <w:tc>
          <w:tcPr>
            <w:tcW w:w="668" w:type="pct"/>
            <w:vAlign w:val="center"/>
          </w:tcPr>
          <w:p>
            <w:pPr>
              <w:adjustRightInd w:val="0"/>
              <w:snapToGrid w:val="0"/>
              <w:spacing w:line="240" w:lineRule="auto"/>
              <w:ind w:firstLine="0" w:firstLineChars="0"/>
              <w:jc w:val="center"/>
              <w:rPr>
                <w:color w:val="auto"/>
                <w:highlight w:val="none"/>
              </w:rPr>
            </w:pPr>
            <w:r>
              <w:rPr>
                <w:rFonts w:hint="eastAsia"/>
                <w:color w:val="auto"/>
                <w:highlight w:val="none"/>
              </w:rPr>
              <w:t>/</w:t>
            </w:r>
          </w:p>
        </w:tc>
        <w:tc>
          <w:tcPr>
            <w:tcW w:w="109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c>
          <w:tcPr>
            <w:tcW w:w="77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6" w:type="pct"/>
            <w:vAlign w:val="center"/>
          </w:tcPr>
          <w:p>
            <w:pPr>
              <w:spacing w:line="240" w:lineRule="auto"/>
              <w:ind w:firstLine="0" w:firstLineChars="0"/>
              <w:jc w:val="center"/>
              <w:rPr>
                <w:color w:val="auto"/>
                <w:highlight w:val="none"/>
              </w:rPr>
            </w:pPr>
            <w:r>
              <w:rPr>
                <w:color w:val="auto"/>
                <w:highlight w:val="none"/>
              </w:rPr>
              <w:t>大气环境</w:t>
            </w:r>
          </w:p>
        </w:tc>
        <w:tc>
          <w:tcPr>
            <w:tcW w:w="1968" w:type="pct"/>
            <w:vAlign w:val="center"/>
          </w:tcPr>
          <w:p>
            <w:pPr>
              <w:adjustRightInd w:val="0"/>
              <w:snapToGrid w:val="0"/>
              <w:spacing w:line="240" w:lineRule="auto"/>
              <w:ind w:firstLine="0" w:firstLineChars="0"/>
              <w:rPr>
                <w:color w:val="auto"/>
                <w:highlight w:val="none"/>
              </w:rPr>
            </w:pPr>
            <w:r>
              <w:rPr>
                <w:color w:val="auto"/>
                <w:szCs w:val="21"/>
                <w:highlight w:val="none"/>
              </w:rPr>
              <w:t>集中开挖作业场地必须采取围挡以减轻扬尘扩散，对施工场地、施工点进行清扫、洒水以减轻扬尘的飞扬。</w:t>
            </w:r>
          </w:p>
        </w:tc>
        <w:tc>
          <w:tcPr>
            <w:tcW w:w="668" w:type="pct"/>
            <w:vAlign w:val="center"/>
          </w:tcPr>
          <w:p>
            <w:pPr>
              <w:adjustRightInd w:val="0"/>
              <w:snapToGrid w:val="0"/>
              <w:spacing w:line="240" w:lineRule="auto"/>
              <w:ind w:firstLine="0" w:firstLineChars="0"/>
              <w:rPr>
                <w:color w:val="auto"/>
                <w:highlight w:val="none"/>
              </w:rPr>
            </w:pPr>
            <w:r>
              <w:rPr>
                <w:color w:val="auto"/>
                <w:szCs w:val="21"/>
                <w:highlight w:val="none"/>
              </w:rPr>
              <w:t>相关措施落实、对周围大气环境无影响。</w:t>
            </w:r>
          </w:p>
        </w:tc>
        <w:tc>
          <w:tcPr>
            <w:tcW w:w="109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c>
          <w:tcPr>
            <w:tcW w:w="77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96" w:type="pct"/>
            <w:vAlign w:val="center"/>
          </w:tcPr>
          <w:p>
            <w:pPr>
              <w:spacing w:line="240" w:lineRule="auto"/>
              <w:ind w:firstLine="0" w:firstLineChars="0"/>
              <w:jc w:val="center"/>
              <w:rPr>
                <w:color w:val="auto"/>
                <w:highlight w:val="none"/>
              </w:rPr>
            </w:pPr>
            <w:r>
              <w:rPr>
                <w:color w:val="auto"/>
                <w:highlight w:val="none"/>
              </w:rPr>
              <w:t>固体废物</w:t>
            </w:r>
          </w:p>
        </w:tc>
        <w:tc>
          <w:tcPr>
            <w:tcW w:w="1968" w:type="pct"/>
            <w:vAlign w:val="center"/>
          </w:tcPr>
          <w:p>
            <w:pPr>
              <w:adjustRightInd w:val="0"/>
              <w:snapToGrid w:val="0"/>
              <w:spacing w:line="240" w:lineRule="auto"/>
              <w:ind w:firstLine="0" w:firstLineChars="0"/>
              <w:rPr>
                <w:color w:val="auto"/>
                <w:highlight w:val="none"/>
              </w:rPr>
            </w:pPr>
            <w:r>
              <w:rPr>
                <w:color w:val="auto"/>
                <w:szCs w:val="21"/>
                <w:highlight w:val="none"/>
              </w:rPr>
              <w:t>基础土方开挖产生的弃土用于主体工程的填筑、外边坡回填以及堤顶平整；清基土用于堤防沿线平整及绿化覆土；施工现场和生活区设置垃圾桶。生活垃圾定期清运</w:t>
            </w:r>
            <w:r>
              <w:rPr>
                <w:rFonts w:hint="eastAsia"/>
                <w:color w:val="auto"/>
                <w:szCs w:val="21"/>
                <w:highlight w:val="none"/>
              </w:rPr>
              <w:t>至</w:t>
            </w:r>
            <w:r>
              <w:rPr>
                <w:rFonts w:hint="eastAsia" w:eastAsiaTheme="minorEastAsia"/>
                <w:color w:val="auto"/>
                <w:highlight w:val="none"/>
              </w:rPr>
              <w:t>吐鲁番市生活垃圾填埋场处置</w:t>
            </w:r>
          </w:p>
        </w:tc>
        <w:tc>
          <w:tcPr>
            <w:tcW w:w="668" w:type="pct"/>
            <w:vAlign w:val="center"/>
          </w:tcPr>
          <w:p>
            <w:pPr>
              <w:adjustRightInd w:val="0"/>
              <w:snapToGrid w:val="0"/>
              <w:spacing w:line="240" w:lineRule="auto"/>
              <w:ind w:firstLine="0" w:firstLineChars="0"/>
              <w:rPr>
                <w:color w:val="auto"/>
                <w:highlight w:val="none"/>
              </w:rPr>
            </w:pPr>
            <w:r>
              <w:rPr>
                <w:color w:val="auto"/>
                <w:szCs w:val="21"/>
                <w:highlight w:val="none"/>
              </w:rPr>
              <w:t>落实相关措施，无乱丢乱弃。</w:t>
            </w:r>
          </w:p>
        </w:tc>
        <w:tc>
          <w:tcPr>
            <w:tcW w:w="1093" w:type="pct"/>
            <w:vAlign w:val="center"/>
          </w:tcPr>
          <w:p>
            <w:pPr>
              <w:adjustRightInd w:val="0"/>
              <w:snapToGrid w:val="0"/>
              <w:spacing w:line="240" w:lineRule="auto"/>
              <w:ind w:firstLine="0" w:firstLineChars="0"/>
              <w:jc w:val="center"/>
              <w:rPr>
                <w:color w:val="auto"/>
                <w:highlight w:val="none"/>
              </w:rPr>
            </w:pPr>
            <w:r>
              <w:rPr>
                <w:rFonts w:hint="eastAsia"/>
                <w:color w:val="auto"/>
                <w:szCs w:val="21"/>
                <w:highlight w:val="none"/>
              </w:rPr>
              <w:t>/</w:t>
            </w:r>
          </w:p>
        </w:tc>
        <w:tc>
          <w:tcPr>
            <w:tcW w:w="773" w:type="pct"/>
            <w:vAlign w:val="center"/>
          </w:tcPr>
          <w:p>
            <w:pPr>
              <w:adjustRightInd w:val="0"/>
              <w:snapToGrid w:val="0"/>
              <w:spacing w:line="240" w:lineRule="auto"/>
              <w:ind w:firstLine="0" w:firstLineChars="0"/>
              <w:jc w:val="center"/>
              <w:rPr>
                <w:color w:val="auto"/>
                <w:highlight w:val="none"/>
              </w:rPr>
            </w:pPr>
            <w:r>
              <w:rPr>
                <w:rFonts w:hint="eastAsia"/>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6" w:type="pct"/>
            <w:vAlign w:val="center"/>
          </w:tcPr>
          <w:p>
            <w:pPr>
              <w:spacing w:line="240" w:lineRule="auto"/>
              <w:ind w:firstLine="0" w:firstLineChars="0"/>
              <w:jc w:val="center"/>
              <w:rPr>
                <w:color w:val="auto"/>
                <w:highlight w:val="none"/>
              </w:rPr>
            </w:pPr>
            <w:r>
              <w:rPr>
                <w:color w:val="auto"/>
                <w:highlight w:val="none"/>
              </w:rPr>
              <w:t>电磁环境</w:t>
            </w:r>
          </w:p>
        </w:tc>
        <w:tc>
          <w:tcPr>
            <w:tcW w:w="1968"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c>
          <w:tcPr>
            <w:tcW w:w="668"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c>
          <w:tcPr>
            <w:tcW w:w="109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c>
          <w:tcPr>
            <w:tcW w:w="77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6" w:type="pct"/>
            <w:vAlign w:val="center"/>
          </w:tcPr>
          <w:p>
            <w:pPr>
              <w:spacing w:line="240" w:lineRule="auto"/>
              <w:ind w:firstLine="0" w:firstLineChars="0"/>
              <w:jc w:val="center"/>
              <w:rPr>
                <w:color w:val="auto"/>
                <w:highlight w:val="none"/>
              </w:rPr>
            </w:pPr>
            <w:r>
              <w:rPr>
                <w:color w:val="auto"/>
                <w:highlight w:val="none"/>
              </w:rPr>
              <w:t>环境风险</w:t>
            </w:r>
          </w:p>
        </w:tc>
        <w:tc>
          <w:tcPr>
            <w:tcW w:w="1968"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c>
          <w:tcPr>
            <w:tcW w:w="668"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c>
          <w:tcPr>
            <w:tcW w:w="109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c>
          <w:tcPr>
            <w:tcW w:w="77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6" w:type="pct"/>
            <w:vAlign w:val="center"/>
          </w:tcPr>
          <w:p>
            <w:pPr>
              <w:spacing w:line="240" w:lineRule="auto"/>
              <w:ind w:firstLine="0" w:firstLineChars="0"/>
              <w:jc w:val="center"/>
              <w:rPr>
                <w:color w:val="auto"/>
                <w:highlight w:val="none"/>
              </w:rPr>
            </w:pPr>
            <w:r>
              <w:rPr>
                <w:color w:val="auto"/>
                <w:highlight w:val="none"/>
              </w:rPr>
              <w:t>环境监测</w:t>
            </w:r>
          </w:p>
        </w:tc>
        <w:tc>
          <w:tcPr>
            <w:tcW w:w="1968" w:type="pct"/>
            <w:vAlign w:val="center"/>
          </w:tcPr>
          <w:p>
            <w:pPr>
              <w:adjustRightInd w:val="0"/>
              <w:snapToGrid w:val="0"/>
              <w:spacing w:line="240" w:lineRule="auto"/>
              <w:ind w:firstLine="0" w:firstLineChars="0"/>
              <w:jc w:val="center"/>
              <w:rPr>
                <w:color w:val="auto"/>
                <w:highlight w:val="none"/>
              </w:rPr>
            </w:pPr>
            <w:r>
              <w:rPr>
                <w:rFonts w:hint="eastAsia"/>
                <w:color w:val="auto"/>
                <w:highlight w:val="none"/>
              </w:rPr>
              <w:t>/</w:t>
            </w:r>
          </w:p>
        </w:tc>
        <w:tc>
          <w:tcPr>
            <w:tcW w:w="668" w:type="pct"/>
            <w:vAlign w:val="center"/>
          </w:tcPr>
          <w:p>
            <w:pPr>
              <w:adjustRightInd w:val="0"/>
              <w:snapToGrid w:val="0"/>
              <w:spacing w:line="240" w:lineRule="auto"/>
              <w:ind w:firstLine="0" w:firstLineChars="0"/>
              <w:jc w:val="center"/>
              <w:rPr>
                <w:color w:val="auto"/>
                <w:highlight w:val="none"/>
              </w:rPr>
            </w:pPr>
            <w:r>
              <w:rPr>
                <w:rFonts w:hint="eastAsia"/>
                <w:color w:val="auto"/>
                <w:highlight w:val="none"/>
              </w:rPr>
              <w:t>/</w:t>
            </w:r>
          </w:p>
        </w:tc>
        <w:tc>
          <w:tcPr>
            <w:tcW w:w="1863" w:type="dxa"/>
            <w:vAlign w:val="center"/>
          </w:tcPr>
          <w:p>
            <w:pPr>
              <w:adjustRightInd w:val="0"/>
              <w:snapToGrid w:val="0"/>
              <w:spacing w:line="240" w:lineRule="auto"/>
              <w:ind w:firstLine="0" w:firstLineChars="0"/>
              <w:rPr>
                <w:color w:val="auto"/>
                <w:szCs w:val="21"/>
                <w:highlight w:val="none"/>
              </w:rPr>
            </w:pPr>
            <w:r>
              <w:rPr>
                <w:rFonts w:hint="eastAsia"/>
                <w:color w:val="auto"/>
                <w:szCs w:val="21"/>
                <w:highlight w:val="none"/>
              </w:rPr>
              <w:t>运营期应进行土壤监测</w:t>
            </w:r>
          </w:p>
        </w:tc>
        <w:tc>
          <w:tcPr>
            <w:tcW w:w="1318" w:type="dxa"/>
            <w:vAlign w:val="center"/>
          </w:tcPr>
          <w:p>
            <w:pPr>
              <w:adjustRightInd w:val="0"/>
              <w:snapToGrid w:val="0"/>
              <w:spacing w:line="240" w:lineRule="auto"/>
              <w:ind w:firstLine="0" w:firstLineChars="0"/>
              <w:rPr>
                <w:color w:val="auto"/>
                <w:szCs w:val="21"/>
                <w:highlight w:val="none"/>
              </w:rPr>
            </w:pPr>
            <w:r>
              <w:rPr>
                <w:rFonts w:hint="eastAsia"/>
                <w:color w:val="auto"/>
                <w:szCs w:val="21"/>
                <w:highlight w:val="none"/>
              </w:rPr>
              <w:t>土壤监测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6" w:type="pct"/>
            <w:vAlign w:val="center"/>
          </w:tcPr>
          <w:p>
            <w:pPr>
              <w:spacing w:line="240" w:lineRule="auto"/>
              <w:ind w:firstLine="0" w:firstLineChars="0"/>
              <w:jc w:val="center"/>
              <w:rPr>
                <w:color w:val="auto"/>
                <w:highlight w:val="none"/>
              </w:rPr>
            </w:pPr>
            <w:r>
              <w:rPr>
                <w:color w:val="auto"/>
                <w:highlight w:val="none"/>
              </w:rPr>
              <w:t>其他</w:t>
            </w:r>
          </w:p>
        </w:tc>
        <w:tc>
          <w:tcPr>
            <w:tcW w:w="1968" w:type="pct"/>
            <w:vAlign w:val="center"/>
          </w:tcPr>
          <w:p>
            <w:pPr>
              <w:adjustRightInd w:val="0"/>
              <w:snapToGrid w:val="0"/>
              <w:spacing w:line="240" w:lineRule="auto"/>
              <w:ind w:firstLine="0" w:firstLineChars="0"/>
              <w:jc w:val="center"/>
              <w:rPr>
                <w:color w:val="auto"/>
                <w:highlight w:val="none"/>
              </w:rPr>
            </w:pPr>
            <w:r>
              <w:rPr>
                <w:color w:val="auto"/>
                <w:highlight w:val="none"/>
              </w:rPr>
              <w:t>/</w:t>
            </w:r>
          </w:p>
        </w:tc>
        <w:tc>
          <w:tcPr>
            <w:tcW w:w="668" w:type="pct"/>
            <w:vAlign w:val="center"/>
          </w:tcPr>
          <w:p>
            <w:pPr>
              <w:adjustRightInd w:val="0"/>
              <w:snapToGrid w:val="0"/>
              <w:spacing w:line="240" w:lineRule="auto"/>
              <w:ind w:firstLine="0" w:firstLineChars="0"/>
              <w:jc w:val="center"/>
              <w:rPr>
                <w:color w:val="auto"/>
                <w:highlight w:val="none"/>
              </w:rPr>
            </w:pPr>
            <w:r>
              <w:rPr>
                <w:color w:val="auto"/>
                <w:highlight w:val="none"/>
              </w:rPr>
              <w:t>/</w:t>
            </w:r>
          </w:p>
        </w:tc>
        <w:tc>
          <w:tcPr>
            <w:tcW w:w="109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c>
          <w:tcPr>
            <w:tcW w:w="773" w:type="pct"/>
            <w:vAlign w:val="center"/>
          </w:tcPr>
          <w:p>
            <w:pPr>
              <w:adjustRightInd w:val="0"/>
              <w:snapToGrid w:val="0"/>
              <w:spacing w:line="240" w:lineRule="auto"/>
              <w:ind w:firstLine="0" w:firstLineChars="0"/>
              <w:jc w:val="center"/>
              <w:rPr>
                <w:color w:val="auto"/>
                <w:highlight w:val="none"/>
              </w:rPr>
            </w:pPr>
            <w:r>
              <w:rPr>
                <w:color w:val="auto"/>
                <w:szCs w:val="21"/>
                <w:highlight w:val="none"/>
              </w:rPr>
              <w:t>/</w:t>
            </w:r>
          </w:p>
        </w:tc>
      </w:tr>
    </w:tbl>
    <w:p>
      <w:pPr>
        <w:ind w:firstLine="480"/>
        <w:rPr>
          <w:color w:val="auto"/>
          <w:highlight w:val="none"/>
        </w:rPr>
      </w:pPr>
      <w:r>
        <w:rPr>
          <w:color w:val="auto"/>
          <w:highlight w:val="none"/>
        </w:rPr>
        <w:br w:type="page"/>
      </w:r>
    </w:p>
    <w:p>
      <w:pPr>
        <w:pStyle w:val="26"/>
        <w:spacing w:before="0" w:beforeAutospacing="0" w:after="0" w:afterAutospacing="0" w:line="240" w:lineRule="auto"/>
        <w:ind w:firstLine="0" w:firstLineChars="0"/>
        <w:jc w:val="center"/>
        <w:outlineLvl w:val="0"/>
        <w:rPr>
          <w:rFonts w:ascii="Times New Roman" w:hAnsi="Times New Roman"/>
          <w:b/>
          <w:bCs/>
          <w:snapToGrid w:val="0"/>
          <w:color w:val="auto"/>
          <w:sz w:val="30"/>
          <w:szCs w:val="30"/>
          <w:highlight w:val="none"/>
        </w:rPr>
      </w:pPr>
      <w:bookmarkStart w:id="31" w:name="_Toc12414"/>
      <w:bookmarkStart w:id="32" w:name="_Toc7548"/>
      <w:bookmarkStart w:id="33" w:name="_Toc11707"/>
      <w:bookmarkStart w:id="34" w:name="_Toc13889"/>
      <w:r>
        <w:rPr>
          <w:rFonts w:ascii="Times New Roman" w:hAnsi="Times New Roman"/>
          <w:b/>
          <w:bCs/>
          <w:snapToGrid w:val="0"/>
          <w:color w:val="auto"/>
          <w:sz w:val="30"/>
          <w:szCs w:val="30"/>
          <w:highlight w:val="none"/>
        </w:rPr>
        <w:t>七、结论</w:t>
      </w:r>
      <w:bookmarkEnd w:id="31"/>
      <w:bookmarkEnd w:id="32"/>
      <w:bookmarkEnd w:id="33"/>
      <w:bookmarkEnd w:id="34"/>
    </w:p>
    <w:tbl>
      <w:tblPr>
        <w:tblStyle w:val="30"/>
        <w:tblW w:w="88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8820" w:type="dxa"/>
          </w:tcPr>
          <w:p>
            <w:pPr>
              <w:adjustRightInd w:val="0"/>
              <w:snapToGrid w:val="0"/>
              <w:ind w:firstLine="480"/>
              <w:rPr>
                <w:color w:val="auto"/>
                <w:szCs w:val="21"/>
                <w:highlight w:val="none"/>
              </w:rPr>
            </w:pPr>
            <w:r>
              <w:rPr>
                <w:color w:val="auto"/>
                <w:highlight w:val="none"/>
              </w:rPr>
              <w:t>本</w:t>
            </w:r>
            <w:r>
              <w:rPr>
                <w:rFonts w:hint="eastAsia"/>
                <w:color w:val="auto"/>
                <w:highlight w:val="none"/>
              </w:rPr>
              <w:t>项目</w:t>
            </w:r>
            <w:r>
              <w:rPr>
                <w:color w:val="auto"/>
                <w:highlight w:val="none"/>
              </w:rPr>
              <w:t>在施工期和运行期，只要严格按环保要求实施各项污染物的治理措施，各类污染物排放对区域环境影响不大。因此，本</w:t>
            </w:r>
            <w:r>
              <w:rPr>
                <w:rFonts w:hint="eastAsia"/>
                <w:color w:val="auto"/>
                <w:highlight w:val="none"/>
              </w:rPr>
              <w:t>项目</w:t>
            </w:r>
            <w:r>
              <w:rPr>
                <w:color w:val="auto"/>
                <w:highlight w:val="none"/>
              </w:rPr>
              <w:t>的建设从环保角度上分析是可行的。</w:t>
            </w:r>
          </w:p>
        </w:tc>
      </w:tr>
    </w:tbl>
    <w:p>
      <w:pPr>
        <w:ind w:firstLine="0" w:firstLineChars="0"/>
        <w:rPr>
          <w:color w:val="auto"/>
          <w:highlight w:val="none"/>
        </w:rPr>
      </w:pPr>
    </w:p>
    <w:sectPr>
      <w:headerReference r:id="rId6" w:type="default"/>
      <w:footerReference r:id="rId7" w:type="default"/>
      <w:pgSz w:w="11906" w:h="16838"/>
      <w:pgMar w:top="1440" w:right="1800" w:bottom="1440" w:left="1800" w:header="851" w:footer="107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eiryo">
    <w:panose1 w:val="020B0604030504040204"/>
    <w:charset w:val="80"/>
    <w:family w:val="swiss"/>
    <w:pitch w:val="default"/>
    <w:sig w:usb0="E10102FF" w:usb1="EAC7FFFF" w:usb2="00010012" w:usb3="00000000" w:csb0="6002009F" w:csb1="DFD70000"/>
  </w:font>
  <w:font w:name="Segoe UI Emoji">
    <w:altName w:val="Segoe UI"/>
    <w:panose1 w:val="020B0502040204020203"/>
    <w:charset w:val="00"/>
    <w:family w:val="swiss"/>
    <w:pitch w:val="default"/>
    <w:sig w:usb0="00000000" w:usb1="00000000" w:usb2="08000000" w:usb3="00000000" w:csb0="00000001"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9755" cy="220980"/>
              <wp:effectExtent l="0" t="0" r="0" b="0"/>
              <wp:wrapNone/>
              <wp:docPr id="24" name="文本框 1038"/>
              <wp:cNvGraphicFramePr/>
              <a:graphic xmlns:a="http://schemas.openxmlformats.org/drawingml/2006/main">
                <a:graphicData uri="http://schemas.microsoft.com/office/word/2010/wordprocessingShape">
                  <wps:wsp>
                    <wps:cNvSpPr txBox="1"/>
                    <wps:spPr>
                      <a:xfrm>
                        <a:off x="0" y="0"/>
                        <a:ext cx="579755" cy="220980"/>
                      </a:xfrm>
                      <a:prstGeom prst="rect">
                        <a:avLst/>
                      </a:prstGeom>
                      <a:noFill/>
                      <a:ln>
                        <a:noFill/>
                      </a:ln>
                    </wps:spPr>
                    <wps:txbx>
                      <w:txbxContent>
                        <w:p>
                          <w:pPr>
                            <w:pStyle w:val="15"/>
                            <w:ind w:firstLine="360"/>
                          </w:pPr>
                          <w:r>
                            <w:fldChar w:fldCharType="begin"/>
                          </w:r>
                          <w:r>
                            <w:instrText xml:space="preserve"> PAGE  \* MERGEFORMAT </w:instrText>
                          </w:r>
                          <w:r>
                            <w:fldChar w:fldCharType="separate"/>
                          </w:r>
                          <w:r>
                            <w:t>38</w:t>
                          </w:r>
                          <w:r>
                            <w:fldChar w:fldCharType="end"/>
                          </w:r>
                        </w:p>
                      </w:txbxContent>
                    </wps:txbx>
                    <wps:bodyPr wrap="square" lIns="0" tIns="0" rIns="0" bIns="0">
                      <a:noAutofit/>
                    </wps:bodyPr>
                  </wps:wsp>
                </a:graphicData>
              </a:graphic>
            </wp:anchor>
          </w:drawing>
        </mc:Choice>
        <mc:Fallback>
          <w:pict>
            <v:shape id="文本框 1038" o:spid="_x0000_s1026" o:spt="202" type="#_x0000_t202" style="position:absolute;left:0pt;margin-top:0pt;height:17.4pt;width:45.65pt;mso-position-horizontal:center;mso-position-horizontal-relative:margin;z-index:251659264;mso-width-relative:page;mso-height-relative:page;" filled="f" stroked="f" coordsize="21600,21600" o:gfxdata="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Ze6ddQAAAADAQAADwAAAAAAAAABACAAAAAiAAAAZHJzL2Rv&#10;d25yZXYueG1sUEsBAhQAFAAAAAgAh07iQE2diGLMAQAAkQMAAA4AAAAAAAAAAQAgAAAAIwEAAGRy&#10;cy9lMm9Eb2MueG1sUEsFBgAAAAAGAAYAWQEAAGEFAAAAAA==&#10;">
              <v:fill on="f" focussize="0,0"/>
              <v:stroke on="f"/>
              <v:imagedata o:title=""/>
              <o:lock v:ext="edit" aspectratio="f"/>
              <v:textbox inset="0mm,0mm,0mm,0mm">
                <w:txbxContent>
                  <w:p>
                    <w:pPr>
                      <w:pStyle w:val="15"/>
                      <w:ind w:firstLine="36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rPr>
        <w:rFonts w:hint="eastAsia"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51101"/>
    <w:multiLevelType w:val="multilevel"/>
    <w:tmpl w:val="0C351101"/>
    <w:lvl w:ilvl="0" w:tentative="0">
      <w:start w:val="1"/>
      <w:numFmt w:val="decimal"/>
      <w:lvlText w:val="%1."/>
      <w:lvlJc w:val="left"/>
      <w:pPr>
        <w:tabs>
          <w:tab w:val="left" w:pos="425"/>
        </w:tabs>
        <w:ind w:left="425" w:hanging="425"/>
      </w:pPr>
      <w:rPr>
        <w:rFonts w:hint="eastAsia" w:ascii="宋体" w:hAnsi="宋体" w:eastAsia="宋体"/>
        <w:b/>
        <w:i w:val="0"/>
        <w:sz w:val="32"/>
        <w:szCs w:val="32"/>
      </w:rPr>
    </w:lvl>
    <w:lvl w:ilvl="1" w:tentative="0">
      <w:start w:val="1"/>
      <w:numFmt w:val="decimal"/>
      <w:lvlText w:val="%1.%2."/>
      <w:lvlJc w:val="left"/>
      <w:pPr>
        <w:tabs>
          <w:tab w:val="left" w:pos="567"/>
        </w:tabs>
        <w:ind w:left="567" w:hanging="567"/>
      </w:pPr>
      <w:rPr>
        <w:rFonts w:hint="eastAsia" w:ascii="宋体" w:hAnsi="宋体" w:eastAsia="宋体"/>
        <w:b/>
        <w:i w:val="0"/>
        <w:color w:val="auto"/>
        <w:sz w:val="30"/>
        <w:szCs w:val="30"/>
      </w:rPr>
    </w:lvl>
    <w:lvl w:ilvl="2" w:tentative="0">
      <w:start w:val="1"/>
      <w:numFmt w:val="decimal"/>
      <w:pStyle w:val="65"/>
      <w:lvlText w:val="%1.%2.%3."/>
      <w:lvlJc w:val="left"/>
      <w:pPr>
        <w:tabs>
          <w:tab w:val="left" w:pos="2552"/>
        </w:tabs>
        <w:ind w:left="709" w:hanging="709"/>
      </w:pPr>
      <w:rPr>
        <w:rFonts w:hint="eastAsia" w:ascii="宋体" w:hAnsi="宋体" w:eastAsia="宋体"/>
        <w:b/>
        <w:i w:val="0"/>
        <w:color w:val="auto"/>
        <w:sz w:val="28"/>
        <w:szCs w:val="28"/>
      </w:rPr>
    </w:lvl>
    <w:lvl w:ilvl="3" w:tentative="0">
      <w:start w:val="1"/>
      <w:numFmt w:val="decimal"/>
      <w:lvlText w:val="%1.%2.%3.%4."/>
      <w:lvlJc w:val="left"/>
      <w:pPr>
        <w:tabs>
          <w:tab w:val="left" w:pos="851"/>
        </w:tabs>
        <w:ind w:left="851" w:hanging="851"/>
      </w:pPr>
      <w:rPr>
        <w:rFonts w:hint="eastAsia" w:ascii="宋体" w:hAnsi="宋体" w:eastAsia="宋体"/>
        <w:b/>
        <w:i w:val="0"/>
        <w:color w:val="auto"/>
        <w:sz w:val="24"/>
        <w:szCs w:val="24"/>
      </w:rPr>
    </w:lvl>
    <w:lvl w:ilvl="4" w:tentative="0">
      <w:start w:val="1"/>
      <w:numFmt w:val="decimal"/>
      <w:lvlText w:val="%1.%2.%3.%4.%5."/>
      <w:lvlJc w:val="left"/>
      <w:pPr>
        <w:tabs>
          <w:tab w:val="left" w:pos="1832"/>
        </w:tabs>
        <w:ind w:left="1832" w:hanging="992"/>
      </w:pPr>
      <w:rPr>
        <w:rFonts w:hint="eastAsia" w:ascii="宋体" w:hAnsi="宋体" w:eastAsia="宋体"/>
        <w:b w:val="0"/>
        <w:color w:val="auto"/>
        <w:sz w:val="24"/>
        <w:szCs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M2YwMjhmNTVkMjYxZTcyOWQyYjUzNWZhZTNiZDEifQ=="/>
  </w:docVars>
  <w:rsids>
    <w:rsidRoot w:val="00172A27"/>
    <w:rsid w:val="00000CFD"/>
    <w:rsid w:val="00001CED"/>
    <w:rsid w:val="00001E67"/>
    <w:rsid w:val="00003CD8"/>
    <w:rsid w:val="00014965"/>
    <w:rsid w:val="0001523A"/>
    <w:rsid w:val="00016ECB"/>
    <w:rsid w:val="00021F58"/>
    <w:rsid w:val="00025BCD"/>
    <w:rsid w:val="00026315"/>
    <w:rsid w:val="000269F6"/>
    <w:rsid w:val="00031939"/>
    <w:rsid w:val="00032D25"/>
    <w:rsid w:val="0005219D"/>
    <w:rsid w:val="0005568F"/>
    <w:rsid w:val="00056E66"/>
    <w:rsid w:val="0006153D"/>
    <w:rsid w:val="00061B1F"/>
    <w:rsid w:val="000632EA"/>
    <w:rsid w:val="000664DB"/>
    <w:rsid w:val="0007127D"/>
    <w:rsid w:val="00071AE5"/>
    <w:rsid w:val="00074783"/>
    <w:rsid w:val="0007776D"/>
    <w:rsid w:val="000801E0"/>
    <w:rsid w:val="0008192E"/>
    <w:rsid w:val="00082A29"/>
    <w:rsid w:val="0008331D"/>
    <w:rsid w:val="00083C18"/>
    <w:rsid w:val="00092899"/>
    <w:rsid w:val="000A178E"/>
    <w:rsid w:val="000A557E"/>
    <w:rsid w:val="000B058F"/>
    <w:rsid w:val="000B693F"/>
    <w:rsid w:val="000C09AC"/>
    <w:rsid w:val="000C0A63"/>
    <w:rsid w:val="000C437E"/>
    <w:rsid w:val="000E5F16"/>
    <w:rsid w:val="000F4452"/>
    <w:rsid w:val="000F6DA1"/>
    <w:rsid w:val="000F701B"/>
    <w:rsid w:val="001056A0"/>
    <w:rsid w:val="00115279"/>
    <w:rsid w:val="00117459"/>
    <w:rsid w:val="0011749A"/>
    <w:rsid w:val="00124682"/>
    <w:rsid w:val="00127A68"/>
    <w:rsid w:val="00140B13"/>
    <w:rsid w:val="00141B68"/>
    <w:rsid w:val="001466DA"/>
    <w:rsid w:val="001471C2"/>
    <w:rsid w:val="00150EAD"/>
    <w:rsid w:val="00154DE1"/>
    <w:rsid w:val="00155B40"/>
    <w:rsid w:val="00157435"/>
    <w:rsid w:val="00163EEA"/>
    <w:rsid w:val="00167A07"/>
    <w:rsid w:val="0017046A"/>
    <w:rsid w:val="001704A3"/>
    <w:rsid w:val="00172A27"/>
    <w:rsid w:val="0017504D"/>
    <w:rsid w:val="00177422"/>
    <w:rsid w:val="0018099E"/>
    <w:rsid w:val="00183C95"/>
    <w:rsid w:val="00184F10"/>
    <w:rsid w:val="00185546"/>
    <w:rsid w:val="0019146B"/>
    <w:rsid w:val="00194398"/>
    <w:rsid w:val="001A4716"/>
    <w:rsid w:val="001A7D2A"/>
    <w:rsid w:val="001B574C"/>
    <w:rsid w:val="001C0AF9"/>
    <w:rsid w:val="001C155A"/>
    <w:rsid w:val="001C48C0"/>
    <w:rsid w:val="001C56A9"/>
    <w:rsid w:val="001D00C3"/>
    <w:rsid w:val="001D6726"/>
    <w:rsid w:val="001E4D10"/>
    <w:rsid w:val="001E7DEF"/>
    <w:rsid w:val="001F1DDA"/>
    <w:rsid w:val="001F3347"/>
    <w:rsid w:val="001F4440"/>
    <w:rsid w:val="001F5374"/>
    <w:rsid w:val="001F69E4"/>
    <w:rsid w:val="00206A65"/>
    <w:rsid w:val="00212D31"/>
    <w:rsid w:val="002130C7"/>
    <w:rsid w:val="002218A8"/>
    <w:rsid w:val="0022306D"/>
    <w:rsid w:val="00226574"/>
    <w:rsid w:val="002278EC"/>
    <w:rsid w:val="00234AB4"/>
    <w:rsid w:val="002357C7"/>
    <w:rsid w:val="00235FF8"/>
    <w:rsid w:val="002367C4"/>
    <w:rsid w:val="00245E77"/>
    <w:rsid w:val="0025679E"/>
    <w:rsid w:val="00260C68"/>
    <w:rsid w:val="002648B0"/>
    <w:rsid w:val="00275271"/>
    <w:rsid w:val="0027535E"/>
    <w:rsid w:val="00275AA6"/>
    <w:rsid w:val="00275CE9"/>
    <w:rsid w:val="002807D5"/>
    <w:rsid w:val="00282CCD"/>
    <w:rsid w:val="002A168C"/>
    <w:rsid w:val="002A2C48"/>
    <w:rsid w:val="002A3EED"/>
    <w:rsid w:val="002A4A39"/>
    <w:rsid w:val="002A5A17"/>
    <w:rsid w:val="002A6425"/>
    <w:rsid w:val="002B49E2"/>
    <w:rsid w:val="002B7B00"/>
    <w:rsid w:val="002B7C44"/>
    <w:rsid w:val="002C1388"/>
    <w:rsid w:val="002C3C6A"/>
    <w:rsid w:val="002D42DB"/>
    <w:rsid w:val="002D4B75"/>
    <w:rsid w:val="002E1F3A"/>
    <w:rsid w:val="002E298A"/>
    <w:rsid w:val="002F02A4"/>
    <w:rsid w:val="002F272B"/>
    <w:rsid w:val="002F7C6D"/>
    <w:rsid w:val="003027E4"/>
    <w:rsid w:val="0030332C"/>
    <w:rsid w:val="00312296"/>
    <w:rsid w:val="0031340E"/>
    <w:rsid w:val="00316464"/>
    <w:rsid w:val="0032073A"/>
    <w:rsid w:val="00321D8E"/>
    <w:rsid w:val="00331870"/>
    <w:rsid w:val="00334996"/>
    <w:rsid w:val="00336969"/>
    <w:rsid w:val="00336C52"/>
    <w:rsid w:val="00341B3E"/>
    <w:rsid w:val="00341B42"/>
    <w:rsid w:val="00341C99"/>
    <w:rsid w:val="00345154"/>
    <w:rsid w:val="0034560E"/>
    <w:rsid w:val="00350523"/>
    <w:rsid w:val="00352975"/>
    <w:rsid w:val="00356868"/>
    <w:rsid w:val="0036485B"/>
    <w:rsid w:val="003715A4"/>
    <w:rsid w:val="00373B0D"/>
    <w:rsid w:val="00374E49"/>
    <w:rsid w:val="00376988"/>
    <w:rsid w:val="00381A72"/>
    <w:rsid w:val="00395C37"/>
    <w:rsid w:val="003A1948"/>
    <w:rsid w:val="003A6A44"/>
    <w:rsid w:val="003B152A"/>
    <w:rsid w:val="003B545B"/>
    <w:rsid w:val="003B7313"/>
    <w:rsid w:val="003D3EE9"/>
    <w:rsid w:val="003E7681"/>
    <w:rsid w:val="003F0809"/>
    <w:rsid w:val="003F611C"/>
    <w:rsid w:val="003F755C"/>
    <w:rsid w:val="003F7CCD"/>
    <w:rsid w:val="00406F01"/>
    <w:rsid w:val="004106E3"/>
    <w:rsid w:val="00411B36"/>
    <w:rsid w:val="004121D7"/>
    <w:rsid w:val="00413F4D"/>
    <w:rsid w:val="00416D50"/>
    <w:rsid w:val="00417772"/>
    <w:rsid w:val="00420E6A"/>
    <w:rsid w:val="004277C9"/>
    <w:rsid w:val="00427FBC"/>
    <w:rsid w:val="004305DF"/>
    <w:rsid w:val="00433CA9"/>
    <w:rsid w:val="0043521D"/>
    <w:rsid w:val="00442024"/>
    <w:rsid w:val="0044254C"/>
    <w:rsid w:val="00443F6A"/>
    <w:rsid w:val="00450A17"/>
    <w:rsid w:val="00466321"/>
    <w:rsid w:val="004672AF"/>
    <w:rsid w:val="004727B0"/>
    <w:rsid w:val="00480247"/>
    <w:rsid w:val="0048081D"/>
    <w:rsid w:val="0048117E"/>
    <w:rsid w:val="004826C1"/>
    <w:rsid w:val="004855F6"/>
    <w:rsid w:val="00486F0C"/>
    <w:rsid w:val="00494670"/>
    <w:rsid w:val="004A0EB4"/>
    <w:rsid w:val="004A30E6"/>
    <w:rsid w:val="004A3823"/>
    <w:rsid w:val="004A59BB"/>
    <w:rsid w:val="004B43A3"/>
    <w:rsid w:val="004B4C49"/>
    <w:rsid w:val="004B58A5"/>
    <w:rsid w:val="004B63D9"/>
    <w:rsid w:val="004B6FE7"/>
    <w:rsid w:val="004C0882"/>
    <w:rsid w:val="004C55BE"/>
    <w:rsid w:val="004E0449"/>
    <w:rsid w:val="004E5B30"/>
    <w:rsid w:val="004F0779"/>
    <w:rsid w:val="004F1230"/>
    <w:rsid w:val="004F173F"/>
    <w:rsid w:val="004F177C"/>
    <w:rsid w:val="004F2DCE"/>
    <w:rsid w:val="005039CB"/>
    <w:rsid w:val="0050558F"/>
    <w:rsid w:val="005057E0"/>
    <w:rsid w:val="00506286"/>
    <w:rsid w:val="00510813"/>
    <w:rsid w:val="00511DE0"/>
    <w:rsid w:val="005123CF"/>
    <w:rsid w:val="00517F02"/>
    <w:rsid w:val="00524547"/>
    <w:rsid w:val="005258A2"/>
    <w:rsid w:val="00525BF5"/>
    <w:rsid w:val="00530F7C"/>
    <w:rsid w:val="00534567"/>
    <w:rsid w:val="00534F43"/>
    <w:rsid w:val="0053518E"/>
    <w:rsid w:val="00535A84"/>
    <w:rsid w:val="00536889"/>
    <w:rsid w:val="00542E07"/>
    <w:rsid w:val="00543DB1"/>
    <w:rsid w:val="00554A7B"/>
    <w:rsid w:val="0055572C"/>
    <w:rsid w:val="00557EBB"/>
    <w:rsid w:val="0056064F"/>
    <w:rsid w:val="00561B84"/>
    <w:rsid w:val="00571D98"/>
    <w:rsid w:val="005720AE"/>
    <w:rsid w:val="00577917"/>
    <w:rsid w:val="0058030D"/>
    <w:rsid w:val="00582045"/>
    <w:rsid w:val="00590AE3"/>
    <w:rsid w:val="005918F1"/>
    <w:rsid w:val="005A06B7"/>
    <w:rsid w:val="005A1759"/>
    <w:rsid w:val="005D0369"/>
    <w:rsid w:val="005D53FE"/>
    <w:rsid w:val="005D7A0F"/>
    <w:rsid w:val="005E0438"/>
    <w:rsid w:val="005E1791"/>
    <w:rsid w:val="005E2ACC"/>
    <w:rsid w:val="005E2CE6"/>
    <w:rsid w:val="005E6324"/>
    <w:rsid w:val="005F228B"/>
    <w:rsid w:val="005F29CD"/>
    <w:rsid w:val="005F458B"/>
    <w:rsid w:val="005F4DFB"/>
    <w:rsid w:val="005F6CC0"/>
    <w:rsid w:val="00603E5B"/>
    <w:rsid w:val="006040A4"/>
    <w:rsid w:val="00604BC8"/>
    <w:rsid w:val="006050FD"/>
    <w:rsid w:val="00615B4C"/>
    <w:rsid w:val="00615B5D"/>
    <w:rsid w:val="0062146F"/>
    <w:rsid w:val="0062309B"/>
    <w:rsid w:val="006343AF"/>
    <w:rsid w:val="00635133"/>
    <w:rsid w:val="0063634A"/>
    <w:rsid w:val="0064250D"/>
    <w:rsid w:val="006535EB"/>
    <w:rsid w:val="00663016"/>
    <w:rsid w:val="00674605"/>
    <w:rsid w:val="006748B8"/>
    <w:rsid w:val="0067722F"/>
    <w:rsid w:val="0068535B"/>
    <w:rsid w:val="0068736E"/>
    <w:rsid w:val="006911F9"/>
    <w:rsid w:val="0069290A"/>
    <w:rsid w:val="00697032"/>
    <w:rsid w:val="006975AC"/>
    <w:rsid w:val="006A15FB"/>
    <w:rsid w:val="006A72BF"/>
    <w:rsid w:val="006B332A"/>
    <w:rsid w:val="006B33BD"/>
    <w:rsid w:val="006C23DA"/>
    <w:rsid w:val="006C3F75"/>
    <w:rsid w:val="006D170E"/>
    <w:rsid w:val="006E06AF"/>
    <w:rsid w:val="006F1789"/>
    <w:rsid w:val="0070161B"/>
    <w:rsid w:val="00706C5D"/>
    <w:rsid w:val="007118E6"/>
    <w:rsid w:val="0072109F"/>
    <w:rsid w:val="007225C9"/>
    <w:rsid w:val="00735CD7"/>
    <w:rsid w:val="0074108F"/>
    <w:rsid w:val="00752399"/>
    <w:rsid w:val="007535B9"/>
    <w:rsid w:val="00754034"/>
    <w:rsid w:val="00754BF1"/>
    <w:rsid w:val="00755A30"/>
    <w:rsid w:val="00755DF0"/>
    <w:rsid w:val="00755E1C"/>
    <w:rsid w:val="00756556"/>
    <w:rsid w:val="0076132B"/>
    <w:rsid w:val="007623AE"/>
    <w:rsid w:val="00770B19"/>
    <w:rsid w:val="00774FA0"/>
    <w:rsid w:val="00776620"/>
    <w:rsid w:val="00777B6D"/>
    <w:rsid w:val="00784855"/>
    <w:rsid w:val="00784F39"/>
    <w:rsid w:val="0078545C"/>
    <w:rsid w:val="00786395"/>
    <w:rsid w:val="007906C4"/>
    <w:rsid w:val="007940EA"/>
    <w:rsid w:val="007967E8"/>
    <w:rsid w:val="007A63F2"/>
    <w:rsid w:val="007B68DE"/>
    <w:rsid w:val="007C1857"/>
    <w:rsid w:val="007C514F"/>
    <w:rsid w:val="007D0F0C"/>
    <w:rsid w:val="007D0F95"/>
    <w:rsid w:val="007D7ECB"/>
    <w:rsid w:val="007E25A1"/>
    <w:rsid w:val="007E4BD2"/>
    <w:rsid w:val="007E6594"/>
    <w:rsid w:val="007E7145"/>
    <w:rsid w:val="007F3916"/>
    <w:rsid w:val="00801179"/>
    <w:rsid w:val="00802479"/>
    <w:rsid w:val="00805372"/>
    <w:rsid w:val="00805B7B"/>
    <w:rsid w:val="0081293E"/>
    <w:rsid w:val="00814FFB"/>
    <w:rsid w:val="00816543"/>
    <w:rsid w:val="00820568"/>
    <w:rsid w:val="00831A80"/>
    <w:rsid w:val="008332C8"/>
    <w:rsid w:val="00833743"/>
    <w:rsid w:val="008340A4"/>
    <w:rsid w:val="00836799"/>
    <w:rsid w:val="00837028"/>
    <w:rsid w:val="00837131"/>
    <w:rsid w:val="00843073"/>
    <w:rsid w:val="00845F57"/>
    <w:rsid w:val="008521E0"/>
    <w:rsid w:val="008525B0"/>
    <w:rsid w:val="008641DA"/>
    <w:rsid w:val="00867CBC"/>
    <w:rsid w:val="00870F9C"/>
    <w:rsid w:val="00876C30"/>
    <w:rsid w:val="00877017"/>
    <w:rsid w:val="008773C0"/>
    <w:rsid w:val="00880364"/>
    <w:rsid w:val="008866C0"/>
    <w:rsid w:val="00886C4C"/>
    <w:rsid w:val="0088711C"/>
    <w:rsid w:val="00890D07"/>
    <w:rsid w:val="00892ECF"/>
    <w:rsid w:val="00892F06"/>
    <w:rsid w:val="00894285"/>
    <w:rsid w:val="008A40AE"/>
    <w:rsid w:val="008A4E19"/>
    <w:rsid w:val="008A67C5"/>
    <w:rsid w:val="008B1CEB"/>
    <w:rsid w:val="008B22E1"/>
    <w:rsid w:val="008B3C78"/>
    <w:rsid w:val="008B4AE9"/>
    <w:rsid w:val="008C30AD"/>
    <w:rsid w:val="008D068E"/>
    <w:rsid w:val="008D0F7A"/>
    <w:rsid w:val="008D63BE"/>
    <w:rsid w:val="008E0CFF"/>
    <w:rsid w:val="008E5D6B"/>
    <w:rsid w:val="008E689B"/>
    <w:rsid w:val="008E76F0"/>
    <w:rsid w:val="008F15FE"/>
    <w:rsid w:val="008F2A94"/>
    <w:rsid w:val="008F2C9A"/>
    <w:rsid w:val="008F5187"/>
    <w:rsid w:val="008F709C"/>
    <w:rsid w:val="0090312B"/>
    <w:rsid w:val="00904961"/>
    <w:rsid w:val="0091736D"/>
    <w:rsid w:val="00931001"/>
    <w:rsid w:val="00931863"/>
    <w:rsid w:val="00933524"/>
    <w:rsid w:val="0094278D"/>
    <w:rsid w:val="0095308A"/>
    <w:rsid w:val="00955AEE"/>
    <w:rsid w:val="00956F14"/>
    <w:rsid w:val="009620FD"/>
    <w:rsid w:val="0096247A"/>
    <w:rsid w:val="00965F4B"/>
    <w:rsid w:val="00970F8A"/>
    <w:rsid w:val="00971FB5"/>
    <w:rsid w:val="00972D2A"/>
    <w:rsid w:val="00975CC5"/>
    <w:rsid w:val="00976328"/>
    <w:rsid w:val="00976B4E"/>
    <w:rsid w:val="00984458"/>
    <w:rsid w:val="00985283"/>
    <w:rsid w:val="00987322"/>
    <w:rsid w:val="009A0F3B"/>
    <w:rsid w:val="009A0F65"/>
    <w:rsid w:val="009A72C7"/>
    <w:rsid w:val="009A7D3A"/>
    <w:rsid w:val="009B04FD"/>
    <w:rsid w:val="009B0897"/>
    <w:rsid w:val="009B4DCC"/>
    <w:rsid w:val="009C7BE1"/>
    <w:rsid w:val="009D0852"/>
    <w:rsid w:val="009D1FBF"/>
    <w:rsid w:val="009E399C"/>
    <w:rsid w:val="009E43C1"/>
    <w:rsid w:val="009E7E95"/>
    <w:rsid w:val="009F116F"/>
    <w:rsid w:val="009F329E"/>
    <w:rsid w:val="009F7ED3"/>
    <w:rsid w:val="00A02E89"/>
    <w:rsid w:val="00A03607"/>
    <w:rsid w:val="00A041CA"/>
    <w:rsid w:val="00A047FF"/>
    <w:rsid w:val="00A04FEF"/>
    <w:rsid w:val="00A07639"/>
    <w:rsid w:val="00A122CD"/>
    <w:rsid w:val="00A12A32"/>
    <w:rsid w:val="00A14248"/>
    <w:rsid w:val="00A14947"/>
    <w:rsid w:val="00A23DC5"/>
    <w:rsid w:val="00A34028"/>
    <w:rsid w:val="00A35568"/>
    <w:rsid w:val="00A37056"/>
    <w:rsid w:val="00A4358F"/>
    <w:rsid w:val="00A46F67"/>
    <w:rsid w:val="00A54AA1"/>
    <w:rsid w:val="00A54BD6"/>
    <w:rsid w:val="00A568FF"/>
    <w:rsid w:val="00A61496"/>
    <w:rsid w:val="00A61833"/>
    <w:rsid w:val="00A624C6"/>
    <w:rsid w:val="00A63CEC"/>
    <w:rsid w:val="00A7031E"/>
    <w:rsid w:val="00A70CA9"/>
    <w:rsid w:val="00A728B1"/>
    <w:rsid w:val="00A763DE"/>
    <w:rsid w:val="00A803D6"/>
    <w:rsid w:val="00A81282"/>
    <w:rsid w:val="00A83AD0"/>
    <w:rsid w:val="00A8713F"/>
    <w:rsid w:val="00A91167"/>
    <w:rsid w:val="00A9171C"/>
    <w:rsid w:val="00A92FFD"/>
    <w:rsid w:val="00A95975"/>
    <w:rsid w:val="00A9708D"/>
    <w:rsid w:val="00A9783D"/>
    <w:rsid w:val="00AA2C17"/>
    <w:rsid w:val="00AA3DA8"/>
    <w:rsid w:val="00AA4172"/>
    <w:rsid w:val="00AA6FA5"/>
    <w:rsid w:val="00AB1914"/>
    <w:rsid w:val="00AB5330"/>
    <w:rsid w:val="00AB7747"/>
    <w:rsid w:val="00AC2532"/>
    <w:rsid w:val="00AD1507"/>
    <w:rsid w:val="00AD5A70"/>
    <w:rsid w:val="00AD738B"/>
    <w:rsid w:val="00AE1BF4"/>
    <w:rsid w:val="00AE5D97"/>
    <w:rsid w:val="00AE6794"/>
    <w:rsid w:val="00B01110"/>
    <w:rsid w:val="00B02262"/>
    <w:rsid w:val="00B03CEC"/>
    <w:rsid w:val="00B1209F"/>
    <w:rsid w:val="00B12AD0"/>
    <w:rsid w:val="00B24F30"/>
    <w:rsid w:val="00B27D05"/>
    <w:rsid w:val="00B31ABF"/>
    <w:rsid w:val="00B32FA2"/>
    <w:rsid w:val="00B335AE"/>
    <w:rsid w:val="00B37CE1"/>
    <w:rsid w:val="00B40ACF"/>
    <w:rsid w:val="00B46BAA"/>
    <w:rsid w:val="00B50B5F"/>
    <w:rsid w:val="00B54128"/>
    <w:rsid w:val="00B55826"/>
    <w:rsid w:val="00B60426"/>
    <w:rsid w:val="00B622DD"/>
    <w:rsid w:val="00B63522"/>
    <w:rsid w:val="00B7467F"/>
    <w:rsid w:val="00B76F1D"/>
    <w:rsid w:val="00B81B76"/>
    <w:rsid w:val="00B8664C"/>
    <w:rsid w:val="00B92016"/>
    <w:rsid w:val="00B92A19"/>
    <w:rsid w:val="00B9544C"/>
    <w:rsid w:val="00BA29E9"/>
    <w:rsid w:val="00BB3618"/>
    <w:rsid w:val="00BB6830"/>
    <w:rsid w:val="00BC04DD"/>
    <w:rsid w:val="00BC0C9E"/>
    <w:rsid w:val="00BC32DC"/>
    <w:rsid w:val="00BD169E"/>
    <w:rsid w:val="00BD1B51"/>
    <w:rsid w:val="00BD2228"/>
    <w:rsid w:val="00BD47F6"/>
    <w:rsid w:val="00BE312D"/>
    <w:rsid w:val="00BE3FCA"/>
    <w:rsid w:val="00BE52F8"/>
    <w:rsid w:val="00C027AD"/>
    <w:rsid w:val="00C05719"/>
    <w:rsid w:val="00C10578"/>
    <w:rsid w:val="00C12D15"/>
    <w:rsid w:val="00C17D62"/>
    <w:rsid w:val="00C21FDC"/>
    <w:rsid w:val="00C24EE7"/>
    <w:rsid w:val="00C2596A"/>
    <w:rsid w:val="00C271BE"/>
    <w:rsid w:val="00C27425"/>
    <w:rsid w:val="00C328FE"/>
    <w:rsid w:val="00C33A05"/>
    <w:rsid w:val="00C42500"/>
    <w:rsid w:val="00C4409D"/>
    <w:rsid w:val="00C455BE"/>
    <w:rsid w:val="00C51E5F"/>
    <w:rsid w:val="00C52CE0"/>
    <w:rsid w:val="00C61E4B"/>
    <w:rsid w:val="00C62E3A"/>
    <w:rsid w:val="00C64503"/>
    <w:rsid w:val="00C64A1F"/>
    <w:rsid w:val="00C64BFF"/>
    <w:rsid w:val="00C763C9"/>
    <w:rsid w:val="00C80057"/>
    <w:rsid w:val="00C82C79"/>
    <w:rsid w:val="00C84753"/>
    <w:rsid w:val="00C91611"/>
    <w:rsid w:val="00C9221F"/>
    <w:rsid w:val="00CA3585"/>
    <w:rsid w:val="00CA3D5A"/>
    <w:rsid w:val="00CA4C7C"/>
    <w:rsid w:val="00CB0183"/>
    <w:rsid w:val="00CB1EA3"/>
    <w:rsid w:val="00CB552C"/>
    <w:rsid w:val="00CB6A9E"/>
    <w:rsid w:val="00CB7C76"/>
    <w:rsid w:val="00CC6181"/>
    <w:rsid w:val="00CD097C"/>
    <w:rsid w:val="00CD2BCD"/>
    <w:rsid w:val="00CD36AA"/>
    <w:rsid w:val="00CD3791"/>
    <w:rsid w:val="00CD65B0"/>
    <w:rsid w:val="00CE02CD"/>
    <w:rsid w:val="00CE10E9"/>
    <w:rsid w:val="00D0072E"/>
    <w:rsid w:val="00D151C4"/>
    <w:rsid w:val="00D15727"/>
    <w:rsid w:val="00D16332"/>
    <w:rsid w:val="00D24972"/>
    <w:rsid w:val="00D2515E"/>
    <w:rsid w:val="00D308ED"/>
    <w:rsid w:val="00D56178"/>
    <w:rsid w:val="00D56CF0"/>
    <w:rsid w:val="00D56F5C"/>
    <w:rsid w:val="00D704B1"/>
    <w:rsid w:val="00D70B63"/>
    <w:rsid w:val="00D72B92"/>
    <w:rsid w:val="00D72ED4"/>
    <w:rsid w:val="00D73F61"/>
    <w:rsid w:val="00D754C0"/>
    <w:rsid w:val="00D776A2"/>
    <w:rsid w:val="00D801C4"/>
    <w:rsid w:val="00D8292E"/>
    <w:rsid w:val="00D87188"/>
    <w:rsid w:val="00D90093"/>
    <w:rsid w:val="00D90836"/>
    <w:rsid w:val="00D95896"/>
    <w:rsid w:val="00D95CC6"/>
    <w:rsid w:val="00DA212F"/>
    <w:rsid w:val="00DA2DA3"/>
    <w:rsid w:val="00DA6615"/>
    <w:rsid w:val="00DA76AE"/>
    <w:rsid w:val="00DB04C5"/>
    <w:rsid w:val="00DB181E"/>
    <w:rsid w:val="00DB1C7A"/>
    <w:rsid w:val="00DB2983"/>
    <w:rsid w:val="00DB343D"/>
    <w:rsid w:val="00DB5579"/>
    <w:rsid w:val="00DB5CFE"/>
    <w:rsid w:val="00DC72A6"/>
    <w:rsid w:val="00DD2113"/>
    <w:rsid w:val="00DD265E"/>
    <w:rsid w:val="00DE2330"/>
    <w:rsid w:val="00DF1930"/>
    <w:rsid w:val="00DF514A"/>
    <w:rsid w:val="00E0358D"/>
    <w:rsid w:val="00E06327"/>
    <w:rsid w:val="00E0684C"/>
    <w:rsid w:val="00E071F6"/>
    <w:rsid w:val="00E15041"/>
    <w:rsid w:val="00E2064B"/>
    <w:rsid w:val="00E25239"/>
    <w:rsid w:val="00E265B1"/>
    <w:rsid w:val="00E275B0"/>
    <w:rsid w:val="00E412D0"/>
    <w:rsid w:val="00E44E1D"/>
    <w:rsid w:val="00E47CDB"/>
    <w:rsid w:val="00E555BF"/>
    <w:rsid w:val="00E566BC"/>
    <w:rsid w:val="00E60982"/>
    <w:rsid w:val="00E60C8D"/>
    <w:rsid w:val="00E6162F"/>
    <w:rsid w:val="00E6311B"/>
    <w:rsid w:val="00E65D97"/>
    <w:rsid w:val="00E67EFD"/>
    <w:rsid w:val="00E702DC"/>
    <w:rsid w:val="00E71FFB"/>
    <w:rsid w:val="00E76D1D"/>
    <w:rsid w:val="00E806F8"/>
    <w:rsid w:val="00E8356F"/>
    <w:rsid w:val="00E85EEB"/>
    <w:rsid w:val="00E87752"/>
    <w:rsid w:val="00E8793B"/>
    <w:rsid w:val="00E90F81"/>
    <w:rsid w:val="00E91A6D"/>
    <w:rsid w:val="00E9242D"/>
    <w:rsid w:val="00E93DD9"/>
    <w:rsid w:val="00EA7C1B"/>
    <w:rsid w:val="00EB041C"/>
    <w:rsid w:val="00EB1B21"/>
    <w:rsid w:val="00EC5874"/>
    <w:rsid w:val="00ED192D"/>
    <w:rsid w:val="00ED30B4"/>
    <w:rsid w:val="00ED31F5"/>
    <w:rsid w:val="00ED75CB"/>
    <w:rsid w:val="00EF17AE"/>
    <w:rsid w:val="00EF2759"/>
    <w:rsid w:val="00EF45EB"/>
    <w:rsid w:val="00EF5099"/>
    <w:rsid w:val="00EF5E33"/>
    <w:rsid w:val="00F00075"/>
    <w:rsid w:val="00F07822"/>
    <w:rsid w:val="00F1191B"/>
    <w:rsid w:val="00F15C95"/>
    <w:rsid w:val="00F22985"/>
    <w:rsid w:val="00F241AB"/>
    <w:rsid w:val="00F31382"/>
    <w:rsid w:val="00F35829"/>
    <w:rsid w:val="00F42868"/>
    <w:rsid w:val="00F465A7"/>
    <w:rsid w:val="00F50B7C"/>
    <w:rsid w:val="00F5202D"/>
    <w:rsid w:val="00F52CF6"/>
    <w:rsid w:val="00F54496"/>
    <w:rsid w:val="00F61097"/>
    <w:rsid w:val="00F74345"/>
    <w:rsid w:val="00F74441"/>
    <w:rsid w:val="00F77F30"/>
    <w:rsid w:val="00F82589"/>
    <w:rsid w:val="00F82B19"/>
    <w:rsid w:val="00F84821"/>
    <w:rsid w:val="00F90AA7"/>
    <w:rsid w:val="00F9212D"/>
    <w:rsid w:val="00FA301A"/>
    <w:rsid w:val="00FA406A"/>
    <w:rsid w:val="00FA5CB6"/>
    <w:rsid w:val="00FC02BF"/>
    <w:rsid w:val="00FC66AC"/>
    <w:rsid w:val="00FD18F4"/>
    <w:rsid w:val="00FD29CB"/>
    <w:rsid w:val="00FD74B4"/>
    <w:rsid w:val="00FE4037"/>
    <w:rsid w:val="00FF6FCE"/>
    <w:rsid w:val="00FF7518"/>
    <w:rsid w:val="00FF7FD8"/>
    <w:rsid w:val="010655B4"/>
    <w:rsid w:val="01117A2E"/>
    <w:rsid w:val="01125CD1"/>
    <w:rsid w:val="01141165"/>
    <w:rsid w:val="01182D83"/>
    <w:rsid w:val="011B70EF"/>
    <w:rsid w:val="01282E62"/>
    <w:rsid w:val="01343F7A"/>
    <w:rsid w:val="013C06BC"/>
    <w:rsid w:val="01594E0D"/>
    <w:rsid w:val="015D2D76"/>
    <w:rsid w:val="0160084E"/>
    <w:rsid w:val="016275FF"/>
    <w:rsid w:val="016E2F6B"/>
    <w:rsid w:val="017B19FD"/>
    <w:rsid w:val="018502B5"/>
    <w:rsid w:val="01A56261"/>
    <w:rsid w:val="01B219E4"/>
    <w:rsid w:val="01B546F4"/>
    <w:rsid w:val="01C761D7"/>
    <w:rsid w:val="01E868AC"/>
    <w:rsid w:val="01EA7F33"/>
    <w:rsid w:val="01EE102A"/>
    <w:rsid w:val="020E2058"/>
    <w:rsid w:val="02145195"/>
    <w:rsid w:val="021E5B08"/>
    <w:rsid w:val="02330306"/>
    <w:rsid w:val="023E1BBB"/>
    <w:rsid w:val="023F66B6"/>
    <w:rsid w:val="02427523"/>
    <w:rsid w:val="0254783F"/>
    <w:rsid w:val="025A3DF0"/>
    <w:rsid w:val="025B139E"/>
    <w:rsid w:val="025F28B4"/>
    <w:rsid w:val="026659F0"/>
    <w:rsid w:val="02724750"/>
    <w:rsid w:val="027A76EE"/>
    <w:rsid w:val="027D417C"/>
    <w:rsid w:val="027D71DE"/>
    <w:rsid w:val="028209BC"/>
    <w:rsid w:val="02832A46"/>
    <w:rsid w:val="02935C80"/>
    <w:rsid w:val="029A5730"/>
    <w:rsid w:val="029E56E5"/>
    <w:rsid w:val="02A409F4"/>
    <w:rsid w:val="02BA3F8E"/>
    <w:rsid w:val="02BB0B53"/>
    <w:rsid w:val="02CC07EC"/>
    <w:rsid w:val="02D45AC0"/>
    <w:rsid w:val="02EE3D4A"/>
    <w:rsid w:val="02F96EBA"/>
    <w:rsid w:val="030446C9"/>
    <w:rsid w:val="03074E87"/>
    <w:rsid w:val="03162354"/>
    <w:rsid w:val="031C1D3B"/>
    <w:rsid w:val="032B053F"/>
    <w:rsid w:val="03357311"/>
    <w:rsid w:val="03390291"/>
    <w:rsid w:val="033C53F5"/>
    <w:rsid w:val="0341645D"/>
    <w:rsid w:val="03425F66"/>
    <w:rsid w:val="03483348"/>
    <w:rsid w:val="035851E6"/>
    <w:rsid w:val="035937A7"/>
    <w:rsid w:val="036761A6"/>
    <w:rsid w:val="036E68CF"/>
    <w:rsid w:val="037164F2"/>
    <w:rsid w:val="038F6C1B"/>
    <w:rsid w:val="03B92498"/>
    <w:rsid w:val="03BF5F1E"/>
    <w:rsid w:val="03D40D58"/>
    <w:rsid w:val="03DB63D0"/>
    <w:rsid w:val="03E61956"/>
    <w:rsid w:val="04122DBB"/>
    <w:rsid w:val="04212517"/>
    <w:rsid w:val="04237E1A"/>
    <w:rsid w:val="0437216C"/>
    <w:rsid w:val="04374CED"/>
    <w:rsid w:val="043B4C5B"/>
    <w:rsid w:val="043E400A"/>
    <w:rsid w:val="04545CFE"/>
    <w:rsid w:val="047D2C5F"/>
    <w:rsid w:val="04916268"/>
    <w:rsid w:val="04937564"/>
    <w:rsid w:val="049B3891"/>
    <w:rsid w:val="04A43DCF"/>
    <w:rsid w:val="04A722F0"/>
    <w:rsid w:val="04A94664"/>
    <w:rsid w:val="04BC3FEE"/>
    <w:rsid w:val="04BD7D66"/>
    <w:rsid w:val="04C01D46"/>
    <w:rsid w:val="04C2712A"/>
    <w:rsid w:val="04C82992"/>
    <w:rsid w:val="04CC6D7E"/>
    <w:rsid w:val="04DA0918"/>
    <w:rsid w:val="04E279FE"/>
    <w:rsid w:val="04EC76BF"/>
    <w:rsid w:val="04F24667"/>
    <w:rsid w:val="04FF2074"/>
    <w:rsid w:val="050140F6"/>
    <w:rsid w:val="05015EA4"/>
    <w:rsid w:val="05017C52"/>
    <w:rsid w:val="050665D7"/>
    <w:rsid w:val="0517277D"/>
    <w:rsid w:val="0519049B"/>
    <w:rsid w:val="05193776"/>
    <w:rsid w:val="05241B92"/>
    <w:rsid w:val="053C0C8A"/>
    <w:rsid w:val="0540286E"/>
    <w:rsid w:val="05504736"/>
    <w:rsid w:val="055F76CD"/>
    <w:rsid w:val="05707565"/>
    <w:rsid w:val="0571302A"/>
    <w:rsid w:val="05725B7A"/>
    <w:rsid w:val="057378BD"/>
    <w:rsid w:val="05742AC8"/>
    <w:rsid w:val="057A17B3"/>
    <w:rsid w:val="05831073"/>
    <w:rsid w:val="05935602"/>
    <w:rsid w:val="05946D18"/>
    <w:rsid w:val="059E316F"/>
    <w:rsid w:val="05A827C4"/>
    <w:rsid w:val="05AB5D2A"/>
    <w:rsid w:val="05BB5375"/>
    <w:rsid w:val="05C23886"/>
    <w:rsid w:val="05CC4F5B"/>
    <w:rsid w:val="05D37841"/>
    <w:rsid w:val="05D67331"/>
    <w:rsid w:val="05D9297D"/>
    <w:rsid w:val="05ED1BE1"/>
    <w:rsid w:val="06087555"/>
    <w:rsid w:val="061031C2"/>
    <w:rsid w:val="061B4D44"/>
    <w:rsid w:val="06334D01"/>
    <w:rsid w:val="06352F05"/>
    <w:rsid w:val="0636392C"/>
    <w:rsid w:val="063B3C12"/>
    <w:rsid w:val="063E7D85"/>
    <w:rsid w:val="065060E0"/>
    <w:rsid w:val="06594078"/>
    <w:rsid w:val="0661309E"/>
    <w:rsid w:val="067E7F3C"/>
    <w:rsid w:val="06835C62"/>
    <w:rsid w:val="068943A3"/>
    <w:rsid w:val="068C4F74"/>
    <w:rsid w:val="06955180"/>
    <w:rsid w:val="069B7006"/>
    <w:rsid w:val="06A76277"/>
    <w:rsid w:val="06B02B17"/>
    <w:rsid w:val="06BF6F6E"/>
    <w:rsid w:val="06D43FE6"/>
    <w:rsid w:val="06E15F8D"/>
    <w:rsid w:val="06E64E63"/>
    <w:rsid w:val="070875E0"/>
    <w:rsid w:val="07135617"/>
    <w:rsid w:val="07205AF6"/>
    <w:rsid w:val="0724772D"/>
    <w:rsid w:val="07293586"/>
    <w:rsid w:val="07295285"/>
    <w:rsid w:val="075023F7"/>
    <w:rsid w:val="075065BC"/>
    <w:rsid w:val="075449B1"/>
    <w:rsid w:val="075C3866"/>
    <w:rsid w:val="075E5252"/>
    <w:rsid w:val="076269AA"/>
    <w:rsid w:val="076F3599"/>
    <w:rsid w:val="077134D6"/>
    <w:rsid w:val="077706A0"/>
    <w:rsid w:val="07770C56"/>
    <w:rsid w:val="078C60EE"/>
    <w:rsid w:val="07AC42C4"/>
    <w:rsid w:val="07B331ED"/>
    <w:rsid w:val="07BD09CF"/>
    <w:rsid w:val="07BD18EE"/>
    <w:rsid w:val="07C62FAE"/>
    <w:rsid w:val="07C704DC"/>
    <w:rsid w:val="07C82CA9"/>
    <w:rsid w:val="07EF161D"/>
    <w:rsid w:val="07F019E0"/>
    <w:rsid w:val="07F224A0"/>
    <w:rsid w:val="07F41CF0"/>
    <w:rsid w:val="07F65A68"/>
    <w:rsid w:val="07F94451"/>
    <w:rsid w:val="07FF4583"/>
    <w:rsid w:val="081F6693"/>
    <w:rsid w:val="08236132"/>
    <w:rsid w:val="08283748"/>
    <w:rsid w:val="082C4FE6"/>
    <w:rsid w:val="082E5202"/>
    <w:rsid w:val="0831785C"/>
    <w:rsid w:val="08420CAE"/>
    <w:rsid w:val="08461802"/>
    <w:rsid w:val="084E7652"/>
    <w:rsid w:val="08505D46"/>
    <w:rsid w:val="08560DC4"/>
    <w:rsid w:val="085D2BC9"/>
    <w:rsid w:val="086271C5"/>
    <w:rsid w:val="086F32A1"/>
    <w:rsid w:val="08730E67"/>
    <w:rsid w:val="087D19AF"/>
    <w:rsid w:val="087D1CE6"/>
    <w:rsid w:val="08850B9A"/>
    <w:rsid w:val="088968DD"/>
    <w:rsid w:val="08903AA2"/>
    <w:rsid w:val="08A75B88"/>
    <w:rsid w:val="08BA0844"/>
    <w:rsid w:val="08C03E9D"/>
    <w:rsid w:val="08D43BE6"/>
    <w:rsid w:val="08DB4B10"/>
    <w:rsid w:val="08E6152E"/>
    <w:rsid w:val="08F024B8"/>
    <w:rsid w:val="08F24482"/>
    <w:rsid w:val="08F875BE"/>
    <w:rsid w:val="090221EB"/>
    <w:rsid w:val="090D5670"/>
    <w:rsid w:val="090E6DE2"/>
    <w:rsid w:val="092217DD"/>
    <w:rsid w:val="092824D5"/>
    <w:rsid w:val="0932487E"/>
    <w:rsid w:val="09353BEE"/>
    <w:rsid w:val="09355553"/>
    <w:rsid w:val="093A7294"/>
    <w:rsid w:val="094259B8"/>
    <w:rsid w:val="094E5251"/>
    <w:rsid w:val="095A0165"/>
    <w:rsid w:val="095C7768"/>
    <w:rsid w:val="09615163"/>
    <w:rsid w:val="097C01EF"/>
    <w:rsid w:val="09812927"/>
    <w:rsid w:val="098621D8"/>
    <w:rsid w:val="099F7A3A"/>
    <w:rsid w:val="09AD73B4"/>
    <w:rsid w:val="09BA21FC"/>
    <w:rsid w:val="09C875A3"/>
    <w:rsid w:val="09CE2F24"/>
    <w:rsid w:val="09CE6ECF"/>
    <w:rsid w:val="09D973F0"/>
    <w:rsid w:val="09DC2A3C"/>
    <w:rsid w:val="09DE3D12"/>
    <w:rsid w:val="09E518F1"/>
    <w:rsid w:val="09EA486B"/>
    <w:rsid w:val="09EB41B8"/>
    <w:rsid w:val="09F61D50"/>
    <w:rsid w:val="09F77EBD"/>
    <w:rsid w:val="09FB2FCF"/>
    <w:rsid w:val="09FE2AA9"/>
    <w:rsid w:val="0A014251"/>
    <w:rsid w:val="0A03621B"/>
    <w:rsid w:val="0A0F696E"/>
    <w:rsid w:val="0A122902"/>
    <w:rsid w:val="0A1645F6"/>
    <w:rsid w:val="0A332BB5"/>
    <w:rsid w:val="0A3710D0"/>
    <w:rsid w:val="0A375624"/>
    <w:rsid w:val="0A3950B2"/>
    <w:rsid w:val="0A3E36F7"/>
    <w:rsid w:val="0A4F1460"/>
    <w:rsid w:val="0A5110DF"/>
    <w:rsid w:val="0A522CFE"/>
    <w:rsid w:val="0A596BB2"/>
    <w:rsid w:val="0A5D164B"/>
    <w:rsid w:val="0A5F2B10"/>
    <w:rsid w:val="0A645BF6"/>
    <w:rsid w:val="0A6842D0"/>
    <w:rsid w:val="0A7D421F"/>
    <w:rsid w:val="0A7F10DD"/>
    <w:rsid w:val="0A845B75"/>
    <w:rsid w:val="0A851326"/>
    <w:rsid w:val="0A8E1F88"/>
    <w:rsid w:val="0A8F2E59"/>
    <w:rsid w:val="0A9A730E"/>
    <w:rsid w:val="0AA74DF8"/>
    <w:rsid w:val="0AA76F6A"/>
    <w:rsid w:val="0ABB6AF5"/>
    <w:rsid w:val="0ABD286D"/>
    <w:rsid w:val="0AC80BB0"/>
    <w:rsid w:val="0AC86D10"/>
    <w:rsid w:val="0AC97464"/>
    <w:rsid w:val="0AE0634C"/>
    <w:rsid w:val="0AE10852"/>
    <w:rsid w:val="0AE95AEB"/>
    <w:rsid w:val="0AE97D0B"/>
    <w:rsid w:val="0AEF0E54"/>
    <w:rsid w:val="0B1D036A"/>
    <w:rsid w:val="0B257EE1"/>
    <w:rsid w:val="0B310B66"/>
    <w:rsid w:val="0B3E6C24"/>
    <w:rsid w:val="0B4821A6"/>
    <w:rsid w:val="0B4D1E43"/>
    <w:rsid w:val="0B5876DA"/>
    <w:rsid w:val="0B725406"/>
    <w:rsid w:val="0B83544C"/>
    <w:rsid w:val="0B925AA8"/>
    <w:rsid w:val="0B9C06D5"/>
    <w:rsid w:val="0B9E59CF"/>
    <w:rsid w:val="0BA17A99"/>
    <w:rsid w:val="0BA625ED"/>
    <w:rsid w:val="0BCF2858"/>
    <w:rsid w:val="0BD27BF6"/>
    <w:rsid w:val="0BE0742F"/>
    <w:rsid w:val="0BFD0215"/>
    <w:rsid w:val="0BFE4EEC"/>
    <w:rsid w:val="0C061656"/>
    <w:rsid w:val="0C0D7353"/>
    <w:rsid w:val="0C1B56E8"/>
    <w:rsid w:val="0C3B6140"/>
    <w:rsid w:val="0C3D3DBA"/>
    <w:rsid w:val="0C491C09"/>
    <w:rsid w:val="0C4A1EDF"/>
    <w:rsid w:val="0C4F2D40"/>
    <w:rsid w:val="0C5745FC"/>
    <w:rsid w:val="0C762FA3"/>
    <w:rsid w:val="0C783C40"/>
    <w:rsid w:val="0C7B02EA"/>
    <w:rsid w:val="0C8440DD"/>
    <w:rsid w:val="0C8E76E8"/>
    <w:rsid w:val="0C90335B"/>
    <w:rsid w:val="0C976DE3"/>
    <w:rsid w:val="0CBA3508"/>
    <w:rsid w:val="0CBC5FF9"/>
    <w:rsid w:val="0CC23BEA"/>
    <w:rsid w:val="0CC836A7"/>
    <w:rsid w:val="0CCA3020"/>
    <w:rsid w:val="0CCB14AF"/>
    <w:rsid w:val="0CD30126"/>
    <w:rsid w:val="0CD65E68"/>
    <w:rsid w:val="0CDE6ACB"/>
    <w:rsid w:val="0CE51C08"/>
    <w:rsid w:val="0CF462EF"/>
    <w:rsid w:val="0CFF5294"/>
    <w:rsid w:val="0D093B48"/>
    <w:rsid w:val="0D1126A4"/>
    <w:rsid w:val="0D2E27CF"/>
    <w:rsid w:val="0D2F7374"/>
    <w:rsid w:val="0D3C216F"/>
    <w:rsid w:val="0D430A63"/>
    <w:rsid w:val="0D474670"/>
    <w:rsid w:val="0D4B4161"/>
    <w:rsid w:val="0D576071"/>
    <w:rsid w:val="0D592FEA"/>
    <w:rsid w:val="0D5F19BA"/>
    <w:rsid w:val="0D732BE9"/>
    <w:rsid w:val="0D7630D1"/>
    <w:rsid w:val="0D7C256C"/>
    <w:rsid w:val="0D7C6A10"/>
    <w:rsid w:val="0D84757B"/>
    <w:rsid w:val="0D887163"/>
    <w:rsid w:val="0D8F281E"/>
    <w:rsid w:val="0D941AFD"/>
    <w:rsid w:val="0D9A6E96"/>
    <w:rsid w:val="0D9F26FE"/>
    <w:rsid w:val="0DA01633"/>
    <w:rsid w:val="0DA10224"/>
    <w:rsid w:val="0DA84B76"/>
    <w:rsid w:val="0DAD2AF3"/>
    <w:rsid w:val="0DAF0B93"/>
    <w:rsid w:val="0DBD77B4"/>
    <w:rsid w:val="0DC353A7"/>
    <w:rsid w:val="0DCB704F"/>
    <w:rsid w:val="0DCE5E6D"/>
    <w:rsid w:val="0DDB0848"/>
    <w:rsid w:val="0DF01283"/>
    <w:rsid w:val="0DF5231E"/>
    <w:rsid w:val="0DF626F7"/>
    <w:rsid w:val="0E0662D9"/>
    <w:rsid w:val="0E110D06"/>
    <w:rsid w:val="0E210350"/>
    <w:rsid w:val="0E230C39"/>
    <w:rsid w:val="0E2826F4"/>
    <w:rsid w:val="0E341099"/>
    <w:rsid w:val="0E357561"/>
    <w:rsid w:val="0E484AC7"/>
    <w:rsid w:val="0E4D3F08"/>
    <w:rsid w:val="0E4E307D"/>
    <w:rsid w:val="0E572FD9"/>
    <w:rsid w:val="0E76260F"/>
    <w:rsid w:val="0E76345F"/>
    <w:rsid w:val="0E780BE4"/>
    <w:rsid w:val="0E7B78BC"/>
    <w:rsid w:val="0E7C47EE"/>
    <w:rsid w:val="0E903EA1"/>
    <w:rsid w:val="0E941B37"/>
    <w:rsid w:val="0E990EFC"/>
    <w:rsid w:val="0E9B2892"/>
    <w:rsid w:val="0E9E4764"/>
    <w:rsid w:val="0EA53D44"/>
    <w:rsid w:val="0EA97F9C"/>
    <w:rsid w:val="0EAE0E4B"/>
    <w:rsid w:val="0EAF5B27"/>
    <w:rsid w:val="0EB70A94"/>
    <w:rsid w:val="0EB75826"/>
    <w:rsid w:val="0EBE5AAF"/>
    <w:rsid w:val="0EBE6BB4"/>
    <w:rsid w:val="0EC20452"/>
    <w:rsid w:val="0EC56195"/>
    <w:rsid w:val="0ED105E5"/>
    <w:rsid w:val="0ED82D50"/>
    <w:rsid w:val="0EE52967"/>
    <w:rsid w:val="0EEE23FF"/>
    <w:rsid w:val="0EF05B84"/>
    <w:rsid w:val="0EF64264"/>
    <w:rsid w:val="0EFF202B"/>
    <w:rsid w:val="0F026AA1"/>
    <w:rsid w:val="0F13775A"/>
    <w:rsid w:val="0F1B7B63"/>
    <w:rsid w:val="0F296723"/>
    <w:rsid w:val="0F360E40"/>
    <w:rsid w:val="0F3D6797"/>
    <w:rsid w:val="0F474A13"/>
    <w:rsid w:val="0F482CB1"/>
    <w:rsid w:val="0F4C5085"/>
    <w:rsid w:val="0F59485F"/>
    <w:rsid w:val="0F621047"/>
    <w:rsid w:val="0F660BD0"/>
    <w:rsid w:val="0F675C6B"/>
    <w:rsid w:val="0F7116F7"/>
    <w:rsid w:val="0F726B08"/>
    <w:rsid w:val="0F74791C"/>
    <w:rsid w:val="0F7A7207"/>
    <w:rsid w:val="0F7F6343"/>
    <w:rsid w:val="0F9A112B"/>
    <w:rsid w:val="0F9E2693"/>
    <w:rsid w:val="0FA344B6"/>
    <w:rsid w:val="0FA61B22"/>
    <w:rsid w:val="0FA67D74"/>
    <w:rsid w:val="0FB23A87"/>
    <w:rsid w:val="0FB32491"/>
    <w:rsid w:val="0FB35FED"/>
    <w:rsid w:val="0FBE2D92"/>
    <w:rsid w:val="0FDA2AD7"/>
    <w:rsid w:val="0FDA3B91"/>
    <w:rsid w:val="0FDA7A1E"/>
    <w:rsid w:val="0FEA29B6"/>
    <w:rsid w:val="0FF17728"/>
    <w:rsid w:val="10066B20"/>
    <w:rsid w:val="101A5508"/>
    <w:rsid w:val="101A606C"/>
    <w:rsid w:val="10223601"/>
    <w:rsid w:val="10284BD1"/>
    <w:rsid w:val="103262C0"/>
    <w:rsid w:val="103D42AB"/>
    <w:rsid w:val="104A6951"/>
    <w:rsid w:val="104F3F68"/>
    <w:rsid w:val="105A46BB"/>
    <w:rsid w:val="1065378B"/>
    <w:rsid w:val="106D2842"/>
    <w:rsid w:val="106D2F64"/>
    <w:rsid w:val="108051AF"/>
    <w:rsid w:val="10813BF5"/>
    <w:rsid w:val="10881228"/>
    <w:rsid w:val="109C4251"/>
    <w:rsid w:val="109F4B76"/>
    <w:rsid w:val="10B03E1D"/>
    <w:rsid w:val="10B63710"/>
    <w:rsid w:val="10C61D50"/>
    <w:rsid w:val="10C761F4"/>
    <w:rsid w:val="10DB7AAA"/>
    <w:rsid w:val="10ED2D2B"/>
    <w:rsid w:val="10F07642"/>
    <w:rsid w:val="10FC1F89"/>
    <w:rsid w:val="11056D1C"/>
    <w:rsid w:val="110E3074"/>
    <w:rsid w:val="111C2F7A"/>
    <w:rsid w:val="11201386"/>
    <w:rsid w:val="11270A41"/>
    <w:rsid w:val="113013DE"/>
    <w:rsid w:val="11371B10"/>
    <w:rsid w:val="11412368"/>
    <w:rsid w:val="11415682"/>
    <w:rsid w:val="11507089"/>
    <w:rsid w:val="11651569"/>
    <w:rsid w:val="11762430"/>
    <w:rsid w:val="117A583C"/>
    <w:rsid w:val="117C427D"/>
    <w:rsid w:val="117E43EC"/>
    <w:rsid w:val="118038D2"/>
    <w:rsid w:val="118E1F9E"/>
    <w:rsid w:val="118E455E"/>
    <w:rsid w:val="11943BFC"/>
    <w:rsid w:val="119F2D9F"/>
    <w:rsid w:val="11AB78C4"/>
    <w:rsid w:val="11AF644E"/>
    <w:rsid w:val="11B30526"/>
    <w:rsid w:val="11B41DE7"/>
    <w:rsid w:val="11B76268"/>
    <w:rsid w:val="11BB562D"/>
    <w:rsid w:val="11BB6C8F"/>
    <w:rsid w:val="11C20769"/>
    <w:rsid w:val="11C236B1"/>
    <w:rsid w:val="11C40985"/>
    <w:rsid w:val="11D31003"/>
    <w:rsid w:val="11D558ED"/>
    <w:rsid w:val="11D56A9E"/>
    <w:rsid w:val="11DF4C48"/>
    <w:rsid w:val="11F301AD"/>
    <w:rsid w:val="12054F30"/>
    <w:rsid w:val="12186DC8"/>
    <w:rsid w:val="121D5726"/>
    <w:rsid w:val="121E1C30"/>
    <w:rsid w:val="122B06C2"/>
    <w:rsid w:val="122D652B"/>
    <w:rsid w:val="122E1FE0"/>
    <w:rsid w:val="12373720"/>
    <w:rsid w:val="12485112"/>
    <w:rsid w:val="124F311B"/>
    <w:rsid w:val="1253482C"/>
    <w:rsid w:val="12596D23"/>
    <w:rsid w:val="125E4936"/>
    <w:rsid w:val="126F2CF0"/>
    <w:rsid w:val="12704669"/>
    <w:rsid w:val="12753A2E"/>
    <w:rsid w:val="127669D8"/>
    <w:rsid w:val="128960D9"/>
    <w:rsid w:val="12900868"/>
    <w:rsid w:val="12967202"/>
    <w:rsid w:val="129C545E"/>
    <w:rsid w:val="12A85BB1"/>
    <w:rsid w:val="12B66520"/>
    <w:rsid w:val="12B76DBF"/>
    <w:rsid w:val="12D05151"/>
    <w:rsid w:val="12DD290D"/>
    <w:rsid w:val="12E27315"/>
    <w:rsid w:val="12E34E3B"/>
    <w:rsid w:val="12E43A4D"/>
    <w:rsid w:val="12F157AA"/>
    <w:rsid w:val="12F33DA3"/>
    <w:rsid w:val="13010F6C"/>
    <w:rsid w:val="1310539F"/>
    <w:rsid w:val="13182D37"/>
    <w:rsid w:val="13370CE3"/>
    <w:rsid w:val="134753CA"/>
    <w:rsid w:val="13534F61"/>
    <w:rsid w:val="13567A16"/>
    <w:rsid w:val="13577316"/>
    <w:rsid w:val="135A1CB5"/>
    <w:rsid w:val="13653AA2"/>
    <w:rsid w:val="13692DB7"/>
    <w:rsid w:val="137A57A0"/>
    <w:rsid w:val="13817332"/>
    <w:rsid w:val="13877EBC"/>
    <w:rsid w:val="13951726"/>
    <w:rsid w:val="13A24CF6"/>
    <w:rsid w:val="13B718D3"/>
    <w:rsid w:val="13CB305B"/>
    <w:rsid w:val="13E3118F"/>
    <w:rsid w:val="13E66D5F"/>
    <w:rsid w:val="13E76BAD"/>
    <w:rsid w:val="13F35552"/>
    <w:rsid w:val="140337C3"/>
    <w:rsid w:val="140C549C"/>
    <w:rsid w:val="140F5394"/>
    <w:rsid w:val="141334FE"/>
    <w:rsid w:val="141D7E52"/>
    <w:rsid w:val="14203546"/>
    <w:rsid w:val="1427091D"/>
    <w:rsid w:val="142B4CEC"/>
    <w:rsid w:val="14360BF1"/>
    <w:rsid w:val="14396509"/>
    <w:rsid w:val="143E60BA"/>
    <w:rsid w:val="1447165C"/>
    <w:rsid w:val="14535FF1"/>
    <w:rsid w:val="14537D9F"/>
    <w:rsid w:val="145679DB"/>
    <w:rsid w:val="145A0231"/>
    <w:rsid w:val="14636F1F"/>
    <w:rsid w:val="146966FD"/>
    <w:rsid w:val="146B4CBC"/>
    <w:rsid w:val="149012D3"/>
    <w:rsid w:val="149C1117"/>
    <w:rsid w:val="149D4B0E"/>
    <w:rsid w:val="14A14FAE"/>
    <w:rsid w:val="14A576B6"/>
    <w:rsid w:val="14A60848"/>
    <w:rsid w:val="14A641E3"/>
    <w:rsid w:val="14AB3C90"/>
    <w:rsid w:val="14AE3227"/>
    <w:rsid w:val="14B22D17"/>
    <w:rsid w:val="14B4083D"/>
    <w:rsid w:val="14B50909"/>
    <w:rsid w:val="14B941EF"/>
    <w:rsid w:val="14BE16BC"/>
    <w:rsid w:val="14C64A14"/>
    <w:rsid w:val="14D06481"/>
    <w:rsid w:val="14D309AA"/>
    <w:rsid w:val="14D879D7"/>
    <w:rsid w:val="14EA775D"/>
    <w:rsid w:val="14ED6099"/>
    <w:rsid w:val="14EF3F6B"/>
    <w:rsid w:val="14F02C42"/>
    <w:rsid w:val="14F23F0B"/>
    <w:rsid w:val="14F441AF"/>
    <w:rsid w:val="14F450DE"/>
    <w:rsid w:val="14F92B00"/>
    <w:rsid w:val="15041865"/>
    <w:rsid w:val="150A076A"/>
    <w:rsid w:val="15115235"/>
    <w:rsid w:val="152214A9"/>
    <w:rsid w:val="152A4FA3"/>
    <w:rsid w:val="152E5BA9"/>
    <w:rsid w:val="152F6116"/>
    <w:rsid w:val="1534372C"/>
    <w:rsid w:val="153656F6"/>
    <w:rsid w:val="153C0833"/>
    <w:rsid w:val="153E2684"/>
    <w:rsid w:val="15415E49"/>
    <w:rsid w:val="15595889"/>
    <w:rsid w:val="1568479D"/>
    <w:rsid w:val="156A222E"/>
    <w:rsid w:val="156C1118"/>
    <w:rsid w:val="156F3976"/>
    <w:rsid w:val="157F21D3"/>
    <w:rsid w:val="157F69D4"/>
    <w:rsid w:val="15802E15"/>
    <w:rsid w:val="15995C85"/>
    <w:rsid w:val="159E6682"/>
    <w:rsid w:val="15A1202C"/>
    <w:rsid w:val="15A308B2"/>
    <w:rsid w:val="15B413A8"/>
    <w:rsid w:val="15BE33FA"/>
    <w:rsid w:val="15DF3300"/>
    <w:rsid w:val="15E92769"/>
    <w:rsid w:val="15ED2807"/>
    <w:rsid w:val="15F44581"/>
    <w:rsid w:val="16094BB9"/>
    <w:rsid w:val="160B6B83"/>
    <w:rsid w:val="16135A37"/>
    <w:rsid w:val="16155F06"/>
    <w:rsid w:val="163D0D06"/>
    <w:rsid w:val="163E52E9"/>
    <w:rsid w:val="1642350C"/>
    <w:rsid w:val="16445C91"/>
    <w:rsid w:val="16510841"/>
    <w:rsid w:val="16585B40"/>
    <w:rsid w:val="166B7621"/>
    <w:rsid w:val="16755E1A"/>
    <w:rsid w:val="167A09B1"/>
    <w:rsid w:val="167C58CA"/>
    <w:rsid w:val="167E1B28"/>
    <w:rsid w:val="16804BD0"/>
    <w:rsid w:val="168177ED"/>
    <w:rsid w:val="168D7598"/>
    <w:rsid w:val="1699418F"/>
    <w:rsid w:val="169F506B"/>
    <w:rsid w:val="16A41B90"/>
    <w:rsid w:val="16AB6B4E"/>
    <w:rsid w:val="16AE6E75"/>
    <w:rsid w:val="16B234A2"/>
    <w:rsid w:val="16BC7E7D"/>
    <w:rsid w:val="16CD73AC"/>
    <w:rsid w:val="16D276A1"/>
    <w:rsid w:val="16D3495A"/>
    <w:rsid w:val="16D451C7"/>
    <w:rsid w:val="16DA6555"/>
    <w:rsid w:val="16E53451"/>
    <w:rsid w:val="16F7653D"/>
    <w:rsid w:val="17081314"/>
    <w:rsid w:val="17170FF0"/>
    <w:rsid w:val="1723056B"/>
    <w:rsid w:val="1725441D"/>
    <w:rsid w:val="1726179A"/>
    <w:rsid w:val="172F1DBC"/>
    <w:rsid w:val="17312619"/>
    <w:rsid w:val="17364C0D"/>
    <w:rsid w:val="1740460A"/>
    <w:rsid w:val="174112BA"/>
    <w:rsid w:val="17485BB5"/>
    <w:rsid w:val="174E29A4"/>
    <w:rsid w:val="17712A16"/>
    <w:rsid w:val="17735226"/>
    <w:rsid w:val="179020CB"/>
    <w:rsid w:val="17976C9D"/>
    <w:rsid w:val="17991A43"/>
    <w:rsid w:val="17B172B6"/>
    <w:rsid w:val="17C05746"/>
    <w:rsid w:val="17CA474A"/>
    <w:rsid w:val="17CC5B9D"/>
    <w:rsid w:val="17CD1C16"/>
    <w:rsid w:val="17D63028"/>
    <w:rsid w:val="17DC2C86"/>
    <w:rsid w:val="17EA1C14"/>
    <w:rsid w:val="17ED1F5A"/>
    <w:rsid w:val="17F94DF6"/>
    <w:rsid w:val="1800023D"/>
    <w:rsid w:val="1804762D"/>
    <w:rsid w:val="180F222F"/>
    <w:rsid w:val="181848BB"/>
    <w:rsid w:val="18194DDC"/>
    <w:rsid w:val="18275922"/>
    <w:rsid w:val="182A0E16"/>
    <w:rsid w:val="1832655F"/>
    <w:rsid w:val="18534811"/>
    <w:rsid w:val="18561C0B"/>
    <w:rsid w:val="185B0C1F"/>
    <w:rsid w:val="185F7B80"/>
    <w:rsid w:val="186D7A69"/>
    <w:rsid w:val="18714C97"/>
    <w:rsid w:val="1883129A"/>
    <w:rsid w:val="188936FA"/>
    <w:rsid w:val="189724DD"/>
    <w:rsid w:val="18A17CF8"/>
    <w:rsid w:val="18B21538"/>
    <w:rsid w:val="18BA35F9"/>
    <w:rsid w:val="18C64FE3"/>
    <w:rsid w:val="18CB06B3"/>
    <w:rsid w:val="18D37869"/>
    <w:rsid w:val="18D53478"/>
    <w:rsid w:val="18DE56DC"/>
    <w:rsid w:val="18DF7E53"/>
    <w:rsid w:val="18E13ADF"/>
    <w:rsid w:val="18EE0096"/>
    <w:rsid w:val="19017DC9"/>
    <w:rsid w:val="19074C20"/>
    <w:rsid w:val="19087779"/>
    <w:rsid w:val="19124356"/>
    <w:rsid w:val="19137AFC"/>
    <w:rsid w:val="19185113"/>
    <w:rsid w:val="19193365"/>
    <w:rsid w:val="191B7AFB"/>
    <w:rsid w:val="191D58F4"/>
    <w:rsid w:val="193A5D57"/>
    <w:rsid w:val="194A460B"/>
    <w:rsid w:val="195B1BCF"/>
    <w:rsid w:val="196F543F"/>
    <w:rsid w:val="19762565"/>
    <w:rsid w:val="19805192"/>
    <w:rsid w:val="198B3B37"/>
    <w:rsid w:val="19A03B7F"/>
    <w:rsid w:val="19B6361C"/>
    <w:rsid w:val="19B7492C"/>
    <w:rsid w:val="19B84276"/>
    <w:rsid w:val="19BA0721"/>
    <w:rsid w:val="19BA37C2"/>
    <w:rsid w:val="19BD5BD1"/>
    <w:rsid w:val="19CE5A8B"/>
    <w:rsid w:val="19D13C3F"/>
    <w:rsid w:val="19E96131"/>
    <w:rsid w:val="19EF40C6"/>
    <w:rsid w:val="19FE4B40"/>
    <w:rsid w:val="1A04293C"/>
    <w:rsid w:val="1A0C2EC9"/>
    <w:rsid w:val="1A1C66C0"/>
    <w:rsid w:val="1A2657E4"/>
    <w:rsid w:val="1A287679"/>
    <w:rsid w:val="1A3146DE"/>
    <w:rsid w:val="1A37660E"/>
    <w:rsid w:val="1A42393B"/>
    <w:rsid w:val="1A427851"/>
    <w:rsid w:val="1A4C7A59"/>
    <w:rsid w:val="1A7D0E5C"/>
    <w:rsid w:val="1A86209E"/>
    <w:rsid w:val="1A892B95"/>
    <w:rsid w:val="1A896385"/>
    <w:rsid w:val="1A8B64E4"/>
    <w:rsid w:val="1A8E435D"/>
    <w:rsid w:val="1A8F7DC3"/>
    <w:rsid w:val="1AAB4490"/>
    <w:rsid w:val="1AB001BA"/>
    <w:rsid w:val="1AB03813"/>
    <w:rsid w:val="1AD531FC"/>
    <w:rsid w:val="1AD81457"/>
    <w:rsid w:val="1ADE4866"/>
    <w:rsid w:val="1ADF58C4"/>
    <w:rsid w:val="1AE300CE"/>
    <w:rsid w:val="1AE4212F"/>
    <w:rsid w:val="1AEE25CF"/>
    <w:rsid w:val="1B046F80"/>
    <w:rsid w:val="1B065B6B"/>
    <w:rsid w:val="1B0854BB"/>
    <w:rsid w:val="1B09565B"/>
    <w:rsid w:val="1B1A7868"/>
    <w:rsid w:val="1B241B43"/>
    <w:rsid w:val="1B2F3FF6"/>
    <w:rsid w:val="1B3267B5"/>
    <w:rsid w:val="1B371AAA"/>
    <w:rsid w:val="1B50721C"/>
    <w:rsid w:val="1B58146F"/>
    <w:rsid w:val="1B794807"/>
    <w:rsid w:val="1B79720A"/>
    <w:rsid w:val="1B910F5F"/>
    <w:rsid w:val="1B97228C"/>
    <w:rsid w:val="1B9B4505"/>
    <w:rsid w:val="1BA84E74"/>
    <w:rsid w:val="1BAE5757"/>
    <w:rsid w:val="1BC25DC8"/>
    <w:rsid w:val="1BC872C4"/>
    <w:rsid w:val="1BCB249C"/>
    <w:rsid w:val="1BD63489"/>
    <w:rsid w:val="1BE35EAC"/>
    <w:rsid w:val="1BEE6D2B"/>
    <w:rsid w:val="1C00080C"/>
    <w:rsid w:val="1C0C71B1"/>
    <w:rsid w:val="1C105994"/>
    <w:rsid w:val="1C113F50"/>
    <w:rsid w:val="1C1C5274"/>
    <w:rsid w:val="1C2344FA"/>
    <w:rsid w:val="1C2D2770"/>
    <w:rsid w:val="1C2F4D7D"/>
    <w:rsid w:val="1C3A3D71"/>
    <w:rsid w:val="1C3D380E"/>
    <w:rsid w:val="1C512E16"/>
    <w:rsid w:val="1C5B521F"/>
    <w:rsid w:val="1C5C0C11"/>
    <w:rsid w:val="1C5E7925"/>
    <w:rsid w:val="1C635DAC"/>
    <w:rsid w:val="1C672126"/>
    <w:rsid w:val="1C6963B1"/>
    <w:rsid w:val="1C7F5EB0"/>
    <w:rsid w:val="1C887FC8"/>
    <w:rsid w:val="1C8C6544"/>
    <w:rsid w:val="1C9F7C9C"/>
    <w:rsid w:val="1CA0201C"/>
    <w:rsid w:val="1CAE64BA"/>
    <w:rsid w:val="1CB01AD4"/>
    <w:rsid w:val="1CBD494F"/>
    <w:rsid w:val="1CC440CB"/>
    <w:rsid w:val="1CCC5877"/>
    <w:rsid w:val="1CCE7D38"/>
    <w:rsid w:val="1CD203FA"/>
    <w:rsid w:val="1CDA0581"/>
    <w:rsid w:val="1CDB5968"/>
    <w:rsid w:val="1CDC3027"/>
    <w:rsid w:val="1CE407F6"/>
    <w:rsid w:val="1CE4116C"/>
    <w:rsid w:val="1CE95744"/>
    <w:rsid w:val="1CEE68B6"/>
    <w:rsid w:val="1CEF0D86"/>
    <w:rsid w:val="1CFF6E22"/>
    <w:rsid w:val="1D022362"/>
    <w:rsid w:val="1D036806"/>
    <w:rsid w:val="1D0701C2"/>
    <w:rsid w:val="1D0D31E0"/>
    <w:rsid w:val="1D0F5AF9"/>
    <w:rsid w:val="1D130BC3"/>
    <w:rsid w:val="1D2D3883"/>
    <w:rsid w:val="1D3A2928"/>
    <w:rsid w:val="1D3A7D4E"/>
    <w:rsid w:val="1D40568D"/>
    <w:rsid w:val="1D46111D"/>
    <w:rsid w:val="1D496550"/>
    <w:rsid w:val="1D5D74D2"/>
    <w:rsid w:val="1D5F6196"/>
    <w:rsid w:val="1D6132A5"/>
    <w:rsid w:val="1D6F4B57"/>
    <w:rsid w:val="1D795F13"/>
    <w:rsid w:val="1D8E56D5"/>
    <w:rsid w:val="1D9038D6"/>
    <w:rsid w:val="1D943902"/>
    <w:rsid w:val="1D9B6A3E"/>
    <w:rsid w:val="1DA85CE8"/>
    <w:rsid w:val="1DAF6046"/>
    <w:rsid w:val="1DB37BCA"/>
    <w:rsid w:val="1DB97843"/>
    <w:rsid w:val="1DBA49EB"/>
    <w:rsid w:val="1DC6338F"/>
    <w:rsid w:val="1DCA2E80"/>
    <w:rsid w:val="1DCB7700"/>
    <w:rsid w:val="1DCC4EB9"/>
    <w:rsid w:val="1DE859FC"/>
    <w:rsid w:val="1DE877AA"/>
    <w:rsid w:val="1DE9394F"/>
    <w:rsid w:val="1DEC5C04"/>
    <w:rsid w:val="1E004446"/>
    <w:rsid w:val="1E046A24"/>
    <w:rsid w:val="1E0D7210"/>
    <w:rsid w:val="1E1278FC"/>
    <w:rsid w:val="1E1E217F"/>
    <w:rsid w:val="1E2210EC"/>
    <w:rsid w:val="1E34141D"/>
    <w:rsid w:val="1E403142"/>
    <w:rsid w:val="1E51534F"/>
    <w:rsid w:val="1E672DC4"/>
    <w:rsid w:val="1E7679C4"/>
    <w:rsid w:val="1E7A43DA"/>
    <w:rsid w:val="1E803E86"/>
    <w:rsid w:val="1E886849"/>
    <w:rsid w:val="1E8E65A3"/>
    <w:rsid w:val="1E924B7B"/>
    <w:rsid w:val="1E9516DF"/>
    <w:rsid w:val="1EA10FFF"/>
    <w:rsid w:val="1EAF2075"/>
    <w:rsid w:val="1EB15DEE"/>
    <w:rsid w:val="1EB277FE"/>
    <w:rsid w:val="1EB53B30"/>
    <w:rsid w:val="1ED6512E"/>
    <w:rsid w:val="1ED65854"/>
    <w:rsid w:val="1EDF6DFF"/>
    <w:rsid w:val="1EE00481"/>
    <w:rsid w:val="1EF26B32"/>
    <w:rsid w:val="1EF50E5F"/>
    <w:rsid w:val="1F07250D"/>
    <w:rsid w:val="1F1745F6"/>
    <w:rsid w:val="1F282554"/>
    <w:rsid w:val="1F2962CC"/>
    <w:rsid w:val="1F2D3BD4"/>
    <w:rsid w:val="1F35453A"/>
    <w:rsid w:val="1F3D58D3"/>
    <w:rsid w:val="1F42113B"/>
    <w:rsid w:val="1F4C5B16"/>
    <w:rsid w:val="1F4D4DA0"/>
    <w:rsid w:val="1F505CBD"/>
    <w:rsid w:val="1F582479"/>
    <w:rsid w:val="1F5E41C7"/>
    <w:rsid w:val="1F617814"/>
    <w:rsid w:val="1F6B69BD"/>
    <w:rsid w:val="1F703EFB"/>
    <w:rsid w:val="1F894C7F"/>
    <w:rsid w:val="1F8B653C"/>
    <w:rsid w:val="1F953B71"/>
    <w:rsid w:val="1FAC6467"/>
    <w:rsid w:val="1FB02189"/>
    <w:rsid w:val="1FB16D49"/>
    <w:rsid w:val="1FB27619"/>
    <w:rsid w:val="1FB323F8"/>
    <w:rsid w:val="1FCD30FB"/>
    <w:rsid w:val="1FCF0C21"/>
    <w:rsid w:val="1FE7539E"/>
    <w:rsid w:val="1FEA7809"/>
    <w:rsid w:val="1FF05718"/>
    <w:rsid w:val="1FF22B62"/>
    <w:rsid w:val="1FF6202A"/>
    <w:rsid w:val="1FF70178"/>
    <w:rsid w:val="1FF91CCA"/>
    <w:rsid w:val="1FFC578E"/>
    <w:rsid w:val="20004E45"/>
    <w:rsid w:val="200D799B"/>
    <w:rsid w:val="201C308A"/>
    <w:rsid w:val="203D2C91"/>
    <w:rsid w:val="20474C5B"/>
    <w:rsid w:val="205D447F"/>
    <w:rsid w:val="20621A95"/>
    <w:rsid w:val="206375BB"/>
    <w:rsid w:val="20684BD2"/>
    <w:rsid w:val="206D21E8"/>
    <w:rsid w:val="20780A23"/>
    <w:rsid w:val="207E1EF2"/>
    <w:rsid w:val="208F03B0"/>
    <w:rsid w:val="208F215E"/>
    <w:rsid w:val="20963CB8"/>
    <w:rsid w:val="2099122F"/>
    <w:rsid w:val="20A211EA"/>
    <w:rsid w:val="20A65EA5"/>
    <w:rsid w:val="20A95FEE"/>
    <w:rsid w:val="20AD7527"/>
    <w:rsid w:val="20B07FB6"/>
    <w:rsid w:val="20B54465"/>
    <w:rsid w:val="20C60A8B"/>
    <w:rsid w:val="20C75354"/>
    <w:rsid w:val="20D02EA3"/>
    <w:rsid w:val="20D64231"/>
    <w:rsid w:val="20E06E5E"/>
    <w:rsid w:val="20EC5803"/>
    <w:rsid w:val="20F4556F"/>
    <w:rsid w:val="20F87D04"/>
    <w:rsid w:val="20FA0F53"/>
    <w:rsid w:val="20FA1CCE"/>
    <w:rsid w:val="20FF5536"/>
    <w:rsid w:val="211D59BC"/>
    <w:rsid w:val="211F1734"/>
    <w:rsid w:val="21246D4B"/>
    <w:rsid w:val="212E3725"/>
    <w:rsid w:val="21321A3E"/>
    <w:rsid w:val="21333AD4"/>
    <w:rsid w:val="21380A48"/>
    <w:rsid w:val="213B74B1"/>
    <w:rsid w:val="213D7E0C"/>
    <w:rsid w:val="2145081C"/>
    <w:rsid w:val="21460FE3"/>
    <w:rsid w:val="215A2310"/>
    <w:rsid w:val="21621F2B"/>
    <w:rsid w:val="21725D08"/>
    <w:rsid w:val="21737185"/>
    <w:rsid w:val="21844354"/>
    <w:rsid w:val="219F4623"/>
    <w:rsid w:val="21A87632"/>
    <w:rsid w:val="21B204F5"/>
    <w:rsid w:val="21B46321"/>
    <w:rsid w:val="21B96578"/>
    <w:rsid w:val="21C31A32"/>
    <w:rsid w:val="21C347B6"/>
    <w:rsid w:val="21DE119E"/>
    <w:rsid w:val="21DE318A"/>
    <w:rsid w:val="21E1737E"/>
    <w:rsid w:val="21EF5B80"/>
    <w:rsid w:val="21F51481"/>
    <w:rsid w:val="21FE01CF"/>
    <w:rsid w:val="21FE134A"/>
    <w:rsid w:val="21FF12EA"/>
    <w:rsid w:val="220426D8"/>
    <w:rsid w:val="220A23E4"/>
    <w:rsid w:val="221160AC"/>
    <w:rsid w:val="22130402"/>
    <w:rsid w:val="221357DF"/>
    <w:rsid w:val="22160D89"/>
    <w:rsid w:val="22223F08"/>
    <w:rsid w:val="22243BE5"/>
    <w:rsid w:val="22272617"/>
    <w:rsid w:val="223905D4"/>
    <w:rsid w:val="223969AA"/>
    <w:rsid w:val="223E716E"/>
    <w:rsid w:val="224173E5"/>
    <w:rsid w:val="22440E09"/>
    <w:rsid w:val="224C47AB"/>
    <w:rsid w:val="22547E28"/>
    <w:rsid w:val="22562F71"/>
    <w:rsid w:val="22576990"/>
    <w:rsid w:val="225C2876"/>
    <w:rsid w:val="22636BF9"/>
    <w:rsid w:val="2265382A"/>
    <w:rsid w:val="226E2DB4"/>
    <w:rsid w:val="2272221F"/>
    <w:rsid w:val="228E4F5B"/>
    <w:rsid w:val="228F2BC9"/>
    <w:rsid w:val="22905B26"/>
    <w:rsid w:val="229B1BDB"/>
    <w:rsid w:val="229C4EAB"/>
    <w:rsid w:val="22A10244"/>
    <w:rsid w:val="22B2243B"/>
    <w:rsid w:val="22BB36DF"/>
    <w:rsid w:val="22C1232B"/>
    <w:rsid w:val="22C71D9A"/>
    <w:rsid w:val="22C81958"/>
    <w:rsid w:val="22C86866"/>
    <w:rsid w:val="22CB3A79"/>
    <w:rsid w:val="22CF0755"/>
    <w:rsid w:val="22CF2CE6"/>
    <w:rsid w:val="22D918AD"/>
    <w:rsid w:val="22DD303F"/>
    <w:rsid w:val="22E45556"/>
    <w:rsid w:val="22E533C6"/>
    <w:rsid w:val="22EC5646"/>
    <w:rsid w:val="22EE45DF"/>
    <w:rsid w:val="22F02729"/>
    <w:rsid w:val="22F26265"/>
    <w:rsid w:val="22F377CF"/>
    <w:rsid w:val="22F720DB"/>
    <w:rsid w:val="22FD2D94"/>
    <w:rsid w:val="22FF35CB"/>
    <w:rsid w:val="230230BC"/>
    <w:rsid w:val="2309783A"/>
    <w:rsid w:val="232235FB"/>
    <w:rsid w:val="232A616E"/>
    <w:rsid w:val="2331574F"/>
    <w:rsid w:val="234C5C0A"/>
    <w:rsid w:val="235356C5"/>
    <w:rsid w:val="236B57BA"/>
    <w:rsid w:val="2379093F"/>
    <w:rsid w:val="23881E56"/>
    <w:rsid w:val="238A445D"/>
    <w:rsid w:val="23947A3D"/>
    <w:rsid w:val="239F090A"/>
    <w:rsid w:val="23AE73AB"/>
    <w:rsid w:val="23C44E13"/>
    <w:rsid w:val="23C52D65"/>
    <w:rsid w:val="23C860B3"/>
    <w:rsid w:val="23D22A8E"/>
    <w:rsid w:val="23D454F8"/>
    <w:rsid w:val="23DE6382"/>
    <w:rsid w:val="23F17ECD"/>
    <w:rsid w:val="23F30287"/>
    <w:rsid w:val="23FE1AD5"/>
    <w:rsid w:val="240E386B"/>
    <w:rsid w:val="24101808"/>
    <w:rsid w:val="24183C32"/>
    <w:rsid w:val="24277CE2"/>
    <w:rsid w:val="242A7117"/>
    <w:rsid w:val="242B7B56"/>
    <w:rsid w:val="242F6132"/>
    <w:rsid w:val="243A0633"/>
    <w:rsid w:val="2446522A"/>
    <w:rsid w:val="24567F54"/>
    <w:rsid w:val="24571346"/>
    <w:rsid w:val="24657B0C"/>
    <w:rsid w:val="246833F2"/>
    <w:rsid w:val="246B6A3F"/>
    <w:rsid w:val="24753161"/>
    <w:rsid w:val="247E16B7"/>
    <w:rsid w:val="2480073C"/>
    <w:rsid w:val="24812E8E"/>
    <w:rsid w:val="24844D9E"/>
    <w:rsid w:val="24867CA0"/>
    <w:rsid w:val="24893FE4"/>
    <w:rsid w:val="248D39A0"/>
    <w:rsid w:val="24901CC6"/>
    <w:rsid w:val="24975424"/>
    <w:rsid w:val="249A526E"/>
    <w:rsid w:val="249F7BBF"/>
    <w:rsid w:val="24A77471"/>
    <w:rsid w:val="24C525F3"/>
    <w:rsid w:val="24C72C17"/>
    <w:rsid w:val="24C84C9B"/>
    <w:rsid w:val="24CA19E0"/>
    <w:rsid w:val="24D13813"/>
    <w:rsid w:val="24D665AE"/>
    <w:rsid w:val="24DD48F2"/>
    <w:rsid w:val="24DE1906"/>
    <w:rsid w:val="24EF58C2"/>
    <w:rsid w:val="24FB0F16"/>
    <w:rsid w:val="25094A83"/>
    <w:rsid w:val="250B517F"/>
    <w:rsid w:val="250D0D56"/>
    <w:rsid w:val="251C49CC"/>
    <w:rsid w:val="251D1560"/>
    <w:rsid w:val="252D53FE"/>
    <w:rsid w:val="25491958"/>
    <w:rsid w:val="254A2AF8"/>
    <w:rsid w:val="254B5296"/>
    <w:rsid w:val="254E66AF"/>
    <w:rsid w:val="25510395"/>
    <w:rsid w:val="255A0472"/>
    <w:rsid w:val="255D0FBE"/>
    <w:rsid w:val="256872C2"/>
    <w:rsid w:val="256C0CC0"/>
    <w:rsid w:val="257007B0"/>
    <w:rsid w:val="25714952"/>
    <w:rsid w:val="25961F4B"/>
    <w:rsid w:val="2598673B"/>
    <w:rsid w:val="259D551B"/>
    <w:rsid w:val="25A42208"/>
    <w:rsid w:val="25B82157"/>
    <w:rsid w:val="25C80B5C"/>
    <w:rsid w:val="25CA5377"/>
    <w:rsid w:val="25CC175F"/>
    <w:rsid w:val="25DA0320"/>
    <w:rsid w:val="25DC4251"/>
    <w:rsid w:val="25E22D30"/>
    <w:rsid w:val="25E333EB"/>
    <w:rsid w:val="25E62821"/>
    <w:rsid w:val="25EC2D81"/>
    <w:rsid w:val="25F56F08"/>
    <w:rsid w:val="25FF38E2"/>
    <w:rsid w:val="260B672B"/>
    <w:rsid w:val="26142E6F"/>
    <w:rsid w:val="26203EFB"/>
    <w:rsid w:val="26307F40"/>
    <w:rsid w:val="26345C83"/>
    <w:rsid w:val="263709BC"/>
    <w:rsid w:val="263B7010"/>
    <w:rsid w:val="263C0693"/>
    <w:rsid w:val="263D306C"/>
    <w:rsid w:val="26417EFD"/>
    <w:rsid w:val="26427F9D"/>
    <w:rsid w:val="264528BD"/>
    <w:rsid w:val="264F33BF"/>
    <w:rsid w:val="2657371E"/>
    <w:rsid w:val="26591839"/>
    <w:rsid w:val="265E685B"/>
    <w:rsid w:val="26691012"/>
    <w:rsid w:val="26756DC3"/>
    <w:rsid w:val="268570B2"/>
    <w:rsid w:val="26962499"/>
    <w:rsid w:val="269B5A0B"/>
    <w:rsid w:val="269F5DA8"/>
    <w:rsid w:val="26A821CC"/>
    <w:rsid w:val="26B241DB"/>
    <w:rsid w:val="26BC5A1B"/>
    <w:rsid w:val="26C07516"/>
    <w:rsid w:val="26D57733"/>
    <w:rsid w:val="26D7730B"/>
    <w:rsid w:val="26DB60FD"/>
    <w:rsid w:val="26F12245"/>
    <w:rsid w:val="26F251F5"/>
    <w:rsid w:val="270962CA"/>
    <w:rsid w:val="270B0D3C"/>
    <w:rsid w:val="270C1A0B"/>
    <w:rsid w:val="270D5619"/>
    <w:rsid w:val="27141FE2"/>
    <w:rsid w:val="273D46C2"/>
    <w:rsid w:val="274C6FFB"/>
    <w:rsid w:val="27586D08"/>
    <w:rsid w:val="2762006E"/>
    <w:rsid w:val="276500BD"/>
    <w:rsid w:val="27767BD4"/>
    <w:rsid w:val="277900C3"/>
    <w:rsid w:val="27914A0E"/>
    <w:rsid w:val="27AA4DAB"/>
    <w:rsid w:val="27AC35F6"/>
    <w:rsid w:val="27B04BAD"/>
    <w:rsid w:val="27B778AC"/>
    <w:rsid w:val="27B92C09"/>
    <w:rsid w:val="27C47D5F"/>
    <w:rsid w:val="27C9598E"/>
    <w:rsid w:val="27CF703A"/>
    <w:rsid w:val="27D15DD1"/>
    <w:rsid w:val="27D519D1"/>
    <w:rsid w:val="27D537DB"/>
    <w:rsid w:val="27D6269D"/>
    <w:rsid w:val="27E56B08"/>
    <w:rsid w:val="28041684"/>
    <w:rsid w:val="282702E0"/>
    <w:rsid w:val="282737C4"/>
    <w:rsid w:val="2836380B"/>
    <w:rsid w:val="28363B7D"/>
    <w:rsid w:val="2837510C"/>
    <w:rsid w:val="28487641"/>
    <w:rsid w:val="284D0F32"/>
    <w:rsid w:val="286659F0"/>
    <w:rsid w:val="286F1A2E"/>
    <w:rsid w:val="28836A4D"/>
    <w:rsid w:val="288A1B89"/>
    <w:rsid w:val="289C34B3"/>
    <w:rsid w:val="289E73E3"/>
    <w:rsid w:val="28A30E9D"/>
    <w:rsid w:val="28A76295"/>
    <w:rsid w:val="28A864BB"/>
    <w:rsid w:val="28A96DE5"/>
    <w:rsid w:val="28B67042"/>
    <w:rsid w:val="28B947AF"/>
    <w:rsid w:val="28BA1D43"/>
    <w:rsid w:val="28C2384C"/>
    <w:rsid w:val="28CB2D64"/>
    <w:rsid w:val="28CD7CC8"/>
    <w:rsid w:val="28D472A8"/>
    <w:rsid w:val="28D50DD7"/>
    <w:rsid w:val="28E16FD0"/>
    <w:rsid w:val="28E31299"/>
    <w:rsid w:val="28F214DC"/>
    <w:rsid w:val="28F90ABD"/>
    <w:rsid w:val="28FB4835"/>
    <w:rsid w:val="290057D3"/>
    <w:rsid w:val="290309EC"/>
    <w:rsid w:val="29064AD1"/>
    <w:rsid w:val="290A5575"/>
    <w:rsid w:val="290C07F0"/>
    <w:rsid w:val="29206EB8"/>
    <w:rsid w:val="29262438"/>
    <w:rsid w:val="29283660"/>
    <w:rsid w:val="292A336C"/>
    <w:rsid w:val="292B7B7B"/>
    <w:rsid w:val="294A6C02"/>
    <w:rsid w:val="294C6E3F"/>
    <w:rsid w:val="295126A7"/>
    <w:rsid w:val="295E18DA"/>
    <w:rsid w:val="296761DA"/>
    <w:rsid w:val="296F0D7F"/>
    <w:rsid w:val="297C7F42"/>
    <w:rsid w:val="29A0718A"/>
    <w:rsid w:val="29AF561F"/>
    <w:rsid w:val="29BB3FC4"/>
    <w:rsid w:val="29BB5A64"/>
    <w:rsid w:val="29BF5862"/>
    <w:rsid w:val="29C410CB"/>
    <w:rsid w:val="29DE2AD7"/>
    <w:rsid w:val="29E173C1"/>
    <w:rsid w:val="29E259F5"/>
    <w:rsid w:val="29E325E0"/>
    <w:rsid w:val="29E45245"/>
    <w:rsid w:val="29EA34AC"/>
    <w:rsid w:val="29F87F6A"/>
    <w:rsid w:val="2A092F82"/>
    <w:rsid w:val="2A0B7489"/>
    <w:rsid w:val="2A0C6F71"/>
    <w:rsid w:val="2A110088"/>
    <w:rsid w:val="2A185FA0"/>
    <w:rsid w:val="2A1D331E"/>
    <w:rsid w:val="2A2267F5"/>
    <w:rsid w:val="2A2D0E30"/>
    <w:rsid w:val="2A391AB9"/>
    <w:rsid w:val="2A3C5061"/>
    <w:rsid w:val="2A3C5A2C"/>
    <w:rsid w:val="2A4250CF"/>
    <w:rsid w:val="2A452503"/>
    <w:rsid w:val="2A4915D0"/>
    <w:rsid w:val="2A506E02"/>
    <w:rsid w:val="2A5C071E"/>
    <w:rsid w:val="2A637619"/>
    <w:rsid w:val="2A6D05C7"/>
    <w:rsid w:val="2A77613D"/>
    <w:rsid w:val="2A9A1E2C"/>
    <w:rsid w:val="2AB32EED"/>
    <w:rsid w:val="2AC60E73"/>
    <w:rsid w:val="2ACB6489"/>
    <w:rsid w:val="2ADA65B2"/>
    <w:rsid w:val="2ADF4F45"/>
    <w:rsid w:val="2AE412F9"/>
    <w:rsid w:val="2AE8703B"/>
    <w:rsid w:val="2AEA214B"/>
    <w:rsid w:val="2AF27EBA"/>
    <w:rsid w:val="2AFF3A1D"/>
    <w:rsid w:val="2B073965"/>
    <w:rsid w:val="2B1971F4"/>
    <w:rsid w:val="2B1C0764"/>
    <w:rsid w:val="2B2F6A18"/>
    <w:rsid w:val="2B3934BE"/>
    <w:rsid w:val="2B3C7C54"/>
    <w:rsid w:val="2B3E30FF"/>
    <w:rsid w:val="2B4D2E1A"/>
    <w:rsid w:val="2B54022C"/>
    <w:rsid w:val="2B593A95"/>
    <w:rsid w:val="2B632B65"/>
    <w:rsid w:val="2B6C37F5"/>
    <w:rsid w:val="2B7154CD"/>
    <w:rsid w:val="2B746B21"/>
    <w:rsid w:val="2B797C93"/>
    <w:rsid w:val="2B7D2F64"/>
    <w:rsid w:val="2B82333E"/>
    <w:rsid w:val="2B8375B5"/>
    <w:rsid w:val="2B85488A"/>
    <w:rsid w:val="2B990F1A"/>
    <w:rsid w:val="2BA411B4"/>
    <w:rsid w:val="2BA936A8"/>
    <w:rsid w:val="2BC67CCD"/>
    <w:rsid w:val="2BCB7CB6"/>
    <w:rsid w:val="2BCE6231"/>
    <w:rsid w:val="2BDE3F9A"/>
    <w:rsid w:val="2BEC4909"/>
    <w:rsid w:val="2BF2637E"/>
    <w:rsid w:val="2BF37A45"/>
    <w:rsid w:val="2C0B28F8"/>
    <w:rsid w:val="2C107EBD"/>
    <w:rsid w:val="2C2C1932"/>
    <w:rsid w:val="2C300868"/>
    <w:rsid w:val="2C315A5A"/>
    <w:rsid w:val="2C365BA6"/>
    <w:rsid w:val="2C3D33B6"/>
    <w:rsid w:val="2C3E778B"/>
    <w:rsid w:val="2C4859E4"/>
    <w:rsid w:val="2C501086"/>
    <w:rsid w:val="2C504E98"/>
    <w:rsid w:val="2C507155"/>
    <w:rsid w:val="2C5B03CD"/>
    <w:rsid w:val="2C5F615A"/>
    <w:rsid w:val="2C652C82"/>
    <w:rsid w:val="2C6A3B4B"/>
    <w:rsid w:val="2C6C390C"/>
    <w:rsid w:val="2C72652D"/>
    <w:rsid w:val="2C7C3EDF"/>
    <w:rsid w:val="2C7D1A05"/>
    <w:rsid w:val="2C82701B"/>
    <w:rsid w:val="2C8D7E9A"/>
    <w:rsid w:val="2C8E5BC4"/>
    <w:rsid w:val="2C956D4E"/>
    <w:rsid w:val="2CAD22EA"/>
    <w:rsid w:val="2CAD5E46"/>
    <w:rsid w:val="2CC66F08"/>
    <w:rsid w:val="2CDA6697"/>
    <w:rsid w:val="2CDC2BCF"/>
    <w:rsid w:val="2CDE24A4"/>
    <w:rsid w:val="2CDE4AAB"/>
    <w:rsid w:val="2CE37ABA"/>
    <w:rsid w:val="2CE82B6C"/>
    <w:rsid w:val="2CF30E44"/>
    <w:rsid w:val="2D0E52E5"/>
    <w:rsid w:val="2D181E45"/>
    <w:rsid w:val="2D2D05C2"/>
    <w:rsid w:val="2D347F33"/>
    <w:rsid w:val="2D642BD5"/>
    <w:rsid w:val="2D6C5840"/>
    <w:rsid w:val="2D8457AA"/>
    <w:rsid w:val="2D847F23"/>
    <w:rsid w:val="2D86486E"/>
    <w:rsid w:val="2D8D11E8"/>
    <w:rsid w:val="2D966BC1"/>
    <w:rsid w:val="2D9B504E"/>
    <w:rsid w:val="2D9E56F5"/>
    <w:rsid w:val="2DA01E4F"/>
    <w:rsid w:val="2DA15E0A"/>
    <w:rsid w:val="2DA336ED"/>
    <w:rsid w:val="2DA57465"/>
    <w:rsid w:val="2DCA2A28"/>
    <w:rsid w:val="2DD33F37"/>
    <w:rsid w:val="2DD6761F"/>
    <w:rsid w:val="2DDB69E3"/>
    <w:rsid w:val="2DEF06E0"/>
    <w:rsid w:val="2DF70383"/>
    <w:rsid w:val="2E0C22F1"/>
    <w:rsid w:val="2E0C6694"/>
    <w:rsid w:val="2E0F2B31"/>
    <w:rsid w:val="2E112405"/>
    <w:rsid w:val="2E193896"/>
    <w:rsid w:val="2E1C77C8"/>
    <w:rsid w:val="2E3F6F72"/>
    <w:rsid w:val="2E526253"/>
    <w:rsid w:val="2E5376FA"/>
    <w:rsid w:val="2E5D389C"/>
    <w:rsid w:val="2E667F96"/>
    <w:rsid w:val="2E7422DB"/>
    <w:rsid w:val="2E8226AB"/>
    <w:rsid w:val="2E850CA2"/>
    <w:rsid w:val="2E896528"/>
    <w:rsid w:val="2E8B665B"/>
    <w:rsid w:val="2E8E35A8"/>
    <w:rsid w:val="2E8F7EF0"/>
    <w:rsid w:val="2E962A4C"/>
    <w:rsid w:val="2EB15996"/>
    <w:rsid w:val="2EB45BB2"/>
    <w:rsid w:val="2EB57234"/>
    <w:rsid w:val="2EB86D24"/>
    <w:rsid w:val="2EBE79F2"/>
    <w:rsid w:val="2EC97183"/>
    <w:rsid w:val="2EDC20A5"/>
    <w:rsid w:val="2EDC3B8B"/>
    <w:rsid w:val="2EDE4884"/>
    <w:rsid w:val="2EE2281D"/>
    <w:rsid w:val="2EEB458A"/>
    <w:rsid w:val="2EED4BA5"/>
    <w:rsid w:val="2EF472C2"/>
    <w:rsid w:val="2EFB2454"/>
    <w:rsid w:val="2F03630C"/>
    <w:rsid w:val="2F041F69"/>
    <w:rsid w:val="2F0565F2"/>
    <w:rsid w:val="2F1228D8"/>
    <w:rsid w:val="2F2148C9"/>
    <w:rsid w:val="2F2977BA"/>
    <w:rsid w:val="2F322ED0"/>
    <w:rsid w:val="2F36681B"/>
    <w:rsid w:val="2F3C1703"/>
    <w:rsid w:val="2F442067"/>
    <w:rsid w:val="2F4C1EFF"/>
    <w:rsid w:val="2F4D052A"/>
    <w:rsid w:val="2F4D3910"/>
    <w:rsid w:val="2F594063"/>
    <w:rsid w:val="2F5B427F"/>
    <w:rsid w:val="2F657651"/>
    <w:rsid w:val="2F6E11F0"/>
    <w:rsid w:val="2F7415F1"/>
    <w:rsid w:val="2F832C79"/>
    <w:rsid w:val="2F8337D6"/>
    <w:rsid w:val="2FA554FB"/>
    <w:rsid w:val="2FA71273"/>
    <w:rsid w:val="2FAE0B8A"/>
    <w:rsid w:val="2FB579D6"/>
    <w:rsid w:val="2FBB6ACC"/>
    <w:rsid w:val="2FBF7D5F"/>
    <w:rsid w:val="2FC65491"/>
    <w:rsid w:val="2FD61BF8"/>
    <w:rsid w:val="2FD64419"/>
    <w:rsid w:val="2FDD2EE6"/>
    <w:rsid w:val="2FDF4652"/>
    <w:rsid w:val="2FE54861"/>
    <w:rsid w:val="2FEF2D58"/>
    <w:rsid w:val="30087837"/>
    <w:rsid w:val="3014227E"/>
    <w:rsid w:val="301B57BD"/>
    <w:rsid w:val="3025762A"/>
    <w:rsid w:val="302E54F0"/>
    <w:rsid w:val="30444D13"/>
    <w:rsid w:val="3045224E"/>
    <w:rsid w:val="304940D8"/>
    <w:rsid w:val="305524E6"/>
    <w:rsid w:val="30580BC9"/>
    <w:rsid w:val="30751371"/>
    <w:rsid w:val="307B625B"/>
    <w:rsid w:val="3082583C"/>
    <w:rsid w:val="30A239DD"/>
    <w:rsid w:val="30A612CD"/>
    <w:rsid w:val="30AD0B0B"/>
    <w:rsid w:val="30AE03DF"/>
    <w:rsid w:val="30C048BA"/>
    <w:rsid w:val="30D81900"/>
    <w:rsid w:val="30D94376"/>
    <w:rsid w:val="30EF25F5"/>
    <w:rsid w:val="30FC49C9"/>
    <w:rsid w:val="30FF686A"/>
    <w:rsid w:val="3119597D"/>
    <w:rsid w:val="311E2ED7"/>
    <w:rsid w:val="31282C74"/>
    <w:rsid w:val="31342FDA"/>
    <w:rsid w:val="313E1763"/>
    <w:rsid w:val="313E5C07"/>
    <w:rsid w:val="31463208"/>
    <w:rsid w:val="314A0945"/>
    <w:rsid w:val="314A506D"/>
    <w:rsid w:val="314B0324"/>
    <w:rsid w:val="314D4275"/>
    <w:rsid w:val="31532D34"/>
    <w:rsid w:val="3154598D"/>
    <w:rsid w:val="31572824"/>
    <w:rsid w:val="315C449C"/>
    <w:rsid w:val="316D278D"/>
    <w:rsid w:val="316F5776"/>
    <w:rsid w:val="317433D6"/>
    <w:rsid w:val="317E6003"/>
    <w:rsid w:val="31946244"/>
    <w:rsid w:val="31AA3F6A"/>
    <w:rsid w:val="31B00FC6"/>
    <w:rsid w:val="31B77767"/>
    <w:rsid w:val="31B82709"/>
    <w:rsid w:val="31BE0AF5"/>
    <w:rsid w:val="31C75BFC"/>
    <w:rsid w:val="31E06144"/>
    <w:rsid w:val="31EA5447"/>
    <w:rsid w:val="31EB1501"/>
    <w:rsid w:val="31EB2AE7"/>
    <w:rsid w:val="31ED3189"/>
    <w:rsid w:val="31FA3E8C"/>
    <w:rsid w:val="31FE41DB"/>
    <w:rsid w:val="31FE5396"/>
    <w:rsid w:val="320A7897"/>
    <w:rsid w:val="32110293"/>
    <w:rsid w:val="32144BB9"/>
    <w:rsid w:val="3218123E"/>
    <w:rsid w:val="321F0E1C"/>
    <w:rsid w:val="32300AE3"/>
    <w:rsid w:val="323C07C8"/>
    <w:rsid w:val="32400B34"/>
    <w:rsid w:val="32476D3D"/>
    <w:rsid w:val="32586854"/>
    <w:rsid w:val="325C43BF"/>
    <w:rsid w:val="3263499E"/>
    <w:rsid w:val="3278277D"/>
    <w:rsid w:val="32787F7F"/>
    <w:rsid w:val="328E5EBD"/>
    <w:rsid w:val="329E6876"/>
    <w:rsid w:val="32A76E2F"/>
    <w:rsid w:val="32A859A0"/>
    <w:rsid w:val="32A9554D"/>
    <w:rsid w:val="32B37E9C"/>
    <w:rsid w:val="32BC21C9"/>
    <w:rsid w:val="32CE4D68"/>
    <w:rsid w:val="32DE3D98"/>
    <w:rsid w:val="32E55E2A"/>
    <w:rsid w:val="32F8363D"/>
    <w:rsid w:val="33126ED8"/>
    <w:rsid w:val="332B3F69"/>
    <w:rsid w:val="332D5F33"/>
    <w:rsid w:val="332E3A59"/>
    <w:rsid w:val="3333740C"/>
    <w:rsid w:val="333F153E"/>
    <w:rsid w:val="33456416"/>
    <w:rsid w:val="334665CC"/>
    <w:rsid w:val="33466FF4"/>
    <w:rsid w:val="33531A12"/>
    <w:rsid w:val="33723946"/>
    <w:rsid w:val="338B12BF"/>
    <w:rsid w:val="338B4A07"/>
    <w:rsid w:val="338F54A9"/>
    <w:rsid w:val="339E0BDF"/>
    <w:rsid w:val="339E40FB"/>
    <w:rsid w:val="33A37FA3"/>
    <w:rsid w:val="33A85332"/>
    <w:rsid w:val="33B11EB7"/>
    <w:rsid w:val="33B25347"/>
    <w:rsid w:val="33B43F5E"/>
    <w:rsid w:val="33B57CD6"/>
    <w:rsid w:val="33B71AEF"/>
    <w:rsid w:val="33BA6315"/>
    <w:rsid w:val="33BF5CC5"/>
    <w:rsid w:val="33C70135"/>
    <w:rsid w:val="33D75E9F"/>
    <w:rsid w:val="33D934D4"/>
    <w:rsid w:val="33FE2F6A"/>
    <w:rsid w:val="33FF09E7"/>
    <w:rsid w:val="34110C39"/>
    <w:rsid w:val="3415786A"/>
    <w:rsid w:val="342804A8"/>
    <w:rsid w:val="34367276"/>
    <w:rsid w:val="3437693D"/>
    <w:rsid w:val="343E5F1E"/>
    <w:rsid w:val="344175CA"/>
    <w:rsid w:val="345B6AD0"/>
    <w:rsid w:val="34781430"/>
    <w:rsid w:val="34817669"/>
    <w:rsid w:val="34991BBC"/>
    <w:rsid w:val="349A681F"/>
    <w:rsid w:val="34A17F8C"/>
    <w:rsid w:val="34AA2382"/>
    <w:rsid w:val="34AE3594"/>
    <w:rsid w:val="34C76A68"/>
    <w:rsid w:val="34D4162B"/>
    <w:rsid w:val="34D448B4"/>
    <w:rsid w:val="34D92909"/>
    <w:rsid w:val="34DA4AFC"/>
    <w:rsid w:val="34E0677E"/>
    <w:rsid w:val="34E24AFB"/>
    <w:rsid w:val="34EC3BCC"/>
    <w:rsid w:val="34F860CC"/>
    <w:rsid w:val="34FA0F76"/>
    <w:rsid w:val="35044A71"/>
    <w:rsid w:val="351C625F"/>
    <w:rsid w:val="352F7FAB"/>
    <w:rsid w:val="3537147A"/>
    <w:rsid w:val="35402A0C"/>
    <w:rsid w:val="35406567"/>
    <w:rsid w:val="354B24CB"/>
    <w:rsid w:val="3550488B"/>
    <w:rsid w:val="35551771"/>
    <w:rsid w:val="355A6D87"/>
    <w:rsid w:val="3574044E"/>
    <w:rsid w:val="3574117C"/>
    <w:rsid w:val="35997512"/>
    <w:rsid w:val="35A37EC8"/>
    <w:rsid w:val="35C366DA"/>
    <w:rsid w:val="35D07049"/>
    <w:rsid w:val="35D46B3A"/>
    <w:rsid w:val="35DA789A"/>
    <w:rsid w:val="35DE5552"/>
    <w:rsid w:val="35E14DB3"/>
    <w:rsid w:val="35E301C8"/>
    <w:rsid w:val="35E56A37"/>
    <w:rsid w:val="35FA469C"/>
    <w:rsid w:val="36074A7F"/>
    <w:rsid w:val="361138EA"/>
    <w:rsid w:val="361C06EB"/>
    <w:rsid w:val="362D1DA6"/>
    <w:rsid w:val="36492F5F"/>
    <w:rsid w:val="364F3A4F"/>
    <w:rsid w:val="36575075"/>
    <w:rsid w:val="36597629"/>
    <w:rsid w:val="3687595A"/>
    <w:rsid w:val="368C2F70"/>
    <w:rsid w:val="368C303F"/>
    <w:rsid w:val="368D582A"/>
    <w:rsid w:val="369152C5"/>
    <w:rsid w:val="36923549"/>
    <w:rsid w:val="369F14C1"/>
    <w:rsid w:val="36A32984"/>
    <w:rsid w:val="36B37984"/>
    <w:rsid w:val="36B50719"/>
    <w:rsid w:val="36B75FBF"/>
    <w:rsid w:val="36C21407"/>
    <w:rsid w:val="36C66189"/>
    <w:rsid w:val="36C7044C"/>
    <w:rsid w:val="36D3294D"/>
    <w:rsid w:val="36D44917"/>
    <w:rsid w:val="36D60A2A"/>
    <w:rsid w:val="36DC5D37"/>
    <w:rsid w:val="36E0506A"/>
    <w:rsid w:val="36E06E6E"/>
    <w:rsid w:val="36E673D2"/>
    <w:rsid w:val="36F32FEF"/>
    <w:rsid w:val="36FB4891"/>
    <w:rsid w:val="36FF7B24"/>
    <w:rsid w:val="3702134C"/>
    <w:rsid w:val="37040D59"/>
    <w:rsid w:val="37080180"/>
    <w:rsid w:val="37105893"/>
    <w:rsid w:val="371371EE"/>
    <w:rsid w:val="3717386F"/>
    <w:rsid w:val="371A75EA"/>
    <w:rsid w:val="371D62BE"/>
    <w:rsid w:val="371E51E6"/>
    <w:rsid w:val="371F1C40"/>
    <w:rsid w:val="372C02AF"/>
    <w:rsid w:val="372E7764"/>
    <w:rsid w:val="37305FF2"/>
    <w:rsid w:val="373E6FB2"/>
    <w:rsid w:val="37427C0C"/>
    <w:rsid w:val="37456489"/>
    <w:rsid w:val="37475E97"/>
    <w:rsid w:val="37645C9B"/>
    <w:rsid w:val="376637C1"/>
    <w:rsid w:val="37691FF5"/>
    <w:rsid w:val="376A45E3"/>
    <w:rsid w:val="37732382"/>
    <w:rsid w:val="37865C12"/>
    <w:rsid w:val="3789032B"/>
    <w:rsid w:val="3799275B"/>
    <w:rsid w:val="379E73FF"/>
    <w:rsid w:val="37A843EF"/>
    <w:rsid w:val="37BE6218"/>
    <w:rsid w:val="37C130EE"/>
    <w:rsid w:val="37CD160C"/>
    <w:rsid w:val="37D15536"/>
    <w:rsid w:val="37E1109A"/>
    <w:rsid w:val="37E21DC3"/>
    <w:rsid w:val="37E34E12"/>
    <w:rsid w:val="37F516A4"/>
    <w:rsid w:val="37F60A81"/>
    <w:rsid w:val="38011ED2"/>
    <w:rsid w:val="380562C5"/>
    <w:rsid w:val="38071DBE"/>
    <w:rsid w:val="38083D66"/>
    <w:rsid w:val="38174751"/>
    <w:rsid w:val="38194CD8"/>
    <w:rsid w:val="3829166C"/>
    <w:rsid w:val="383E029A"/>
    <w:rsid w:val="3843711A"/>
    <w:rsid w:val="38464A89"/>
    <w:rsid w:val="384B29B7"/>
    <w:rsid w:val="38504964"/>
    <w:rsid w:val="38514471"/>
    <w:rsid w:val="3852225C"/>
    <w:rsid w:val="3857135C"/>
    <w:rsid w:val="387A0A9D"/>
    <w:rsid w:val="38A26A7B"/>
    <w:rsid w:val="38AD71CE"/>
    <w:rsid w:val="38B63734"/>
    <w:rsid w:val="38C152A5"/>
    <w:rsid w:val="38C34C43"/>
    <w:rsid w:val="38CF1984"/>
    <w:rsid w:val="38D34E86"/>
    <w:rsid w:val="38EF3C8A"/>
    <w:rsid w:val="38F002D9"/>
    <w:rsid w:val="38F12CD3"/>
    <w:rsid w:val="38F757CE"/>
    <w:rsid w:val="38F94775"/>
    <w:rsid w:val="38FD1230"/>
    <w:rsid w:val="39074B30"/>
    <w:rsid w:val="3914549F"/>
    <w:rsid w:val="39237490"/>
    <w:rsid w:val="392971ED"/>
    <w:rsid w:val="392E47B3"/>
    <w:rsid w:val="39337134"/>
    <w:rsid w:val="39364B7F"/>
    <w:rsid w:val="393C6ED0"/>
    <w:rsid w:val="393F2F85"/>
    <w:rsid w:val="39492426"/>
    <w:rsid w:val="39495149"/>
    <w:rsid w:val="395C1320"/>
    <w:rsid w:val="396B3311"/>
    <w:rsid w:val="397D572E"/>
    <w:rsid w:val="397F0B6A"/>
    <w:rsid w:val="39835F03"/>
    <w:rsid w:val="398405F3"/>
    <w:rsid w:val="39866697"/>
    <w:rsid w:val="398E5251"/>
    <w:rsid w:val="398F4CD5"/>
    <w:rsid w:val="399A3986"/>
    <w:rsid w:val="39A93E39"/>
    <w:rsid w:val="39B93778"/>
    <w:rsid w:val="39BA766F"/>
    <w:rsid w:val="39C44409"/>
    <w:rsid w:val="39D65971"/>
    <w:rsid w:val="39EE5CF0"/>
    <w:rsid w:val="39F734E3"/>
    <w:rsid w:val="39FB3658"/>
    <w:rsid w:val="3A0067B6"/>
    <w:rsid w:val="3A034E2F"/>
    <w:rsid w:val="3A0379ED"/>
    <w:rsid w:val="3A125E82"/>
    <w:rsid w:val="3A1349CE"/>
    <w:rsid w:val="3A135156"/>
    <w:rsid w:val="3A192D6D"/>
    <w:rsid w:val="3A2434F2"/>
    <w:rsid w:val="3A24574E"/>
    <w:rsid w:val="3A317B48"/>
    <w:rsid w:val="3A3B3F6D"/>
    <w:rsid w:val="3A455684"/>
    <w:rsid w:val="3A4C7AE9"/>
    <w:rsid w:val="3A6B1310"/>
    <w:rsid w:val="3A70782A"/>
    <w:rsid w:val="3A712BA9"/>
    <w:rsid w:val="3A727CB5"/>
    <w:rsid w:val="3A742699"/>
    <w:rsid w:val="3A777A93"/>
    <w:rsid w:val="3A7C75E7"/>
    <w:rsid w:val="3AAC46D0"/>
    <w:rsid w:val="3ABA4D61"/>
    <w:rsid w:val="3ABF6847"/>
    <w:rsid w:val="3ACD1DA9"/>
    <w:rsid w:val="3AE977A0"/>
    <w:rsid w:val="3AFA7059"/>
    <w:rsid w:val="3B0803F3"/>
    <w:rsid w:val="3B0E09E5"/>
    <w:rsid w:val="3B1D354A"/>
    <w:rsid w:val="3B251346"/>
    <w:rsid w:val="3B331588"/>
    <w:rsid w:val="3B3763D1"/>
    <w:rsid w:val="3B380210"/>
    <w:rsid w:val="3B3836C7"/>
    <w:rsid w:val="3B44206B"/>
    <w:rsid w:val="3B531AA9"/>
    <w:rsid w:val="3B5F50F7"/>
    <w:rsid w:val="3B6112C1"/>
    <w:rsid w:val="3B650750"/>
    <w:rsid w:val="3B6F4C0F"/>
    <w:rsid w:val="3B831169"/>
    <w:rsid w:val="3B8E16D0"/>
    <w:rsid w:val="3B914B85"/>
    <w:rsid w:val="3B945ECC"/>
    <w:rsid w:val="3BA108CA"/>
    <w:rsid w:val="3BA40CCD"/>
    <w:rsid w:val="3BAC5E63"/>
    <w:rsid w:val="3BBF16F2"/>
    <w:rsid w:val="3BD10C2F"/>
    <w:rsid w:val="3BE12048"/>
    <w:rsid w:val="3BF5780A"/>
    <w:rsid w:val="3C000FE7"/>
    <w:rsid w:val="3C042F68"/>
    <w:rsid w:val="3C073099"/>
    <w:rsid w:val="3C0B0DDB"/>
    <w:rsid w:val="3C101F4E"/>
    <w:rsid w:val="3C17152E"/>
    <w:rsid w:val="3C1F4887"/>
    <w:rsid w:val="3C200D42"/>
    <w:rsid w:val="3C21415B"/>
    <w:rsid w:val="3C225FAE"/>
    <w:rsid w:val="3C234989"/>
    <w:rsid w:val="3C237ED3"/>
    <w:rsid w:val="3C2606E4"/>
    <w:rsid w:val="3C2A5756"/>
    <w:rsid w:val="3C3E4D0D"/>
    <w:rsid w:val="3C4B228A"/>
    <w:rsid w:val="3C4C637B"/>
    <w:rsid w:val="3C526FAF"/>
    <w:rsid w:val="3C601F76"/>
    <w:rsid w:val="3C651695"/>
    <w:rsid w:val="3C6C40AB"/>
    <w:rsid w:val="3C6C71DF"/>
    <w:rsid w:val="3C700C3E"/>
    <w:rsid w:val="3C706E90"/>
    <w:rsid w:val="3C717020"/>
    <w:rsid w:val="3C7E4C17"/>
    <w:rsid w:val="3C7E7E4E"/>
    <w:rsid w:val="3C7F554A"/>
    <w:rsid w:val="3C834E15"/>
    <w:rsid w:val="3C9506A5"/>
    <w:rsid w:val="3C9F7CC4"/>
    <w:rsid w:val="3CB43221"/>
    <w:rsid w:val="3CC176EC"/>
    <w:rsid w:val="3CC66AB0"/>
    <w:rsid w:val="3CCA7FBC"/>
    <w:rsid w:val="3CCD42E3"/>
    <w:rsid w:val="3CDA245A"/>
    <w:rsid w:val="3CDC2233"/>
    <w:rsid w:val="3CE8111C"/>
    <w:rsid w:val="3CE952A2"/>
    <w:rsid w:val="3CED6733"/>
    <w:rsid w:val="3CEE0A37"/>
    <w:rsid w:val="3D0575D8"/>
    <w:rsid w:val="3D08531B"/>
    <w:rsid w:val="3D0F48FB"/>
    <w:rsid w:val="3D211F38"/>
    <w:rsid w:val="3D22462E"/>
    <w:rsid w:val="3D361E88"/>
    <w:rsid w:val="3D3B0BDC"/>
    <w:rsid w:val="3D3B749E"/>
    <w:rsid w:val="3D501083"/>
    <w:rsid w:val="3D51281E"/>
    <w:rsid w:val="3D5347E8"/>
    <w:rsid w:val="3D65276D"/>
    <w:rsid w:val="3D673DEF"/>
    <w:rsid w:val="3D6C7658"/>
    <w:rsid w:val="3D712EC0"/>
    <w:rsid w:val="3D734E8A"/>
    <w:rsid w:val="3D807040"/>
    <w:rsid w:val="3D823580"/>
    <w:rsid w:val="3D89020A"/>
    <w:rsid w:val="3D97459D"/>
    <w:rsid w:val="3DA54A98"/>
    <w:rsid w:val="3DA577A8"/>
    <w:rsid w:val="3DB159B2"/>
    <w:rsid w:val="3DB82928"/>
    <w:rsid w:val="3DBB0A84"/>
    <w:rsid w:val="3DBF3C2B"/>
    <w:rsid w:val="3DD44618"/>
    <w:rsid w:val="3DDD67A7"/>
    <w:rsid w:val="3DE93370"/>
    <w:rsid w:val="3DEE4511"/>
    <w:rsid w:val="3DF66D78"/>
    <w:rsid w:val="3DFE2A9F"/>
    <w:rsid w:val="3E18216E"/>
    <w:rsid w:val="3E1A6317"/>
    <w:rsid w:val="3E330175"/>
    <w:rsid w:val="3E3A6BB3"/>
    <w:rsid w:val="3E3D2DA2"/>
    <w:rsid w:val="3E403DCA"/>
    <w:rsid w:val="3E5242F3"/>
    <w:rsid w:val="3E612F34"/>
    <w:rsid w:val="3E622809"/>
    <w:rsid w:val="3E647CFF"/>
    <w:rsid w:val="3E681236"/>
    <w:rsid w:val="3E6B3DB3"/>
    <w:rsid w:val="3E6C464C"/>
    <w:rsid w:val="3E6D4CFD"/>
    <w:rsid w:val="3E6D7811"/>
    <w:rsid w:val="3E6E73FF"/>
    <w:rsid w:val="3E774506"/>
    <w:rsid w:val="3E78202C"/>
    <w:rsid w:val="3E8917EA"/>
    <w:rsid w:val="3E8C60A1"/>
    <w:rsid w:val="3E953A5A"/>
    <w:rsid w:val="3EA13331"/>
    <w:rsid w:val="3EA80B63"/>
    <w:rsid w:val="3EA83324"/>
    <w:rsid w:val="3EB36DB5"/>
    <w:rsid w:val="3EB41D8A"/>
    <w:rsid w:val="3EBD403B"/>
    <w:rsid w:val="3EC301C4"/>
    <w:rsid w:val="3EC84D62"/>
    <w:rsid w:val="3ECB5B6E"/>
    <w:rsid w:val="3ECC15A2"/>
    <w:rsid w:val="3ECF0E18"/>
    <w:rsid w:val="3ED075BB"/>
    <w:rsid w:val="3ED90F17"/>
    <w:rsid w:val="3EDC00F2"/>
    <w:rsid w:val="3EDE23D3"/>
    <w:rsid w:val="3EE012AC"/>
    <w:rsid w:val="3EEF2EFF"/>
    <w:rsid w:val="3EF05DE2"/>
    <w:rsid w:val="3F010273"/>
    <w:rsid w:val="3F0A7128"/>
    <w:rsid w:val="3F0B1B5B"/>
    <w:rsid w:val="3F122481"/>
    <w:rsid w:val="3F285EE3"/>
    <w:rsid w:val="3F294E72"/>
    <w:rsid w:val="3F2B0925"/>
    <w:rsid w:val="3F32667F"/>
    <w:rsid w:val="3F406FEE"/>
    <w:rsid w:val="3F494362"/>
    <w:rsid w:val="3F4A7E6C"/>
    <w:rsid w:val="3F4B1266"/>
    <w:rsid w:val="3F597D16"/>
    <w:rsid w:val="3F660E74"/>
    <w:rsid w:val="3F664696"/>
    <w:rsid w:val="3F695B03"/>
    <w:rsid w:val="3F7875E7"/>
    <w:rsid w:val="3F7F7B16"/>
    <w:rsid w:val="3F80563C"/>
    <w:rsid w:val="3F895641"/>
    <w:rsid w:val="3F9561C4"/>
    <w:rsid w:val="3FB11C9A"/>
    <w:rsid w:val="3FB4639D"/>
    <w:rsid w:val="3FBC6A49"/>
    <w:rsid w:val="3FC05373"/>
    <w:rsid w:val="3FD471E3"/>
    <w:rsid w:val="3FD55988"/>
    <w:rsid w:val="3FD57736"/>
    <w:rsid w:val="3FD7757E"/>
    <w:rsid w:val="3FDA51C5"/>
    <w:rsid w:val="3FE40B25"/>
    <w:rsid w:val="3FEA58EE"/>
    <w:rsid w:val="400C14BB"/>
    <w:rsid w:val="400F741F"/>
    <w:rsid w:val="402B0C88"/>
    <w:rsid w:val="403C77B5"/>
    <w:rsid w:val="4049522A"/>
    <w:rsid w:val="405204BF"/>
    <w:rsid w:val="405F332D"/>
    <w:rsid w:val="40610FCA"/>
    <w:rsid w:val="4063055C"/>
    <w:rsid w:val="406E7B8B"/>
    <w:rsid w:val="407129E0"/>
    <w:rsid w:val="40730CFD"/>
    <w:rsid w:val="4076258F"/>
    <w:rsid w:val="407A6407"/>
    <w:rsid w:val="407C22A8"/>
    <w:rsid w:val="407C746F"/>
    <w:rsid w:val="40864ED4"/>
    <w:rsid w:val="408B425E"/>
    <w:rsid w:val="408F1FDB"/>
    <w:rsid w:val="409273D5"/>
    <w:rsid w:val="409A75C5"/>
    <w:rsid w:val="409B75C8"/>
    <w:rsid w:val="409C6D9E"/>
    <w:rsid w:val="409D0A28"/>
    <w:rsid w:val="409D5D7A"/>
    <w:rsid w:val="40A33088"/>
    <w:rsid w:val="40A8309D"/>
    <w:rsid w:val="40AB493B"/>
    <w:rsid w:val="40B37941"/>
    <w:rsid w:val="40C66569"/>
    <w:rsid w:val="40E542EC"/>
    <w:rsid w:val="40E66A89"/>
    <w:rsid w:val="40E961F0"/>
    <w:rsid w:val="40F31759"/>
    <w:rsid w:val="40F95338"/>
    <w:rsid w:val="40FB7670"/>
    <w:rsid w:val="41006A35"/>
    <w:rsid w:val="4107194C"/>
    <w:rsid w:val="41087697"/>
    <w:rsid w:val="41150144"/>
    <w:rsid w:val="41270465"/>
    <w:rsid w:val="412C7B03"/>
    <w:rsid w:val="41306BEE"/>
    <w:rsid w:val="41312785"/>
    <w:rsid w:val="413722F8"/>
    <w:rsid w:val="41382515"/>
    <w:rsid w:val="41391F36"/>
    <w:rsid w:val="413C62A0"/>
    <w:rsid w:val="41582240"/>
    <w:rsid w:val="4162149D"/>
    <w:rsid w:val="41675328"/>
    <w:rsid w:val="4174475C"/>
    <w:rsid w:val="418A09F4"/>
    <w:rsid w:val="418F1B67"/>
    <w:rsid w:val="41933AF2"/>
    <w:rsid w:val="4194511B"/>
    <w:rsid w:val="41990C37"/>
    <w:rsid w:val="41994793"/>
    <w:rsid w:val="41AC096A"/>
    <w:rsid w:val="41BB295C"/>
    <w:rsid w:val="41C51860"/>
    <w:rsid w:val="41C6668C"/>
    <w:rsid w:val="41D62F53"/>
    <w:rsid w:val="41E369FE"/>
    <w:rsid w:val="41FA16D6"/>
    <w:rsid w:val="41FE4FFD"/>
    <w:rsid w:val="42010C57"/>
    <w:rsid w:val="420A0238"/>
    <w:rsid w:val="420C31B7"/>
    <w:rsid w:val="42276D0B"/>
    <w:rsid w:val="42320063"/>
    <w:rsid w:val="423A3BCC"/>
    <w:rsid w:val="42472441"/>
    <w:rsid w:val="424D11BB"/>
    <w:rsid w:val="424E4B4E"/>
    <w:rsid w:val="42666D6B"/>
    <w:rsid w:val="426B4382"/>
    <w:rsid w:val="426B46C8"/>
    <w:rsid w:val="426C517F"/>
    <w:rsid w:val="42707BEA"/>
    <w:rsid w:val="4275379A"/>
    <w:rsid w:val="42795DE1"/>
    <w:rsid w:val="42882744"/>
    <w:rsid w:val="42976F25"/>
    <w:rsid w:val="42A67168"/>
    <w:rsid w:val="42AB0E5E"/>
    <w:rsid w:val="42B049AE"/>
    <w:rsid w:val="42BA2C13"/>
    <w:rsid w:val="42C35F6C"/>
    <w:rsid w:val="42E24517"/>
    <w:rsid w:val="42E9067E"/>
    <w:rsid w:val="42EC5266"/>
    <w:rsid w:val="42F8560C"/>
    <w:rsid w:val="4303092D"/>
    <w:rsid w:val="431006C5"/>
    <w:rsid w:val="43134429"/>
    <w:rsid w:val="43143972"/>
    <w:rsid w:val="431F542F"/>
    <w:rsid w:val="43217136"/>
    <w:rsid w:val="43320BA4"/>
    <w:rsid w:val="43374264"/>
    <w:rsid w:val="4339622E"/>
    <w:rsid w:val="433A6FE6"/>
    <w:rsid w:val="434F77FF"/>
    <w:rsid w:val="4350713C"/>
    <w:rsid w:val="435B038C"/>
    <w:rsid w:val="436653E0"/>
    <w:rsid w:val="437F599C"/>
    <w:rsid w:val="438E731E"/>
    <w:rsid w:val="439A33F8"/>
    <w:rsid w:val="43B15244"/>
    <w:rsid w:val="43BB30E7"/>
    <w:rsid w:val="43C94DBB"/>
    <w:rsid w:val="43DD6CE4"/>
    <w:rsid w:val="43DF3F00"/>
    <w:rsid w:val="43E42FB9"/>
    <w:rsid w:val="43E71EE8"/>
    <w:rsid w:val="43EB7C48"/>
    <w:rsid w:val="440B5E1C"/>
    <w:rsid w:val="440C3942"/>
    <w:rsid w:val="440F44BB"/>
    <w:rsid w:val="4413477E"/>
    <w:rsid w:val="44160D08"/>
    <w:rsid w:val="4427077C"/>
    <w:rsid w:val="4437040E"/>
    <w:rsid w:val="443D3AFC"/>
    <w:rsid w:val="44401691"/>
    <w:rsid w:val="44464675"/>
    <w:rsid w:val="445E579E"/>
    <w:rsid w:val="44673789"/>
    <w:rsid w:val="446B68BB"/>
    <w:rsid w:val="447A29DA"/>
    <w:rsid w:val="447A5DB2"/>
    <w:rsid w:val="447E2D90"/>
    <w:rsid w:val="44822BFD"/>
    <w:rsid w:val="44B253E8"/>
    <w:rsid w:val="44B67FAE"/>
    <w:rsid w:val="44B74C3C"/>
    <w:rsid w:val="44CD14E0"/>
    <w:rsid w:val="44D43E54"/>
    <w:rsid w:val="44DC3315"/>
    <w:rsid w:val="44E67CEF"/>
    <w:rsid w:val="44E73A68"/>
    <w:rsid w:val="44F73B1F"/>
    <w:rsid w:val="45034D45"/>
    <w:rsid w:val="45074A2A"/>
    <w:rsid w:val="450D7281"/>
    <w:rsid w:val="451B1958"/>
    <w:rsid w:val="45224182"/>
    <w:rsid w:val="452B646A"/>
    <w:rsid w:val="452E1056"/>
    <w:rsid w:val="452E755A"/>
    <w:rsid w:val="45334F26"/>
    <w:rsid w:val="45336CAD"/>
    <w:rsid w:val="453D00CF"/>
    <w:rsid w:val="45476935"/>
    <w:rsid w:val="45495644"/>
    <w:rsid w:val="45512C06"/>
    <w:rsid w:val="456D26F5"/>
    <w:rsid w:val="456F5F37"/>
    <w:rsid w:val="45796DB6"/>
    <w:rsid w:val="45870523"/>
    <w:rsid w:val="458946E9"/>
    <w:rsid w:val="458D460F"/>
    <w:rsid w:val="459260C9"/>
    <w:rsid w:val="45A32084"/>
    <w:rsid w:val="45B52BB2"/>
    <w:rsid w:val="45B63DEE"/>
    <w:rsid w:val="45C10EB7"/>
    <w:rsid w:val="45C2644D"/>
    <w:rsid w:val="45D15605"/>
    <w:rsid w:val="45D412BA"/>
    <w:rsid w:val="45D65FB6"/>
    <w:rsid w:val="45D77616"/>
    <w:rsid w:val="45DA23E9"/>
    <w:rsid w:val="45DD056A"/>
    <w:rsid w:val="45DE130F"/>
    <w:rsid w:val="45DE1881"/>
    <w:rsid w:val="45E35BB7"/>
    <w:rsid w:val="460A2104"/>
    <w:rsid w:val="460F771A"/>
    <w:rsid w:val="46160AA8"/>
    <w:rsid w:val="46226BAD"/>
    <w:rsid w:val="46302433"/>
    <w:rsid w:val="463B050F"/>
    <w:rsid w:val="463C1434"/>
    <w:rsid w:val="464D0C0F"/>
    <w:rsid w:val="465F5FAB"/>
    <w:rsid w:val="46625A9C"/>
    <w:rsid w:val="46671304"/>
    <w:rsid w:val="466A5009"/>
    <w:rsid w:val="466E18A4"/>
    <w:rsid w:val="4674757D"/>
    <w:rsid w:val="467F03FC"/>
    <w:rsid w:val="46957C1F"/>
    <w:rsid w:val="46A73440"/>
    <w:rsid w:val="46A83C74"/>
    <w:rsid w:val="46A952BD"/>
    <w:rsid w:val="46B81B60"/>
    <w:rsid w:val="46BC6EFC"/>
    <w:rsid w:val="46BF4C9C"/>
    <w:rsid w:val="46CC1167"/>
    <w:rsid w:val="46D955A7"/>
    <w:rsid w:val="46DF5208"/>
    <w:rsid w:val="46E71C7E"/>
    <w:rsid w:val="46F534FF"/>
    <w:rsid w:val="47022DDB"/>
    <w:rsid w:val="47037A27"/>
    <w:rsid w:val="47043C30"/>
    <w:rsid w:val="47120827"/>
    <w:rsid w:val="47133957"/>
    <w:rsid w:val="47207115"/>
    <w:rsid w:val="47217CF8"/>
    <w:rsid w:val="47303D6A"/>
    <w:rsid w:val="47332DE9"/>
    <w:rsid w:val="47383AAB"/>
    <w:rsid w:val="473C7EF9"/>
    <w:rsid w:val="475168DB"/>
    <w:rsid w:val="47541888"/>
    <w:rsid w:val="475660AB"/>
    <w:rsid w:val="475675D5"/>
    <w:rsid w:val="475950F1"/>
    <w:rsid w:val="4768205A"/>
    <w:rsid w:val="47694C08"/>
    <w:rsid w:val="47713249"/>
    <w:rsid w:val="47746D69"/>
    <w:rsid w:val="477777EA"/>
    <w:rsid w:val="4779329E"/>
    <w:rsid w:val="47836710"/>
    <w:rsid w:val="47883CE9"/>
    <w:rsid w:val="479F062A"/>
    <w:rsid w:val="47A07E0C"/>
    <w:rsid w:val="47AA5690"/>
    <w:rsid w:val="47B90940"/>
    <w:rsid w:val="47C17F0C"/>
    <w:rsid w:val="47C307BC"/>
    <w:rsid w:val="47C82FB0"/>
    <w:rsid w:val="47D209FF"/>
    <w:rsid w:val="47DA0A40"/>
    <w:rsid w:val="47EA42C6"/>
    <w:rsid w:val="47F019BC"/>
    <w:rsid w:val="47F40975"/>
    <w:rsid w:val="480A63EB"/>
    <w:rsid w:val="480D1A37"/>
    <w:rsid w:val="48111527"/>
    <w:rsid w:val="48166DD0"/>
    <w:rsid w:val="48257E52"/>
    <w:rsid w:val="48476A5C"/>
    <w:rsid w:val="484916ED"/>
    <w:rsid w:val="48497374"/>
    <w:rsid w:val="484F3DFE"/>
    <w:rsid w:val="485E04E5"/>
    <w:rsid w:val="486B34BE"/>
    <w:rsid w:val="4870272E"/>
    <w:rsid w:val="487062CD"/>
    <w:rsid w:val="488066AD"/>
    <w:rsid w:val="4883407F"/>
    <w:rsid w:val="48855A71"/>
    <w:rsid w:val="48865746"/>
    <w:rsid w:val="489802F5"/>
    <w:rsid w:val="489B34E7"/>
    <w:rsid w:val="489B5AB1"/>
    <w:rsid w:val="48AE1226"/>
    <w:rsid w:val="48AE6D76"/>
    <w:rsid w:val="48B545A9"/>
    <w:rsid w:val="48BB2D94"/>
    <w:rsid w:val="48C12F4D"/>
    <w:rsid w:val="48C52312"/>
    <w:rsid w:val="48C57C72"/>
    <w:rsid w:val="48C81D33"/>
    <w:rsid w:val="48CD2E6C"/>
    <w:rsid w:val="48CE3E95"/>
    <w:rsid w:val="48D27316"/>
    <w:rsid w:val="48D4476D"/>
    <w:rsid w:val="48DA3A37"/>
    <w:rsid w:val="48E24C72"/>
    <w:rsid w:val="48EB7BF9"/>
    <w:rsid w:val="48ED6256"/>
    <w:rsid w:val="48F10636"/>
    <w:rsid w:val="48F919E4"/>
    <w:rsid w:val="48FA76C3"/>
    <w:rsid w:val="48FF12C3"/>
    <w:rsid w:val="49117305"/>
    <w:rsid w:val="4929700B"/>
    <w:rsid w:val="49480447"/>
    <w:rsid w:val="495346B5"/>
    <w:rsid w:val="496C2284"/>
    <w:rsid w:val="496F109B"/>
    <w:rsid w:val="49763089"/>
    <w:rsid w:val="499441BE"/>
    <w:rsid w:val="499762C9"/>
    <w:rsid w:val="49A5195F"/>
    <w:rsid w:val="49A5461D"/>
    <w:rsid w:val="49A95790"/>
    <w:rsid w:val="49B05A22"/>
    <w:rsid w:val="49BD289B"/>
    <w:rsid w:val="49C01457"/>
    <w:rsid w:val="49D64A8F"/>
    <w:rsid w:val="49DC7715"/>
    <w:rsid w:val="49E30CA1"/>
    <w:rsid w:val="49E53502"/>
    <w:rsid w:val="49E93658"/>
    <w:rsid w:val="4A023139"/>
    <w:rsid w:val="4A07558D"/>
    <w:rsid w:val="4A083425"/>
    <w:rsid w:val="4A0B78D0"/>
    <w:rsid w:val="4A0F3952"/>
    <w:rsid w:val="4A1470AD"/>
    <w:rsid w:val="4A155722"/>
    <w:rsid w:val="4A1B53AE"/>
    <w:rsid w:val="4A1E7F2C"/>
    <w:rsid w:val="4A297B2E"/>
    <w:rsid w:val="4A3C76D1"/>
    <w:rsid w:val="4A47126A"/>
    <w:rsid w:val="4A492DCC"/>
    <w:rsid w:val="4A5158F0"/>
    <w:rsid w:val="4A5A2F1C"/>
    <w:rsid w:val="4A62606A"/>
    <w:rsid w:val="4A6A57A9"/>
    <w:rsid w:val="4A7B576F"/>
    <w:rsid w:val="4A812C1C"/>
    <w:rsid w:val="4A8B55DB"/>
    <w:rsid w:val="4A9C3861"/>
    <w:rsid w:val="4A9C7657"/>
    <w:rsid w:val="4AA246B9"/>
    <w:rsid w:val="4AA72479"/>
    <w:rsid w:val="4AB4782F"/>
    <w:rsid w:val="4AB65C36"/>
    <w:rsid w:val="4ABA5EA6"/>
    <w:rsid w:val="4ABF4FD6"/>
    <w:rsid w:val="4AC62A9D"/>
    <w:rsid w:val="4AD149B5"/>
    <w:rsid w:val="4AD465F8"/>
    <w:rsid w:val="4AE178D7"/>
    <w:rsid w:val="4AFB1548"/>
    <w:rsid w:val="4AFF5FAF"/>
    <w:rsid w:val="4B175AC4"/>
    <w:rsid w:val="4B1D3419"/>
    <w:rsid w:val="4B231661"/>
    <w:rsid w:val="4B2951DB"/>
    <w:rsid w:val="4B2A7ADF"/>
    <w:rsid w:val="4B2C5164"/>
    <w:rsid w:val="4B40537F"/>
    <w:rsid w:val="4B4614E8"/>
    <w:rsid w:val="4B4867BA"/>
    <w:rsid w:val="4B4A3F05"/>
    <w:rsid w:val="4B4C5754"/>
    <w:rsid w:val="4B531E57"/>
    <w:rsid w:val="4B6B7777"/>
    <w:rsid w:val="4B771FE9"/>
    <w:rsid w:val="4B7A73E4"/>
    <w:rsid w:val="4B8169C4"/>
    <w:rsid w:val="4B874D97"/>
    <w:rsid w:val="4B92297F"/>
    <w:rsid w:val="4B941C34"/>
    <w:rsid w:val="4BA06591"/>
    <w:rsid w:val="4BA158FB"/>
    <w:rsid w:val="4BA32DDE"/>
    <w:rsid w:val="4BAA586E"/>
    <w:rsid w:val="4BAD21BF"/>
    <w:rsid w:val="4BAD5A0B"/>
    <w:rsid w:val="4BAF68C7"/>
    <w:rsid w:val="4BB42ABF"/>
    <w:rsid w:val="4BCD3588"/>
    <w:rsid w:val="4BCE6A0B"/>
    <w:rsid w:val="4BD636E1"/>
    <w:rsid w:val="4BDA35CF"/>
    <w:rsid w:val="4BDE7972"/>
    <w:rsid w:val="4BE447B1"/>
    <w:rsid w:val="4BEB02E1"/>
    <w:rsid w:val="4BEB429E"/>
    <w:rsid w:val="4BF6709C"/>
    <w:rsid w:val="4C0F5757"/>
    <w:rsid w:val="4C2029A5"/>
    <w:rsid w:val="4C272DFE"/>
    <w:rsid w:val="4C3C111C"/>
    <w:rsid w:val="4C440E08"/>
    <w:rsid w:val="4C4A0649"/>
    <w:rsid w:val="4C4C4E75"/>
    <w:rsid w:val="4C650094"/>
    <w:rsid w:val="4C6F0F12"/>
    <w:rsid w:val="4C7040BA"/>
    <w:rsid w:val="4C7D53DD"/>
    <w:rsid w:val="4C945707"/>
    <w:rsid w:val="4CA35883"/>
    <w:rsid w:val="4CAB010F"/>
    <w:rsid w:val="4CB9338A"/>
    <w:rsid w:val="4CC622D3"/>
    <w:rsid w:val="4CD44FFC"/>
    <w:rsid w:val="4CD945DE"/>
    <w:rsid w:val="4CE470D3"/>
    <w:rsid w:val="4CEC4A24"/>
    <w:rsid w:val="4CF431C6"/>
    <w:rsid w:val="4CF65190"/>
    <w:rsid w:val="4D0B0C3B"/>
    <w:rsid w:val="4D16138E"/>
    <w:rsid w:val="4D241CFD"/>
    <w:rsid w:val="4D2B65D0"/>
    <w:rsid w:val="4D556A7E"/>
    <w:rsid w:val="4D5A3970"/>
    <w:rsid w:val="4D6378F5"/>
    <w:rsid w:val="4D677DE2"/>
    <w:rsid w:val="4D6C0FAE"/>
    <w:rsid w:val="4D6D5DAB"/>
    <w:rsid w:val="4D7275A6"/>
    <w:rsid w:val="4D764CFE"/>
    <w:rsid w:val="4D7762D0"/>
    <w:rsid w:val="4D7B7443"/>
    <w:rsid w:val="4D7B7DCB"/>
    <w:rsid w:val="4D8602C2"/>
    <w:rsid w:val="4D8A30FB"/>
    <w:rsid w:val="4D950BB1"/>
    <w:rsid w:val="4D981DA3"/>
    <w:rsid w:val="4D9A7053"/>
    <w:rsid w:val="4DA22C22"/>
    <w:rsid w:val="4DA70238"/>
    <w:rsid w:val="4DAB7E31"/>
    <w:rsid w:val="4DAF6024"/>
    <w:rsid w:val="4DBE213E"/>
    <w:rsid w:val="4DC615CA"/>
    <w:rsid w:val="4DC808DA"/>
    <w:rsid w:val="4DDC25D7"/>
    <w:rsid w:val="4DEC4FB0"/>
    <w:rsid w:val="4DF72F6D"/>
    <w:rsid w:val="4E075D8A"/>
    <w:rsid w:val="4E0D09E3"/>
    <w:rsid w:val="4E1403A4"/>
    <w:rsid w:val="4E231EC4"/>
    <w:rsid w:val="4E2A33BF"/>
    <w:rsid w:val="4E3551DB"/>
    <w:rsid w:val="4E391AD4"/>
    <w:rsid w:val="4E393586"/>
    <w:rsid w:val="4E416DAE"/>
    <w:rsid w:val="4E4D783A"/>
    <w:rsid w:val="4E4E4FFF"/>
    <w:rsid w:val="4E4F4B19"/>
    <w:rsid w:val="4E521D97"/>
    <w:rsid w:val="4E5D55DC"/>
    <w:rsid w:val="4E612ADD"/>
    <w:rsid w:val="4E7500C4"/>
    <w:rsid w:val="4E791BD4"/>
    <w:rsid w:val="4E806B39"/>
    <w:rsid w:val="4E864244"/>
    <w:rsid w:val="4E8B2EBB"/>
    <w:rsid w:val="4E9A001F"/>
    <w:rsid w:val="4E9B1B4B"/>
    <w:rsid w:val="4EAC18A3"/>
    <w:rsid w:val="4EAD2650"/>
    <w:rsid w:val="4EAD4B2A"/>
    <w:rsid w:val="4EB33AF8"/>
    <w:rsid w:val="4EDB1FF6"/>
    <w:rsid w:val="4EDF49D9"/>
    <w:rsid w:val="4EE6657B"/>
    <w:rsid w:val="4EEA2AD2"/>
    <w:rsid w:val="4EF37BD9"/>
    <w:rsid w:val="4EF94AC3"/>
    <w:rsid w:val="4F0340AE"/>
    <w:rsid w:val="4F20524E"/>
    <w:rsid w:val="4F334479"/>
    <w:rsid w:val="4F3421D6"/>
    <w:rsid w:val="4F375C04"/>
    <w:rsid w:val="4F3F4830"/>
    <w:rsid w:val="4F5426E8"/>
    <w:rsid w:val="4F5D32A4"/>
    <w:rsid w:val="4F660CD1"/>
    <w:rsid w:val="4F697E9B"/>
    <w:rsid w:val="4F6B6F0B"/>
    <w:rsid w:val="4F8E2FB7"/>
    <w:rsid w:val="4F8F76AB"/>
    <w:rsid w:val="4F9F566B"/>
    <w:rsid w:val="4FA17831"/>
    <w:rsid w:val="4FA8700B"/>
    <w:rsid w:val="4FAA25A7"/>
    <w:rsid w:val="4FAC4F91"/>
    <w:rsid w:val="4FB2063B"/>
    <w:rsid w:val="4FBF3F5F"/>
    <w:rsid w:val="4FC62A8C"/>
    <w:rsid w:val="4FD33566"/>
    <w:rsid w:val="4FD34C3B"/>
    <w:rsid w:val="4FE20F0D"/>
    <w:rsid w:val="4FF20C6F"/>
    <w:rsid w:val="4FF76115"/>
    <w:rsid w:val="4FFC1AA7"/>
    <w:rsid w:val="5018394F"/>
    <w:rsid w:val="501C4F0D"/>
    <w:rsid w:val="5023004A"/>
    <w:rsid w:val="502D4D21"/>
    <w:rsid w:val="504001F7"/>
    <w:rsid w:val="50504C4B"/>
    <w:rsid w:val="505A77E4"/>
    <w:rsid w:val="505F4DFA"/>
    <w:rsid w:val="50615016"/>
    <w:rsid w:val="50625A43"/>
    <w:rsid w:val="50626EAD"/>
    <w:rsid w:val="5065417F"/>
    <w:rsid w:val="50795EEE"/>
    <w:rsid w:val="50840948"/>
    <w:rsid w:val="5089404A"/>
    <w:rsid w:val="509C6E7C"/>
    <w:rsid w:val="50A54F03"/>
    <w:rsid w:val="50D55690"/>
    <w:rsid w:val="50D636F8"/>
    <w:rsid w:val="50D81C80"/>
    <w:rsid w:val="50D90CEB"/>
    <w:rsid w:val="50DD28EE"/>
    <w:rsid w:val="50ED0658"/>
    <w:rsid w:val="511177E7"/>
    <w:rsid w:val="51154C18"/>
    <w:rsid w:val="511B3417"/>
    <w:rsid w:val="511F5082"/>
    <w:rsid w:val="512541D4"/>
    <w:rsid w:val="512963B4"/>
    <w:rsid w:val="51357582"/>
    <w:rsid w:val="51542485"/>
    <w:rsid w:val="5154450C"/>
    <w:rsid w:val="51575F89"/>
    <w:rsid w:val="51591589"/>
    <w:rsid w:val="5162104E"/>
    <w:rsid w:val="51856AE2"/>
    <w:rsid w:val="518D2E57"/>
    <w:rsid w:val="519834FE"/>
    <w:rsid w:val="519C6D74"/>
    <w:rsid w:val="519D0546"/>
    <w:rsid w:val="519F1952"/>
    <w:rsid w:val="519F7BA4"/>
    <w:rsid w:val="51AA348A"/>
    <w:rsid w:val="51AA7A90"/>
    <w:rsid w:val="51B64EEE"/>
    <w:rsid w:val="51C71A20"/>
    <w:rsid w:val="51E97071"/>
    <w:rsid w:val="51ED79CE"/>
    <w:rsid w:val="51F44E42"/>
    <w:rsid w:val="521627B9"/>
    <w:rsid w:val="52173BDE"/>
    <w:rsid w:val="52181704"/>
    <w:rsid w:val="521A149B"/>
    <w:rsid w:val="521C106F"/>
    <w:rsid w:val="521F414C"/>
    <w:rsid w:val="5224454D"/>
    <w:rsid w:val="5236646F"/>
    <w:rsid w:val="523953CA"/>
    <w:rsid w:val="52432C25"/>
    <w:rsid w:val="52560A98"/>
    <w:rsid w:val="525B3762"/>
    <w:rsid w:val="52727066"/>
    <w:rsid w:val="52741030"/>
    <w:rsid w:val="52976ACD"/>
    <w:rsid w:val="5299291C"/>
    <w:rsid w:val="529C40E3"/>
    <w:rsid w:val="52AC6530"/>
    <w:rsid w:val="52C34663"/>
    <w:rsid w:val="52CC0FE3"/>
    <w:rsid w:val="52CD6459"/>
    <w:rsid w:val="52D54CD9"/>
    <w:rsid w:val="52D95F2A"/>
    <w:rsid w:val="52E16057"/>
    <w:rsid w:val="52E95507"/>
    <w:rsid w:val="52F10B4A"/>
    <w:rsid w:val="52FC5409"/>
    <w:rsid w:val="53057EDB"/>
    <w:rsid w:val="533407C0"/>
    <w:rsid w:val="533C5605"/>
    <w:rsid w:val="533D7674"/>
    <w:rsid w:val="533F27A3"/>
    <w:rsid w:val="533F594D"/>
    <w:rsid w:val="534A7FE3"/>
    <w:rsid w:val="535350EA"/>
    <w:rsid w:val="53582700"/>
    <w:rsid w:val="535D1AC5"/>
    <w:rsid w:val="5361397A"/>
    <w:rsid w:val="53686FA6"/>
    <w:rsid w:val="537137C2"/>
    <w:rsid w:val="5383155B"/>
    <w:rsid w:val="539B03B7"/>
    <w:rsid w:val="53A039CC"/>
    <w:rsid w:val="53A1505A"/>
    <w:rsid w:val="53A92F5C"/>
    <w:rsid w:val="53B84F4D"/>
    <w:rsid w:val="53BD6A07"/>
    <w:rsid w:val="53CB6987"/>
    <w:rsid w:val="53DB793F"/>
    <w:rsid w:val="53E112AE"/>
    <w:rsid w:val="53E16FA0"/>
    <w:rsid w:val="53E971A6"/>
    <w:rsid w:val="53EC2E48"/>
    <w:rsid w:val="53FD32A8"/>
    <w:rsid w:val="540006A2"/>
    <w:rsid w:val="540515B2"/>
    <w:rsid w:val="5406215C"/>
    <w:rsid w:val="54063E08"/>
    <w:rsid w:val="54094BB6"/>
    <w:rsid w:val="540D5224"/>
    <w:rsid w:val="54206CAF"/>
    <w:rsid w:val="542D593B"/>
    <w:rsid w:val="542E16B3"/>
    <w:rsid w:val="542E3461"/>
    <w:rsid w:val="543437E8"/>
    <w:rsid w:val="543E18F6"/>
    <w:rsid w:val="544C12D9"/>
    <w:rsid w:val="54597485"/>
    <w:rsid w:val="545F21EB"/>
    <w:rsid w:val="54600175"/>
    <w:rsid w:val="54613836"/>
    <w:rsid w:val="54651E79"/>
    <w:rsid w:val="546834F7"/>
    <w:rsid w:val="546F7495"/>
    <w:rsid w:val="546F7BDB"/>
    <w:rsid w:val="5488191F"/>
    <w:rsid w:val="548B079E"/>
    <w:rsid w:val="548B4A39"/>
    <w:rsid w:val="548D7CCD"/>
    <w:rsid w:val="54987D46"/>
    <w:rsid w:val="54A02118"/>
    <w:rsid w:val="54A656ED"/>
    <w:rsid w:val="54AB2D04"/>
    <w:rsid w:val="54BD0825"/>
    <w:rsid w:val="54C554A0"/>
    <w:rsid w:val="54C87412"/>
    <w:rsid w:val="54CD4A28"/>
    <w:rsid w:val="54F56424"/>
    <w:rsid w:val="54F915E4"/>
    <w:rsid w:val="54FF0D12"/>
    <w:rsid w:val="55015797"/>
    <w:rsid w:val="55063160"/>
    <w:rsid w:val="55081F04"/>
    <w:rsid w:val="5516017D"/>
    <w:rsid w:val="551665AC"/>
    <w:rsid w:val="551C7FEE"/>
    <w:rsid w:val="55263D42"/>
    <w:rsid w:val="5531335D"/>
    <w:rsid w:val="553C395C"/>
    <w:rsid w:val="554D2D10"/>
    <w:rsid w:val="55706805"/>
    <w:rsid w:val="55775F37"/>
    <w:rsid w:val="558275C0"/>
    <w:rsid w:val="55867A3E"/>
    <w:rsid w:val="5590267A"/>
    <w:rsid w:val="55967510"/>
    <w:rsid w:val="5599065B"/>
    <w:rsid w:val="55994EFA"/>
    <w:rsid w:val="559B174B"/>
    <w:rsid w:val="559E5E50"/>
    <w:rsid w:val="559F4616"/>
    <w:rsid w:val="55A91672"/>
    <w:rsid w:val="55AE4859"/>
    <w:rsid w:val="55B12F72"/>
    <w:rsid w:val="55B30C6F"/>
    <w:rsid w:val="55BB7386"/>
    <w:rsid w:val="55CE0CF4"/>
    <w:rsid w:val="55D33BEB"/>
    <w:rsid w:val="55DC6199"/>
    <w:rsid w:val="55E20200"/>
    <w:rsid w:val="55E30453"/>
    <w:rsid w:val="55EB785C"/>
    <w:rsid w:val="55EE0C0B"/>
    <w:rsid w:val="55FE4DF2"/>
    <w:rsid w:val="56015ACF"/>
    <w:rsid w:val="56025D12"/>
    <w:rsid w:val="56116B96"/>
    <w:rsid w:val="561543F9"/>
    <w:rsid w:val="561D057C"/>
    <w:rsid w:val="561F5757"/>
    <w:rsid w:val="5622311F"/>
    <w:rsid w:val="562B0F19"/>
    <w:rsid w:val="56304152"/>
    <w:rsid w:val="565A053D"/>
    <w:rsid w:val="565D29BD"/>
    <w:rsid w:val="566C6E78"/>
    <w:rsid w:val="56777341"/>
    <w:rsid w:val="567A298E"/>
    <w:rsid w:val="56820EBE"/>
    <w:rsid w:val="5682576B"/>
    <w:rsid w:val="56867584"/>
    <w:rsid w:val="568B780E"/>
    <w:rsid w:val="56917FFA"/>
    <w:rsid w:val="56991885"/>
    <w:rsid w:val="56AD10C8"/>
    <w:rsid w:val="56B22A9C"/>
    <w:rsid w:val="56C34335"/>
    <w:rsid w:val="56C41D00"/>
    <w:rsid w:val="56C67981"/>
    <w:rsid w:val="56DA342C"/>
    <w:rsid w:val="56DB78D0"/>
    <w:rsid w:val="570A3D11"/>
    <w:rsid w:val="571A1A7B"/>
    <w:rsid w:val="57247FC6"/>
    <w:rsid w:val="57283E15"/>
    <w:rsid w:val="57296064"/>
    <w:rsid w:val="572C721D"/>
    <w:rsid w:val="57375517"/>
    <w:rsid w:val="5739054F"/>
    <w:rsid w:val="573A3E2D"/>
    <w:rsid w:val="573B036F"/>
    <w:rsid w:val="575162D3"/>
    <w:rsid w:val="57552888"/>
    <w:rsid w:val="575823DC"/>
    <w:rsid w:val="575D6537"/>
    <w:rsid w:val="57674DAE"/>
    <w:rsid w:val="57694AAA"/>
    <w:rsid w:val="57715412"/>
    <w:rsid w:val="578002AD"/>
    <w:rsid w:val="578C02FB"/>
    <w:rsid w:val="57902535"/>
    <w:rsid w:val="57911D3D"/>
    <w:rsid w:val="57931F59"/>
    <w:rsid w:val="57947A7F"/>
    <w:rsid w:val="57970FED"/>
    <w:rsid w:val="57995095"/>
    <w:rsid w:val="579D42FE"/>
    <w:rsid w:val="57A827EB"/>
    <w:rsid w:val="57AF2B0B"/>
    <w:rsid w:val="57B23D4D"/>
    <w:rsid w:val="57B72A76"/>
    <w:rsid w:val="57C55E8A"/>
    <w:rsid w:val="57D1482F"/>
    <w:rsid w:val="57EF00B6"/>
    <w:rsid w:val="57F56770"/>
    <w:rsid w:val="58044C05"/>
    <w:rsid w:val="58122C57"/>
    <w:rsid w:val="58306EC5"/>
    <w:rsid w:val="583D3C73"/>
    <w:rsid w:val="584064A7"/>
    <w:rsid w:val="58421F81"/>
    <w:rsid w:val="58475B00"/>
    <w:rsid w:val="584A01F7"/>
    <w:rsid w:val="584C011C"/>
    <w:rsid w:val="584E0FF1"/>
    <w:rsid w:val="5853023D"/>
    <w:rsid w:val="5857493E"/>
    <w:rsid w:val="585D5704"/>
    <w:rsid w:val="5866001C"/>
    <w:rsid w:val="5866766D"/>
    <w:rsid w:val="58726CBF"/>
    <w:rsid w:val="58863F43"/>
    <w:rsid w:val="58922E40"/>
    <w:rsid w:val="58A904F4"/>
    <w:rsid w:val="58B96B20"/>
    <w:rsid w:val="58C85F6F"/>
    <w:rsid w:val="58CF35C3"/>
    <w:rsid w:val="58D21E2A"/>
    <w:rsid w:val="58DB3F86"/>
    <w:rsid w:val="590A4832"/>
    <w:rsid w:val="591649D9"/>
    <w:rsid w:val="591E5852"/>
    <w:rsid w:val="592F391B"/>
    <w:rsid w:val="59352B9C"/>
    <w:rsid w:val="59373695"/>
    <w:rsid w:val="59390254"/>
    <w:rsid w:val="59474B67"/>
    <w:rsid w:val="5949702C"/>
    <w:rsid w:val="594C534C"/>
    <w:rsid w:val="59511858"/>
    <w:rsid w:val="595B6AA6"/>
    <w:rsid w:val="595C4531"/>
    <w:rsid w:val="595C45CC"/>
    <w:rsid w:val="59611BE3"/>
    <w:rsid w:val="5968062F"/>
    <w:rsid w:val="596C7D74"/>
    <w:rsid w:val="596F2552"/>
    <w:rsid w:val="59725DF0"/>
    <w:rsid w:val="59771406"/>
    <w:rsid w:val="597C3513"/>
    <w:rsid w:val="597D0032"/>
    <w:rsid w:val="5980650D"/>
    <w:rsid w:val="5989091E"/>
    <w:rsid w:val="598D29D8"/>
    <w:rsid w:val="599241AE"/>
    <w:rsid w:val="59A43FB3"/>
    <w:rsid w:val="59A70319"/>
    <w:rsid w:val="59BF27F8"/>
    <w:rsid w:val="59C43FC4"/>
    <w:rsid w:val="59C906AD"/>
    <w:rsid w:val="59D86349"/>
    <w:rsid w:val="59DF29F9"/>
    <w:rsid w:val="59E36567"/>
    <w:rsid w:val="59EC032B"/>
    <w:rsid w:val="59F52EB6"/>
    <w:rsid w:val="5A0D2948"/>
    <w:rsid w:val="5A0E1D6B"/>
    <w:rsid w:val="5A143ACA"/>
    <w:rsid w:val="5A1530F9"/>
    <w:rsid w:val="5A184997"/>
    <w:rsid w:val="5A2F26ED"/>
    <w:rsid w:val="5A3345AF"/>
    <w:rsid w:val="5A3640BC"/>
    <w:rsid w:val="5A3C747D"/>
    <w:rsid w:val="5A3F2AB3"/>
    <w:rsid w:val="5A492C7D"/>
    <w:rsid w:val="5A511C57"/>
    <w:rsid w:val="5A554D3D"/>
    <w:rsid w:val="5A572041"/>
    <w:rsid w:val="5A58069D"/>
    <w:rsid w:val="5A5C0D28"/>
    <w:rsid w:val="5A5E09DC"/>
    <w:rsid w:val="5A677564"/>
    <w:rsid w:val="5A7F2D74"/>
    <w:rsid w:val="5A952398"/>
    <w:rsid w:val="5A9E6FA5"/>
    <w:rsid w:val="5A9F29C3"/>
    <w:rsid w:val="5AA1673B"/>
    <w:rsid w:val="5AA16998"/>
    <w:rsid w:val="5ABE2233"/>
    <w:rsid w:val="5AC93EE4"/>
    <w:rsid w:val="5AC95C92"/>
    <w:rsid w:val="5ACA152F"/>
    <w:rsid w:val="5ADF515D"/>
    <w:rsid w:val="5AE05E80"/>
    <w:rsid w:val="5AE063CF"/>
    <w:rsid w:val="5AEA6A34"/>
    <w:rsid w:val="5B096126"/>
    <w:rsid w:val="5B0B1E06"/>
    <w:rsid w:val="5B122A3D"/>
    <w:rsid w:val="5B171880"/>
    <w:rsid w:val="5B1C7C34"/>
    <w:rsid w:val="5B2630E4"/>
    <w:rsid w:val="5B264E92"/>
    <w:rsid w:val="5B276D18"/>
    <w:rsid w:val="5B3326AC"/>
    <w:rsid w:val="5B397D61"/>
    <w:rsid w:val="5B3F1D42"/>
    <w:rsid w:val="5B465534"/>
    <w:rsid w:val="5B4900D3"/>
    <w:rsid w:val="5B4E311B"/>
    <w:rsid w:val="5B527A35"/>
    <w:rsid w:val="5B721297"/>
    <w:rsid w:val="5B737973"/>
    <w:rsid w:val="5B764FDB"/>
    <w:rsid w:val="5B773940"/>
    <w:rsid w:val="5B791466"/>
    <w:rsid w:val="5B863903"/>
    <w:rsid w:val="5B880EC4"/>
    <w:rsid w:val="5B995664"/>
    <w:rsid w:val="5BAA0319"/>
    <w:rsid w:val="5BC62565"/>
    <w:rsid w:val="5BC95AD0"/>
    <w:rsid w:val="5BD20656"/>
    <w:rsid w:val="5BD743DE"/>
    <w:rsid w:val="5BDF5D95"/>
    <w:rsid w:val="5BDF6F3B"/>
    <w:rsid w:val="5BE07737"/>
    <w:rsid w:val="5BE508A9"/>
    <w:rsid w:val="5BF136F2"/>
    <w:rsid w:val="5C001B87"/>
    <w:rsid w:val="5C0656BF"/>
    <w:rsid w:val="5C0827EA"/>
    <w:rsid w:val="5C0D7E00"/>
    <w:rsid w:val="5C103350"/>
    <w:rsid w:val="5C152006"/>
    <w:rsid w:val="5C163A60"/>
    <w:rsid w:val="5C224D28"/>
    <w:rsid w:val="5C225659"/>
    <w:rsid w:val="5C4B7D0B"/>
    <w:rsid w:val="5C502358"/>
    <w:rsid w:val="5C543CC8"/>
    <w:rsid w:val="5C634CAE"/>
    <w:rsid w:val="5C741C2D"/>
    <w:rsid w:val="5C743C2D"/>
    <w:rsid w:val="5C761E49"/>
    <w:rsid w:val="5C7B1749"/>
    <w:rsid w:val="5C7D7264"/>
    <w:rsid w:val="5C82434A"/>
    <w:rsid w:val="5CC84970"/>
    <w:rsid w:val="5CCC4FB3"/>
    <w:rsid w:val="5CCE3A33"/>
    <w:rsid w:val="5CE37027"/>
    <w:rsid w:val="5CE648D9"/>
    <w:rsid w:val="5CE76A3C"/>
    <w:rsid w:val="5CF80DA3"/>
    <w:rsid w:val="5CFE2E21"/>
    <w:rsid w:val="5D0E5BDE"/>
    <w:rsid w:val="5D1C0E89"/>
    <w:rsid w:val="5D235B2D"/>
    <w:rsid w:val="5D270A95"/>
    <w:rsid w:val="5D2814E8"/>
    <w:rsid w:val="5D323FC2"/>
    <w:rsid w:val="5D38332F"/>
    <w:rsid w:val="5D3A4C25"/>
    <w:rsid w:val="5D473969"/>
    <w:rsid w:val="5D4B263A"/>
    <w:rsid w:val="5D4C57F4"/>
    <w:rsid w:val="5D6E241A"/>
    <w:rsid w:val="5D6E4CAC"/>
    <w:rsid w:val="5D776DD8"/>
    <w:rsid w:val="5D822F74"/>
    <w:rsid w:val="5D8C264D"/>
    <w:rsid w:val="5D961298"/>
    <w:rsid w:val="5D964E5C"/>
    <w:rsid w:val="5D97796F"/>
    <w:rsid w:val="5D9B1B67"/>
    <w:rsid w:val="5DA86032"/>
    <w:rsid w:val="5DA86906"/>
    <w:rsid w:val="5DB37248"/>
    <w:rsid w:val="5DB6074F"/>
    <w:rsid w:val="5DBA36AA"/>
    <w:rsid w:val="5DBC1D15"/>
    <w:rsid w:val="5DC42740"/>
    <w:rsid w:val="5DDD390F"/>
    <w:rsid w:val="5DDD3DEA"/>
    <w:rsid w:val="5DF11787"/>
    <w:rsid w:val="5DF87A0F"/>
    <w:rsid w:val="5E0A1C4D"/>
    <w:rsid w:val="5E114984"/>
    <w:rsid w:val="5E12478E"/>
    <w:rsid w:val="5E135BA1"/>
    <w:rsid w:val="5E2D6537"/>
    <w:rsid w:val="5E2F21EE"/>
    <w:rsid w:val="5E333249"/>
    <w:rsid w:val="5E391380"/>
    <w:rsid w:val="5E4F4700"/>
    <w:rsid w:val="5E582490"/>
    <w:rsid w:val="5E58309E"/>
    <w:rsid w:val="5E6301AB"/>
    <w:rsid w:val="5E663DF0"/>
    <w:rsid w:val="5E6A32E8"/>
    <w:rsid w:val="5E6A778C"/>
    <w:rsid w:val="5E7D74BF"/>
    <w:rsid w:val="5E851712"/>
    <w:rsid w:val="5E891C0E"/>
    <w:rsid w:val="5E9268B6"/>
    <w:rsid w:val="5EA22A00"/>
    <w:rsid w:val="5EA70098"/>
    <w:rsid w:val="5EB1682F"/>
    <w:rsid w:val="5EBA3655"/>
    <w:rsid w:val="5EBE0D3D"/>
    <w:rsid w:val="5ECB022A"/>
    <w:rsid w:val="5ECF0226"/>
    <w:rsid w:val="5EEA61D6"/>
    <w:rsid w:val="5EED1F60"/>
    <w:rsid w:val="5EED5FFE"/>
    <w:rsid w:val="5EF21E95"/>
    <w:rsid w:val="5F0A1402"/>
    <w:rsid w:val="5F0F54BD"/>
    <w:rsid w:val="5F1A2B43"/>
    <w:rsid w:val="5F1A5F92"/>
    <w:rsid w:val="5F2525D5"/>
    <w:rsid w:val="5F35380E"/>
    <w:rsid w:val="5F360612"/>
    <w:rsid w:val="5F411715"/>
    <w:rsid w:val="5F5244A8"/>
    <w:rsid w:val="5F5521EA"/>
    <w:rsid w:val="5F5C0E82"/>
    <w:rsid w:val="5F672628"/>
    <w:rsid w:val="5F773F0E"/>
    <w:rsid w:val="5F777E2D"/>
    <w:rsid w:val="5F7C6CA6"/>
    <w:rsid w:val="5F7F06E5"/>
    <w:rsid w:val="5F7F769B"/>
    <w:rsid w:val="5F84789F"/>
    <w:rsid w:val="5F851ACB"/>
    <w:rsid w:val="5F921CDC"/>
    <w:rsid w:val="5F97010C"/>
    <w:rsid w:val="5F9870CA"/>
    <w:rsid w:val="5FA12D39"/>
    <w:rsid w:val="5FA42DEC"/>
    <w:rsid w:val="5FA665A1"/>
    <w:rsid w:val="5FAB005C"/>
    <w:rsid w:val="5FB23198"/>
    <w:rsid w:val="5FB27537"/>
    <w:rsid w:val="5FB32E65"/>
    <w:rsid w:val="5FB51580"/>
    <w:rsid w:val="5FB52C88"/>
    <w:rsid w:val="5FB837BB"/>
    <w:rsid w:val="5FBB4521"/>
    <w:rsid w:val="5FC15189"/>
    <w:rsid w:val="5FC240B2"/>
    <w:rsid w:val="5FD76F4D"/>
    <w:rsid w:val="5FD96977"/>
    <w:rsid w:val="5FDB5F4C"/>
    <w:rsid w:val="5FE92BBB"/>
    <w:rsid w:val="5FEA0C7E"/>
    <w:rsid w:val="5FEC3CE9"/>
    <w:rsid w:val="5FF437B1"/>
    <w:rsid w:val="5FF612D7"/>
    <w:rsid w:val="5FF701E8"/>
    <w:rsid w:val="5FFC2AF4"/>
    <w:rsid w:val="600225BA"/>
    <w:rsid w:val="60025ECE"/>
    <w:rsid w:val="6008100A"/>
    <w:rsid w:val="600A773D"/>
    <w:rsid w:val="601654D5"/>
    <w:rsid w:val="60170A6E"/>
    <w:rsid w:val="60186032"/>
    <w:rsid w:val="602620D4"/>
    <w:rsid w:val="602E1F57"/>
    <w:rsid w:val="6032709C"/>
    <w:rsid w:val="60366F66"/>
    <w:rsid w:val="6039767E"/>
    <w:rsid w:val="603D0048"/>
    <w:rsid w:val="60405EF2"/>
    <w:rsid w:val="604F1611"/>
    <w:rsid w:val="60564992"/>
    <w:rsid w:val="605E7374"/>
    <w:rsid w:val="606E6554"/>
    <w:rsid w:val="608C576E"/>
    <w:rsid w:val="609D485E"/>
    <w:rsid w:val="60B3362C"/>
    <w:rsid w:val="60C90799"/>
    <w:rsid w:val="60C93848"/>
    <w:rsid w:val="60D13AF2"/>
    <w:rsid w:val="60D4713E"/>
    <w:rsid w:val="60E52F59"/>
    <w:rsid w:val="60FD6695"/>
    <w:rsid w:val="61067EBE"/>
    <w:rsid w:val="610816A7"/>
    <w:rsid w:val="610E08A2"/>
    <w:rsid w:val="611C2FBF"/>
    <w:rsid w:val="6125051A"/>
    <w:rsid w:val="61251748"/>
    <w:rsid w:val="613025C6"/>
    <w:rsid w:val="613B738A"/>
    <w:rsid w:val="61441D1D"/>
    <w:rsid w:val="61490894"/>
    <w:rsid w:val="61657AB0"/>
    <w:rsid w:val="617B5C96"/>
    <w:rsid w:val="617D1584"/>
    <w:rsid w:val="61863410"/>
    <w:rsid w:val="61974D16"/>
    <w:rsid w:val="61A16823"/>
    <w:rsid w:val="61A25DB5"/>
    <w:rsid w:val="61A30FEA"/>
    <w:rsid w:val="61A81746"/>
    <w:rsid w:val="61AA1B7F"/>
    <w:rsid w:val="61AC2E6E"/>
    <w:rsid w:val="61B340D5"/>
    <w:rsid w:val="61B41449"/>
    <w:rsid w:val="61B83746"/>
    <w:rsid w:val="61C55C3F"/>
    <w:rsid w:val="61CA65AF"/>
    <w:rsid w:val="61D2220B"/>
    <w:rsid w:val="61E20C1D"/>
    <w:rsid w:val="61E86C74"/>
    <w:rsid w:val="61EB39C5"/>
    <w:rsid w:val="61F9383D"/>
    <w:rsid w:val="61FC6106"/>
    <w:rsid w:val="62001A55"/>
    <w:rsid w:val="6200643D"/>
    <w:rsid w:val="621719D8"/>
    <w:rsid w:val="62185230"/>
    <w:rsid w:val="623600B0"/>
    <w:rsid w:val="62364782"/>
    <w:rsid w:val="623720B9"/>
    <w:rsid w:val="623E30D6"/>
    <w:rsid w:val="6248220B"/>
    <w:rsid w:val="62570027"/>
    <w:rsid w:val="62577C9E"/>
    <w:rsid w:val="62624B77"/>
    <w:rsid w:val="626B09A7"/>
    <w:rsid w:val="62724B25"/>
    <w:rsid w:val="627961EF"/>
    <w:rsid w:val="627B5930"/>
    <w:rsid w:val="62966DA1"/>
    <w:rsid w:val="629A17EB"/>
    <w:rsid w:val="629A532F"/>
    <w:rsid w:val="62A644E8"/>
    <w:rsid w:val="62A74667"/>
    <w:rsid w:val="62D13935"/>
    <w:rsid w:val="62D928FA"/>
    <w:rsid w:val="62DC0A4D"/>
    <w:rsid w:val="62DE66C2"/>
    <w:rsid w:val="62E123C8"/>
    <w:rsid w:val="62E96ED1"/>
    <w:rsid w:val="62FA7EAE"/>
    <w:rsid w:val="63033C02"/>
    <w:rsid w:val="63103F85"/>
    <w:rsid w:val="631F28F3"/>
    <w:rsid w:val="63220635"/>
    <w:rsid w:val="63253C81"/>
    <w:rsid w:val="632D3415"/>
    <w:rsid w:val="63334FC5"/>
    <w:rsid w:val="634C2452"/>
    <w:rsid w:val="635005E3"/>
    <w:rsid w:val="63534C92"/>
    <w:rsid w:val="6358648B"/>
    <w:rsid w:val="6365543C"/>
    <w:rsid w:val="63665AE4"/>
    <w:rsid w:val="637013A0"/>
    <w:rsid w:val="637F0FCD"/>
    <w:rsid w:val="63807109"/>
    <w:rsid w:val="63847EF1"/>
    <w:rsid w:val="638558FE"/>
    <w:rsid w:val="638A12AC"/>
    <w:rsid w:val="638B61DA"/>
    <w:rsid w:val="63957059"/>
    <w:rsid w:val="639B53C4"/>
    <w:rsid w:val="639B5E50"/>
    <w:rsid w:val="63A177AC"/>
    <w:rsid w:val="63A23524"/>
    <w:rsid w:val="63BB553C"/>
    <w:rsid w:val="63C139AA"/>
    <w:rsid w:val="63C43722"/>
    <w:rsid w:val="63CB2A7A"/>
    <w:rsid w:val="63CC0125"/>
    <w:rsid w:val="63D40BE9"/>
    <w:rsid w:val="63DB77A5"/>
    <w:rsid w:val="63E0211F"/>
    <w:rsid w:val="63E24B21"/>
    <w:rsid w:val="63F21DDF"/>
    <w:rsid w:val="63FB2F6A"/>
    <w:rsid w:val="64024326"/>
    <w:rsid w:val="64041AE8"/>
    <w:rsid w:val="64047ADA"/>
    <w:rsid w:val="640D6BEF"/>
    <w:rsid w:val="641709D5"/>
    <w:rsid w:val="6425175A"/>
    <w:rsid w:val="6434560E"/>
    <w:rsid w:val="64374EF8"/>
    <w:rsid w:val="644A1BF1"/>
    <w:rsid w:val="644F5459"/>
    <w:rsid w:val="64510EC2"/>
    <w:rsid w:val="64603C0D"/>
    <w:rsid w:val="64713622"/>
    <w:rsid w:val="647D4E3D"/>
    <w:rsid w:val="647E189B"/>
    <w:rsid w:val="648A2C2E"/>
    <w:rsid w:val="648D11E7"/>
    <w:rsid w:val="6491658E"/>
    <w:rsid w:val="64A576D3"/>
    <w:rsid w:val="64B07140"/>
    <w:rsid w:val="64C3060C"/>
    <w:rsid w:val="64C73242"/>
    <w:rsid w:val="64C95A44"/>
    <w:rsid w:val="64CB5E91"/>
    <w:rsid w:val="64CC091F"/>
    <w:rsid w:val="64D45D63"/>
    <w:rsid w:val="64DE616D"/>
    <w:rsid w:val="64E13DEF"/>
    <w:rsid w:val="650512A4"/>
    <w:rsid w:val="650D74DA"/>
    <w:rsid w:val="650F3572"/>
    <w:rsid w:val="65247526"/>
    <w:rsid w:val="65270184"/>
    <w:rsid w:val="652C3CE1"/>
    <w:rsid w:val="65320613"/>
    <w:rsid w:val="65373578"/>
    <w:rsid w:val="65383C95"/>
    <w:rsid w:val="65424FBE"/>
    <w:rsid w:val="6545681C"/>
    <w:rsid w:val="654B3E73"/>
    <w:rsid w:val="655510D7"/>
    <w:rsid w:val="65654850"/>
    <w:rsid w:val="656E60CB"/>
    <w:rsid w:val="6576754F"/>
    <w:rsid w:val="657A1648"/>
    <w:rsid w:val="657D7F6A"/>
    <w:rsid w:val="65853662"/>
    <w:rsid w:val="6587615C"/>
    <w:rsid w:val="65887363"/>
    <w:rsid w:val="659202AD"/>
    <w:rsid w:val="659D21F5"/>
    <w:rsid w:val="65A25A5D"/>
    <w:rsid w:val="65AB34BC"/>
    <w:rsid w:val="65AB66C0"/>
    <w:rsid w:val="65B00036"/>
    <w:rsid w:val="65B0614C"/>
    <w:rsid w:val="65BB1A96"/>
    <w:rsid w:val="65E628EA"/>
    <w:rsid w:val="66106E6A"/>
    <w:rsid w:val="661701F9"/>
    <w:rsid w:val="662B15AE"/>
    <w:rsid w:val="662B2D59"/>
    <w:rsid w:val="663029BF"/>
    <w:rsid w:val="66342B59"/>
    <w:rsid w:val="66377F53"/>
    <w:rsid w:val="663A7A43"/>
    <w:rsid w:val="66447D63"/>
    <w:rsid w:val="66454193"/>
    <w:rsid w:val="6648770F"/>
    <w:rsid w:val="664D72FC"/>
    <w:rsid w:val="66530C81"/>
    <w:rsid w:val="66600D99"/>
    <w:rsid w:val="66725416"/>
    <w:rsid w:val="66727618"/>
    <w:rsid w:val="66803BAB"/>
    <w:rsid w:val="66843F9D"/>
    <w:rsid w:val="6692162D"/>
    <w:rsid w:val="6695111E"/>
    <w:rsid w:val="669A5357"/>
    <w:rsid w:val="66A35425"/>
    <w:rsid w:val="66B23A7E"/>
    <w:rsid w:val="66B43C9A"/>
    <w:rsid w:val="66B71094"/>
    <w:rsid w:val="66BA22E3"/>
    <w:rsid w:val="66BC7714"/>
    <w:rsid w:val="66CA0DC7"/>
    <w:rsid w:val="66CC3DA4"/>
    <w:rsid w:val="66D94689"/>
    <w:rsid w:val="66F83B86"/>
    <w:rsid w:val="66FC6662"/>
    <w:rsid w:val="67037ACB"/>
    <w:rsid w:val="670A042B"/>
    <w:rsid w:val="67163BB3"/>
    <w:rsid w:val="672229B1"/>
    <w:rsid w:val="67261DFC"/>
    <w:rsid w:val="673274D7"/>
    <w:rsid w:val="673646AF"/>
    <w:rsid w:val="673E1BE0"/>
    <w:rsid w:val="673F2C7A"/>
    <w:rsid w:val="674166BF"/>
    <w:rsid w:val="674221B8"/>
    <w:rsid w:val="67446DCC"/>
    <w:rsid w:val="67450D3D"/>
    <w:rsid w:val="674B0C82"/>
    <w:rsid w:val="674E2EA5"/>
    <w:rsid w:val="6751773B"/>
    <w:rsid w:val="675E59B4"/>
    <w:rsid w:val="67663D44"/>
    <w:rsid w:val="677B7778"/>
    <w:rsid w:val="677E5F06"/>
    <w:rsid w:val="678540D2"/>
    <w:rsid w:val="678E15FC"/>
    <w:rsid w:val="679D7828"/>
    <w:rsid w:val="67A1421E"/>
    <w:rsid w:val="67A4786A"/>
    <w:rsid w:val="67A5673C"/>
    <w:rsid w:val="67B019BB"/>
    <w:rsid w:val="67BA48D7"/>
    <w:rsid w:val="67C67D2B"/>
    <w:rsid w:val="67CC7C73"/>
    <w:rsid w:val="67CD6F1C"/>
    <w:rsid w:val="67D57A24"/>
    <w:rsid w:val="67DA651F"/>
    <w:rsid w:val="67F02AB0"/>
    <w:rsid w:val="68040DB5"/>
    <w:rsid w:val="68095B31"/>
    <w:rsid w:val="681A393D"/>
    <w:rsid w:val="681A3FD0"/>
    <w:rsid w:val="681F15E7"/>
    <w:rsid w:val="681F6961"/>
    <w:rsid w:val="684A4D31"/>
    <w:rsid w:val="68526373"/>
    <w:rsid w:val="685748DD"/>
    <w:rsid w:val="685C6313"/>
    <w:rsid w:val="68610A2F"/>
    <w:rsid w:val="686314D3"/>
    <w:rsid w:val="68776D2D"/>
    <w:rsid w:val="687B7453"/>
    <w:rsid w:val="687E3E48"/>
    <w:rsid w:val="687F112F"/>
    <w:rsid w:val="68805514"/>
    <w:rsid w:val="688B27D8"/>
    <w:rsid w:val="6894168D"/>
    <w:rsid w:val="689618A9"/>
    <w:rsid w:val="6897117D"/>
    <w:rsid w:val="689918AE"/>
    <w:rsid w:val="689E15A4"/>
    <w:rsid w:val="68B51559"/>
    <w:rsid w:val="68B9689D"/>
    <w:rsid w:val="68C41AF7"/>
    <w:rsid w:val="68C834BF"/>
    <w:rsid w:val="68CD174B"/>
    <w:rsid w:val="68DE5482"/>
    <w:rsid w:val="68F20AA9"/>
    <w:rsid w:val="68F85A27"/>
    <w:rsid w:val="68F85E47"/>
    <w:rsid w:val="69026F3E"/>
    <w:rsid w:val="69100927"/>
    <w:rsid w:val="691B3B5C"/>
    <w:rsid w:val="69205616"/>
    <w:rsid w:val="6922673F"/>
    <w:rsid w:val="69415B3F"/>
    <w:rsid w:val="694E2071"/>
    <w:rsid w:val="695232F6"/>
    <w:rsid w:val="695B03FD"/>
    <w:rsid w:val="6961581B"/>
    <w:rsid w:val="69643808"/>
    <w:rsid w:val="696B6E1B"/>
    <w:rsid w:val="696B78CB"/>
    <w:rsid w:val="696F5C56"/>
    <w:rsid w:val="6973452F"/>
    <w:rsid w:val="697A3B33"/>
    <w:rsid w:val="697A5518"/>
    <w:rsid w:val="697D4817"/>
    <w:rsid w:val="697F767F"/>
    <w:rsid w:val="698653CE"/>
    <w:rsid w:val="69927B67"/>
    <w:rsid w:val="699B1D3E"/>
    <w:rsid w:val="699E2456"/>
    <w:rsid w:val="69B87771"/>
    <w:rsid w:val="69B94D78"/>
    <w:rsid w:val="69BB5C3B"/>
    <w:rsid w:val="69C23FC5"/>
    <w:rsid w:val="69C54260"/>
    <w:rsid w:val="69F832B9"/>
    <w:rsid w:val="6A114F5F"/>
    <w:rsid w:val="6A1862EE"/>
    <w:rsid w:val="6A220F1A"/>
    <w:rsid w:val="6A2B4273"/>
    <w:rsid w:val="6A2E7073"/>
    <w:rsid w:val="6A331379"/>
    <w:rsid w:val="6A484E25"/>
    <w:rsid w:val="6A556F81"/>
    <w:rsid w:val="6A585104"/>
    <w:rsid w:val="6A5B43E0"/>
    <w:rsid w:val="6A617C95"/>
    <w:rsid w:val="6A703DAE"/>
    <w:rsid w:val="6A8A313B"/>
    <w:rsid w:val="6A933BC6"/>
    <w:rsid w:val="6A983B9B"/>
    <w:rsid w:val="6A9C6F1F"/>
    <w:rsid w:val="6AA162E3"/>
    <w:rsid w:val="6AA6755A"/>
    <w:rsid w:val="6AA67D9D"/>
    <w:rsid w:val="6AAF1314"/>
    <w:rsid w:val="6AB029CA"/>
    <w:rsid w:val="6ABE50E7"/>
    <w:rsid w:val="6AC54778"/>
    <w:rsid w:val="6ACE4BFE"/>
    <w:rsid w:val="6AE73505"/>
    <w:rsid w:val="6AEA7C8A"/>
    <w:rsid w:val="6AEF34F2"/>
    <w:rsid w:val="6AF52D3C"/>
    <w:rsid w:val="6AF74155"/>
    <w:rsid w:val="6B1940CB"/>
    <w:rsid w:val="6B1E7FF4"/>
    <w:rsid w:val="6B221B1B"/>
    <w:rsid w:val="6B244238"/>
    <w:rsid w:val="6B2A5E87"/>
    <w:rsid w:val="6B2F7D93"/>
    <w:rsid w:val="6B322639"/>
    <w:rsid w:val="6B460C38"/>
    <w:rsid w:val="6B522A0C"/>
    <w:rsid w:val="6B546223"/>
    <w:rsid w:val="6B575C18"/>
    <w:rsid w:val="6B5C59EC"/>
    <w:rsid w:val="6B822621"/>
    <w:rsid w:val="6B8754D9"/>
    <w:rsid w:val="6B8974A3"/>
    <w:rsid w:val="6B8E4AB9"/>
    <w:rsid w:val="6B964FAE"/>
    <w:rsid w:val="6B9E0A74"/>
    <w:rsid w:val="6BAA566B"/>
    <w:rsid w:val="6BBB5A8A"/>
    <w:rsid w:val="6BBE22BD"/>
    <w:rsid w:val="6BBF61A4"/>
    <w:rsid w:val="6BC45B81"/>
    <w:rsid w:val="6BC73B27"/>
    <w:rsid w:val="6BCA2273"/>
    <w:rsid w:val="6BD90A57"/>
    <w:rsid w:val="6BDF70C3"/>
    <w:rsid w:val="6BE32FA2"/>
    <w:rsid w:val="6C134702"/>
    <w:rsid w:val="6C1778EF"/>
    <w:rsid w:val="6C1D1533"/>
    <w:rsid w:val="6C1E2FB7"/>
    <w:rsid w:val="6C225202"/>
    <w:rsid w:val="6C2B2308"/>
    <w:rsid w:val="6C2F06A5"/>
    <w:rsid w:val="6C306D1E"/>
    <w:rsid w:val="6C37605B"/>
    <w:rsid w:val="6C43608C"/>
    <w:rsid w:val="6C45074A"/>
    <w:rsid w:val="6C4F6842"/>
    <w:rsid w:val="6C53360D"/>
    <w:rsid w:val="6C574C46"/>
    <w:rsid w:val="6C5A2BED"/>
    <w:rsid w:val="6C615D2A"/>
    <w:rsid w:val="6C636C38"/>
    <w:rsid w:val="6C661592"/>
    <w:rsid w:val="6C6A49B2"/>
    <w:rsid w:val="6C6F1439"/>
    <w:rsid w:val="6C766EBA"/>
    <w:rsid w:val="6C841A18"/>
    <w:rsid w:val="6C865790"/>
    <w:rsid w:val="6C8B27BD"/>
    <w:rsid w:val="6C8D2FC3"/>
    <w:rsid w:val="6C983C63"/>
    <w:rsid w:val="6C9C6D62"/>
    <w:rsid w:val="6CB16E18"/>
    <w:rsid w:val="6CBB119C"/>
    <w:rsid w:val="6CDA07A4"/>
    <w:rsid w:val="6CE115A1"/>
    <w:rsid w:val="6CE40709"/>
    <w:rsid w:val="6D281C2C"/>
    <w:rsid w:val="6D2C3AA9"/>
    <w:rsid w:val="6D374CDD"/>
    <w:rsid w:val="6D424825"/>
    <w:rsid w:val="6D4B5BED"/>
    <w:rsid w:val="6D4D2752"/>
    <w:rsid w:val="6D54535E"/>
    <w:rsid w:val="6D5820E7"/>
    <w:rsid w:val="6D5E2269"/>
    <w:rsid w:val="6D6913FC"/>
    <w:rsid w:val="6D6B1EDF"/>
    <w:rsid w:val="6D7C0C6D"/>
    <w:rsid w:val="6D8141AA"/>
    <w:rsid w:val="6D8A022B"/>
    <w:rsid w:val="6D952F68"/>
    <w:rsid w:val="6D9B0FB4"/>
    <w:rsid w:val="6DA305C4"/>
    <w:rsid w:val="6DA9132D"/>
    <w:rsid w:val="6DAA0A6C"/>
    <w:rsid w:val="6DB07703"/>
    <w:rsid w:val="6DB34098"/>
    <w:rsid w:val="6DB46C17"/>
    <w:rsid w:val="6DB545B6"/>
    <w:rsid w:val="6DB70D14"/>
    <w:rsid w:val="6DBD0D54"/>
    <w:rsid w:val="6DBF7711"/>
    <w:rsid w:val="6DD138BB"/>
    <w:rsid w:val="6DD30EA9"/>
    <w:rsid w:val="6DD902CD"/>
    <w:rsid w:val="6DDE15FC"/>
    <w:rsid w:val="6E001573"/>
    <w:rsid w:val="6E015BE5"/>
    <w:rsid w:val="6E0948CB"/>
    <w:rsid w:val="6E164D88"/>
    <w:rsid w:val="6E1D15EC"/>
    <w:rsid w:val="6E1D54CE"/>
    <w:rsid w:val="6E2E60E0"/>
    <w:rsid w:val="6E34152F"/>
    <w:rsid w:val="6E3B07FD"/>
    <w:rsid w:val="6E406EFD"/>
    <w:rsid w:val="6E4375A0"/>
    <w:rsid w:val="6E4753F3"/>
    <w:rsid w:val="6E477967"/>
    <w:rsid w:val="6E4B0766"/>
    <w:rsid w:val="6E4B1072"/>
    <w:rsid w:val="6E514CED"/>
    <w:rsid w:val="6E5A0C83"/>
    <w:rsid w:val="6E653CFF"/>
    <w:rsid w:val="6E6C6C08"/>
    <w:rsid w:val="6E7838C8"/>
    <w:rsid w:val="6E79491A"/>
    <w:rsid w:val="6E7C32EF"/>
    <w:rsid w:val="6E8354DD"/>
    <w:rsid w:val="6E8C1AD3"/>
    <w:rsid w:val="6E900775"/>
    <w:rsid w:val="6EB011EB"/>
    <w:rsid w:val="6EB05A87"/>
    <w:rsid w:val="6EB563D5"/>
    <w:rsid w:val="6EB8459C"/>
    <w:rsid w:val="6EBF4F8A"/>
    <w:rsid w:val="6EC10D02"/>
    <w:rsid w:val="6EC8176A"/>
    <w:rsid w:val="6ED749C9"/>
    <w:rsid w:val="6ED86592"/>
    <w:rsid w:val="6ED87962"/>
    <w:rsid w:val="6EDD7538"/>
    <w:rsid w:val="6EE00E03"/>
    <w:rsid w:val="6EE13152"/>
    <w:rsid w:val="6EEC5586"/>
    <w:rsid w:val="6F0425B3"/>
    <w:rsid w:val="6F225983"/>
    <w:rsid w:val="6F2968A7"/>
    <w:rsid w:val="6F3B5272"/>
    <w:rsid w:val="6F3C1A71"/>
    <w:rsid w:val="6F4A6F49"/>
    <w:rsid w:val="6F5E47A3"/>
    <w:rsid w:val="6F63000B"/>
    <w:rsid w:val="6F72267E"/>
    <w:rsid w:val="6F74730B"/>
    <w:rsid w:val="6F7E01E8"/>
    <w:rsid w:val="6F8A055E"/>
    <w:rsid w:val="6F8B2729"/>
    <w:rsid w:val="6F904025"/>
    <w:rsid w:val="6F970834"/>
    <w:rsid w:val="6F97401E"/>
    <w:rsid w:val="6FA26D85"/>
    <w:rsid w:val="6FB84D49"/>
    <w:rsid w:val="6FBF0378"/>
    <w:rsid w:val="6FC70064"/>
    <w:rsid w:val="6FCC331F"/>
    <w:rsid w:val="6FD40F09"/>
    <w:rsid w:val="6FD5763E"/>
    <w:rsid w:val="6FD9207B"/>
    <w:rsid w:val="6FE45C7A"/>
    <w:rsid w:val="6FE972EA"/>
    <w:rsid w:val="6FEA072C"/>
    <w:rsid w:val="6FED1473"/>
    <w:rsid w:val="6FFC5590"/>
    <w:rsid w:val="70067A3A"/>
    <w:rsid w:val="701E7D7F"/>
    <w:rsid w:val="702459EC"/>
    <w:rsid w:val="70253D21"/>
    <w:rsid w:val="702A4614"/>
    <w:rsid w:val="702E23C7"/>
    <w:rsid w:val="70301DA3"/>
    <w:rsid w:val="70390D6C"/>
    <w:rsid w:val="703F45D4"/>
    <w:rsid w:val="70433998"/>
    <w:rsid w:val="70490379"/>
    <w:rsid w:val="70510510"/>
    <w:rsid w:val="705838E8"/>
    <w:rsid w:val="7061206D"/>
    <w:rsid w:val="70625800"/>
    <w:rsid w:val="70643CC9"/>
    <w:rsid w:val="70650E6C"/>
    <w:rsid w:val="706552D2"/>
    <w:rsid w:val="706D1DD0"/>
    <w:rsid w:val="70765B1C"/>
    <w:rsid w:val="70856B87"/>
    <w:rsid w:val="708A2A73"/>
    <w:rsid w:val="70950A60"/>
    <w:rsid w:val="709C13CF"/>
    <w:rsid w:val="70A3264F"/>
    <w:rsid w:val="70A535FC"/>
    <w:rsid w:val="70AD58C6"/>
    <w:rsid w:val="70B423E2"/>
    <w:rsid w:val="70C42D2B"/>
    <w:rsid w:val="70D04925"/>
    <w:rsid w:val="70D34D1C"/>
    <w:rsid w:val="70D527EE"/>
    <w:rsid w:val="70D907C2"/>
    <w:rsid w:val="70DB0E2E"/>
    <w:rsid w:val="70DF0CD8"/>
    <w:rsid w:val="70DF134F"/>
    <w:rsid w:val="70DF5DB7"/>
    <w:rsid w:val="70F0414F"/>
    <w:rsid w:val="7104137A"/>
    <w:rsid w:val="7111616F"/>
    <w:rsid w:val="71136300"/>
    <w:rsid w:val="71141580"/>
    <w:rsid w:val="712A5284"/>
    <w:rsid w:val="712B1DB8"/>
    <w:rsid w:val="712B46D9"/>
    <w:rsid w:val="713928EB"/>
    <w:rsid w:val="7141612A"/>
    <w:rsid w:val="714E7E00"/>
    <w:rsid w:val="715B5300"/>
    <w:rsid w:val="715F4BD7"/>
    <w:rsid w:val="71617E94"/>
    <w:rsid w:val="716A5681"/>
    <w:rsid w:val="717209D9"/>
    <w:rsid w:val="71742F33"/>
    <w:rsid w:val="717C60FA"/>
    <w:rsid w:val="7185581A"/>
    <w:rsid w:val="71881FAB"/>
    <w:rsid w:val="71924BD7"/>
    <w:rsid w:val="71A7632B"/>
    <w:rsid w:val="71AB7A47"/>
    <w:rsid w:val="71AC3EEB"/>
    <w:rsid w:val="71C12ECF"/>
    <w:rsid w:val="71C34D91"/>
    <w:rsid w:val="71CA4371"/>
    <w:rsid w:val="71CD79BE"/>
    <w:rsid w:val="71D27F8A"/>
    <w:rsid w:val="71E73175"/>
    <w:rsid w:val="71E772AA"/>
    <w:rsid w:val="71EA5622"/>
    <w:rsid w:val="71F744C6"/>
    <w:rsid w:val="71F905DE"/>
    <w:rsid w:val="71F960CF"/>
    <w:rsid w:val="72023B0B"/>
    <w:rsid w:val="720A29C0"/>
    <w:rsid w:val="72200E3A"/>
    <w:rsid w:val="72256C12"/>
    <w:rsid w:val="72273EA9"/>
    <w:rsid w:val="72275320"/>
    <w:rsid w:val="723E08BB"/>
    <w:rsid w:val="72465AF7"/>
    <w:rsid w:val="7246702A"/>
    <w:rsid w:val="724D63AB"/>
    <w:rsid w:val="724E6D50"/>
    <w:rsid w:val="727F2430"/>
    <w:rsid w:val="728330F9"/>
    <w:rsid w:val="72834520"/>
    <w:rsid w:val="729352FE"/>
    <w:rsid w:val="729C21C4"/>
    <w:rsid w:val="729C3F60"/>
    <w:rsid w:val="72A32696"/>
    <w:rsid w:val="72A734F6"/>
    <w:rsid w:val="72AB41A3"/>
    <w:rsid w:val="72AC3A77"/>
    <w:rsid w:val="72AD3112"/>
    <w:rsid w:val="72B10ABA"/>
    <w:rsid w:val="72B84BC2"/>
    <w:rsid w:val="72C011BB"/>
    <w:rsid w:val="72C85BEF"/>
    <w:rsid w:val="72C963D7"/>
    <w:rsid w:val="72E6342D"/>
    <w:rsid w:val="72E809BC"/>
    <w:rsid w:val="72FC49FE"/>
    <w:rsid w:val="73076EFF"/>
    <w:rsid w:val="73106804"/>
    <w:rsid w:val="731F5D5E"/>
    <w:rsid w:val="73243F55"/>
    <w:rsid w:val="732714E1"/>
    <w:rsid w:val="733817AF"/>
    <w:rsid w:val="733A72D5"/>
    <w:rsid w:val="73402DAB"/>
    <w:rsid w:val="73411ABE"/>
    <w:rsid w:val="734448A7"/>
    <w:rsid w:val="73487C44"/>
    <w:rsid w:val="734903DF"/>
    <w:rsid w:val="73494E3B"/>
    <w:rsid w:val="734A68A6"/>
    <w:rsid w:val="735D6231"/>
    <w:rsid w:val="73623524"/>
    <w:rsid w:val="737228B3"/>
    <w:rsid w:val="7378355C"/>
    <w:rsid w:val="737B7E42"/>
    <w:rsid w:val="737C5D1D"/>
    <w:rsid w:val="738E44A0"/>
    <w:rsid w:val="73962E15"/>
    <w:rsid w:val="73975967"/>
    <w:rsid w:val="739A5FC5"/>
    <w:rsid w:val="73A86934"/>
    <w:rsid w:val="73AB1F81"/>
    <w:rsid w:val="73AF1A3C"/>
    <w:rsid w:val="73B2528B"/>
    <w:rsid w:val="73CC2623"/>
    <w:rsid w:val="73E7745D"/>
    <w:rsid w:val="73EB536F"/>
    <w:rsid w:val="73ED4347"/>
    <w:rsid w:val="73EF3A46"/>
    <w:rsid w:val="73F01C80"/>
    <w:rsid w:val="73F04759"/>
    <w:rsid w:val="73F81F71"/>
    <w:rsid w:val="740324EC"/>
    <w:rsid w:val="740B5EFF"/>
    <w:rsid w:val="740D6797"/>
    <w:rsid w:val="74176BBA"/>
    <w:rsid w:val="74183C8C"/>
    <w:rsid w:val="741C69DA"/>
    <w:rsid w:val="741E793C"/>
    <w:rsid w:val="742F670E"/>
    <w:rsid w:val="7432271C"/>
    <w:rsid w:val="743608B6"/>
    <w:rsid w:val="74401526"/>
    <w:rsid w:val="744C72C0"/>
    <w:rsid w:val="745038F9"/>
    <w:rsid w:val="74613281"/>
    <w:rsid w:val="74624D35"/>
    <w:rsid w:val="74633BEB"/>
    <w:rsid w:val="74736F42"/>
    <w:rsid w:val="74867CFE"/>
    <w:rsid w:val="74A0760B"/>
    <w:rsid w:val="74A964C0"/>
    <w:rsid w:val="74AC3BB7"/>
    <w:rsid w:val="74AC74CE"/>
    <w:rsid w:val="74AE7F7A"/>
    <w:rsid w:val="74AF784E"/>
    <w:rsid w:val="74BB7E94"/>
    <w:rsid w:val="74BD2F98"/>
    <w:rsid w:val="74D83EA6"/>
    <w:rsid w:val="74D86DA5"/>
    <w:rsid w:val="74D931D3"/>
    <w:rsid w:val="74DC1276"/>
    <w:rsid w:val="74DD0860"/>
    <w:rsid w:val="74DF19BD"/>
    <w:rsid w:val="74EE0377"/>
    <w:rsid w:val="74FA31C0"/>
    <w:rsid w:val="7504000A"/>
    <w:rsid w:val="75071439"/>
    <w:rsid w:val="750B0F29"/>
    <w:rsid w:val="750E6262"/>
    <w:rsid w:val="75137DDD"/>
    <w:rsid w:val="75362209"/>
    <w:rsid w:val="75375843"/>
    <w:rsid w:val="753B10E2"/>
    <w:rsid w:val="7544443B"/>
    <w:rsid w:val="7545239B"/>
    <w:rsid w:val="75622B13"/>
    <w:rsid w:val="756643B1"/>
    <w:rsid w:val="7577036C"/>
    <w:rsid w:val="75774810"/>
    <w:rsid w:val="758962F1"/>
    <w:rsid w:val="758B3E18"/>
    <w:rsid w:val="758D75E2"/>
    <w:rsid w:val="75952C29"/>
    <w:rsid w:val="759561B1"/>
    <w:rsid w:val="75960AEF"/>
    <w:rsid w:val="75A62D0F"/>
    <w:rsid w:val="75B4336E"/>
    <w:rsid w:val="75D4756D"/>
    <w:rsid w:val="75D4776F"/>
    <w:rsid w:val="75E31046"/>
    <w:rsid w:val="75F36553"/>
    <w:rsid w:val="75F776FF"/>
    <w:rsid w:val="761738FD"/>
    <w:rsid w:val="761756AB"/>
    <w:rsid w:val="763A753B"/>
    <w:rsid w:val="764B2B85"/>
    <w:rsid w:val="764D11E5"/>
    <w:rsid w:val="765F6DF0"/>
    <w:rsid w:val="76615B11"/>
    <w:rsid w:val="76636B42"/>
    <w:rsid w:val="76685B56"/>
    <w:rsid w:val="76700DA9"/>
    <w:rsid w:val="76711A3C"/>
    <w:rsid w:val="76784F75"/>
    <w:rsid w:val="768014A2"/>
    <w:rsid w:val="768B7066"/>
    <w:rsid w:val="76AD0745"/>
    <w:rsid w:val="76B00F75"/>
    <w:rsid w:val="76B86E8E"/>
    <w:rsid w:val="76C00390"/>
    <w:rsid w:val="76C31E58"/>
    <w:rsid w:val="76D53734"/>
    <w:rsid w:val="76DB4E22"/>
    <w:rsid w:val="76DE79ED"/>
    <w:rsid w:val="76E23F0B"/>
    <w:rsid w:val="76E60F09"/>
    <w:rsid w:val="76EC20A9"/>
    <w:rsid w:val="76EF5DF9"/>
    <w:rsid w:val="77282C26"/>
    <w:rsid w:val="773038C9"/>
    <w:rsid w:val="773364F4"/>
    <w:rsid w:val="773E499A"/>
    <w:rsid w:val="7740015B"/>
    <w:rsid w:val="77476464"/>
    <w:rsid w:val="774942A8"/>
    <w:rsid w:val="7757343A"/>
    <w:rsid w:val="775A0F3D"/>
    <w:rsid w:val="775B5379"/>
    <w:rsid w:val="77700753"/>
    <w:rsid w:val="77762421"/>
    <w:rsid w:val="7778661E"/>
    <w:rsid w:val="777E6DF3"/>
    <w:rsid w:val="778E1239"/>
    <w:rsid w:val="779C66F7"/>
    <w:rsid w:val="77A03EE7"/>
    <w:rsid w:val="77B07B65"/>
    <w:rsid w:val="77B3129B"/>
    <w:rsid w:val="77C6528F"/>
    <w:rsid w:val="77CE5FE5"/>
    <w:rsid w:val="77D44C9A"/>
    <w:rsid w:val="77EA751B"/>
    <w:rsid w:val="77EC5E0C"/>
    <w:rsid w:val="77F23B55"/>
    <w:rsid w:val="77F44964"/>
    <w:rsid w:val="77F7266A"/>
    <w:rsid w:val="780600CD"/>
    <w:rsid w:val="780879A1"/>
    <w:rsid w:val="780D320A"/>
    <w:rsid w:val="780F09F4"/>
    <w:rsid w:val="78121207"/>
    <w:rsid w:val="781225CE"/>
    <w:rsid w:val="781A1483"/>
    <w:rsid w:val="781C51FB"/>
    <w:rsid w:val="781E0E86"/>
    <w:rsid w:val="78231C49"/>
    <w:rsid w:val="78251A63"/>
    <w:rsid w:val="78302628"/>
    <w:rsid w:val="78412EB3"/>
    <w:rsid w:val="7841419A"/>
    <w:rsid w:val="785030F6"/>
    <w:rsid w:val="785B5D23"/>
    <w:rsid w:val="785F2A08"/>
    <w:rsid w:val="78653115"/>
    <w:rsid w:val="7866291A"/>
    <w:rsid w:val="786973B8"/>
    <w:rsid w:val="787D0F92"/>
    <w:rsid w:val="78857244"/>
    <w:rsid w:val="788B01D8"/>
    <w:rsid w:val="788F00C3"/>
    <w:rsid w:val="789240E0"/>
    <w:rsid w:val="789C4F47"/>
    <w:rsid w:val="78A434E7"/>
    <w:rsid w:val="78A90480"/>
    <w:rsid w:val="78B05BD1"/>
    <w:rsid w:val="78B11200"/>
    <w:rsid w:val="78BB3E42"/>
    <w:rsid w:val="78DB50B6"/>
    <w:rsid w:val="78E1125F"/>
    <w:rsid w:val="78E81581"/>
    <w:rsid w:val="78F16688"/>
    <w:rsid w:val="78F41382"/>
    <w:rsid w:val="79183C14"/>
    <w:rsid w:val="791A5F9A"/>
    <w:rsid w:val="79232EAB"/>
    <w:rsid w:val="792E24F2"/>
    <w:rsid w:val="7931117A"/>
    <w:rsid w:val="793A602C"/>
    <w:rsid w:val="796B643A"/>
    <w:rsid w:val="7970564B"/>
    <w:rsid w:val="797A0159"/>
    <w:rsid w:val="797B0E20"/>
    <w:rsid w:val="79811327"/>
    <w:rsid w:val="79845A86"/>
    <w:rsid w:val="798E573A"/>
    <w:rsid w:val="79910EBB"/>
    <w:rsid w:val="79A07CA5"/>
    <w:rsid w:val="79B31B8F"/>
    <w:rsid w:val="79B445F8"/>
    <w:rsid w:val="79B63A8F"/>
    <w:rsid w:val="79BB067C"/>
    <w:rsid w:val="79BC6C95"/>
    <w:rsid w:val="79C143B7"/>
    <w:rsid w:val="79E34735"/>
    <w:rsid w:val="79E55EB1"/>
    <w:rsid w:val="79E63D12"/>
    <w:rsid w:val="79F04F90"/>
    <w:rsid w:val="7A044199"/>
    <w:rsid w:val="7A0F13C9"/>
    <w:rsid w:val="7A120D59"/>
    <w:rsid w:val="7A294E3A"/>
    <w:rsid w:val="7A364017"/>
    <w:rsid w:val="7A42795D"/>
    <w:rsid w:val="7A4E3149"/>
    <w:rsid w:val="7A5E7D4D"/>
    <w:rsid w:val="7A684727"/>
    <w:rsid w:val="7A6E5015"/>
    <w:rsid w:val="7A7122B6"/>
    <w:rsid w:val="7A7A445B"/>
    <w:rsid w:val="7A8265E1"/>
    <w:rsid w:val="7A8B6668"/>
    <w:rsid w:val="7A8F42FE"/>
    <w:rsid w:val="7A995AD3"/>
    <w:rsid w:val="7A9D6AC7"/>
    <w:rsid w:val="7A9F6B29"/>
    <w:rsid w:val="7AA5597C"/>
    <w:rsid w:val="7AA5772A"/>
    <w:rsid w:val="7AB20098"/>
    <w:rsid w:val="7AC02894"/>
    <w:rsid w:val="7AC2357C"/>
    <w:rsid w:val="7ACA53E2"/>
    <w:rsid w:val="7AD33C0D"/>
    <w:rsid w:val="7ADB4548"/>
    <w:rsid w:val="7ADB4D39"/>
    <w:rsid w:val="7AE16BD0"/>
    <w:rsid w:val="7AE2097E"/>
    <w:rsid w:val="7AE244DA"/>
    <w:rsid w:val="7AE631D8"/>
    <w:rsid w:val="7AF83CFD"/>
    <w:rsid w:val="7B0703E4"/>
    <w:rsid w:val="7B0B4CC9"/>
    <w:rsid w:val="7B0F7299"/>
    <w:rsid w:val="7B167482"/>
    <w:rsid w:val="7B17111A"/>
    <w:rsid w:val="7B1E74DC"/>
    <w:rsid w:val="7B210C34"/>
    <w:rsid w:val="7B3960C4"/>
    <w:rsid w:val="7B4A02D1"/>
    <w:rsid w:val="7B4E2364"/>
    <w:rsid w:val="7B557D28"/>
    <w:rsid w:val="7B5829EE"/>
    <w:rsid w:val="7B5E239F"/>
    <w:rsid w:val="7B604E50"/>
    <w:rsid w:val="7B6726F3"/>
    <w:rsid w:val="7B686D42"/>
    <w:rsid w:val="7B7610C6"/>
    <w:rsid w:val="7B79581E"/>
    <w:rsid w:val="7B7F7842"/>
    <w:rsid w:val="7B841746"/>
    <w:rsid w:val="7B8B3772"/>
    <w:rsid w:val="7B9324E2"/>
    <w:rsid w:val="7B963516"/>
    <w:rsid w:val="7B9A1258"/>
    <w:rsid w:val="7B9D2AF7"/>
    <w:rsid w:val="7BAC4AE8"/>
    <w:rsid w:val="7BB75A6B"/>
    <w:rsid w:val="7BC41161"/>
    <w:rsid w:val="7BCF4451"/>
    <w:rsid w:val="7BDE1570"/>
    <w:rsid w:val="7BF94115"/>
    <w:rsid w:val="7C0E7550"/>
    <w:rsid w:val="7C214BB4"/>
    <w:rsid w:val="7C2823C0"/>
    <w:rsid w:val="7C295844"/>
    <w:rsid w:val="7C3703A4"/>
    <w:rsid w:val="7C397DB4"/>
    <w:rsid w:val="7C3E33A0"/>
    <w:rsid w:val="7C4C6EE7"/>
    <w:rsid w:val="7C5A4544"/>
    <w:rsid w:val="7C5F003B"/>
    <w:rsid w:val="7C765FB6"/>
    <w:rsid w:val="7C8D25CE"/>
    <w:rsid w:val="7C907CAE"/>
    <w:rsid w:val="7C9C690A"/>
    <w:rsid w:val="7CA8220E"/>
    <w:rsid w:val="7CAA22A6"/>
    <w:rsid w:val="7CC47AAD"/>
    <w:rsid w:val="7CCB16DA"/>
    <w:rsid w:val="7CCC4F31"/>
    <w:rsid w:val="7CCF5B33"/>
    <w:rsid w:val="7CD6006E"/>
    <w:rsid w:val="7CE00806"/>
    <w:rsid w:val="7CE34EC2"/>
    <w:rsid w:val="7CEA1D6C"/>
    <w:rsid w:val="7CEB10A1"/>
    <w:rsid w:val="7D0239FF"/>
    <w:rsid w:val="7D0B6D5A"/>
    <w:rsid w:val="7D1011A5"/>
    <w:rsid w:val="7D12619B"/>
    <w:rsid w:val="7D161BC6"/>
    <w:rsid w:val="7D302CB0"/>
    <w:rsid w:val="7D3B7D98"/>
    <w:rsid w:val="7D4A26D8"/>
    <w:rsid w:val="7D4C20DE"/>
    <w:rsid w:val="7D5A6DEE"/>
    <w:rsid w:val="7D5E40CD"/>
    <w:rsid w:val="7D693BED"/>
    <w:rsid w:val="7D694F26"/>
    <w:rsid w:val="7D7B0C16"/>
    <w:rsid w:val="7D8C2E23"/>
    <w:rsid w:val="7D905C47"/>
    <w:rsid w:val="7D957F29"/>
    <w:rsid w:val="7DA737B9"/>
    <w:rsid w:val="7DAF3C9A"/>
    <w:rsid w:val="7DC0756F"/>
    <w:rsid w:val="7DC10D1E"/>
    <w:rsid w:val="7DC55265"/>
    <w:rsid w:val="7DDC070D"/>
    <w:rsid w:val="7DE60785"/>
    <w:rsid w:val="7DE91B49"/>
    <w:rsid w:val="7DEA5181"/>
    <w:rsid w:val="7DEC2B66"/>
    <w:rsid w:val="7DEE681B"/>
    <w:rsid w:val="7DF369FE"/>
    <w:rsid w:val="7DFD5ACF"/>
    <w:rsid w:val="7DFD787D"/>
    <w:rsid w:val="7DFF28B9"/>
    <w:rsid w:val="7DFF7E6F"/>
    <w:rsid w:val="7E10135E"/>
    <w:rsid w:val="7E112208"/>
    <w:rsid w:val="7E1F7D12"/>
    <w:rsid w:val="7E320D2D"/>
    <w:rsid w:val="7E370FE0"/>
    <w:rsid w:val="7E395E91"/>
    <w:rsid w:val="7E431733"/>
    <w:rsid w:val="7E527BC8"/>
    <w:rsid w:val="7E640345"/>
    <w:rsid w:val="7E684A6E"/>
    <w:rsid w:val="7E7538B7"/>
    <w:rsid w:val="7E7A0ECD"/>
    <w:rsid w:val="7E7C2DA2"/>
    <w:rsid w:val="7E885398"/>
    <w:rsid w:val="7E8D0FAA"/>
    <w:rsid w:val="7E9062A4"/>
    <w:rsid w:val="7E957AB5"/>
    <w:rsid w:val="7EA06B86"/>
    <w:rsid w:val="7EA95E47"/>
    <w:rsid w:val="7EAD12A3"/>
    <w:rsid w:val="7EAE39F1"/>
    <w:rsid w:val="7EB83EBD"/>
    <w:rsid w:val="7EC02072"/>
    <w:rsid w:val="7EC32874"/>
    <w:rsid w:val="7EE364B3"/>
    <w:rsid w:val="7EF42684"/>
    <w:rsid w:val="7EF5218C"/>
    <w:rsid w:val="7EF7431E"/>
    <w:rsid w:val="7F163EA5"/>
    <w:rsid w:val="7F1841B1"/>
    <w:rsid w:val="7F1F3197"/>
    <w:rsid w:val="7F3137AA"/>
    <w:rsid w:val="7F315A30"/>
    <w:rsid w:val="7F3E5C19"/>
    <w:rsid w:val="7F4F4FC6"/>
    <w:rsid w:val="7F513E74"/>
    <w:rsid w:val="7F5259A6"/>
    <w:rsid w:val="7F5C5179"/>
    <w:rsid w:val="7F60688C"/>
    <w:rsid w:val="7F640D6E"/>
    <w:rsid w:val="7F6A7743"/>
    <w:rsid w:val="7F730BD3"/>
    <w:rsid w:val="7F7C6498"/>
    <w:rsid w:val="7F894412"/>
    <w:rsid w:val="7F9E0BEB"/>
    <w:rsid w:val="7FA2248A"/>
    <w:rsid w:val="7FA36677"/>
    <w:rsid w:val="7FAB0580"/>
    <w:rsid w:val="7FAC155A"/>
    <w:rsid w:val="7FB902AB"/>
    <w:rsid w:val="7FB91F7D"/>
    <w:rsid w:val="7FBD44DD"/>
    <w:rsid w:val="7FBD72C3"/>
    <w:rsid w:val="7FC06DB4"/>
    <w:rsid w:val="7FC55C19"/>
    <w:rsid w:val="7FC915EC"/>
    <w:rsid w:val="7FC93E7F"/>
    <w:rsid w:val="7FCC7507"/>
    <w:rsid w:val="7FCE30DE"/>
    <w:rsid w:val="7FD30895"/>
    <w:rsid w:val="7FDD045B"/>
    <w:rsid w:val="7FDF548C"/>
    <w:rsid w:val="7FE14F66"/>
    <w:rsid w:val="7FE17456"/>
    <w:rsid w:val="7FE40CF4"/>
    <w:rsid w:val="7FE47E50"/>
    <w:rsid w:val="7FE553A6"/>
    <w:rsid w:val="7FE7432F"/>
    <w:rsid w:val="7FF8479F"/>
    <w:rsid w:val="7FFA0518"/>
    <w:rsid w:val="7FFA4074"/>
    <w:rsid w:val="7FFD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overflowPunct w:val="0"/>
      <w:snapToGrid w:val="0"/>
      <w:ind w:hanging="432"/>
      <w:jc w:val="left"/>
      <w:outlineLvl w:val="0"/>
    </w:pPr>
    <w:rPr>
      <w:b/>
      <w:bCs/>
      <w:color w:val="000000"/>
      <w:kern w:val="44"/>
      <w:szCs w:val="30"/>
    </w:rPr>
  </w:style>
  <w:style w:type="paragraph" w:styleId="3">
    <w:name w:val="heading 2"/>
    <w:basedOn w:val="1"/>
    <w:next w:val="1"/>
    <w:qFormat/>
    <w:locked/>
    <w:uiPriority w:val="0"/>
    <w:pPr>
      <w:keepNext/>
      <w:keepLines/>
      <w:spacing w:before="156" w:beforeLines="50" w:after="156" w:afterLines="50"/>
      <w:outlineLvl w:val="1"/>
    </w:pPr>
    <w:rPr>
      <w:rFonts w:ascii="宋体" w:hAnsi="宋体"/>
      <w:b/>
      <w:color w:val="000000"/>
      <w:sz w:val="30"/>
    </w:rPr>
  </w:style>
  <w:style w:type="paragraph" w:styleId="4">
    <w:name w:val="heading 3"/>
    <w:basedOn w:val="1"/>
    <w:next w:val="1"/>
    <w:qFormat/>
    <w:locked/>
    <w:uiPriority w:val="0"/>
    <w:pPr>
      <w:keepNext/>
      <w:keepLines/>
      <w:spacing w:before="260" w:after="260" w:line="415" w:lineRule="auto"/>
      <w:outlineLvl w:val="2"/>
    </w:pPr>
    <w:rPr>
      <w:b/>
      <w:sz w:val="32"/>
    </w:rPr>
  </w:style>
  <w:style w:type="paragraph" w:styleId="5">
    <w:name w:val="heading 4"/>
    <w:basedOn w:val="1"/>
    <w:next w:val="1"/>
    <w:link w:val="44"/>
    <w:qFormat/>
    <w:locked/>
    <w:uiPriority w:val="0"/>
    <w:pPr>
      <w:keepNext/>
      <w:keepLines/>
      <w:spacing w:line="240" w:lineRule="auto"/>
      <w:ind w:firstLine="0" w:firstLineChars="0"/>
      <w:jc w:val="center"/>
      <w:outlineLvl w:val="3"/>
    </w:pPr>
    <w:rPr>
      <w:sz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sz w:val="21"/>
    </w:rPr>
  </w:style>
  <w:style w:type="paragraph" w:customStyle="1" w:styleId="7">
    <w:name w:val="样式 正文文本 + 首行缩进:  2 字符"/>
    <w:qFormat/>
    <w:uiPriority w:val="99"/>
    <w:pPr>
      <w:spacing w:after="200" w:line="480" w:lineRule="exact"/>
      <w:ind w:firstLine="480" w:firstLineChars="200"/>
    </w:pPr>
    <w:rPr>
      <w:rFonts w:ascii="宋体" w:hAnsi="宋体" w:eastAsia="宋体" w:cs="Times New Roman"/>
      <w:sz w:val="24"/>
      <w:lang w:val="en-US" w:eastAsia="zh-CN" w:bidi="ar-SA"/>
    </w:rPr>
  </w:style>
  <w:style w:type="paragraph" w:styleId="8">
    <w:name w:val="caption"/>
    <w:basedOn w:val="1"/>
    <w:next w:val="1"/>
    <w:qFormat/>
    <w:locked/>
    <w:uiPriority w:val="0"/>
    <w:pPr>
      <w:spacing w:before="152" w:after="160"/>
      <w:ind w:firstLine="0" w:firstLineChars="0"/>
      <w:jc w:val="center"/>
    </w:pPr>
    <w:rPr>
      <w:rFonts w:cs="Arial"/>
      <w:b/>
      <w:sz w:val="21"/>
      <w:szCs w:val="20"/>
    </w:rPr>
  </w:style>
  <w:style w:type="paragraph" w:styleId="9">
    <w:name w:val="annotation text"/>
    <w:basedOn w:val="1"/>
    <w:link w:val="42"/>
    <w:semiHidden/>
    <w:qFormat/>
    <w:uiPriority w:val="0"/>
    <w:pPr>
      <w:jc w:val="left"/>
    </w:pPr>
    <w:rPr>
      <w:kern w:val="0"/>
      <w:sz w:val="20"/>
    </w:rPr>
  </w:style>
  <w:style w:type="paragraph" w:styleId="10">
    <w:name w:val="Body Text"/>
    <w:basedOn w:val="1"/>
    <w:next w:val="1"/>
    <w:link w:val="48"/>
    <w:qFormat/>
    <w:uiPriority w:val="0"/>
    <w:pPr>
      <w:widowControl/>
      <w:snapToGrid w:val="0"/>
      <w:spacing w:before="60" w:after="160" w:line="259" w:lineRule="auto"/>
      <w:ind w:right="113"/>
    </w:pPr>
    <w:rPr>
      <w:kern w:val="0"/>
      <w:sz w:val="18"/>
      <w:szCs w:val="18"/>
    </w:rPr>
  </w:style>
  <w:style w:type="paragraph" w:styleId="11">
    <w:name w:val="Body Text Indent"/>
    <w:basedOn w:val="1"/>
    <w:next w:val="10"/>
    <w:link w:val="49"/>
    <w:semiHidden/>
    <w:qFormat/>
    <w:uiPriority w:val="0"/>
    <w:pPr>
      <w:spacing w:after="120"/>
      <w:ind w:left="420" w:leftChars="200"/>
    </w:pPr>
  </w:style>
  <w:style w:type="paragraph" w:styleId="12">
    <w:name w:val="Plain Text"/>
    <w:basedOn w:val="1"/>
    <w:next w:val="1"/>
    <w:qFormat/>
    <w:uiPriority w:val="0"/>
    <w:rPr>
      <w:rFonts w:ascii="宋体" w:hAnsi="Courier New" w:eastAsia="仿宋_GB2312"/>
      <w:sz w:val="28"/>
    </w:rPr>
  </w:style>
  <w:style w:type="paragraph" w:styleId="13">
    <w:name w:val="Date"/>
    <w:basedOn w:val="1"/>
    <w:next w:val="1"/>
    <w:link w:val="50"/>
    <w:qFormat/>
    <w:uiPriority w:val="0"/>
    <w:pPr>
      <w:ind w:left="100" w:leftChars="2500"/>
    </w:pPr>
    <w:rPr>
      <w:kern w:val="0"/>
      <w:sz w:val="20"/>
    </w:rPr>
  </w:style>
  <w:style w:type="paragraph" w:styleId="14">
    <w:name w:val="Balloon Text"/>
    <w:basedOn w:val="1"/>
    <w:link w:val="51"/>
    <w:semiHidden/>
    <w:qFormat/>
    <w:uiPriority w:val="0"/>
    <w:rPr>
      <w:sz w:val="18"/>
      <w:szCs w:val="18"/>
    </w:rPr>
  </w:style>
  <w:style w:type="paragraph" w:styleId="15">
    <w:name w:val="footer"/>
    <w:basedOn w:val="1"/>
    <w:link w:val="52"/>
    <w:qFormat/>
    <w:uiPriority w:val="0"/>
    <w:pPr>
      <w:tabs>
        <w:tab w:val="center" w:pos="4153"/>
        <w:tab w:val="right" w:pos="8306"/>
      </w:tabs>
      <w:snapToGrid w:val="0"/>
      <w:jc w:val="left"/>
    </w:pPr>
    <w:rPr>
      <w:sz w:val="18"/>
      <w:szCs w:val="18"/>
    </w:rPr>
  </w:style>
  <w:style w:type="paragraph" w:styleId="16">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locked/>
    <w:uiPriority w:val="0"/>
    <w:pPr>
      <w:adjustRightInd w:val="0"/>
      <w:snapToGrid w:val="0"/>
    </w:pPr>
    <w:rPr>
      <w:rFonts w:eastAsia="黑体"/>
      <w:sz w:val="28"/>
    </w:rPr>
  </w:style>
  <w:style w:type="paragraph" w:styleId="18">
    <w:name w:val="index heading"/>
    <w:basedOn w:val="1"/>
    <w:next w:val="19"/>
    <w:qFormat/>
    <w:uiPriority w:val="0"/>
  </w:style>
  <w:style w:type="paragraph" w:styleId="19">
    <w:name w:val="index 1"/>
    <w:basedOn w:val="1"/>
    <w:next w:val="1"/>
    <w:qFormat/>
    <w:uiPriority w:val="0"/>
  </w:style>
  <w:style w:type="paragraph" w:styleId="20">
    <w:name w:val="List"/>
    <w:basedOn w:val="1"/>
    <w:next w:val="21"/>
    <w:qFormat/>
    <w:uiPriority w:val="99"/>
    <w:pPr>
      <w:ind w:left="200" w:hanging="200" w:hangingChars="200"/>
      <w:contextualSpacing/>
    </w:pPr>
  </w:style>
  <w:style w:type="paragraph" w:customStyle="1" w:styleId="21">
    <w:name w:val="Default"/>
    <w:basedOn w:val="22"/>
    <w:next w:val="1"/>
    <w:qFormat/>
    <w:uiPriority w:val="0"/>
    <w:pPr>
      <w:autoSpaceDE w:val="0"/>
      <w:autoSpaceDN w:val="0"/>
    </w:pPr>
    <w:rPr>
      <w:rFonts w:ascii="微软雅黑" w:hAnsi="Times New Roman" w:eastAsia="微软雅黑"/>
      <w:color w:val="000000"/>
      <w:sz w:val="24"/>
    </w:rPr>
  </w:style>
  <w:style w:type="paragraph" w:customStyle="1" w:styleId="22">
    <w:name w:val="纯文本1"/>
    <w:basedOn w:val="1"/>
    <w:qFormat/>
    <w:uiPriority w:val="0"/>
    <w:pPr>
      <w:adjustRightInd w:val="0"/>
      <w:textAlignment w:val="baseline"/>
    </w:pPr>
    <w:rPr>
      <w:rFonts w:ascii="宋体" w:hAnsi="Courier New"/>
      <w:sz w:val="28"/>
      <w:szCs w:val="20"/>
    </w:rPr>
  </w:style>
  <w:style w:type="paragraph" w:styleId="23">
    <w:name w:val="table of figures"/>
    <w:next w:val="1"/>
    <w:qFormat/>
    <w:uiPriority w:val="0"/>
    <w:pPr>
      <w:adjustRightInd w:val="0"/>
      <w:snapToGrid w:val="0"/>
      <w:spacing w:before="120" w:line="240" w:lineRule="atLeast"/>
      <w:jc w:val="center"/>
    </w:pPr>
    <w:rPr>
      <w:rFonts w:ascii="Times New Roman" w:hAnsi="Times New Roman" w:eastAsia="宋体" w:cs="Times New Roman"/>
      <w:b/>
      <w:sz w:val="21"/>
      <w:lang w:val="en-US" w:eastAsia="zh-CN" w:bidi="ar-SA"/>
    </w:rPr>
  </w:style>
  <w:style w:type="paragraph" w:styleId="24">
    <w:name w:val="toc 2"/>
    <w:basedOn w:val="1"/>
    <w:next w:val="1"/>
    <w:qFormat/>
    <w:locked/>
    <w:uiPriority w:val="0"/>
    <w:pPr>
      <w:adjustRightInd w:val="0"/>
      <w:snapToGrid w:val="0"/>
      <w:ind w:left="200" w:leftChars="200"/>
    </w:pPr>
    <w:rPr>
      <w:sz w:val="28"/>
    </w:rPr>
  </w:style>
  <w:style w:type="paragraph" w:styleId="25">
    <w:name w:val="Body Text 2"/>
    <w:basedOn w:val="1"/>
    <w:qFormat/>
    <w:uiPriority w:val="0"/>
    <w:pPr>
      <w:spacing w:before="240" w:after="240"/>
    </w:pPr>
    <w:rPr>
      <w:sz w:val="28"/>
    </w:rPr>
  </w:style>
  <w:style w:type="paragraph" w:styleId="26">
    <w:name w:val="Normal (Web)"/>
    <w:basedOn w:val="1"/>
    <w:link w:val="54"/>
    <w:qFormat/>
    <w:uiPriority w:val="0"/>
    <w:pPr>
      <w:widowControl/>
      <w:spacing w:before="100" w:beforeAutospacing="1" w:after="100" w:afterAutospacing="1"/>
      <w:jc w:val="left"/>
    </w:pPr>
    <w:rPr>
      <w:rFonts w:ascii="宋体" w:hAnsi="宋体"/>
      <w:kern w:val="0"/>
    </w:rPr>
  </w:style>
  <w:style w:type="paragraph" w:styleId="27">
    <w:name w:val="annotation subject"/>
    <w:basedOn w:val="9"/>
    <w:next w:val="9"/>
    <w:link w:val="41"/>
    <w:semiHidden/>
    <w:qFormat/>
    <w:uiPriority w:val="0"/>
    <w:rPr>
      <w:b/>
      <w:bCs/>
    </w:rPr>
  </w:style>
  <w:style w:type="paragraph" w:styleId="28">
    <w:name w:val="Body Text First Indent"/>
    <w:basedOn w:val="10"/>
    <w:qFormat/>
    <w:uiPriority w:val="0"/>
    <w:pPr>
      <w:widowControl w:val="0"/>
      <w:spacing w:after="120"/>
      <w:ind w:firstLine="420" w:firstLineChars="100"/>
    </w:pPr>
    <w:rPr>
      <w:kern w:val="2"/>
      <w:szCs w:val="24"/>
    </w:rPr>
  </w:style>
  <w:style w:type="paragraph" w:styleId="29">
    <w:name w:val="Body Text First Indent 2"/>
    <w:basedOn w:val="11"/>
    <w:next w:val="10"/>
    <w:qFormat/>
    <w:uiPriority w:val="0"/>
    <w:pPr>
      <w:ind w:firstLine="420"/>
    </w:p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qFormat/>
    <w:uiPriority w:val="0"/>
  </w:style>
  <w:style w:type="character" w:styleId="34">
    <w:name w:val="Hyperlink"/>
    <w:qFormat/>
    <w:uiPriority w:val="0"/>
    <w:rPr>
      <w:color w:val="0000FF"/>
      <w:u w:val="single"/>
    </w:rPr>
  </w:style>
  <w:style w:type="character" w:styleId="35">
    <w:name w:val="annotation reference"/>
    <w:semiHidden/>
    <w:qFormat/>
    <w:uiPriority w:val="0"/>
    <w:rPr>
      <w:sz w:val="21"/>
    </w:rPr>
  </w:style>
  <w:style w:type="paragraph" w:customStyle="1" w:styleId="36">
    <w:name w:val="Char"/>
    <w:basedOn w:val="1"/>
    <w:next w:val="1"/>
    <w:qFormat/>
    <w:uiPriority w:val="0"/>
    <w:rPr>
      <w:rFonts w:ascii="Arial" w:hAnsi="Arial" w:eastAsia="黑体"/>
      <w:b/>
      <w:sz w:val="28"/>
    </w:rPr>
  </w:style>
  <w:style w:type="paragraph" w:customStyle="1" w:styleId="37">
    <w:name w:val="表头"/>
    <w:basedOn w:val="38"/>
    <w:next w:val="1"/>
    <w:qFormat/>
    <w:uiPriority w:val="0"/>
    <w:pPr>
      <w:tabs>
        <w:tab w:val="left" w:pos="360"/>
        <w:tab w:val="left" w:pos="1620"/>
      </w:tabs>
      <w:spacing w:line="240" w:lineRule="auto"/>
      <w:jc w:val="center"/>
    </w:pPr>
    <w:rPr>
      <w:color w:val="000000"/>
      <w:sz w:val="21"/>
      <w:szCs w:val="21"/>
    </w:rPr>
  </w:style>
  <w:style w:type="paragraph" w:customStyle="1" w:styleId="38">
    <w:name w:val="表外"/>
    <w:basedOn w:val="1"/>
    <w:qFormat/>
    <w:uiPriority w:val="0"/>
    <w:pPr>
      <w:ind w:firstLine="0" w:firstLineChars="0"/>
    </w:pPr>
    <w:rPr>
      <w:b/>
      <w:sz w:val="32"/>
    </w:rPr>
  </w:style>
  <w:style w:type="paragraph" w:customStyle="1" w:styleId="39">
    <w:name w:val="表格"/>
    <w:basedOn w:val="40"/>
    <w:next w:val="1"/>
    <w:link w:val="58"/>
    <w:qFormat/>
    <w:uiPriority w:val="0"/>
    <w:pPr>
      <w:adjustRightInd w:val="0"/>
      <w:snapToGrid w:val="0"/>
      <w:spacing w:beforeLines="10" w:afterLines="10" w:line="259" w:lineRule="auto"/>
      <w:jc w:val="center"/>
    </w:pPr>
    <w:rPr>
      <w:rFonts w:ascii="宋体"/>
      <w:kern w:val="0"/>
      <w:sz w:val="20"/>
      <w:szCs w:val="21"/>
    </w:rPr>
  </w:style>
  <w:style w:type="paragraph" w:customStyle="1" w:styleId="40">
    <w:name w:val="正文小四 2-1.5"/>
    <w:basedOn w:val="1"/>
    <w:qFormat/>
    <w:uiPriority w:val="0"/>
    <w:pPr>
      <w:ind w:firstLine="643"/>
    </w:pPr>
  </w:style>
  <w:style w:type="character" w:customStyle="1" w:styleId="41">
    <w:name w:val="批注主题 字符"/>
    <w:link w:val="27"/>
    <w:semiHidden/>
    <w:qFormat/>
    <w:locked/>
    <w:uiPriority w:val="0"/>
    <w:rPr>
      <w:rFonts w:cs="Times New Roman"/>
      <w:b/>
      <w:bCs/>
      <w:kern w:val="2"/>
      <w:szCs w:val="24"/>
    </w:rPr>
  </w:style>
  <w:style w:type="character" w:customStyle="1" w:styleId="42">
    <w:name w:val="批注文字 字符"/>
    <w:link w:val="9"/>
    <w:qFormat/>
    <w:locked/>
    <w:uiPriority w:val="0"/>
    <w:rPr>
      <w:rFonts w:ascii="Times New Roman" w:hAnsi="Times New Roman" w:eastAsia="宋体"/>
      <w:sz w:val="24"/>
    </w:rPr>
  </w:style>
  <w:style w:type="character" w:customStyle="1" w:styleId="43">
    <w:name w:val="批注文字 字符1"/>
    <w:semiHidden/>
    <w:qFormat/>
    <w:uiPriority w:val="0"/>
    <w:rPr>
      <w:rFonts w:ascii="Times New Roman" w:hAnsi="Times New Roman" w:eastAsia="宋体" w:cs="Times New Roman"/>
      <w:sz w:val="24"/>
      <w:szCs w:val="24"/>
    </w:rPr>
  </w:style>
  <w:style w:type="character" w:customStyle="1" w:styleId="44">
    <w:name w:val="标题 4 字符"/>
    <w:link w:val="5"/>
    <w:qFormat/>
    <w:uiPriority w:val="0"/>
    <w:rPr>
      <w:sz w:val="21"/>
    </w:rPr>
  </w:style>
  <w:style w:type="paragraph" w:customStyle="1" w:styleId="45">
    <w:name w:val="表格内容"/>
    <w:basedOn w:val="1"/>
    <w:link w:val="90"/>
    <w:qFormat/>
    <w:uiPriority w:val="0"/>
    <w:pPr>
      <w:adjustRightInd w:val="0"/>
      <w:snapToGrid w:val="0"/>
      <w:spacing w:line="240" w:lineRule="auto"/>
      <w:ind w:firstLine="0" w:firstLineChars="0"/>
      <w:jc w:val="center"/>
    </w:pPr>
    <w:rPr>
      <w:color w:val="000000"/>
      <w:sz w:val="21"/>
      <w:szCs w:val="18"/>
    </w:rPr>
  </w:style>
  <w:style w:type="paragraph" w:customStyle="1" w:styleId="46">
    <w:name w:val="默认段落"/>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47">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character" w:customStyle="1" w:styleId="48">
    <w:name w:val="正文文本 字符"/>
    <w:link w:val="10"/>
    <w:qFormat/>
    <w:locked/>
    <w:uiPriority w:val="0"/>
    <w:rPr>
      <w:sz w:val="18"/>
    </w:rPr>
  </w:style>
  <w:style w:type="character" w:customStyle="1" w:styleId="49">
    <w:name w:val="正文文本缩进 字符"/>
    <w:link w:val="11"/>
    <w:semiHidden/>
    <w:qFormat/>
    <w:locked/>
    <w:uiPriority w:val="0"/>
    <w:rPr>
      <w:rFonts w:ascii="Times New Roman" w:hAnsi="Times New Roman" w:eastAsia="宋体" w:cs="Times New Roman"/>
      <w:sz w:val="24"/>
      <w:szCs w:val="24"/>
    </w:rPr>
  </w:style>
  <w:style w:type="character" w:customStyle="1" w:styleId="50">
    <w:name w:val="日期 字符1"/>
    <w:link w:val="13"/>
    <w:qFormat/>
    <w:locked/>
    <w:uiPriority w:val="0"/>
    <w:rPr>
      <w:rFonts w:ascii="Times New Roman" w:hAnsi="Times New Roman" w:eastAsia="宋体"/>
      <w:sz w:val="24"/>
    </w:rPr>
  </w:style>
  <w:style w:type="character" w:customStyle="1" w:styleId="51">
    <w:name w:val="批注框文本 字符"/>
    <w:link w:val="14"/>
    <w:semiHidden/>
    <w:qFormat/>
    <w:locked/>
    <w:uiPriority w:val="0"/>
    <w:rPr>
      <w:rFonts w:ascii="Times New Roman" w:hAnsi="Times New Roman" w:eastAsia="宋体" w:cs="Times New Roman"/>
      <w:sz w:val="18"/>
      <w:szCs w:val="18"/>
    </w:rPr>
  </w:style>
  <w:style w:type="character" w:customStyle="1" w:styleId="52">
    <w:name w:val="页脚 字符"/>
    <w:link w:val="15"/>
    <w:qFormat/>
    <w:locked/>
    <w:uiPriority w:val="0"/>
    <w:rPr>
      <w:rFonts w:cs="Times New Roman"/>
      <w:sz w:val="18"/>
      <w:szCs w:val="18"/>
    </w:rPr>
  </w:style>
  <w:style w:type="character" w:customStyle="1" w:styleId="53">
    <w:name w:val="页眉 字符"/>
    <w:link w:val="16"/>
    <w:qFormat/>
    <w:locked/>
    <w:uiPriority w:val="0"/>
    <w:rPr>
      <w:rFonts w:cs="Times New Roman"/>
      <w:sz w:val="18"/>
      <w:szCs w:val="18"/>
    </w:rPr>
  </w:style>
  <w:style w:type="character" w:customStyle="1" w:styleId="54">
    <w:name w:val="普通(网站) 字符"/>
    <w:link w:val="26"/>
    <w:qFormat/>
    <w:locked/>
    <w:uiPriority w:val="0"/>
    <w:rPr>
      <w:rFonts w:ascii="宋体" w:hAnsi="宋体" w:eastAsia="宋体"/>
      <w:sz w:val="24"/>
    </w:rPr>
  </w:style>
  <w:style w:type="character" w:customStyle="1" w:styleId="55">
    <w:name w:val="普通(网站) Char"/>
    <w:qFormat/>
    <w:locked/>
    <w:uiPriority w:val="0"/>
    <w:rPr>
      <w:rFonts w:ascii="宋体" w:hAnsi="宋体" w:eastAsia="宋体"/>
      <w:sz w:val="24"/>
    </w:rPr>
  </w:style>
  <w:style w:type="character" w:customStyle="1" w:styleId="56">
    <w:name w:val="正文文本 字符1"/>
    <w:semiHidden/>
    <w:qFormat/>
    <w:uiPriority w:val="0"/>
    <w:rPr>
      <w:rFonts w:ascii="Times New Roman" w:hAnsi="Times New Roman" w:eastAsia="宋体" w:cs="Times New Roman"/>
      <w:sz w:val="24"/>
      <w:szCs w:val="24"/>
    </w:rPr>
  </w:style>
  <w:style w:type="character" w:customStyle="1" w:styleId="57">
    <w:name w:val="日期 字符"/>
    <w:semiHidden/>
    <w:qFormat/>
    <w:uiPriority w:val="0"/>
    <w:rPr>
      <w:rFonts w:ascii="Times New Roman" w:hAnsi="Times New Roman" w:eastAsia="宋体" w:cs="Times New Roman"/>
      <w:sz w:val="24"/>
      <w:szCs w:val="24"/>
    </w:rPr>
  </w:style>
  <w:style w:type="character" w:customStyle="1" w:styleId="58">
    <w:name w:val="表格 Char"/>
    <w:link w:val="39"/>
    <w:qFormat/>
    <w:locked/>
    <w:uiPriority w:val="0"/>
    <w:rPr>
      <w:rFonts w:ascii="宋体"/>
      <w:sz w:val="21"/>
    </w:rPr>
  </w:style>
  <w:style w:type="paragraph" w:customStyle="1" w:styleId="59">
    <w:name w:val="普通(网站)2"/>
    <w:basedOn w:val="1"/>
    <w:qFormat/>
    <w:uiPriority w:val="0"/>
    <w:pPr>
      <w:widowControl/>
      <w:spacing w:before="100" w:beforeAutospacing="1" w:after="100" w:afterAutospacing="1"/>
      <w:jc w:val="left"/>
    </w:pPr>
    <w:rPr>
      <w:rFonts w:ascii="宋体" w:hAnsi="宋体"/>
      <w:szCs w:val="20"/>
    </w:rPr>
  </w:style>
  <w:style w:type="paragraph" w:customStyle="1" w:styleId="60">
    <w:name w:val="p0"/>
    <w:basedOn w:val="1"/>
    <w:qFormat/>
    <w:uiPriority w:val="0"/>
    <w:pPr>
      <w:widowControl/>
      <w:spacing w:before="100" w:beforeAutospacing="1" w:after="100" w:afterAutospacing="1"/>
      <w:jc w:val="left"/>
    </w:pPr>
    <w:rPr>
      <w:rFonts w:ascii="宋体" w:hAnsi="宋体"/>
      <w:kern w:val="0"/>
    </w:rPr>
  </w:style>
  <w:style w:type="paragraph" w:customStyle="1" w:styleId="61">
    <w:name w:val="表中字体"/>
    <w:basedOn w:val="6"/>
    <w:qFormat/>
    <w:uiPriority w:val="0"/>
    <w:pPr>
      <w:tabs>
        <w:tab w:val="left" w:pos="8176"/>
      </w:tabs>
      <w:spacing w:line="280" w:lineRule="exact"/>
      <w:ind w:firstLine="0" w:firstLineChars="0"/>
      <w:jc w:val="center"/>
    </w:pPr>
    <w:rPr>
      <w:rFonts w:ascii="宋体" w:hAnsi="宋体"/>
      <w:kern w:val="0"/>
      <w:sz w:val="20"/>
    </w:rPr>
  </w:style>
  <w:style w:type="paragraph" w:customStyle="1" w:styleId="62">
    <w:name w:val="正文缩进1"/>
    <w:basedOn w:val="1"/>
    <w:qFormat/>
    <w:uiPriority w:val="0"/>
    <w:pPr>
      <w:ind w:firstLine="420"/>
    </w:pPr>
  </w:style>
  <w:style w:type="paragraph" w:customStyle="1" w:styleId="63">
    <w:name w:val="zw"/>
    <w:basedOn w:val="12"/>
    <w:qFormat/>
    <w:uiPriority w:val="0"/>
    <w:pPr>
      <w:ind w:firstLine="480"/>
    </w:pPr>
    <w:rPr>
      <w:rFonts w:ascii="Times New Roman" w:hAnsi="Times New Roman"/>
      <w:sz w:val="24"/>
      <w:szCs w:val="20"/>
    </w:rPr>
  </w:style>
  <w:style w:type="paragraph" w:customStyle="1" w:styleId="64">
    <w:name w:val="文本"/>
    <w:basedOn w:val="1"/>
    <w:qFormat/>
    <w:uiPriority w:val="0"/>
    <w:pPr>
      <w:adjustRightInd w:val="0"/>
      <w:snapToGrid w:val="0"/>
      <w:ind w:firstLine="480"/>
      <w:jc w:val="left"/>
    </w:pPr>
  </w:style>
  <w:style w:type="paragraph" w:customStyle="1" w:styleId="65">
    <w:name w:val="A3"/>
    <w:basedOn w:val="4"/>
    <w:qFormat/>
    <w:uiPriority w:val="0"/>
    <w:pPr>
      <w:numPr>
        <w:ilvl w:val="2"/>
        <w:numId w:val="1"/>
      </w:numPr>
      <w:adjustRightInd w:val="0"/>
      <w:snapToGrid w:val="0"/>
      <w:spacing w:before="0" w:after="0" w:line="360" w:lineRule="auto"/>
    </w:pPr>
    <w:rPr>
      <w:rFonts w:ascii="宋体" w:hAnsi="宋体"/>
      <w:sz w:val="28"/>
      <w:szCs w:val="28"/>
    </w:rPr>
  </w:style>
  <w:style w:type="paragraph" w:customStyle="1" w:styleId="66">
    <w:name w:val="Char Char2 Char Char Char Char Char Char Char Char Char Char Char Char Char Char"/>
    <w:basedOn w:val="1"/>
    <w:qFormat/>
    <w:uiPriority w:val="0"/>
    <w:rPr>
      <w:b/>
      <w:kern w:val="0"/>
      <w:position w:val="6"/>
    </w:rPr>
  </w:style>
  <w:style w:type="paragraph" w:customStyle="1" w:styleId="67">
    <w:name w:val="普通文字 Char Char Char Char Char"/>
    <w:basedOn w:val="1"/>
    <w:next w:val="12"/>
    <w:qFormat/>
    <w:uiPriority w:val="0"/>
    <w:rPr>
      <w:rFonts w:ascii="宋体" w:hAnsi="Courier New"/>
      <w:sz w:val="28"/>
    </w:rPr>
  </w:style>
  <w:style w:type="paragraph" w:customStyle="1" w:styleId="68">
    <w:name w:val="中文报告书样式"/>
    <w:basedOn w:val="1"/>
    <w:qFormat/>
    <w:uiPriority w:val="0"/>
    <w:pPr>
      <w:adjustRightInd w:val="0"/>
      <w:spacing w:line="420" w:lineRule="atLeast"/>
      <w:textAlignment w:val="baseline"/>
    </w:pPr>
    <w:rPr>
      <w:kern w:val="24"/>
      <w:szCs w:val="20"/>
    </w:rPr>
  </w:style>
  <w:style w:type="paragraph" w:customStyle="1" w:styleId="69">
    <w:name w:val="Table Paragraph"/>
    <w:basedOn w:val="1"/>
    <w:qFormat/>
    <w:uiPriority w:val="1"/>
    <w:pPr>
      <w:jc w:val="center"/>
    </w:pPr>
    <w:rPr>
      <w:rFonts w:ascii="宋体" w:hAnsi="宋体" w:cs="宋体"/>
      <w:lang w:val="zh-CN" w:bidi="zh-CN"/>
    </w:rPr>
  </w:style>
  <w:style w:type="paragraph" w:customStyle="1" w:styleId="70">
    <w:name w:val="样式 首行缩进:  2 字符1"/>
    <w:basedOn w:val="1"/>
    <w:qFormat/>
    <w:uiPriority w:val="0"/>
    <w:pPr>
      <w:adjustRightInd w:val="0"/>
      <w:snapToGrid w:val="0"/>
      <w:ind w:firstLine="480"/>
    </w:pPr>
    <w:rPr>
      <w:rFonts w:cs="宋体"/>
    </w:rPr>
  </w:style>
  <w:style w:type="paragraph" w:customStyle="1" w:styleId="71">
    <w:name w:val="改性沥青4级标题"/>
    <w:basedOn w:val="1"/>
    <w:qFormat/>
    <w:uiPriority w:val="0"/>
    <w:pPr>
      <w:spacing w:line="560" w:lineRule="exact"/>
    </w:pPr>
    <w:rPr>
      <w:rFonts w:ascii="宋体" w:hAnsi="宋体"/>
    </w:rPr>
  </w:style>
  <w:style w:type="paragraph" w:customStyle="1" w:styleId="72">
    <w:name w:val="正文A"/>
    <w:basedOn w:val="1"/>
    <w:qFormat/>
    <w:uiPriority w:val="0"/>
    <w:pPr>
      <w:spacing w:line="520" w:lineRule="exact"/>
      <w:ind w:firstLine="480"/>
    </w:pPr>
    <w:rPr>
      <w:rFonts w:ascii="宋体" w:hAnsi="宋体" w:cs="宋体"/>
      <w:szCs w:val="20"/>
    </w:rPr>
  </w:style>
  <w:style w:type="character" w:customStyle="1" w:styleId="73">
    <w:name w:val="textbig1"/>
    <w:qFormat/>
    <w:uiPriority w:val="0"/>
    <w:rPr>
      <w:sz w:val="18"/>
      <w:szCs w:val="18"/>
    </w:rPr>
  </w:style>
  <w:style w:type="paragraph" w:customStyle="1" w:styleId="74">
    <w:name w:val="改性沥青正文1"/>
    <w:basedOn w:val="1"/>
    <w:qFormat/>
    <w:uiPriority w:val="0"/>
    <w:pPr>
      <w:adjustRightInd w:val="0"/>
      <w:snapToGrid w:val="0"/>
      <w:spacing w:line="560" w:lineRule="exact"/>
      <w:ind w:firstLine="482"/>
      <w:jc w:val="left"/>
      <w:textAlignment w:val="baseline"/>
    </w:pPr>
    <w:rPr>
      <w:rFonts w:ascii="宋体" w:hAnsi="宋体"/>
    </w:rPr>
  </w:style>
  <w:style w:type="paragraph" w:customStyle="1" w:styleId="75">
    <w:name w:val="样式 首行缩进:  2 字符 行距: 固定值 26 磅"/>
    <w:basedOn w:val="1"/>
    <w:qFormat/>
    <w:uiPriority w:val="0"/>
    <w:pPr>
      <w:spacing w:line="520" w:lineRule="exact"/>
      <w:ind w:firstLine="480"/>
    </w:pPr>
    <w:rPr>
      <w:rFonts w:cs="宋体"/>
    </w:rPr>
  </w:style>
  <w:style w:type="paragraph" w:customStyle="1" w:styleId="76">
    <w:name w:val="报告正文"/>
    <w:basedOn w:val="77"/>
    <w:qFormat/>
    <w:uiPriority w:val="0"/>
    <w:pPr>
      <w:suppressAutoHyphens/>
      <w:topLinePunct/>
      <w:adjustRightInd w:val="0"/>
      <w:snapToGrid w:val="0"/>
      <w:ind w:firstLine="200"/>
    </w:pPr>
    <w:rPr>
      <w:rFonts w:ascii="Times New Roman" w:hAnsi="Times New Roman" w:cs="Times New Roman"/>
      <w:szCs w:val="24"/>
    </w:rPr>
  </w:style>
  <w:style w:type="paragraph" w:customStyle="1" w:styleId="77">
    <w:name w:val="p17"/>
    <w:basedOn w:val="1"/>
    <w:qFormat/>
    <w:uiPriority w:val="0"/>
    <w:pPr>
      <w:widowControl/>
    </w:pPr>
    <w:rPr>
      <w:rFonts w:ascii="宋体" w:hAnsi="宋体" w:cs="宋体"/>
      <w:kern w:val="0"/>
      <w:szCs w:val="21"/>
    </w:rPr>
  </w:style>
  <w:style w:type="paragraph" w:customStyle="1" w:styleId="78">
    <w:name w:val="正"/>
    <w:basedOn w:val="1"/>
    <w:qFormat/>
    <w:uiPriority w:val="0"/>
    <w:pPr>
      <w:ind w:firstLine="200"/>
    </w:pPr>
    <w:rPr>
      <w:kern w:val="0"/>
      <w:szCs w:val="20"/>
    </w:rPr>
  </w:style>
  <w:style w:type="paragraph" w:customStyle="1" w:styleId="79">
    <w:name w:val="样式6"/>
    <w:basedOn w:val="1"/>
    <w:qFormat/>
    <w:uiPriority w:val="0"/>
    <w:pPr>
      <w:tabs>
        <w:tab w:val="left" w:pos="858"/>
        <w:tab w:val="left" w:pos="1427"/>
        <w:tab w:val="left" w:pos="1713"/>
      </w:tabs>
      <w:adjustRightInd w:val="0"/>
      <w:snapToGrid w:val="0"/>
      <w:ind w:left="1713" w:hanging="720" w:firstLineChars="0"/>
      <w:jc w:val="left"/>
      <w:outlineLvl w:val="2"/>
    </w:pPr>
    <w:rPr>
      <w:color w:val="000000"/>
    </w:rPr>
  </w:style>
  <w:style w:type="paragraph" w:customStyle="1" w:styleId="80">
    <w:name w:val="Default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1">
    <w:name w:val="3级标题"/>
    <w:next w:val="82"/>
    <w:qFormat/>
    <w:uiPriority w:val="0"/>
    <w:pPr>
      <w:spacing w:before="120" w:after="60"/>
      <w:ind w:firstLine="200" w:firstLineChars="200"/>
      <w:outlineLvl w:val="2"/>
    </w:pPr>
    <w:rPr>
      <w:rFonts w:ascii="Arial" w:hAnsi="Arial" w:eastAsia="黑体" w:cs="Times New Roman"/>
      <w:kern w:val="2"/>
      <w:sz w:val="24"/>
      <w:szCs w:val="24"/>
      <w:lang w:val="en-US" w:eastAsia="zh-CN" w:bidi="ar-SA"/>
    </w:rPr>
  </w:style>
  <w:style w:type="paragraph" w:customStyle="1" w:styleId="82">
    <w:name w:val="正文内容"/>
    <w:qFormat/>
    <w:uiPriority w:val="0"/>
    <w:pPr>
      <w:widowControl w:val="0"/>
      <w:snapToGrid w:val="0"/>
      <w:spacing w:before="60" w:after="60" w:line="440" w:lineRule="exact"/>
      <w:ind w:firstLine="200" w:firstLineChars="200"/>
      <w:jc w:val="both"/>
    </w:pPr>
    <w:rPr>
      <w:rFonts w:ascii="Calibri" w:hAnsi="Calibri" w:eastAsia="宋体" w:cs="Times New Roman"/>
      <w:kern w:val="2"/>
      <w:sz w:val="24"/>
      <w:szCs w:val="24"/>
      <w:lang w:val="en-US" w:eastAsia="zh-CN" w:bidi="ar-SA"/>
    </w:rPr>
  </w:style>
  <w:style w:type="paragraph" w:customStyle="1" w:styleId="83">
    <w:name w:val="我的正文"/>
    <w:basedOn w:val="1"/>
    <w:qFormat/>
    <w:uiPriority w:val="0"/>
    <w:pPr>
      <w:adjustRightInd w:val="0"/>
      <w:snapToGrid w:val="0"/>
      <w:spacing w:line="480" w:lineRule="exact"/>
      <w:ind w:firstLine="480"/>
    </w:pPr>
    <w:rPr>
      <w:szCs w:val="20"/>
    </w:rPr>
  </w:style>
  <w:style w:type="paragraph" w:customStyle="1" w:styleId="84">
    <w:name w:val="0正文"/>
    <w:basedOn w:val="1"/>
    <w:qFormat/>
    <w:uiPriority w:val="0"/>
    <w:pPr>
      <w:adjustRightInd w:val="0"/>
      <w:spacing w:line="480" w:lineRule="exact"/>
      <w:ind w:firstLine="200"/>
      <w:contextualSpacing/>
    </w:pPr>
    <w:rPr>
      <w:szCs w:val="22"/>
    </w:rPr>
  </w:style>
  <w:style w:type="paragraph" w:customStyle="1" w:styleId="85">
    <w:name w:val="zhengwen"/>
    <w:basedOn w:val="1"/>
    <w:semiHidden/>
    <w:qFormat/>
    <w:uiPriority w:val="0"/>
    <w:pPr>
      <w:spacing w:line="440" w:lineRule="exact"/>
      <w:ind w:firstLine="480"/>
    </w:pPr>
    <w:rPr>
      <w:rFonts w:ascii="Calibri" w:hAnsi="宋体"/>
    </w:rPr>
  </w:style>
  <w:style w:type="paragraph" w:customStyle="1" w:styleId="86">
    <w:name w:val="正文小四首缩1.3行距"/>
    <w:basedOn w:val="1"/>
    <w:qFormat/>
    <w:uiPriority w:val="0"/>
    <w:pPr>
      <w:spacing w:line="312" w:lineRule="auto"/>
      <w:ind w:firstLine="420"/>
    </w:pPr>
    <w:rPr>
      <w:rFonts w:ascii="Calibri" w:hAnsi="Calibri"/>
    </w:rPr>
  </w:style>
  <w:style w:type="paragraph" w:customStyle="1" w:styleId="87">
    <w:name w:val="吴玉  正文"/>
    <w:basedOn w:val="1"/>
    <w:qFormat/>
    <w:uiPriority w:val="99"/>
    <w:pPr>
      <w:spacing w:line="520" w:lineRule="atLeast"/>
    </w:pPr>
    <w:rPr>
      <w:rFonts w:cs="宋体"/>
      <w:szCs w:val="20"/>
    </w:rPr>
  </w:style>
  <w:style w:type="paragraph" w:customStyle="1" w:styleId="88">
    <w:name w:val="Table caption"/>
    <w:basedOn w:val="1"/>
    <w:qFormat/>
    <w:uiPriority w:val="99"/>
    <w:pPr>
      <w:widowControl/>
      <w:shd w:val="clear" w:color="auto" w:fill="FFFFFF"/>
      <w:spacing w:line="240" w:lineRule="atLeast"/>
      <w:ind w:firstLine="0" w:firstLineChars="0"/>
      <w:jc w:val="left"/>
    </w:pPr>
    <w:rPr>
      <w:rFonts w:ascii="宋体" w:cs="宋体" w:hAnsiTheme="minorHAnsi"/>
      <w:sz w:val="16"/>
      <w:szCs w:val="16"/>
    </w:rPr>
  </w:style>
  <w:style w:type="paragraph" w:customStyle="1" w:styleId="89">
    <w:name w:val="Body text (82)1"/>
    <w:basedOn w:val="1"/>
    <w:qFormat/>
    <w:uiPriority w:val="99"/>
    <w:pPr>
      <w:widowControl/>
      <w:shd w:val="clear" w:color="auto" w:fill="FFFFFF"/>
      <w:spacing w:before="420" w:after="360" w:line="240" w:lineRule="atLeast"/>
      <w:ind w:hanging="780" w:firstLineChars="0"/>
      <w:jc w:val="left"/>
    </w:pPr>
    <w:rPr>
      <w:rFonts w:ascii="宋体" w:cs="宋体" w:hAnsiTheme="minorHAnsi"/>
      <w:sz w:val="21"/>
    </w:rPr>
  </w:style>
  <w:style w:type="character" w:customStyle="1" w:styleId="90">
    <w:name w:val="表格内容 Char"/>
    <w:link w:val="45"/>
    <w:qFormat/>
    <w:uiPriority w:val="0"/>
    <w:rPr>
      <w:rFonts w:ascii="Times New Roman" w:hAnsi="Times New Roman" w:eastAsia="宋体"/>
      <w:color w:val="000000"/>
      <w:sz w:val="21"/>
      <w:szCs w:val="18"/>
    </w:rPr>
  </w:style>
  <w:style w:type="paragraph" w:customStyle="1" w:styleId="91">
    <w:name w:val="样式 正文缩进表正文正文非缩进段1Body Text(ch)缩进ALT+Z特点四号正文不缩进标题4正文2..."/>
    <w:basedOn w:val="6"/>
    <w:qFormat/>
    <w:uiPriority w:val="0"/>
    <w:pPr>
      <w:spacing w:line="480" w:lineRule="exact"/>
      <w:ind w:firstLine="480"/>
    </w:pPr>
    <w:rPr>
      <w:rFonts w:cs="宋体"/>
      <w:b/>
      <w:bCs/>
      <w:snapToGrid w:val="0"/>
      <w:kern w:val="28"/>
      <w:sz w:val="24"/>
    </w:rPr>
  </w:style>
  <w:style w:type="paragraph" w:styleId="92">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86f7fc02-2d81-4dbf-a4b2-5e57ceab7444</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226B829F</paraID>
      <start>309</start>
      <end>310</end>
      <status>ignored</status>
      <modifiedWord/>
      <trackRevisions>false</trackRevisions>
    </reviewItem>
    <reviewItem>
      <errorID>222e67ca-eb92-4419-99be-7d19b83036a3</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226B829F</paraID>
      <start>312</start>
      <end>313</end>
      <status>ignored</status>
      <modifiedWord/>
      <trackRevisions>false</trackRevisions>
    </reviewItem>
    <reviewItem>
      <errorID>7e7e73ba-6d3b-4c36-b08d-e015e99379bb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7A01E35B</paraID>
      <start>0</start>
      <end>2</end>
      <status>ignored</status>
      <modifiedWord/>
      <trackRevisions>false</trackRevisions>
    </reviewItem>
    <reviewItem>
      <errorID>adb63d91-1877-4e8e-bda8-d685c8193474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73F73A4B</paraID>
      <start>0</start>
      <end>2</end>
      <status>ignored</status>
      <modifiedWord/>
      <trackRevisions>false</trackRevisions>
    </reviewItem>
    <reviewItem>
      <errorID>3407fcf4-b4ca-4f4b-b6f5-0eb7e3bacd50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28A76A79</paraID>
      <start>0</start>
      <end>2</end>
      <status>ignored</status>
      <modifiedWord/>
      <trackRevisions>false</trackRevisions>
    </reviewItem>
    <reviewItem>
      <errorID>0bf22d75-5f4e-48e8-ac21-5d95f985e48b</errorID>
      <errorWord>&gt;的通知》</errorWord>
      <group>L1_Punc</group>
      <groupName>标点问题</groupName>
      <ability>L2_Punc</ability>
      <abilityName>标点符号检查</abilityName>
      <candidateList>
        <item>〉的通知》</item>
      </candidateList>
      <explain/>
      <paraID>39AC793A</paraID>
      <start>53</start>
      <end>58</end>
      <status>ignored</status>
      <modifiedWord/>
      <trackRevisions>false</trackRevisions>
    </reviewItem>
    <reviewItem>
      <errorID>87a5b49d-92c1-44d2-aec5-13e4c4a9697c</errorID>
      <errorWord>工业炉密</errorWord>
      <group>L1_Word</group>
      <groupName>字词问题</groupName>
      <ability>L2_Typo</ability>
      <abilityName>字词错误</abilityName>
      <candidateList>
        <item>工业炉机</item>
      </candidateList>
      <explain/>
      <paraID>788D7111</paraID>
      <start>208</start>
      <end>212</end>
      <status>ignored</status>
      <modifiedWord/>
      <trackRevisions>false</trackRevisions>
    </reviewItem>
    <reviewItem>
      <errorID>cf95815d-7345-47d8-bfa1-6f81079ae6d1</errorID>
      <errorWord>区</errorWord>
      <group>L1_Word</group>
      <groupName>字词问题</groupName>
      <ability>L2_Typo</ability>
      <abilityName>字词错误</abilityName>
      <candidateList>
        <item>区规</item>
      </candidateList>
      <explain/>
      <paraID>36C61F1A</paraID>
      <start>49</start>
      <end>50</end>
      <status>ignored</status>
      <modifiedWord/>
      <trackRevisions>false</trackRevisions>
    </reviewItem>
    <reviewItem>
      <errorID>06aecf23-a633-4769-b7a6-e1346b057ab2</errorID>
      <errorWord>区</errorWord>
      <group>L1_Word</group>
      <groupName>字词问题</groupName>
      <ability>L2_Typo</ability>
      <abilityName>字词错误</abilityName>
      <candidateList>
        <item>区规</item>
      </candidateList>
      <explain/>
      <paraID>69A40594</paraID>
      <start>19</start>
      <end>20</end>
      <status>ignored</status>
      <modifiedWord/>
      <trackRevisions>false</trackRevisions>
    </reviewItem>
    <reviewItem>
      <errorID>f242df70-b702-4f9e-adeb-4eff9745c0d6</errorID>
      <errorWord>锅炉炉密</errorWord>
      <group>L1_Knowledge</group>
      <groupName>知识性问题</groupName>
      <ability>L2_Term</ability>
      <abilityName>专业术语</abilityName>
      <candidateList>
        <item>锅炉炉墙</item>
      </candidateList>
      <explain/>
      <paraID>2921A19C</paraID>
      <start>143</start>
      <end>147</end>
      <status>ignored</status>
      <modifiedWord/>
      <trackRevisions>false</trackRevisions>
    </reviewItem>
    <reviewItem>
      <errorID>081831f4-cb3e-4c3a-b128-9dc652b95d25</errorID>
      <errorWord>联防联动机制</errorWord>
      <group>L1_Word</group>
      <groupName>字词问题</groupName>
      <ability>L2_Typo</ability>
      <abilityName>字词错误</abilityName>
      <candidateList>
        <item>联防联控机制</item>
      </candidateList>
      <explain/>
      <paraID> 2211C3F</paraID>
      <start>65</start>
      <end>71</end>
      <status>ignored</status>
      <modifiedWord/>
      <trackRevisions>false</trackRevisions>
    </reviewItem>
    <reviewItem>
      <errorID>5c67e9fa-82f1-4f00-9d8b-5d5f9a596104</errorID>
      <errorWord>有价</errorWord>
      <group>L1_Word</group>
      <groupName>字词问题</groupName>
      <ability>L2_Typo</ability>
      <abilityName>字词错误</abilityName>
      <candidateList>
        <item>有机</item>
      </candidateList>
      <explain/>
      <paraID>29BFC5F5</paraID>
      <start>126</start>
      <end>128</end>
      <status>ignored</status>
      <modifiedWord/>
      <trackRevisions>false</trackRevisions>
    </reviewItem>
    <reviewItem>
      <errorID>598fd1d1-e3f5-4a5c-9e0d-10ea69f92147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6A953154</paraID>
      <start>0</start>
      <end>2</end>
      <status>ignored</status>
      <modifiedWord/>
      <trackRevisions>false</trackRevisions>
    </reviewItem>
    <reviewItem>
      <errorID>0575f813-f6c2-4909-b788-6117870fccf5</errorID>
      <errorWord>废水管道</errorWord>
      <group>L1_Knowledge</group>
      <groupName>知识性问题</groupName>
      <ability>L2_Term</ability>
      <abilityName>专业术语</abilityName>
      <candidateList>
        <item>雨水管道</item>
      </candidateList>
      <explain/>
      <paraID>6AC26F44</paraID>
      <start>15</start>
      <end>19</end>
      <status>ignored</status>
      <modifiedWord/>
      <trackRevisions>false</trackRevisions>
    </reviewItem>
    <reviewItem>
      <errorID>ff6558f0-8989-4f98-8e61-8a5dcbac729f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3B3374E0</paraID>
      <start>0</start>
      <end>2</end>
      <status>unmodified</status>
      <modifiedWord/>
      <trackRevisions>false</trackRevisions>
    </reviewItem>
    <reviewItem>
      <errorID>61b63bb0-3e7d-49af-8f49-fe9e604ebee9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5AB1702E</paraID>
      <start>0</start>
      <end>2</end>
      <status>unmodified</status>
      <modifiedWord/>
      <trackRevisions>false</trackRevisions>
    </reviewItem>
    <reviewItem>
      <errorID>b25dc485-fd67-4ac8-9bdd-18c972dcb3ed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25603EF0</paraID>
      <start>0</start>
      <end>2</end>
      <status>unmodified</status>
      <modifiedWord/>
      <trackRevisions>false</trackRevisions>
    </reviewItem>
    <reviewItem>
      <errorID>545ce90a-f088-481e-b989-0a8f0ef662b3</errorID>
      <errorWord>拌合</errorWord>
      <group>L1_Word</group>
      <groupName>字词问题</groupName>
      <ability>L2_Typo</ability>
      <abilityName>字词错误</abilityName>
      <candidateList>
        <item>拌和</item>
      </candidateList>
      <explain/>
      <paraID>603015FC</paraID>
      <start>1</start>
      <end>3</end>
      <status>unmodified</status>
      <modifiedWord/>
      <trackRevisions>false</trackRevisions>
    </reviewItem>
    <reviewItem>
      <errorID>fedfc7ec-7d21-43e0-85f1-8695ac596ec6</errorID>
      <errorWord>拌合</errorWord>
      <group>L1_Word</group>
      <groupName>字词问题</groupName>
      <ability>L2_Typo</ability>
      <abilityName>字词错误</abilityName>
      <candidateList>
        <item>拌和</item>
      </candidateList>
      <explain/>
      <paraID>603015FC</paraID>
      <start>8</start>
      <end>10</end>
      <status>ignored</status>
      <modifiedWord/>
      <trackRevisions>false</trackRevisions>
    </reviewItem>
    <reviewItem>
      <errorID>47cbac94-234a-4214-8d63-c2c6d7cd24ee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3517FBFB</paraID>
      <start>0</start>
      <end>2</end>
      <status>unmodified</status>
      <modifiedWord/>
      <trackRevisions>false</trackRevisions>
    </reviewItem>
    <reviewItem>
      <errorID>055dacab-ea0a-4113-b410-d5c5a32c0107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660D4BC1</paraID>
      <start>0</start>
      <end>2</end>
      <status>unmodified</status>
      <modifiedWord/>
      <trackRevisions>false</trackRevisions>
    </reviewItem>
    <reviewItem>
      <errorID>578b856c-6fe8-4fef-9fb6-6acb7ed4442e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84AB45D</paraID>
      <start>0</start>
      <end>2</end>
      <status>unmodified</status>
      <modifiedWord/>
      <trackRevisions>false</trackRevisions>
    </reviewItem>
    <reviewItem>
      <errorID>1bee5d3b-c60f-4265-ae71-4125d0f84e93</errorID>
      <errorWord>"</errorWord>
      <group>L1_Format</group>
      <groupName>格式问题</groupName>
      <ability>L2_HalfPunc</ability>
      <abilityName>全半角检查</abilityName>
      <candidateList/>
      <explain>文本全半角错误。</explain>
      <paraID>55A19671</paraID>
      <start>66</start>
      <end>67</end>
      <status>unmodified</status>
      <modifiedWord/>
      <trackRevisions>false</trackRevisions>
    </reviewItem>
    <reviewItem>
      <errorID>e48e645a-b7eb-4e22-a954-940c7b105b18</errorID>
      <errorWord>"</errorWord>
      <group>L1_Format</group>
      <groupName>格式问题</groupName>
      <ability>L2_HalfPunc</ability>
      <abilityName>全半角检查</abilityName>
      <candidateList>
        <item>”</item>
      </candidateList>
      <explain>文本全半角错误。</explain>
      <paraID>55A19671</paraID>
      <start>78</start>
      <end>79</end>
      <status>ignored</status>
      <modifiedWord/>
      <trackRevisions>false</trackRevisions>
    </reviewItem>
    <reviewItem>
      <errorID>1eeb7f0d-5d6c-47ec-b675-b237c50372b2</errorID>
      <errorWord>"</errorWord>
      <group>L1_Format</group>
      <groupName>格式问题</groupName>
      <ability>L2_HalfPunc</ability>
      <abilityName>全半角检查</abilityName>
      <candidateList>
        <item>”</item>
      </candidateList>
      <explain>文本全半角错误。</explain>
      <paraID>55A19671</paraID>
      <start>119</start>
      <end>120</end>
      <status>ignored</status>
      <modifiedWord/>
      <trackRevisions>false</trackRevisions>
    </reviewItem>
    <reviewItem>
      <errorID>43ae2142-06f5-434f-a15a-bbd9fc0e5a0c</errorID>
      <errorWord>"</errorWord>
      <group>L1_Format</group>
      <groupName>格式问题</groupName>
      <ability>L2_HalfPunc</ability>
      <abilityName>全半角检查</abilityName>
      <candidateList>
        <item>”</item>
      </candidateList>
      <explain>文本全半角错误。</explain>
      <paraID>55A19671</paraID>
      <start>131</start>
      <end>132</end>
      <status>ignored</status>
      <modifiedWord/>
      <trackRevisions>false</trackRevisions>
    </reviewItem>
    <reviewItem>
      <errorID>0f88458b-f82d-4905-bda8-8bbc4a02c98d</errorID>
      <errorWord>"</errorWord>
      <group>L1_Format</group>
      <groupName>格式问题</groupName>
      <ability>L2_HalfPunc</ability>
      <abilityName>全半角检查</abilityName>
      <candidateList/>
      <explain>文本全半角错误。</explain>
      <paraID>55A19671</paraID>
      <start>170</start>
      <end>171</end>
      <status>ignored</status>
      <modifiedWord/>
      <trackRevisions>false</trackRevisions>
    </reviewItem>
    <reviewItem>
      <errorID>13de3994-d673-4d9b-a6d3-4bdd3781ce7b</errorID>
      <errorWord>"</errorWord>
      <group>L1_Format</group>
      <groupName>格式问题</groupName>
      <ability>L2_HalfPunc</ability>
      <abilityName>全半角检查</abilityName>
      <candidateList>
        <item>”</item>
      </candidateList>
      <explain>文本全半角错误。</explain>
      <paraID>55A19671</paraID>
      <start>182</start>
      <end>183</end>
      <status>ignored</status>
      <modifiedWord/>
      <trackRevisions>false</trackRevisions>
    </reviewItem>
    <reviewItem>
      <errorID>da7ba1a5-4fee-45db-b7fc-52bb72856895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54B1AEF4</paraID>
      <start>0</start>
      <end>2</end>
      <status>unmodified</status>
      <modifiedWord/>
      <trackRevisions>false</trackRevisions>
    </reviewItem>
    <reviewItem>
      <errorID>f0003546-047d-498f-bf3a-217fd7a45e82</errorID>
      <errorWord>纱布条</errorWord>
      <group>L1_Word</group>
      <groupName>字词问题</groupName>
      <ability>L2_Typo</ability>
      <abilityName>字词错误</abilityName>
      <candidateList>
        <item>纱布</item>
      </candidateList>
      <explain/>
      <paraID>62095E07</paraID>
      <start>158</start>
      <end>161</end>
      <status>unmodified</status>
      <modifiedWord/>
      <trackRevisions>false</trackRevisions>
    </reviewItem>
    <reviewItem>
      <errorID>7c17176a-4532-4f5a-92f1-72f012e664bf</errorID>
      <errorWord>拌合</errorWord>
      <group>L1_Word</group>
      <groupName>字词问题</groupName>
      <ability>L2_Typo</ability>
      <abilityName>字词错误</abilityName>
      <candidateList>
        <item>拌和</item>
      </candidateList>
      <explain/>
      <paraID> 83498F0</paraID>
      <start>119</start>
      <end>121</end>
      <status>unmodified</status>
      <modifiedWord/>
      <trackRevisions>false</trackRevisions>
    </reviewItem>
    <reviewItem>
      <errorID>6184df13-eeb3-42b2-bb4b-00793691bdaa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CA81F61</paraID>
      <start>0</start>
      <end>2</end>
      <status>unmodified</status>
      <modifiedWord/>
      <trackRevisions>false</trackRevisions>
    </reviewItem>
    <reviewItem>
      <errorID>cc143045-4412-4dba-8ca8-9ed697fe6a85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2EAA6339</paraID>
      <start>0</start>
      <end>2</end>
      <status>unmodified</status>
      <modifiedWord/>
      <trackRevisions>false</trackRevisions>
    </reviewItem>
    <reviewItem>
      <errorID>6625a835-9a18-4be5-bf10-a499ef3e0eac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3B41A96F</paraID>
      <start>0</start>
      <end>2</end>
      <status>unmodified</status>
      <modifiedWord/>
      <trackRevisions>false</trackRevisions>
    </reviewItem>
    <reviewItem>
      <errorID>67b2cdcb-c420-4a51-b894-c80712bbada1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7D48E21C</paraID>
      <start>0</start>
      <end>2</end>
      <status>unmodified</status>
      <modifiedWord/>
      <trackRevisions>false</trackRevisions>
    </reviewItem>
    <reviewItem>
      <errorID>cc65a22c-cfc2-44b7-b32f-aec9686d1596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45F431FD</paraID>
      <start>0</start>
      <end>2</end>
      <status>unmodified</status>
      <modifiedWord/>
      <trackRevisions>false</trackRevisions>
    </reviewItem>
    <reviewItem>
      <errorID>60961f6e-9d25-4b4b-9ed7-29a2efa6b7c7</errorID>
      <errorWord>监测方法</errorWord>
      <group>L1_Word</group>
      <groupName>字词问题</groupName>
      <ability>L2_Typo</ability>
      <abilityName>字词错误</abilityName>
      <candidateList>
        <item>检测方法</item>
      </candidateList>
      <explain/>
      <paraID> EC02BF2</paraID>
      <start>3</start>
      <end>7</end>
      <status>unmodified</status>
      <modifiedWord/>
      <trackRevisions>false</trackRevisions>
    </reviewItem>
    <reviewItem>
      <errorID>71a15e51-c6bc-4225-870a-868a36d8cc35</errorID>
      <errorWord>土壤监测</errorWord>
      <group>L1_Word</group>
      <groupName>字词问题</groupName>
      <ability>L2_Typo</ability>
      <abilityName>字词错误</abilityName>
      <candidateList>
        <item>土壤检测</item>
      </candidateList>
      <explain/>
      <paraID>2AE921FA</paraID>
      <start>10</start>
      <end>14</end>
      <status>unmodified</status>
      <modifiedWord/>
      <trackRevisions>false</trackRevisions>
    </reviewItem>
    <reviewItem>
      <errorID>071c1760-2081-424d-a624-3b318d2f062e</errorID>
      <errorWord>拌和</errorWord>
      <group>L1_Word</group>
      <groupName>字词问题</groupName>
      <ability>L2_Typo</ability>
      <abilityName>字词错误</abilityName>
      <candidateList>
        <item>拌合</item>
      </candidateList>
      <explain/>
      <paraID>5FD01BD8</paraID>
      <start>39</start>
      <end>41</end>
      <status>unmodified</status>
      <modifiedWord/>
      <trackRevisions>false</trackRevisions>
    </reviewItem>
    <reviewItem>
      <errorID>a73da46f-d6e6-42d8-9c54-e16286fc726f</errorID>
      <errorWord>拌和</errorWord>
      <group>L1_Word</group>
      <groupName>字词问题</groupName>
      <ability>L2_Typo</ability>
      <abilityName>字词错误</abilityName>
      <candidateList>
        <item>拌合</item>
      </candidateList>
      <explain/>
      <paraID>365D9A06</paraID>
      <start>3</start>
      <end>5</end>
      <status>ignored</status>
      <modifiedWord/>
      <trackRevisions>false</trackRevisions>
    </reviewItem>
    <reviewItem>
      <errorID>e631435d-7c01-4865-a0e6-e36680a9a5b2</errorID>
      <errorWord>拌和</errorWord>
      <group>L1_Word</group>
      <groupName>字词问题</groupName>
      <ability>L2_Typo</ability>
      <abilityName>字词错误</abilityName>
      <candidateList>
        <item>拌合</item>
      </candidateList>
      <explain/>
      <paraID>365D9A06</paraID>
      <start>124</start>
      <end>126</end>
      <status>ignored</status>
      <modifiedWord/>
      <trackRevisions>false</trackRevisions>
    </reviewItem>
    <reviewItem>
      <errorID>de0234eb-acdc-438d-887f-79a8e4821553</errorID>
      <errorWord>拌和</errorWord>
      <group>L1_Word</group>
      <groupName>字词问题</groupName>
      <ability>L2_Typo</ability>
      <abilityName>字词错误</abilityName>
      <candidateList>
        <item>拌合</item>
      </candidateList>
      <explain/>
      <paraID>491A6D94</paraID>
      <start>6</start>
      <end>8</end>
      <status>ignored</status>
      <modifiedWord/>
      <trackRevisions>false</trackRevisions>
    </reviewItem>
    <reviewItem>
      <errorID>f4b8a779-f878-4885-9cb5-5606c6746ed9</errorID>
      <errorWord>拌和</errorWord>
      <group>L1_Word</group>
      <groupName>字词问题</groupName>
      <ability>L2_Typo</ability>
      <abilityName>字词错误</abilityName>
      <candidateList>
        <item>拌合</item>
      </candidateList>
      <explain/>
      <paraID>15EAA52E</paraID>
      <start>3</start>
      <end>5</end>
      <status>ignored</status>
      <modifiedWord/>
      <trackRevisions>false</trackRevisions>
    </reviewItem>
    <reviewItem>
      <errorID>d1dbee46-e867-442b-a04b-f4c5526f210a</errorID>
      <errorWord>拌和</errorWord>
      <group>L1_Word</group>
      <groupName>字词问题</groupName>
      <ability>L2_Typo</ability>
      <abilityName>字词错误</abilityName>
      <candidateList>
        <item>拌合</item>
      </candidateList>
      <explain/>
      <paraID>650B50E7</paraID>
      <start>9</start>
      <end>11</end>
      <status>ignored</status>
      <modifiedWord/>
      <trackRevisions>false</trackRevisions>
    </reviewItem>
    <reviewItem>
      <errorID>6caebff0-f0ed-4284-a953-8f9ee7791fd1</errorID>
      <errorWord>外逸</errorWord>
      <group>L1_Word</group>
      <groupName>字词问题</groupName>
      <ability>L2_Typo</ability>
      <abilityName>字词错误</abilityName>
      <candidateList>
        <item>外溢</item>
      </candidateList>
      <explain/>
      <paraID>650B50E7</paraID>
      <start>56</start>
      <end>58</end>
      <status>unmodified</status>
      <modifiedWord/>
      <trackRevisions>false</trackRevisions>
    </reviewItem>
    <reviewItem>
      <errorID>f1ceeeed-8b46-4e34-8492-977be4ad83e9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7E2B92FE</paraID>
      <start>0</start>
      <end>2</end>
      <status>unmodified</status>
      <modifiedWord/>
      <trackRevisions>false</trackRevisions>
    </reviewItem>
    <reviewItem>
      <errorID>49d9c99d-8b8f-4d69-a287-506d9906282b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17224F93</paraID>
      <start>0</start>
      <end>2</end>
      <status>unmodified</status>
      <modifiedWord/>
      <trackRevisions>false</trackRevisions>
    </reviewItem>
    <reviewItem>
      <errorID>1d4c9965-4bc2-484f-a124-f4b8cba80df8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3BB13540</paraID>
      <start>0</start>
      <end>2</end>
      <status>unmodified</status>
      <modifiedWord/>
      <trackRevisions>false</trackRevisions>
    </reviewItem>
    <reviewItem>
      <errorID>942389da-fb42-4659-8406-f71f6a3563ab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19C1F865</paraID>
      <start>0</start>
      <end>2</end>
      <status>unmodified</status>
      <modifiedWord/>
      <trackRevisions>false</trackRevisions>
    </reviewItem>
    <reviewItem>
      <errorID>6f7faa1c-a8f9-4a56-b616-e8962d359ebb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F17CE1A</paraID>
      <start>0</start>
      <end>2</end>
      <status>unmodified</status>
      <modifiedWord/>
      <trackRevisions>false</trackRevisions>
    </reviewItem>
    <reviewItem>
      <errorID>42e6fe0a-0e39-42d3-8422-defd128e4daf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62F1E2B</paraID>
      <start>0</start>
      <end>2</end>
      <status>unmodified</status>
      <modifiedWord/>
      <trackRevisions>false</trackRevisions>
    </reviewItem>
    <reviewItem>
      <errorID>9958e572-3bdb-4d98-90c3-5080840018ab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568EE0A</paraID>
      <start>0</start>
      <end>3</end>
      <status>unmodified</status>
      <modifiedWord/>
      <trackRevisions>false</trackRevisions>
    </reviewItem>
    <reviewItem>
      <errorID>a2e9b93b-10cd-41fe-9882-1cfdaef47cb7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5355402A</paraID>
      <start>0</start>
      <end>2</end>
      <status>unmodified</status>
      <modifiedWord/>
      <trackRevisions>false</trackRevisions>
    </reviewItem>
    <reviewItem>
      <errorID>b76e302c-1fdc-4f4a-ac75-31cca77d9da9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73165F9B</paraID>
      <start>0</start>
      <end>2</end>
      <status>ignored</status>
      <modifiedWord/>
      <trackRevisions>false</trackRevisions>
    </reviewItem>
    <reviewItem>
      <errorID>1b1be6c2-66b1-4a2e-b771-1374e24b4760</errorID>
      <errorWord>外逸</errorWord>
      <group>L1_Word</group>
      <groupName>字词问题</groupName>
      <ability>L2_Typo</ability>
      <abilityName>字词错误</abilityName>
      <candidateList>
        <item>外溢</item>
      </candidateList>
      <explain/>
      <paraID>5243B8E6</paraID>
      <start>20</start>
      <end>22</end>
      <status>unmodified</status>
      <modifiedWord/>
      <trackRevisions>false</trackRevisions>
    </reviewItem>
    <reviewItem>
      <errorID>ec85db73-54e8-4418-8d33-78ffa3f66dc2</errorID>
      <errorWord>拌合</errorWord>
      <group>L1_Word</group>
      <groupName>字词问题</groupName>
      <ability>L2_Typo</ability>
      <abilityName>字词错误</abilityName>
      <candidateList>
        <item>拌和</item>
      </candidateList>
      <explain>存在发音相同字词的误用。</explain>
      <paraID>62DC70C1</paraID>
      <start>11</start>
      <end>13</end>
      <status>unmodified</status>
      <modifiedWord/>
      <trackRevisions>false</trackRevisions>
    </reviewItem>
    <reviewItem>
      <errorID>99e755bd-41f6-466a-9dd9-d3c36573b42f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3DDE7FD8</paraID>
      <start>0</start>
      <end>2</end>
      <status>unmodified</status>
      <modifiedWord/>
      <trackRevisions>false</trackRevisions>
    </reviewItem>
    <reviewItem>
      <errorID>a4cda403-6de9-478a-8e22-fa61e669fd5c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33218422</paraID>
      <start>0</start>
      <end>2</end>
      <status>unmodified</status>
      <modifiedWord/>
      <trackRevisions>false</trackRevisions>
    </reviewItem>
    <reviewItem>
      <errorID>dc2add6e-1784-435f-ace3-d6d763be12bf</errorID>
      <errorWord>消音器</errorWord>
      <group>L1_Word</group>
      <groupName>字词问题</groupName>
      <ability>L2_Typo</ability>
      <abilityName>字词错误</abilityName>
      <candidateList>
        <item>消声器</item>
      </candidateList>
      <explain/>
      <paraID>308B80DE</paraID>
      <start>31</start>
      <end>34</end>
      <status>unmodified</status>
      <modifiedWord/>
      <trackRevisions>false</trackRevisions>
    </reviewItem>
    <reviewItem>
      <errorID>c0825986-29ef-4d9f-8248-d56dc8ef1c1b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100E06A</paraID>
      <start>0</start>
      <end>2</end>
      <status>unmodified</status>
      <modifiedWord/>
      <trackRevisions>false</trackRevisions>
    </reviewItem>
    <reviewItem>
      <errorID>cccf78e4-66a1-4155-9ea3-b3fdfda3277e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15BBB02A</paraID>
      <start>0</start>
      <end>2</end>
      <status>unmodified</status>
      <modifiedWord/>
      <trackRevisions>false</trackRevisions>
    </reviewItem>
    <reviewItem>
      <errorID>02a893fd-27ca-4fd0-a198-9446827f196a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26823602</paraID>
      <start>0</start>
      <end>2</end>
      <status>unmodified</status>
      <modifiedWord/>
      <trackRevisions>false</trackRevisions>
    </reviewItem>
    <reviewItem>
      <errorID>c01e8b98-e595-4852-b4b5-e69436bf18e6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6CAECD7</paraID>
      <start>0</start>
      <end>2</end>
      <status>unmodified</status>
      <modifiedWord/>
      <trackRevisions>false</trackRevisions>
    </reviewItem>
    <reviewItem>
      <errorID>5a6c5986-ed3d-43fb-a6d2-2142bec443b7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5E95546C</paraID>
      <start>0</start>
      <end>2</end>
      <status>unmodified</status>
      <modifiedWord/>
      <trackRevisions>false</trackRevisions>
    </reviewItem>
    <reviewItem>
      <errorID>8e3aa6f4-e307-4860-aea3-d0d61b3ab015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722F23D5</paraID>
      <start>0</start>
      <end>2</end>
      <status>unmodified</status>
      <modifiedWord/>
      <trackRevisions>false</trackRevisions>
    </reviewItem>
    <reviewItem>
      <errorID>92c35478-d941-4f3f-87f1-6d7aa83756d9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319B34A4</paraID>
      <start>0</start>
      <end>2</end>
      <status>unmodified</status>
      <modifiedWord/>
      <trackRevisions>false</trackRevisions>
    </reviewItem>
    <reviewItem>
      <errorID>e5a13c08-4868-401c-862e-c3e46964727c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5ABC4D0</paraID>
      <start>0</start>
      <end>2</end>
      <status>unmodified</status>
      <modifiedWord/>
      <trackRevisions>false</trackRevisions>
    </reviewItem>
    <reviewItem>
      <errorID>2d0b2947-b0cf-48fc-989d-bf04371ae768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46DE5BEF</paraID>
      <start>0</start>
      <end>2</end>
      <status>unmodified</status>
      <modifiedWord/>
      <trackRevisions>false</trackRevisions>
    </reviewItem>
    <reviewItem>
      <errorID>6fd10feb-bacb-46d0-982b-bed2279cacaa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4DCD58A2</paraID>
      <start>0</start>
      <end>2</end>
      <status>unmodified</status>
      <modifiedWord/>
      <trackRevisions>false</trackRevisions>
    </reviewItem>
    <reviewItem>
      <errorID>9bf71f36-356f-42c3-b7bd-144e8c616e39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59CE0C07</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24c58-03e3-4cce-9126-622033363b0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215</Words>
  <Characters>225</Characters>
  <Lines>401</Lines>
  <Paragraphs>113</Paragraphs>
  <TotalTime>208</TotalTime>
  <ScaleCrop>false</ScaleCrop>
  <LinksUpToDate>false</LinksUpToDate>
  <CharactersWithSpaces>232</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2020-12-24T01:42:00Z</dcterms:created>
  <dc:creator>尚云环境</dc:creator>
  <cp:lastModifiedBy>Administrator</cp:lastModifiedBy>
  <cp:lastPrinted>2020-12-24T01:50:00Z</cp:lastPrinted>
  <dcterms:modified xsi:type="dcterms:W3CDTF">2025-12-26T09:54:00Z</dcterms:modified>
  <dc:title>建设项目环境影响报告表（生态影响类）</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59C2938A2EC14EA5A0987710CEC9CA2A_13</vt:lpwstr>
  </property>
  <property fmtid="{D5CDD505-2E9C-101B-9397-08002B2CF9AE}" pid="4" name="KSOTemplateDocerSaveRecord">
    <vt:lpwstr>eyJoZGlkIjoiMDE5MzY4NTVmNWNkM2FiOTE3MzcxMWViN2E1MTkyMzYiLCJ1c2VySWQiOiI1MDc3ODA1MzIifQ==</vt:lpwstr>
  </property>
</Properties>
</file>