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0" w:name="_Toc8156"/>
      <w:r>
        <w:rPr>
          <w:rFonts w:ascii="Times New Roman" w:hAnsi="Times New Roman" w:eastAsiaTheme="majorEastAsia"/>
          <w:bCs w:val="0"/>
          <w:sz w:val="32"/>
          <w:szCs w:val="32"/>
        </w:rPr>
        <w:t>1 概述</w:t>
      </w:r>
      <w:bookmarkEnd w:id="0"/>
    </w:p>
    <w:p>
      <w:pPr>
        <w:pStyle w:val="6"/>
        <w:widowControl w:val="0"/>
        <w:ind w:firstLine="600"/>
        <w:rPr>
          <w:sz w:val="30"/>
          <w:szCs w:val="30"/>
        </w:rPr>
      </w:pPr>
      <w:bookmarkStart w:id="1" w:name="_Toc11897"/>
      <w:r>
        <w:rPr>
          <w:sz w:val="30"/>
          <w:szCs w:val="30"/>
        </w:rPr>
        <w:t>1.1 项目背景</w:t>
      </w:r>
      <w:bookmarkEnd w:id="1"/>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根据《中华人民共和国环境保护法</w:t>
      </w:r>
      <w:r>
        <w:rPr>
          <w:rFonts w:hint="eastAsia" w:ascii="Times New Roman" w:hAnsi="Times New Roman" w:cs="Times New Roman"/>
          <w:sz w:val="24"/>
        </w:rPr>
        <w:t>》《</w:t>
      </w:r>
      <w:r>
        <w:rPr>
          <w:rFonts w:ascii="Times New Roman" w:hAnsi="Times New Roman" w:cs="Times New Roman"/>
          <w:sz w:val="24"/>
        </w:rPr>
        <w:t>中华人民共和国环境影响评价法</w:t>
      </w:r>
      <w:r>
        <w:rPr>
          <w:rFonts w:hint="eastAsia" w:ascii="Times New Roman" w:hAnsi="Times New Roman" w:cs="Times New Roman"/>
          <w:sz w:val="24"/>
        </w:rPr>
        <w:t>》《</w:t>
      </w:r>
      <w:r>
        <w:rPr>
          <w:rFonts w:ascii="Times New Roman" w:hAnsi="Times New Roman" w:cs="Times New Roman"/>
          <w:sz w:val="24"/>
        </w:rPr>
        <w:t>建设项目环境保护管理条例》以及</w:t>
      </w:r>
      <w:r>
        <w:rPr>
          <w:rFonts w:hint="eastAsia" w:ascii="Times New Roman" w:hAnsi="Times New Roman" w:cs="Times New Roman"/>
          <w:sz w:val="24"/>
        </w:rPr>
        <w:t>其他</w:t>
      </w:r>
      <w:r>
        <w:rPr>
          <w:rFonts w:ascii="Times New Roman" w:hAnsi="Times New Roman" w:cs="Times New Roman"/>
          <w:sz w:val="24"/>
        </w:rPr>
        <w:t>相关建设项目环境保护管理的规定，</w:t>
      </w:r>
      <w:r>
        <w:rPr>
          <w:rFonts w:hint="eastAsia" w:ascii="Times New Roman" w:hAnsi="Times New Roman" w:cs="Times New Roman"/>
          <w:sz w:val="24"/>
        </w:rPr>
        <w:t>对</w:t>
      </w:r>
      <w:r>
        <w:rPr>
          <w:rFonts w:ascii="Times New Roman" w:hAnsi="Times New Roman" w:cs="Times New Roman"/>
          <w:sz w:val="24"/>
        </w:rPr>
        <w:t>本项目进行环境影响评价。根据《建设项目环境影响评价分类管理名录2021版》规定，本项目属于“三十、金属制品业33—结构性金属制品制造331—有电镀工艺的；年用溶剂型涂料（含稀释剂）10吨及以上的”类别，因此本项目应编制环境影响报告书，对项目产生的污染和环境影响情况进行详细评价，从环境保护角度评估项目建设的可行性。</w:t>
      </w:r>
    </w:p>
    <w:p>
      <w:pPr>
        <w:pStyle w:val="6"/>
        <w:widowControl w:val="0"/>
        <w:ind w:firstLine="600"/>
        <w:rPr>
          <w:sz w:val="30"/>
          <w:szCs w:val="30"/>
        </w:rPr>
      </w:pPr>
      <w:bookmarkStart w:id="2" w:name="_Toc3068"/>
      <w:r>
        <w:rPr>
          <w:sz w:val="30"/>
          <w:szCs w:val="30"/>
        </w:rPr>
        <w:t>1.2 建设项目特点</w:t>
      </w:r>
      <w:bookmarkEnd w:id="2"/>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（1）本次项目为风电塔筒加工项目，查阅</w:t>
      </w:r>
      <w:r>
        <w:rPr>
          <w:rFonts w:hint="eastAsia" w:ascii="Times New Roman" w:hAnsi="Times New Roman" w:cs="Times New Roman"/>
          <w:sz w:val="24"/>
        </w:rPr>
        <w:t>《产业结构调整指导目录（2024年本）》</w:t>
      </w:r>
      <w:r>
        <w:rPr>
          <w:rFonts w:ascii="Times New Roman" w:hAnsi="Times New Roman" w:cs="Times New Roman"/>
          <w:sz w:val="24"/>
        </w:rPr>
        <w:t>，本项目属于“鼓励类”，因此该项目的建设符合国家当前产业政策。项目已经取得吐鲁番市高昌区发展和改革委员会备案审批，其建设符合国家当前产业政策。</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（2）本项目生产的产品主要应用于风力发电设施，产品具有耐盐碱、耐腐蚀等优异产品属性；企业具有成熟的生产技术，产品具有广阔的市场需求，本项目有着良好的市场前景。</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（3）项目污染控制水平较高，有机废气产生量较大的工段采取了</w:t>
      </w:r>
      <w:r>
        <w:rPr>
          <w:rFonts w:hint="eastAsia" w:ascii="Times New Roman" w:hAnsi="Times New Roman" w:cs="Times New Roman"/>
          <w:sz w:val="24"/>
        </w:rPr>
        <w:t>“漆雾处理器+活性炭吸附+催化燃烧”</w:t>
      </w:r>
      <w:r>
        <w:rPr>
          <w:rFonts w:ascii="Times New Roman" w:hAnsi="Times New Roman" w:cs="Times New Roman"/>
          <w:sz w:val="24"/>
        </w:rPr>
        <w:t>处理废气，在提高有机废气末端治理效果的同时，可减少危险废物的产生量。</w:t>
      </w:r>
    </w:p>
    <w:p>
      <w:pPr>
        <w:pStyle w:val="6"/>
        <w:widowControl w:val="0"/>
        <w:ind w:firstLine="600"/>
        <w:rPr>
          <w:sz w:val="30"/>
          <w:szCs w:val="30"/>
        </w:rPr>
      </w:pPr>
      <w:bookmarkStart w:id="3" w:name="_Toc14228"/>
      <w:r>
        <w:rPr>
          <w:sz w:val="30"/>
          <w:szCs w:val="30"/>
        </w:rPr>
        <w:t>1.3 环境影响评价工作过程</w:t>
      </w:r>
      <w:bookmarkEnd w:id="3"/>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次环境影响评价工作分三个阶段完成，即前期准备、调研和工作方案阶段，分析论证和预测评价阶段，环境影响文件编制阶段。接受委托后，根据建设单位提供的相关文件和技术资料，评价单位组织有关环评人员赴现场进行实地踏勘，对评价区范围的自然环境、工业企业及人口分布情况进行了调查，收集了当地水文、地质、气象以及环境现状等资料，协助建设单位开展公众参与调查和公示，根据公众意见和建议，提出了相关的污染治理措施，对建设项目进行了认真细致的工程分析，根据各环境要素的评价等级筛选及其相应评价等级要求，对各环境要素进行了环境影响预测和评价，提出了相应的环境保护措施并进行了技术经济论证，在此基础上编制完成了《</w:t>
      </w:r>
      <w:r>
        <w:rPr>
          <w:rFonts w:hint="eastAsia" w:ascii="Times New Roman" w:hAnsi="Times New Roman" w:cs="Times New Roman"/>
          <w:sz w:val="24"/>
        </w:rPr>
        <w:t>新疆武晓新能源有限公司年产300套塔筒项目（三期）</w:t>
      </w:r>
      <w:r>
        <w:rPr>
          <w:rFonts w:ascii="Times New Roman" w:hAnsi="Times New Roman" w:cs="Times New Roman"/>
          <w:sz w:val="24"/>
        </w:rPr>
        <w:t>环境影响报告书》，并提交环境主管部门和专家审查。</w:t>
      </w:r>
    </w:p>
    <w:p>
      <w:pPr>
        <w:pStyle w:val="6"/>
        <w:widowControl w:val="0"/>
        <w:ind w:firstLine="600"/>
        <w:rPr>
          <w:sz w:val="30"/>
          <w:szCs w:val="30"/>
        </w:rPr>
      </w:pPr>
      <w:bookmarkStart w:id="4" w:name="_Toc2008"/>
      <w:r>
        <w:rPr>
          <w:sz w:val="30"/>
          <w:szCs w:val="30"/>
        </w:rPr>
        <w:t>1.4 分析判定相关情况</w:t>
      </w:r>
      <w:bookmarkEnd w:id="4"/>
    </w:p>
    <w:p>
      <w:pPr>
        <w:pStyle w:val="7"/>
        <w:widowControl w:val="0"/>
        <w:spacing w:before="0" w:after="0" w:line="360" w:lineRule="auto"/>
        <w:ind w:firstLine="562" w:firstLineChars="200"/>
        <w:rPr>
          <w:sz w:val="28"/>
          <w:szCs w:val="28"/>
        </w:rPr>
      </w:pPr>
      <w:r>
        <w:rPr>
          <w:sz w:val="28"/>
          <w:szCs w:val="28"/>
        </w:rPr>
        <w:t>1.4.1 与相关产业政策的符合性分析</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1.4.1.1 与《产业结构调整指导目录（2024年本）》的符合性分析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根据</w:t>
      </w:r>
      <w:r>
        <w:rPr>
          <w:rFonts w:hint="eastAsia" w:ascii="Times New Roman" w:hAnsi="Times New Roman" w:cs="Times New Roman"/>
          <w:sz w:val="24"/>
        </w:rPr>
        <w:t>国家发展改革委</w:t>
      </w:r>
      <w:r>
        <w:rPr>
          <w:rFonts w:ascii="Times New Roman" w:hAnsi="Times New Roman" w:cs="Times New Roman"/>
          <w:sz w:val="24"/>
        </w:rPr>
        <w:t>《产业结构调整指导目录（2024年本）》，本项目属于第一类鼓励类中五、新能源中1、风力发电技术与应用：高原、山区风电场建设与设备生产制造；故本项目属于鼓励类，符合国家产业政策要求。</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综上所述，本项目的建设符合《产业结构调整指导目录（2024年本）》。</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1.4.1.2 与《新疆生态环境保护“十四五”规划》的符合性分析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所用油漆均为低VOCs含量油漆，且采用1套“漆雾处理器+活性炭吸附+催化燃烧处理装置”对喷漆产生的有机废气进行处理，处理后的VOCs有组织、无组织排放均可满足相应标准限值要求。噪声设备均设置在厂房内</w:t>
      </w:r>
      <w:r>
        <w:rPr>
          <w:rFonts w:hint="eastAsia" w:ascii="Times New Roman" w:hAnsi="Times New Roman" w:cs="Times New Roman"/>
          <w:sz w:val="24"/>
        </w:rPr>
        <w:t>，能够满足噪声排放标准</w:t>
      </w:r>
      <w:r>
        <w:rPr>
          <w:rFonts w:ascii="Times New Roman" w:hAnsi="Times New Roman" w:cs="Times New Roman"/>
          <w:sz w:val="24"/>
        </w:rPr>
        <w:t>。无生产废水产生。</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综上所述，本项目建设符合《新疆生态环境保护“十四五”规划》要求。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1.4.1.3 与《新疆维吾尔自治区国民经济和社会发展第十四个五年规划和2035年远景目标纲要》的符合性分析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发展壮大新能源产业。加强风电关键设备及零部件研发和生产，有序发展分布式光伏发电。推进风能、光伏发电进行电解水制氢。</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本项目属于风电塔筒生产，符合《新疆维吾尔自治区国民经济和社会发展第十四个五年规划和2035年远景目标纲要》要求。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1.4.1.4 与《吐鲁番市国民经济和社会发展第十四个五年规划和2035年远景目标纲要》的符合性分析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属于风电塔筒生产，本项目涂装作业在密闭空间内进行，减少了废气的无组织排放与逸散，涂装有机废气采用活性炭吸附+催化燃烧装置+15m高排气筒排放，满足项目有机废气处理需求；项目运营期生产不用水，生活污水排入</w:t>
      </w:r>
      <w:r>
        <w:rPr>
          <w:rFonts w:hint="eastAsia" w:ascii="Times New Roman" w:hAnsi="Times New Roman" w:cs="Times New Roman"/>
          <w:sz w:val="24"/>
        </w:rPr>
        <w:t>工业园区</w:t>
      </w:r>
      <w:r>
        <w:rPr>
          <w:rFonts w:ascii="Times New Roman" w:hAnsi="Times New Roman" w:cs="Times New Roman"/>
          <w:sz w:val="24"/>
        </w:rPr>
        <w:t>下水管网，最终进入污水处理厂处置</w:t>
      </w:r>
      <w:r>
        <w:rPr>
          <w:rFonts w:hint="eastAsia" w:ascii="Times New Roman" w:hAnsi="Times New Roman" w:cs="Times New Roman"/>
          <w:sz w:val="24"/>
        </w:rPr>
        <w:t>。</w:t>
      </w:r>
      <w:r>
        <w:rPr>
          <w:rFonts w:ascii="Times New Roman" w:hAnsi="Times New Roman" w:cs="Times New Roman"/>
          <w:sz w:val="24"/>
        </w:rPr>
        <w:t>项目运营期产生的一般固废分类收集后分区暂存于垃圾站内，定期外售综合利用或者由厂家回收综合利用，危险废物分类收集后分区暂存于危废贮存库内，定期交由有相应处理资质的单位处理处置。</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综上所述，本项目符合《吐鲁番市国民经济和社会发展第十四个五年规划和2035年远景目标纲要》要求。</w:t>
      </w:r>
    </w:p>
    <w:p>
      <w:pPr>
        <w:pStyle w:val="7"/>
        <w:widowControl w:val="0"/>
        <w:spacing w:before="0" w:after="0" w:line="360" w:lineRule="auto"/>
        <w:ind w:firstLine="562" w:firstLineChars="200"/>
        <w:rPr>
          <w:sz w:val="28"/>
          <w:szCs w:val="28"/>
        </w:rPr>
      </w:pPr>
      <w:r>
        <w:rPr>
          <w:sz w:val="28"/>
          <w:szCs w:val="28"/>
        </w:rPr>
        <w:t>1.4.2  环境政策符合性分析</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1.4.2.1 与《新疆维吾尔自治区生态环境分区管控动态更新成果》符合性分析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本项目建设符合《新疆维吾尔自治区生态环境分区管控动态更新成果》的管控要求。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1.4.2.2 与《吐鲁番市“三线一单”生态环境分区管控方案》（</w:t>
      </w:r>
      <w:r>
        <w:rPr>
          <w:rFonts w:hint="eastAsia" w:ascii="Times New Roman" w:hAnsi="Times New Roman" w:cs="Times New Roman"/>
        </w:rPr>
        <w:t>2023版</w:t>
      </w:r>
      <w:r>
        <w:rPr>
          <w:rFonts w:ascii="Times New Roman" w:hAnsi="Times New Roman" w:cs="Times New Roman"/>
        </w:rPr>
        <w:t>）符合性分析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根据《吐鲁番市“三线一单”生态环境分区管控方案》</w:t>
      </w:r>
      <w:r>
        <w:rPr>
          <w:rFonts w:hint="eastAsia" w:ascii="Times New Roman" w:hAnsi="Times New Roman" w:cs="Times New Roman"/>
          <w:sz w:val="24"/>
        </w:rPr>
        <w:t>（2023版）</w:t>
      </w:r>
      <w:r>
        <w:rPr>
          <w:rFonts w:ascii="Times New Roman" w:hAnsi="Times New Roman" w:cs="Times New Roman"/>
          <w:sz w:val="24"/>
        </w:rPr>
        <w:t>，项目所在位置属于高昌区工业集聚重点管控单元</w:t>
      </w:r>
      <w:r>
        <w:rPr>
          <w:rFonts w:hint="eastAsia" w:ascii="Times New Roman" w:hAnsi="Times New Roman" w:cs="Times New Roman"/>
          <w:sz w:val="24"/>
        </w:rPr>
        <w:t>，</w:t>
      </w:r>
      <w:r>
        <w:rPr>
          <w:rFonts w:ascii="Times New Roman" w:hAnsi="Times New Roman" w:cs="Times New Roman"/>
          <w:sz w:val="24"/>
        </w:rPr>
        <w:t>环境管控单元编码为ZH6504022000</w:t>
      </w:r>
      <w:r>
        <w:rPr>
          <w:rFonts w:hint="eastAsia" w:ascii="Times New Roman" w:hAnsi="Times New Roman" w:cs="Times New Roman"/>
          <w:sz w:val="24"/>
        </w:rPr>
        <w:t>7</w:t>
      </w:r>
      <w:r>
        <w:rPr>
          <w:rFonts w:ascii="Times New Roman" w:hAnsi="Times New Roman" w:cs="Times New Roman"/>
          <w:sz w:val="24"/>
        </w:rPr>
        <w:t>。</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本项目建设符合《吐鲁番市“三线一单”生态环境分区管控方案》的相关要求。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1.4.2.3 与《新疆维吾尔自治区七大片区“三线一单”生态环境管控要求》符合性分析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项目所在位置属于七大片区中的吐哈片区，本项目建设符合《新疆维吾尔自治区七大片区“三线一单”生态环境分区管控要求》的相关要求。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1.4.2.4 与《关于印发重点行业挥发性有机物综合治理方案的通知》符合性分析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本项目建设符合《关于印发重点行业挥发性有机物综合治理方案的通知》的相关要求。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1.4.2.5 与《挥发性有机物无组织排放控制标准》（GB37822-2019）符合性分析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喷漆有机废气经“漆雾处理器+活性炭吸附+催化燃烧”装置处理后通过15m高排气筒达标排放。项目喷漆在密闭车间内进行，有机废气均进行有效收集及处理，含有挥发性有机物的物料（油漆）均密闭储存、运输、装卸，减少VOCs无组织排放。因此，本项目符合《挥发性有机物无组织排放控制标准》（GB37822-2019）中关于要求VOCs的防控要求</w:t>
      </w:r>
      <w:r>
        <w:rPr>
          <w:rFonts w:hint="eastAsia" w:ascii="Times New Roman" w:hAnsi="Times New Roman" w:cs="Times New Roman"/>
          <w:sz w:val="24"/>
        </w:rPr>
        <w:t>。</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w:t>
      </w:r>
      <w:r>
        <w:rPr>
          <w:rFonts w:hint="eastAsia" w:ascii="Times New Roman" w:hAnsi="Times New Roman" w:cs="Times New Roman"/>
        </w:rPr>
        <w:t>6</w:t>
      </w:r>
      <w:r>
        <w:rPr>
          <w:rFonts w:ascii="Times New Roman" w:hAnsi="Times New Roman" w:cs="Times New Roman"/>
        </w:rPr>
        <w:t xml:space="preserve"> 与</w:t>
      </w:r>
      <w:r>
        <w:rPr>
          <w:rFonts w:hint="eastAsia" w:ascii="Times New Roman" w:hAnsi="Times New Roman" w:cs="Times New Roman"/>
        </w:rPr>
        <w:t>《吐鲁番市国土空间总体规划（2021—2035年）》</w:t>
      </w:r>
      <w:r>
        <w:rPr>
          <w:rFonts w:ascii="Times New Roman" w:hAnsi="Times New Roman" w:cs="Times New Roman"/>
        </w:rPr>
        <w:t>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位于“四园”中的“吐鲁番经济开发区－临空产业片区”，该园区重点发展产业定位为：航空物流、装备制造、商业贸易、旅游服务、纺织服装、农产品精深加工。本项目属于风电塔筒制造行业，属于规划中装备制造产业，故项目建设符合《吐鲁番市国土空间总体规划（2021—2035年）》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w:t>
      </w:r>
      <w:r>
        <w:rPr>
          <w:rFonts w:hint="eastAsia" w:ascii="Times New Roman" w:hAnsi="Times New Roman" w:cs="Times New Roman"/>
        </w:rPr>
        <w:t>7</w:t>
      </w:r>
      <w:r>
        <w:rPr>
          <w:rFonts w:ascii="Times New Roman" w:hAnsi="Times New Roman" w:cs="Times New Roman"/>
        </w:rPr>
        <w:t xml:space="preserve"> 与</w:t>
      </w:r>
      <w:r>
        <w:rPr>
          <w:rFonts w:hint="eastAsia" w:ascii="Times New Roman" w:hAnsi="Times New Roman" w:cs="Times New Roman"/>
        </w:rPr>
        <w:t>《新疆维吾尔自治区重点行业生态环境准入条件（2024年）》</w:t>
      </w:r>
      <w:r>
        <w:rPr>
          <w:rFonts w:ascii="Times New Roman" w:hAnsi="Times New Roman" w:cs="Times New Roman"/>
        </w:rPr>
        <w:t>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w:t>
      </w:r>
      <w:r>
        <w:rPr>
          <w:rFonts w:hint="eastAsia" w:ascii="Times New Roman" w:hAnsi="Times New Roman" w:cs="Times New Roman"/>
          <w:sz w:val="24"/>
        </w:rPr>
        <w:t>《新疆维吾尔自治区重点行业生态环境准入条件（2024年）》</w:t>
      </w:r>
      <w:r>
        <w:rPr>
          <w:rFonts w:ascii="Times New Roman" w:hAnsi="Times New Roman" w:cs="Times New Roman"/>
          <w:sz w:val="24"/>
        </w:rPr>
        <w:t>的相关要求。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w:t>
      </w:r>
      <w:r>
        <w:rPr>
          <w:rFonts w:hint="eastAsia" w:ascii="Times New Roman" w:hAnsi="Times New Roman" w:cs="Times New Roman"/>
        </w:rPr>
        <w:t>8</w:t>
      </w:r>
      <w:r>
        <w:rPr>
          <w:rFonts w:ascii="Times New Roman" w:hAnsi="Times New Roman" w:cs="Times New Roman"/>
        </w:rPr>
        <w:t xml:space="preserve"> 与</w:t>
      </w:r>
      <w:r>
        <w:rPr>
          <w:rFonts w:hint="eastAsia" w:ascii="Times New Roman" w:hAnsi="Times New Roman" w:cs="Times New Roman"/>
        </w:rPr>
        <w:t>《关于印发新疆维吾尔自治区“十三五”挥发性有机物污染防治实施方案的通知》</w:t>
      </w:r>
      <w:r>
        <w:rPr>
          <w:rFonts w:ascii="Times New Roman" w:hAnsi="Times New Roman" w:cs="Times New Roman"/>
        </w:rPr>
        <w:t>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w:t>
      </w:r>
      <w:r>
        <w:rPr>
          <w:rFonts w:hint="eastAsia" w:ascii="Times New Roman" w:hAnsi="Times New Roman" w:cs="Times New Roman"/>
          <w:sz w:val="24"/>
        </w:rPr>
        <w:t>《关于印发新疆维吾尔自治区“十三五”挥发性有机物污染防治实施方案的通知》</w:t>
      </w:r>
      <w:r>
        <w:rPr>
          <w:rFonts w:ascii="Times New Roman" w:hAnsi="Times New Roman" w:cs="Times New Roman"/>
          <w:sz w:val="24"/>
        </w:rPr>
        <w:t>的相关要求。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1.4.2.</w:t>
      </w:r>
      <w:r>
        <w:rPr>
          <w:rFonts w:hint="eastAsia" w:ascii="Times New Roman" w:hAnsi="Times New Roman" w:cs="Times New Roman"/>
        </w:rPr>
        <w:t>9</w:t>
      </w:r>
      <w:r>
        <w:rPr>
          <w:rFonts w:ascii="Times New Roman" w:hAnsi="Times New Roman" w:cs="Times New Roman"/>
        </w:rPr>
        <w:t xml:space="preserve"> 与《空气质量持续改善行动计划》符合性分析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综上所述，本项目建设符合《空气质量持续改善行动计划》的相关要求。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1.4.2.10</w:t>
      </w:r>
      <w:r>
        <w:rPr>
          <w:rFonts w:ascii="Times New Roman" w:hAnsi="Times New Roman" w:cs="Times New Roman"/>
        </w:rPr>
        <w:t>与《新疆维吾尔自治区环境保护条例》符合性分析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项目生活污水排入</w:t>
      </w:r>
      <w:r>
        <w:rPr>
          <w:rFonts w:hint="eastAsia" w:ascii="Times New Roman" w:hAnsi="Times New Roman" w:cs="Times New Roman"/>
          <w:sz w:val="24"/>
        </w:rPr>
        <w:t>工业园区</w:t>
      </w:r>
      <w:r>
        <w:rPr>
          <w:rFonts w:ascii="Times New Roman" w:hAnsi="Times New Roman" w:cs="Times New Roman"/>
          <w:sz w:val="24"/>
        </w:rPr>
        <w:t>下水管网，最终进入污水处理厂处置。本项目建设符合《新疆维吾尔自治区环境保护条例》的有关要求。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1.4.2.11与《新疆维吾尔自治区大气污染防治条例》符合性分析</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本项目建设符合</w:t>
      </w:r>
      <w:r>
        <w:rPr>
          <w:rFonts w:hint="eastAsia" w:ascii="Times New Roman" w:hAnsi="Times New Roman" w:cs="Times New Roman"/>
          <w:sz w:val="24"/>
        </w:rPr>
        <w:t>《新疆维吾尔自治区大气污染防治条例》</w:t>
      </w:r>
      <w:r>
        <w:rPr>
          <w:rFonts w:ascii="Times New Roman" w:hAnsi="Times New Roman" w:cs="Times New Roman"/>
          <w:sz w:val="24"/>
        </w:rPr>
        <w:t>的相关要求。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1.4.2.12 与《吐鲁番市“十四五”生态环境保护规划》符合性分析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本项目选址位于吐鲁番经济开发区，项目不属于“两高”项目，项目建设后，企业依法取得排污许可证，符合《吐鲁番市“十四五”生态环境保护规划》要求。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1.4.2.13 与《新疆维吾尔自治区2025年空气质量持续改善行动实施方案》符合性分析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本项目为风电塔筒生产，不属于高耗能、高排放、低水平项目。项目符合园区产业规划及用地性质。</w:t>
      </w:r>
      <w:r>
        <w:rPr>
          <w:rFonts w:ascii="Times New Roman" w:hAnsi="Times New Roman" w:cs="Times New Roman"/>
          <w:sz w:val="24"/>
        </w:rPr>
        <w:t>项目采用低VOCs的涂料，</w:t>
      </w:r>
      <w:r>
        <w:rPr>
          <w:rFonts w:hint="eastAsia" w:ascii="Times New Roman" w:hAnsi="Times New Roman" w:cs="Times New Roman"/>
          <w:sz w:val="24"/>
        </w:rPr>
        <w:t>使用</w:t>
      </w:r>
      <w:r>
        <w:rPr>
          <w:rFonts w:ascii="Times New Roman" w:hAnsi="Times New Roman" w:cs="Times New Roman"/>
          <w:sz w:val="24"/>
        </w:rPr>
        <w:t>状态下涂料挥发分量低。项目喷漆在密闭车间内进行，有机废气均进行有效收集及处理，含有挥发性有机物的物料（油漆）均密闭储存、运输、装卸，减少VOCs无组织排放。喷漆废气采用漆雾处理器+活性炭吸附+催化燃烧装置处理。</w:t>
      </w:r>
      <w:r>
        <w:rPr>
          <w:rFonts w:hint="eastAsia" w:ascii="Times New Roman" w:hAnsi="Times New Roman" w:cs="Times New Roman"/>
          <w:sz w:val="24"/>
        </w:rPr>
        <w:t>符合《新疆维吾尔自治区2025年空气质量持续改善行动实施方案》要求。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1.4.2.13 与《关于加快解决当前挥发性有机物治理突出问题的通知》符合性分析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喷漆废气采用漆雾处理器+活性炭吸附+催化燃烧装置处理后达标排放。项目在密闭车间内进行生产，有机废气均进行有效收集及处理，含有挥发性有机物的物料均密闭储存、运输、装卸，减少VOCs无组织排放。</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1.4.2.14与《西部地区鼓励类产业目录（2025年本）》符合性分析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属于风电叶片生产项目，符合文件中鼓励类产业第29条：“风电机组控制系统，风电机组用新型发电机、传动链、机舱、高速叶片、叶轮、全功率变流器、变桨控制器、增速齿轮箱、主轴、轴承等关键部件，海上风电工程施工机械研发及制造”。</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1.4.2.15与《挥发性有机物（VOCs）污染防治技术政策》符合性分析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本项目有机废气经“漆雾处理器+活性炭吸附+催化燃烧装置”处理后达标排放。废催化剂、废活性炭由专用收集设施收集后在厂区危废贮存库暂存，定期送有资质的危险废物处置单位进行妥善处置。</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1.4.2.16与《吐鲁番经济开发区国土空间专项规划（2024-2035年）》符合性分析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本项目属于风电塔筒制造行业，属于规划中装备制造产业，项目建设符合《吐鲁番市国土空间总体规划》（2021-2035年）要求。</w:t>
      </w:r>
    </w:p>
    <w:p>
      <w:pPr>
        <w:pStyle w:val="8"/>
        <w:spacing w:before="0" w:after="0" w:line="360" w:lineRule="auto"/>
        <w:ind w:firstLine="562" w:firstLineChars="200"/>
        <w:rPr>
          <w:rFonts w:ascii="Times New Roman" w:hAnsi="Times New Roman" w:cs="Times New Roman"/>
        </w:rPr>
      </w:pPr>
      <w:r>
        <w:rPr>
          <w:rFonts w:hint="eastAsia" w:ascii="Times New Roman" w:hAnsi="Times New Roman" w:cs="Times New Roman"/>
        </w:rPr>
        <w:t>1.4.2.17与《</w:t>
      </w:r>
      <w:bookmarkStart w:id="5" w:name="OLE_LINK1"/>
      <w:bookmarkStart w:id="6" w:name="OLE_LINK2"/>
      <w:r>
        <w:rPr>
          <w:rFonts w:hint="eastAsia" w:ascii="Times New Roman" w:hAnsi="Times New Roman" w:cs="Times New Roman"/>
        </w:rPr>
        <w:t>关于全面加强生态环境保护坚决打好污染防治攻坚战的意见</w:t>
      </w:r>
      <w:bookmarkEnd w:id="5"/>
      <w:bookmarkEnd w:id="6"/>
      <w:r>
        <w:rPr>
          <w:rFonts w:hint="eastAsia" w:ascii="Times New Roman" w:hAnsi="Times New Roman" w:cs="Times New Roman"/>
        </w:rPr>
        <w:t>》符合性分析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项目建设符合《关于全面加强生态环境保护坚决打好污染防治攻坚战的意见》要求。</w:t>
      </w:r>
    </w:p>
    <w:p>
      <w:pPr>
        <w:pStyle w:val="6"/>
        <w:widowControl w:val="0"/>
        <w:ind w:firstLine="600"/>
        <w:rPr>
          <w:sz w:val="30"/>
          <w:szCs w:val="30"/>
        </w:rPr>
      </w:pPr>
      <w:r>
        <w:rPr>
          <w:sz w:val="30"/>
          <w:szCs w:val="30"/>
        </w:rPr>
        <w:t>1.4.3 选址合理性分析</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本项目属于风电塔筒制造行业，属于规划中装备制造产业，项目建设符合《吐鲁番市国土空间总体规划》（2021-2035年）要求。项目选址符合《关于印发新疆维吾尔自治区“十三五”挥发性有机物污染防治实施方案的通知》中要求。</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项目选址不涉及自然保护区、风景名胜区、饮用水水源保护区及主要补给区、重要水源涵养区、生态脆弱区等重要生态功能区等生态红线区，不在限制开发区范围内。</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在原料供应、交通道路、资源供给、公共设施等方面都具有良好的依托，可满足本项目的运营需求。项目符合国家、地方和吐鲁番经济开发区的产业政策和发展规划，符合当地“三线一单”分区管控要求，故项目选址是合理可行的。</w:t>
      </w:r>
    </w:p>
    <w:p>
      <w:pPr>
        <w:pStyle w:val="6"/>
        <w:widowControl w:val="0"/>
        <w:ind w:firstLine="600"/>
        <w:rPr>
          <w:sz w:val="30"/>
          <w:szCs w:val="30"/>
        </w:rPr>
      </w:pPr>
      <w:bookmarkStart w:id="7" w:name="_Toc32661"/>
      <w:r>
        <w:rPr>
          <w:sz w:val="30"/>
          <w:szCs w:val="30"/>
        </w:rPr>
        <w:t>1.5 关注的主要环境问题及环境影响</w:t>
      </w:r>
      <w:bookmarkEnd w:id="7"/>
    </w:p>
    <w:p>
      <w:pPr>
        <w:pStyle w:val="7"/>
        <w:widowControl w:val="0"/>
        <w:spacing w:before="0" w:after="0" w:line="360" w:lineRule="auto"/>
        <w:ind w:firstLine="562" w:firstLineChars="200"/>
        <w:rPr>
          <w:sz w:val="28"/>
          <w:szCs w:val="28"/>
        </w:rPr>
      </w:pPr>
      <w:r>
        <w:rPr>
          <w:sz w:val="28"/>
          <w:szCs w:val="28"/>
        </w:rPr>
        <w:t>1.5.1 关注的主要环境问题</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运营期间产生的主要环境问题包括废气、废水、噪声、固体废物等方面的环境问题。废气方面主要为非甲烷总烃、颗粒物对环境空气产生的影响；废水方面主要为生活污水的环境影响；噪声环境问题主要为项目所用各类设备的运转噪声对周围声环境的影响；固体废物方面主要为工业固废及生活垃圾等造成的环境问题。</w:t>
      </w:r>
    </w:p>
    <w:p>
      <w:pPr>
        <w:pStyle w:val="7"/>
        <w:widowControl w:val="0"/>
        <w:spacing w:before="0" w:after="0" w:line="360" w:lineRule="auto"/>
        <w:ind w:firstLine="562" w:firstLineChars="200"/>
        <w:rPr>
          <w:sz w:val="28"/>
          <w:szCs w:val="28"/>
        </w:rPr>
      </w:pPr>
      <w:r>
        <w:rPr>
          <w:sz w:val="28"/>
          <w:szCs w:val="28"/>
        </w:rPr>
        <w:t>1.5.2项目主要环境影响</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本项目建成运营后的主要环境影响体现在以下几个方面：</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（1）项目排放废气对大气环境的影响及控制措施；</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（2）废水对水环境的影响及控制措施；</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（3）固体废物对周围环境的影响及控制措施；</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（4）项目运行产生的噪声对周围环境的影响及控制措施；</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（5）突发环境事件风险识别及环境风险防范措施和应急体系的建立。</w:t>
      </w:r>
    </w:p>
    <w:p>
      <w:pPr>
        <w:pStyle w:val="6"/>
        <w:widowControl w:val="0"/>
        <w:ind w:firstLine="600"/>
        <w:rPr>
          <w:sz w:val="30"/>
          <w:szCs w:val="30"/>
        </w:rPr>
      </w:pPr>
      <w:bookmarkStart w:id="8" w:name="_Toc31152"/>
      <w:r>
        <w:rPr>
          <w:sz w:val="30"/>
          <w:szCs w:val="30"/>
        </w:rPr>
        <w:t>1.6 环境影响报告书的主要结论</w:t>
      </w:r>
      <w:bookmarkEnd w:id="8"/>
    </w:p>
    <w:p>
      <w:pPr>
        <w:widowControl w:val="0"/>
        <w:spacing w:line="360" w:lineRule="auto"/>
        <w:ind w:firstLine="480" w:firstLineChars="200"/>
        <w:contextualSpacing/>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rPr>
        <w:t>本项目建设符合地方发展规划。</w:t>
      </w:r>
      <w:r>
        <w:rPr>
          <w:rFonts w:hint="eastAsia" w:ascii="Times New Roman" w:hAnsi="Times New Roman" w:cs="Times New Roman"/>
          <w:sz w:val="24"/>
        </w:rPr>
        <w:t>严格</w:t>
      </w:r>
      <w:r>
        <w:rPr>
          <w:rFonts w:ascii="Times New Roman" w:hAnsi="Times New Roman" w:cs="Times New Roman"/>
          <w:sz w:val="24"/>
        </w:rPr>
        <w:t>落实报告书提出的各类污染防治措施，废气、废水满足达标排放要求，固体废物合理处置，污染物排放得到有效控制。经定量或定性预测分析，本项目排放污染物对大气、声环境、水环境、土壤环境等的影响较小，环境风险可防可控。</w:t>
      </w:r>
      <w:r>
        <w:rPr>
          <w:rFonts w:hint="eastAsia" w:ascii="Times New Roman" w:hAnsi="Times New Roman" w:cs="Times New Roman"/>
          <w:sz w:val="24"/>
        </w:rPr>
        <w:t>按照</w:t>
      </w:r>
      <w:r>
        <w:rPr>
          <w:rFonts w:ascii="Times New Roman" w:hAnsi="Times New Roman" w:cs="Times New Roman"/>
          <w:sz w:val="24"/>
        </w:rPr>
        <w:t>国家信息公开的相关要求本项目主动开展了公众参与、信息主动公开等工作。因此，在建设和运营过程中严格执行“三同时”制度</w:t>
      </w:r>
      <w:r>
        <w:rPr>
          <w:rFonts w:hint="eastAsia" w:ascii="Times New Roman" w:hAnsi="Times New Roman" w:cs="Times New Roman"/>
          <w:sz w:val="24"/>
        </w:rPr>
        <w:t>，在</w:t>
      </w:r>
      <w:r>
        <w:rPr>
          <w:rFonts w:ascii="Times New Roman" w:hAnsi="Times New Roman" w:cs="Times New Roman"/>
          <w:sz w:val="24"/>
        </w:rPr>
        <w:t>落实本环境影响报告书中提出的各项环境保护措施和建议的前提下，从环境保护角度论证本项目建设是可行的。</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9" w:name="_Toc22170"/>
      <w:r>
        <w:rPr>
          <w:rFonts w:ascii="Times New Roman" w:hAnsi="Times New Roman" w:eastAsiaTheme="majorEastAsia"/>
          <w:bCs w:val="0"/>
          <w:sz w:val="32"/>
          <w:szCs w:val="32"/>
        </w:rPr>
        <w:t>2</w:t>
      </w:r>
      <w:r>
        <w:rPr>
          <w:rFonts w:hint="eastAsia" w:ascii="Times New Roman" w:hAnsi="Times New Roman" w:eastAsiaTheme="majorEastAsia"/>
          <w:bCs w:val="0"/>
          <w:sz w:val="32"/>
          <w:szCs w:val="32"/>
        </w:rPr>
        <w:t xml:space="preserve"> </w:t>
      </w:r>
      <w:r>
        <w:rPr>
          <w:rFonts w:ascii="Times New Roman" w:hAnsi="Times New Roman" w:eastAsiaTheme="majorEastAsia"/>
          <w:bCs w:val="0"/>
          <w:sz w:val="32"/>
          <w:szCs w:val="32"/>
        </w:rPr>
        <w:t>总则</w:t>
      </w:r>
      <w:bookmarkEnd w:id="9"/>
    </w:p>
    <w:p>
      <w:pPr>
        <w:pStyle w:val="6"/>
        <w:widowControl w:val="0"/>
        <w:ind w:firstLine="640"/>
      </w:pPr>
      <w:bookmarkStart w:id="10" w:name="_Toc28147"/>
      <w:bookmarkStart w:id="11" w:name="_Toc20637"/>
      <w:r>
        <w:t>2.1编制依据</w:t>
      </w:r>
      <w:bookmarkEnd w:id="10"/>
      <w:bookmarkEnd w:id="11"/>
    </w:p>
    <w:p>
      <w:pPr>
        <w:pStyle w:val="6"/>
        <w:widowControl w:val="0"/>
        <w:ind w:firstLine="640"/>
      </w:pPr>
      <w:bookmarkStart w:id="12" w:name="_Toc6398"/>
      <w:r>
        <w:t>2.2 环境影响要素识别及评价因子筛选</w:t>
      </w:r>
      <w:bookmarkEnd w:id="12"/>
    </w:p>
    <w:p>
      <w:pPr>
        <w:pStyle w:val="7"/>
        <w:widowControl w:val="0"/>
        <w:spacing w:before="0" w:after="0" w:line="360" w:lineRule="auto"/>
        <w:ind w:firstLine="562" w:firstLineChars="200"/>
        <w:rPr>
          <w:sz w:val="28"/>
          <w:szCs w:val="28"/>
        </w:rPr>
      </w:pPr>
      <w:r>
        <w:rPr>
          <w:sz w:val="28"/>
          <w:szCs w:val="28"/>
        </w:rPr>
        <w:t>2.2.1环境影响要素识别</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项目施工期和运营期可能对环境产生的污染因素包括：废气、废水、噪声、固体废弃物，这些因素可能导致的环境影响涉及环境空气、地下水环境、声环境、土壤环境、生态环境等。</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（1）施工期</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项目建设期影响因素主要体现在地基处理、地面工程建设对地表植被的影响，以及施工扬尘、施工噪声影响等。建设期的不利影响主要是对环境空气、声环境、交通、植被等环境要素的影响。这些影响是中等程度或轻微的影响。</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（2）运营期</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项目运营期将产生废气、废水、噪声以及固废等污染因素，将对厂址周围的环境空气、地下水环境及声环境等产生不同程度的影响。</w:t>
      </w:r>
    </w:p>
    <w:p>
      <w:pPr>
        <w:pStyle w:val="7"/>
        <w:widowControl w:val="0"/>
        <w:spacing w:before="0" w:after="0" w:line="360" w:lineRule="auto"/>
        <w:ind w:firstLine="562" w:firstLineChars="200"/>
        <w:rPr>
          <w:sz w:val="28"/>
          <w:szCs w:val="28"/>
        </w:rPr>
      </w:pPr>
      <w:r>
        <w:rPr>
          <w:sz w:val="28"/>
          <w:szCs w:val="28"/>
        </w:rPr>
        <w:t>2.2.2评价因子筛选</w:t>
      </w:r>
    </w:p>
    <w:p>
      <w:pPr>
        <w:widowControl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根据本项目排污特征及所在区域的环境状况，选择对环境影响较大以及本项目的特征污染因子，同时考虑区域环境质量状况及各类污染因子的相应控制标准，确定以下因子作为本项目的现状及影响评价因子。</w:t>
      </w:r>
    </w:p>
    <w:p>
      <w:pPr>
        <w:pStyle w:val="6"/>
        <w:widowControl w:val="0"/>
        <w:ind w:firstLine="640"/>
      </w:pPr>
      <w:bookmarkStart w:id="13" w:name="_Toc8849"/>
      <w:r>
        <w:t>2.3 环境功能区划与评价标准</w:t>
      </w:r>
      <w:bookmarkEnd w:id="13"/>
    </w:p>
    <w:p>
      <w:pPr>
        <w:pStyle w:val="7"/>
        <w:widowControl w:val="0"/>
        <w:spacing w:before="0" w:after="0" w:line="360" w:lineRule="auto"/>
        <w:ind w:firstLine="562" w:firstLineChars="200"/>
        <w:rPr>
          <w:sz w:val="28"/>
          <w:szCs w:val="28"/>
        </w:rPr>
      </w:pPr>
      <w:r>
        <w:rPr>
          <w:sz w:val="28"/>
          <w:szCs w:val="28"/>
        </w:rPr>
        <w:t>2.3.1环境功能区划</w:t>
      </w:r>
    </w:p>
    <w:p>
      <w:pPr>
        <w:widowControl w:val="0"/>
        <w:spacing w:line="360" w:lineRule="auto"/>
        <w:ind w:firstLine="480" w:firstLineChars="200"/>
        <w:rPr>
          <w:rFonts w:cs="Times New Roman" w:asciiTheme="minorEastAsia" w:hAnsiTheme="minorEastAsia"/>
          <w:kern w:val="24"/>
          <w:sz w:val="24"/>
          <w:szCs w:val="24"/>
        </w:rPr>
      </w:pPr>
      <w:r>
        <w:rPr>
          <w:rFonts w:cs="Times New Roman" w:asciiTheme="minorEastAsia" w:hAnsiTheme="minorEastAsia"/>
          <w:kern w:val="24"/>
          <w:sz w:val="24"/>
          <w:szCs w:val="24"/>
        </w:rPr>
        <w:t>（1）环境空气质量功能区划</w:t>
      </w:r>
    </w:p>
    <w:p>
      <w:pPr>
        <w:widowControl w:val="0"/>
        <w:spacing w:line="360" w:lineRule="auto"/>
        <w:ind w:firstLine="480" w:firstLineChars="200"/>
        <w:rPr>
          <w:rFonts w:cs="Times New Roman" w:asciiTheme="minorEastAsia" w:hAnsiTheme="minorEastAsia"/>
          <w:kern w:val="24"/>
          <w:sz w:val="24"/>
          <w:szCs w:val="24"/>
        </w:rPr>
      </w:pPr>
      <w:r>
        <w:rPr>
          <w:rFonts w:cs="Times New Roman" w:asciiTheme="minorEastAsia" w:hAnsiTheme="minorEastAsia"/>
          <w:kern w:val="24"/>
          <w:sz w:val="24"/>
          <w:szCs w:val="24"/>
        </w:rPr>
        <w:t>本项目位于吐鲁番市，按照《环境空气质量标准》（</w:t>
      </w:r>
      <w:r>
        <w:rPr>
          <w:rFonts w:hint="eastAsia" w:cs="Times New Roman" w:asciiTheme="minorEastAsia" w:hAnsiTheme="minorEastAsia"/>
          <w:kern w:val="24"/>
          <w:sz w:val="24"/>
          <w:szCs w:val="24"/>
        </w:rPr>
        <w:t>GB3095-2026</w:t>
      </w:r>
      <w:r>
        <w:rPr>
          <w:rFonts w:cs="Times New Roman" w:asciiTheme="minorEastAsia" w:hAnsiTheme="minorEastAsia"/>
          <w:kern w:val="24"/>
          <w:sz w:val="24"/>
          <w:szCs w:val="24"/>
        </w:rPr>
        <w:t>）中的</w:t>
      </w:r>
      <w:r>
        <w:rPr>
          <w:rFonts w:hint="eastAsia" w:cs="Times New Roman" w:asciiTheme="minorEastAsia" w:hAnsiTheme="minorEastAsia"/>
          <w:kern w:val="24"/>
          <w:sz w:val="24"/>
          <w:szCs w:val="24"/>
        </w:rPr>
        <w:t>过渡阶段浓度限值中</w:t>
      </w:r>
      <w:r>
        <w:rPr>
          <w:rFonts w:cs="Times New Roman" w:asciiTheme="minorEastAsia" w:hAnsiTheme="minorEastAsia"/>
          <w:kern w:val="24"/>
          <w:sz w:val="24"/>
          <w:szCs w:val="24"/>
        </w:rPr>
        <w:t>二级标准浓度限值的规定，区域环境空气质量功能区划属二类功能区；环境空气质量执行《环境空气质量标准》（</w:t>
      </w:r>
      <w:r>
        <w:rPr>
          <w:rFonts w:hint="eastAsia" w:cs="Times New Roman" w:asciiTheme="minorEastAsia" w:hAnsiTheme="minorEastAsia"/>
          <w:kern w:val="24"/>
          <w:sz w:val="24"/>
          <w:szCs w:val="24"/>
        </w:rPr>
        <w:t>GB3095-2026</w:t>
      </w:r>
      <w:r>
        <w:rPr>
          <w:rFonts w:cs="Times New Roman" w:asciiTheme="minorEastAsia" w:hAnsiTheme="minorEastAsia"/>
          <w:kern w:val="24"/>
          <w:sz w:val="24"/>
          <w:szCs w:val="24"/>
        </w:rPr>
        <w:t>）中的</w:t>
      </w:r>
      <w:r>
        <w:rPr>
          <w:rFonts w:hint="eastAsia" w:cs="Times New Roman" w:asciiTheme="minorEastAsia" w:hAnsiTheme="minorEastAsia"/>
          <w:kern w:val="24"/>
          <w:sz w:val="24"/>
          <w:szCs w:val="24"/>
        </w:rPr>
        <w:t>过渡阶段浓度限值中</w:t>
      </w:r>
      <w:r>
        <w:rPr>
          <w:rFonts w:cs="Times New Roman" w:asciiTheme="minorEastAsia" w:hAnsiTheme="minorEastAsia"/>
          <w:kern w:val="24"/>
          <w:sz w:val="24"/>
          <w:szCs w:val="24"/>
        </w:rPr>
        <w:t>二级标准浓度限值。</w:t>
      </w:r>
    </w:p>
    <w:p>
      <w:pPr>
        <w:widowControl w:val="0"/>
        <w:spacing w:line="360" w:lineRule="auto"/>
        <w:ind w:firstLine="480" w:firstLineChars="200"/>
        <w:rPr>
          <w:rFonts w:cs="Times New Roman" w:asciiTheme="minorEastAsia" w:hAnsiTheme="minorEastAsia"/>
          <w:kern w:val="24"/>
          <w:sz w:val="24"/>
          <w:szCs w:val="24"/>
        </w:rPr>
      </w:pPr>
      <w:r>
        <w:rPr>
          <w:rFonts w:cs="Times New Roman" w:asciiTheme="minorEastAsia" w:hAnsiTheme="minorEastAsia"/>
          <w:kern w:val="24"/>
          <w:sz w:val="24"/>
          <w:szCs w:val="24"/>
        </w:rPr>
        <w:t>（2）水环境功能区划</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根据《地下水质量标准》（GB/T14848-2017）中地下水分类标准，本项目所在区域地下水环境功能区划确定为Ⅲ类。</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（3）声环境功能区划</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本项目位于吐鲁番经济开发区高端装备制造产业园内，本项目所在区域属于3类声环境功能区。</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（4）生态功能区划</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根据《新疆生态环境功能区划》，本项目所在地区属于Ⅲ、天山山地温性草原、森林生态区——Ⅲ4、天山南坡吐鲁番—哈密盆地戈壁荒漠、绿洲农业生态亚区——50、吐鲁番盆地绿洲特色农业与旅游生态功能区。</w:t>
      </w:r>
    </w:p>
    <w:p>
      <w:pPr>
        <w:pStyle w:val="7"/>
        <w:widowControl w:val="0"/>
        <w:spacing w:before="0" w:after="0" w:line="360" w:lineRule="auto"/>
        <w:ind w:firstLine="562" w:firstLineChars="200"/>
        <w:rPr>
          <w:sz w:val="28"/>
          <w:szCs w:val="28"/>
        </w:rPr>
      </w:pPr>
      <w:r>
        <w:rPr>
          <w:sz w:val="28"/>
          <w:szCs w:val="28"/>
        </w:rPr>
        <w:t>2.3.2环境质</w:t>
      </w:r>
      <w:r>
        <w:rPr>
          <w:b w:val="0"/>
          <w:bCs w:val="0"/>
          <w:sz w:val="28"/>
          <w:szCs w:val="28"/>
        </w:rPr>
        <w:t>量</w:t>
      </w:r>
      <w:r>
        <w:rPr>
          <w:sz w:val="28"/>
          <w:szCs w:val="28"/>
        </w:rPr>
        <w:t>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（1）环境空气质量标准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本项目所在区域SO</w:t>
      </w:r>
      <w:r>
        <w:rPr>
          <w:rFonts w:ascii="Times New Roman" w:hAnsi="Times New Roman" w:cs="Times New Roman"/>
          <w:kern w:val="24"/>
          <w:sz w:val="24"/>
          <w:szCs w:val="24"/>
          <w:vertAlign w:val="subscript"/>
        </w:rPr>
        <w:t>2</w:t>
      </w:r>
      <w:r>
        <w:rPr>
          <w:rFonts w:ascii="Times New Roman" w:hAnsi="Times New Roman" w:cs="Times New Roman"/>
          <w:kern w:val="24"/>
          <w:sz w:val="24"/>
          <w:szCs w:val="24"/>
        </w:rPr>
        <w:t>、NO</w:t>
      </w:r>
      <w:r>
        <w:rPr>
          <w:rFonts w:ascii="Times New Roman" w:hAnsi="Times New Roman" w:cs="Times New Roman"/>
          <w:kern w:val="24"/>
          <w:sz w:val="24"/>
          <w:szCs w:val="24"/>
          <w:vertAlign w:val="subscript"/>
        </w:rPr>
        <w:t>2</w:t>
      </w:r>
      <w:r>
        <w:rPr>
          <w:rFonts w:ascii="Times New Roman" w:hAnsi="Times New Roman" w:cs="Times New Roman"/>
          <w:kern w:val="24"/>
          <w:sz w:val="24"/>
          <w:szCs w:val="24"/>
        </w:rPr>
        <w:t>、PM</w:t>
      </w:r>
      <w:r>
        <w:rPr>
          <w:rFonts w:ascii="Times New Roman" w:hAnsi="Times New Roman" w:cs="Times New Roman"/>
          <w:kern w:val="24"/>
          <w:sz w:val="24"/>
          <w:szCs w:val="24"/>
          <w:vertAlign w:val="subscript"/>
        </w:rPr>
        <w:t>10</w:t>
      </w:r>
      <w:r>
        <w:rPr>
          <w:rFonts w:ascii="Times New Roman" w:hAnsi="Times New Roman" w:cs="Times New Roman"/>
          <w:kern w:val="24"/>
          <w:sz w:val="24"/>
          <w:szCs w:val="24"/>
        </w:rPr>
        <w:t>、PM</w:t>
      </w:r>
      <w:r>
        <w:rPr>
          <w:rFonts w:ascii="Times New Roman" w:hAnsi="Times New Roman" w:cs="Times New Roman"/>
          <w:kern w:val="24"/>
          <w:sz w:val="24"/>
          <w:szCs w:val="24"/>
          <w:vertAlign w:val="subscript"/>
        </w:rPr>
        <w:t>2.5</w:t>
      </w:r>
      <w:r>
        <w:rPr>
          <w:rFonts w:ascii="Times New Roman" w:hAnsi="Times New Roman" w:cs="Times New Roman"/>
          <w:kern w:val="24"/>
          <w:sz w:val="24"/>
          <w:szCs w:val="24"/>
        </w:rPr>
        <w:t>、CO、O</w:t>
      </w:r>
      <w:r>
        <w:rPr>
          <w:rFonts w:ascii="Times New Roman" w:hAnsi="Times New Roman" w:cs="Times New Roman"/>
          <w:kern w:val="24"/>
          <w:sz w:val="24"/>
          <w:szCs w:val="24"/>
          <w:vertAlign w:val="subscript"/>
        </w:rPr>
        <w:t>3</w:t>
      </w:r>
      <w:r>
        <w:rPr>
          <w:rFonts w:ascii="Times New Roman" w:hAnsi="Times New Roman" w:cs="Times New Roman"/>
          <w:kern w:val="24"/>
          <w:sz w:val="24"/>
          <w:szCs w:val="24"/>
        </w:rPr>
        <w:t>、TSP执行《环境空气质量标准》（</w:t>
      </w:r>
      <w:r>
        <w:rPr>
          <w:rFonts w:hint="eastAsia" w:ascii="Times New Roman" w:hAnsi="Times New Roman" w:cs="Times New Roman"/>
          <w:kern w:val="24"/>
          <w:sz w:val="24"/>
          <w:szCs w:val="24"/>
        </w:rPr>
        <w:t>GB3095-2026</w:t>
      </w:r>
      <w:r>
        <w:rPr>
          <w:rFonts w:ascii="Times New Roman" w:hAnsi="Times New Roman" w:cs="Times New Roman"/>
          <w:kern w:val="24"/>
          <w:sz w:val="24"/>
          <w:szCs w:val="24"/>
        </w:rPr>
        <w:t>）</w:t>
      </w:r>
      <w:r>
        <w:rPr>
          <w:rFonts w:hint="eastAsia" w:ascii="Times New Roman" w:hAnsi="Times New Roman" w:cs="Times New Roman"/>
          <w:kern w:val="24"/>
          <w:sz w:val="24"/>
          <w:szCs w:val="24"/>
        </w:rPr>
        <w:t>中的过渡阶段浓度限值中二级标准浓度限值</w:t>
      </w:r>
      <w:r>
        <w:rPr>
          <w:rFonts w:ascii="Times New Roman" w:hAnsi="Times New Roman" w:cs="Times New Roman"/>
          <w:kern w:val="24"/>
          <w:sz w:val="24"/>
          <w:szCs w:val="24"/>
        </w:rPr>
        <w:t>；甲苯、二甲苯参照《环境影响评价技术导则 大气环境》（HJ 2.2-2018）附录D中标准，非甲烷总烃参照《大气污染物综合排放标准详解》中非甲烷总烃质量标准。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（2）地表水</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项目</w:t>
      </w:r>
      <w:r>
        <w:rPr>
          <w:rFonts w:hint="eastAsia" w:ascii="Times New Roman" w:hAnsi="Times New Roman" w:cs="Times New Roman"/>
          <w:kern w:val="24"/>
          <w:sz w:val="24"/>
          <w:szCs w:val="24"/>
        </w:rPr>
        <w:t>所在</w:t>
      </w:r>
      <w:r>
        <w:rPr>
          <w:rFonts w:ascii="Times New Roman" w:hAnsi="Times New Roman" w:cs="Times New Roman"/>
          <w:kern w:val="24"/>
          <w:sz w:val="24"/>
          <w:szCs w:val="24"/>
        </w:rPr>
        <w:t>区域</w:t>
      </w:r>
      <w:r>
        <w:rPr>
          <w:rFonts w:hint="eastAsia" w:ascii="Times New Roman" w:hAnsi="Times New Roman" w:cs="Times New Roman"/>
          <w:kern w:val="24"/>
          <w:sz w:val="24"/>
          <w:szCs w:val="24"/>
        </w:rPr>
        <w:t>距离最近的地表水体为塔尔朗河，位于本项目西南侧5km处。</w:t>
      </w:r>
      <w:r>
        <w:rPr>
          <w:rFonts w:ascii="Times New Roman" w:hAnsi="Times New Roman" w:cs="Times New Roman"/>
          <w:kern w:val="24"/>
          <w:sz w:val="24"/>
          <w:szCs w:val="24"/>
        </w:rPr>
        <w:t>地表水水质执行《地表水环境质量标准》</w:t>
      </w:r>
      <w:r>
        <w:rPr>
          <w:rFonts w:hint="eastAsia" w:ascii="Times New Roman" w:hAnsi="Times New Roman" w:cs="Times New Roman"/>
          <w:kern w:val="24"/>
          <w:sz w:val="24"/>
          <w:szCs w:val="24"/>
        </w:rPr>
        <w:t>（GB3838-2002）Ⅲ</w:t>
      </w:r>
      <w:r>
        <w:rPr>
          <w:rFonts w:ascii="Times New Roman" w:hAnsi="Times New Roman" w:cs="Times New Roman"/>
          <w:kern w:val="24"/>
          <w:sz w:val="24"/>
          <w:szCs w:val="24"/>
        </w:rPr>
        <w:t>类标准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（3）地下水质量标准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评价区域地下水环境评价执行《地下水质量标准》（GB/T14848-2017）中的Ⅲ类标准。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（4）声环境质量标准</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项目区声环境质量执行《声环境质量标准》（GB3096-2008）的3类标准。</w:t>
      </w:r>
    </w:p>
    <w:p>
      <w:pPr>
        <w:pStyle w:val="7"/>
        <w:widowControl w:val="0"/>
        <w:spacing w:before="0" w:after="0" w:line="360" w:lineRule="auto"/>
        <w:ind w:firstLine="562" w:firstLineChars="200"/>
        <w:rPr>
          <w:sz w:val="28"/>
          <w:szCs w:val="28"/>
        </w:rPr>
      </w:pPr>
      <w:r>
        <w:rPr>
          <w:sz w:val="28"/>
          <w:szCs w:val="28"/>
        </w:rPr>
        <w:t>2.3.3污染物排放标准</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2.3.3.1废气</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①施工期</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项目施工期场地扬尘须符合《大气污染物综合排放标准》（GB16297-1996）中相关要求。</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②运营期</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生产车间及喷漆、喷砂车间有组织排放的废气污染物颗粒物、非甲烷总烃执行《大气污染物综合排放标准》（GB16297-1996）二级标准相关限值。无组织排放的颗粒物、非甲烷总烃执行《大气污染物综合排放标准》（GB16297-1996）标准中无组织排放监控浓度限值。厂区内VOCs物料储存、转移和输送无组织排放控制要求、工艺过程VOCs无组织排放控制要求、设备与管线组件VOCs泄漏控制要求、敞开液面VOCs无组织排放控制要求，以及VOCs无组织排放废气收集处理系统要求、企业厂区内及周边污染监控执行《挥发性有机物无组织排放控制标准》（GB37822-2019）中有关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2.3.3.2废水</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本项目运营期无生产废水，生活污水通过市政下水管网排入吐鲁番市高昌区污水处理厂处理，</w:t>
      </w:r>
      <w:r>
        <w:rPr>
          <w:rFonts w:hint="eastAsia" w:ascii="Times New Roman" w:hAnsi="Times New Roman" w:cs="Times New Roman"/>
          <w:kern w:val="24"/>
          <w:sz w:val="24"/>
          <w:szCs w:val="24"/>
        </w:rPr>
        <w:t>待高端装备制造产业园区污水处理厂（吐鲁番市第二污水处理厂）建成后，排入该污水处理厂处理。</w:t>
      </w:r>
      <w:r>
        <w:rPr>
          <w:rFonts w:ascii="Times New Roman" w:hAnsi="Times New Roman" w:cs="Times New Roman"/>
          <w:kern w:val="24"/>
          <w:sz w:val="24"/>
          <w:szCs w:val="24"/>
        </w:rPr>
        <w:t>生活污水排放</w:t>
      </w:r>
      <w:r>
        <w:rPr>
          <w:rFonts w:hint="eastAsia" w:ascii="Times New Roman" w:hAnsi="Times New Roman" w:cs="Times New Roman"/>
          <w:kern w:val="24"/>
          <w:sz w:val="24"/>
          <w:szCs w:val="24"/>
        </w:rPr>
        <w:t>污水处理厂纳管标准：</w:t>
      </w:r>
      <w:r>
        <w:rPr>
          <w:rFonts w:ascii="Times New Roman" w:hAnsi="Times New Roman" w:cs="Times New Roman"/>
          <w:kern w:val="24"/>
          <w:sz w:val="24"/>
          <w:szCs w:val="24"/>
        </w:rPr>
        <w:t>《污水综合排放标准》（GB8978-1996）中三级标准</w:t>
      </w:r>
      <w:r>
        <w:rPr>
          <w:rFonts w:hint="eastAsia" w:ascii="Times New Roman" w:hAnsi="Times New Roman" w:cs="Times New Roman"/>
          <w:kern w:val="24"/>
          <w:sz w:val="24"/>
          <w:szCs w:val="24"/>
        </w:rPr>
        <w:t>、《污水排入城镇下水道水质标准》（GBT31962-2015）表1中A级限值要求执行</w:t>
      </w:r>
      <w:r>
        <w:rPr>
          <w:rFonts w:ascii="Times New Roman" w:hAnsi="Times New Roman" w:cs="Times New Roman"/>
          <w:kern w:val="24"/>
          <w:sz w:val="24"/>
          <w:szCs w:val="24"/>
        </w:rPr>
        <w:t>。</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2.3.3.3噪声</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施工期噪声执行《建筑施工场界环境噪声排放标准》（GB12523-2011）相关标准；运营期厂界噪声执行《工业企业厂界环境噪声排放标准》（GB12348-2008）表1中的3类标准。</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2.3.3.4固体废物</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一般工业固废执行《一般工业固体废物贮存和填埋污染控制标准》（GB18599-2020）；</w:t>
      </w:r>
      <w:r>
        <w:rPr>
          <w:rFonts w:hint="eastAsia" w:ascii="Times New Roman" w:hAnsi="Times New Roman" w:cs="Times New Roman"/>
          <w:kern w:val="24"/>
          <w:sz w:val="24"/>
          <w:szCs w:val="24"/>
        </w:rPr>
        <w:t>生活垃圾填埋执行《生活垃圾填埋场污染控制标准》（GB16889-2024）；</w:t>
      </w:r>
      <w:r>
        <w:rPr>
          <w:rFonts w:ascii="Times New Roman" w:hAnsi="Times New Roman" w:cs="Times New Roman"/>
          <w:kern w:val="24"/>
          <w:sz w:val="24"/>
          <w:szCs w:val="24"/>
        </w:rPr>
        <w:t>危险废物贮存执行《危险废物贮存污染控制标准》（GB18957-2023）。</w:t>
      </w:r>
    </w:p>
    <w:p>
      <w:pPr>
        <w:pStyle w:val="6"/>
        <w:widowControl w:val="0"/>
        <w:ind w:firstLine="640"/>
      </w:pPr>
      <w:bookmarkStart w:id="14" w:name="_Toc3045"/>
      <w:r>
        <w:t>2.4 评价等级和评价重点</w:t>
      </w:r>
      <w:bookmarkEnd w:id="14"/>
    </w:p>
    <w:p>
      <w:pPr>
        <w:pStyle w:val="7"/>
        <w:widowControl w:val="0"/>
        <w:spacing w:before="0" w:after="0" w:line="360" w:lineRule="auto"/>
        <w:ind w:firstLine="562" w:firstLineChars="200"/>
        <w:rPr>
          <w:sz w:val="28"/>
          <w:szCs w:val="28"/>
        </w:rPr>
      </w:pPr>
      <w:r>
        <w:rPr>
          <w:sz w:val="28"/>
          <w:szCs w:val="28"/>
        </w:rPr>
        <w:t>2.4.1 评价工作等级</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2.4.1.1 大气环境影响评价</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拟建项目运营期间主要大气污染物为颗粒物、非甲烷总烃，根据工程分析污染物源强计算结果，采用《环境影响评价技术导则 大气环境》（HJ 2.2-2018）推荐的估算模式计算各污染特征因子的最大影响程度和最远影响范围，确定评价工作等级。</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本项目喷漆车间排放的二甲苯Pmax值为6.5545%，Cmax为13.109μg/m³</w:t>
      </w:r>
      <w:r>
        <w:rPr>
          <w:rFonts w:ascii="Times New Roman" w:hAnsi="Times New Roman" w:cs="Times New Roman"/>
          <w:kern w:val="24"/>
          <w:sz w:val="24"/>
          <w:szCs w:val="24"/>
        </w:rPr>
        <w:t>。根据《环境影响评价技术导则 大气环境》（HJ2.2-2018）分级判据，确定本项目大气环境影响评价工作等级为二级。</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2.4.1.2 地表水环境影响评价等级</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本项目生活污水全部排入下水管网，最终进入</w:t>
      </w:r>
      <w:r>
        <w:rPr>
          <w:rFonts w:hint="eastAsia" w:ascii="Times New Roman" w:hAnsi="Times New Roman" w:cs="Times New Roman"/>
          <w:kern w:val="24"/>
          <w:sz w:val="24"/>
          <w:szCs w:val="24"/>
        </w:rPr>
        <w:t>污水处理厂</w:t>
      </w:r>
      <w:r>
        <w:rPr>
          <w:rFonts w:ascii="Times New Roman" w:hAnsi="Times New Roman" w:cs="Times New Roman"/>
          <w:kern w:val="24"/>
          <w:sz w:val="24"/>
          <w:szCs w:val="24"/>
        </w:rPr>
        <w:t>处理，故本项目与地表水系无直接水力联系。根据《环境影响评价技术导则 地表水环境》（HJ2.3-2018）中评价工作分级原则，本项目地表水评价等级为三级B，仅对地表水环境质量进行现状调查，对地表水环境进行简要影响分析。</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2.4.1.3 地下水环境影响评价等级</w:t>
      </w:r>
    </w:p>
    <w:p>
      <w:pPr>
        <w:pStyle w:val="120"/>
        <w:widowControl w:val="0"/>
        <w:spacing w:line="360" w:lineRule="auto"/>
        <w:ind w:firstLine="480"/>
        <w:contextualSpacing/>
        <w:rPr>
          <w:rFonts w:ascii="Times New Roman" w:hAnsi="Times New Roman" w:eastAsia="宋体" w:cs="Times New Roman"/>
          <w:lang w:val="zh-CN"/>
        </w:rPr>
      </w:pPr>
      <w:r>
        <w:rPr>
          <w:rFonts w:ascii="Times New Roman" w:hAnsi="Times New Roman" w:eastAsia="宋体" w:cs="Times New Roman"/>
          <w:lang w:val="zh-CN"/>
        </w:rPr>
        <w:t>根据《环境影响评价技术导则 地下水环境》（HJ610-2016）附录A，查询附录A，</w:t>
      </w:r>
      <w:r>
        <w:rPr>
          <w:rFonts w:ascii="Times New Roman" w:hAnsi="Times New Roman" w:eastAsia="宋体" w:cs="Times New Roman"/>
        </w:rPr>
        <w:t>本项目属于金属制品加工制造中有电镀或喷漆工艺的，为</w:t>
      </w:r>
      <w:r>
        <w:rPr>
          <w:rFonts w:hint="eastAsia" w:ascii="Times New Roman" w:hAnsi="Times New Roman" w:eastAsia="宋体" w:cs="Times New Roman"/>
        </w:rPr>
        <w:t>Ⅲ类</w:t>
      </w:r>
      <w:r>
        <w:rPr>
          <w:rFonts w:ascii="Times New Roman" w:hAnsi="Times New Roman" w:eastAsia="宋体" w:cs="Times New Roman"/>
          <w:lang w:val="zh-CN"/>
        </w:rPr>
        <w:t>，</w:t>
      </w:r>
      <w:r>
        <w:rPr>
          <w:rFonts w:ascii="Times New Roman" w:hAnsi="Times New Roman" w:eastAsia="宋体" w:cs="Times New Roman"/>
        </w:rPr>
        <w:t>项目所属区域地下水敏感程度为不敏感。</w:t>
      </w:r>
      <w:r>
        <w:rPr>
          <w:rFonts w:ascii="Times New Roman" w:hAnsi="Times New Roman" w:eastAsia="宋体" w:cs="Times New Roman"/>
          <w:lang w:val="zh-CN"/>
        </w:rPr>
        <w:t>根据导则，</w:t>
      </w:r>
      <w:r>
        <w:rPr>
          <w:rFonts w:ascii="Times New Roman" w:hAnsi="Times New Roman" w:eastAsia="宋体" w:cs="Times New Roman"/>
        </w:rPr>
        <w:t>本项目地下水评价等级为三级</w:t>
      </w:r>
      <w:r>
        <w:rPr>
          <w:rFonts w:ascii="Times New Roman" w:hAnsi="Times New Roman" w:eastAsia="宋体" w:cs="Times New Roman"/>
          <w:lang w:val="zh-CN"/>
        </w:rPr>
        <w:t>。</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2.4.1.4 声环境影响评价等级</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cs="Times New Roman"/>
          <w:kern w:val="0"/>
          <w:sz w:val="24"/>
          <w:szCs w:val="24"/>
        </w:rPr>
        <w:t>本项目位于</w:t>
      </w:r>
      <w:r>
        <w:rPr>
          <w:rFonts w:hint="eastAsia" w:ascii="Times New Roman" w:hAnsi="Times New Roman" w:cs="Times New Roman"/>
          <w:kern w:val="0"/>
          <w:sz w:val="24"/>
          <w:szCs w:val="24"/>
        </w:rPr>
        <w:t>吐鲁番经济开发区内</w:t>
      </w:r>
      <w:r>
        <w:rPr>
          <w:rFonts w:ascii="Times New Roman" w:hAnsi="Times New Roman" w:cs="Times New Roman"/>
          <w:kern w:val="0"/>
          <w:sz w:val="24"/>
          <w:szCs w:val="24"/>
        </w:rPr>
        <w:t>，根据《声环境质量标准》（GB 3096-2008）可知该区域为3类声环境功能区。按《环境影响评价技术导则 声环境》（HJ2.4-2021）中的评价等级确定原则，声环境评价等级为三级。</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2.4.1.5 环境风险评价等级</w:t>
      </w:r>
    </w:p>
    <w:p>
      <w:pPr>
        <w:pStyle w:val="138"/>
        <w:adjustRightInd/>
        <w:snapToGrid/>
        <w:contextualSpacing/>
        <w:jc w:val="both"/>
        <w:rPr>
          <w:rFonts w:ascii="Times New Roman" w:eastAsia="宋体"/>
          <w:color w:val="auto"/>
          <w:lang w:val="zh-CN"/>
        </w:rPr>
      </w:pPr>
      <w:r>
        <w:rPr>
          <w:rFonts w:ascii="Times New Roman" w:eastAsia="宋体"/>
          <w:color w:val="auto"/>
          <w:lang w:val="zh-CN"/>
        </w:rPr>
        <w:t>根据《建设项目环境风险评价技术导则》（HJ169-2018）中环境风险潜势判定依据（判定过程见环境风险评价章节），本项目环境风险评价等级为</w:t>
      </w:r>
      <w:r>
        <w:rPr>
          <w:rFonts w:ascii="Times New Roman" w:eastAsia="宋体"/>
          <w:color w:val="auto"/>
        </w:rPr>
        <w:t>简单分析</w:t>
      </w:r>
      <w:r>
        <w:rPr>
          <w:rFonts w:ascii="Times New Roman" w:eastAsia="宋体"/>
          <w:color w:val="auto"/>
          <w:lang w:val="zh-CN"/>
        </w:rPr>
        <w:t>。</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2.4.1.6 生态影响评价等级</w:t>
      </w:r>
    </w:p>
    <w:p>
      <w:pPr>
        <w:widowControl w:val="0"/>
        <w:spacing w:line="360" w:lineRule="auto"/>
        <w:ind w:firstLine="480" w:firstLineChars="200"/>
        <w:contextualSpacing/>
        <w:rPr>
          <w:rFonts w:ascii="Times New Roman" w:hAnsi="Times New Roman" w:cs="Times New Roman"/>
          <w:kern w:val="0"/>
          <w:sz w:val="24"/>
          <w:szCs w:val="24"/>
        </w:rPr>
      </w:pPr>
      <w:r>
        <w:rPr>
          <w:rFonts w:hint="eastAsia" w:ascii="Times New Roman" w:hAnsi="Times New Roman" w:cs="Times New Roman"/>
          <w:kern w:val="0"/>
          <w:sz w:val="24"/>
          <w:szCs w:val="24"/>
        </w:rPr>
        <w:t>根据上表分析，本项目位于已批准规划环评的产业园区内且符合规划环评要求、不涉及生态敏感区的污染影响类建设项目，可不确定评价等级，直接进行生态影响简单分析。</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2.4.1.7 土壤环境评价等级</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根据《环境影响评价技术导则 土壤环境（试行）》（HJ 964-2018）附录A，本项目属金属制品</w:t>
      </w:r>
      <w:r>
        <w:rPr>
          <w:rFonts w:hint="eastAsia" w:ascii="Times New Roman" w:hAnsi="Times New Roman" w:cs="Times New Roman"/>
          <w:kern w:val="0"/>
          <w:sz w:val="24"/>
          <w:szCs w:val="24"/>
        </w:rPr>
        <w:t>－</w:t>
      </w:r>
      <w:r>
        <w:rPr>
          <w:rFonts w:ascii="Times New Roman" w:hAnsi="Times New Roman" w:cs="Times New Roman"/>
          <w:kern w:val="0"/>
          <w:sz w:val="24"/>
          <w:szCs w:val="24"/>
        </w:rPr>
        <w:t>使用有机涂层的</w:t>
      </w:r>
      <w:r>
        <w:rPr>
          <w:rFonts w:hint="eastAsia" w:ascii="Times New Roman" w:hAnsi="Times New Roman" w:cs="Times New Roman"/>
          <w:kern w:val="0"/>
          <w:sz w:val="24"/>
          <w:szCs w:val="24"/>
        </w:rPr>
        <w:t>－</w:t>
      </w:r>
      <w:r>
        <w:rPr>
          <w:rFonts w:ascii="Times New Roman" w:hAnsi="Times New Roman" w:cs="Times New Roman"/>
          <w:kern w:val="0"/>
          <w:sz w:val="24"/>
          <w:szCs w:val="24"/>
        </w:rPr>
        <w:t>Ⅰ类；项目占地面积为</w:t>
      </w:r>
      <w:r>
        <w:rPr>
          <w:rFonts w:hint="eastAsia" w:ascii="Times New Roman" w:hAnsi="Times New Roman" w:cs="Times New Roman"/>
          <w:sz w:val="24"/>
        </w:rPr>
        <w:t>76531</w:t>
      </w:r>
      <w:r>
        <w:rPr>
          <w:rFonts w:ascii="Times New Roman" w:hAnsi="Times New Roman" w:cs="Times New Roman"/>
          <w:kern w:val="0"/>
          <w:sz w:val="24"/>
          <w:szCs w:val="24"/>
        </w:rPr>
        <w:t>m</w:t>
      </w:r>
      <w:r>
        <w:rPr>
          <w:rFonts w:ascii="Times New Roman" w:hAnsi="Times New Roman" w:cs="Times New Roman"/>
          <w:kern w:val="0"/>
          <w:sz w:val="24"/>
          <w:szCs w:val="24"/>
          <w:vertAlign w:val="superscript"/>
        </w:rPr>
        <w:t>2</w:t>
      </w:r>
      <w:r>
        <w:rPr>
          <w:rFonts w:ascii="Times New Roman" w:hAnsi="Times New Roman" w:cs="Times New Roman"/>
          <w:kern w:val="0"/>
          <w:sz w:val="24"/>
          <w:szCs w:val="24"/>
        </w:rPr>
        <w:t>，为</w:t>
      </w:r>
      <w:r>
        <w:rPr>
          <w:rFonts w:hint="eastAsia" w:ascii="Times New Roman" w:hAnsi="Times New Roman" w:cs="Times New Roman"/>
          <w:kern w:val="0"/>
          <w:sz w:val="24"/>
          <w:szCs w:val="24"/>
        </w:rPr>
        <w:t>中</w:t>
      </w:r>
      <w:r>
        <w:rPr>
          <w:rFonts w:ascii="Times New Roman" w:hAnsi="Times New Roman" w:cs="Times New Roman"/>
          <w:kern w:val="0"/>
          <w:sz w:val="24"/>
          <w:szCs w:val="24"/>
        </w:rPr>
        <w:t>型项目；项目位于</w:t>
      </w:r>
      <w:r>
        <w:rPr>
          <w:rFonts w:hint="eastAsia" w:ascii="Times New Roman" w:hAnsi="Times New Roman" w:cs="Times New Roman"/>
          <w:kern w:val="0"/>
          <w:sz w:val="24"/>
          <w:szCs w:val="24"/>
        </w:rPr>
        <w:t>吐鲁番经济开发区内</w:t>
      </w:r>
      <w:r>
        <w:rPr>
          <w:rFonts w:ascii="Times New Roman" w:hAnsi="Times New Roman" w:cs="Times New Roman"/>
          <w:kern w:val="0"/>
          <w:sz w:val="24"/>
          <w:szCs w:val="24"/>
        </w:rPr>
        <w:t>，周围不存在土壤敏感目标。本项目土壤评价等级为二级。</w:t>
      </w:r>
    </w:p>
    <w:p>
      <w:pPr>
        <w:pStyle w:val="7"/>
        <w:widowControl w:val="0"/>
        <w:spacing w:before="0" w:after="0" w:line="360" w:lineRule="auto"/>
        <w:ind w:firstLine="562" w:firstLineChars="200"/>
        <w:rPr>
          <w:sz w:val="28"/>
          <w:szCs w:val="28"/>
        </w:rPr>
      </w:pPr>
      <w:r>
        <w:rPr>
          <w:sz w:val="28"/>
          <w:szCs w:val="28"/>
        </w:rPr>
        <w:t>2.4.2 评价范围</w:t>
      </w:r>
    </w:p>
    <w:p>
      <w:pPr>
        <w:widowControl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据2.4.1节评价工作等级判定结果，结合各环境要素导则要求，确定本项目评价范围。</w:t>
      </w:r>
    </w:p>
    <w:p>
      <w:pPr>
        <w:pStyle w:val="6"/>
        <w:widowControl w:val="0"/>
        <w:ind w:firstLine="640"/>
      </w:pPr>
      <w:bookmarkStart w:id="15" w:name="_Toc29486"/>
      <w:r>
        <w:t>2.5 环境保护目标及污染控制目标</w:t>
      </w:r>
      <w:bookmarkEnd w:id="15"/>
    </w:p>
    <w:p>
      <w:pPr>
        <w:pStyle w:val="7"/>
        <w:widowControl w:val="0"/>
        <w:spacing w:before="0" w:after="0" w:line="360" w:lineRule="auto"/>
        <w:ind w:firstLine="562" w:firstLineChars="200"/>
        <w:rPr>
          <w:sz w:val="28"/>
          <w:szCs w:val="28"/>
        </w:rPr>
      </w:pPr>
      <w:r>
        <w:rPr>
          <w:sz w:val="28"/>
          <w:szCs w:val="28"/>
        </w:rPr>
        <w:t>2.5.1 环境保护目标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（1）环境空气敏感目标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本项目位于吐鲁番</w:t>
      </w:r>
      <w:r>
        <w:rPr>
          <w:rFonts w:hint="eastAsia" w:ascii="Times New Roman" w:hAnsi="Times New Roman" w:cs="Times New Roman"/>
          <w:kern w:val="0"/>
          <w:sz w:val="24"/>
          <w:szCs w:val="24"/>
        </w:rPr>
        <w:t>经济开发区高端装备制造产业园内</w:t>
      </w:r>
      <w:r>
        <w:rPr>
          <w:rFonts w:ascii="Times New Roman" w:hAnsi="Times New Roman" w:cs="Times New Roman"/>
          <w:kern w:val="0"/>
          <w:sz w:val="24"/>
          <w:szCs w:val="24"/>
        </w:rPr>
        <w:t>，大气环境评价范围内无自然保护区、风景名胜区、文物古迹等环境敏感目标。项目建成后保持项目区环境空气功能满足《环境空气质量标准》（</w:t>
      </w:r>
      <w:r>
        <w:rPr>
          <w:rFonts w:hint="eastAsia" w:ascii="Times New Roman" w:hAnsi="Times New Roman" w:cs="Times New Roman"/>
          <w:kern w:val="0"/>
          <w:sz w:val="24"/>
          <w:szCs w:val="24"/>
        </w:rPr>
        <w:t>GB3095-2026</w:t>
      </w:r>
      <w:r>
        <w:rPr>
          <w:rFonts w:ascii="Times New Roman" w:hAnsi="Times New Roman" w:cs="Times New Roman"/>
          <w:kern w:val="0"/>
          <w:sz w:val="24"/>
          <w:szCs w:val="24"/>
        </w:rPr>
        <w:t>）及其修改单中二类区。</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（2）水环境敏感目标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本项目不向地表水排放污水，项目与地表水体不发生水力联系，因此本项目水环境保护目标为项目区评价范围内地下水，地下水执行《地下水质量标准》（GB/T14848-2017）中的Ⅲ类标准。</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（3）声环境敏感目标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本项目位于</w:t>
      </w:r>
      <w:r>
        <w:rPr>
          <w:rFonts w:hint="eastAsia" w:ascii="Times New Roman" w:hAnsi="Times New Roman" w:cs="Times New Roman"/>
          <w:kern w:val="0"/>
          <w:sz w:val="24"/>
          <w:szCs w:val="24"/>
        </w:rPr>
        <w:t>吐鲁番</w:t>
      </w:r>
      <w:r>
        <w:rPr>
          <w:rFonts w:hint="eastAsia" w:ascii="Times New Roman" w:hAnsi="Times New Roman" w:eastAsia="宋体" w:cs="Times New Roman"/>
          <w:spacing w:val="4"/>
          <w:sz w:val="24"/>
        </w:rPr>
        <w:t>经济开发区高端装备制造产业园</w:t>
      </w:r>
      <w:r>
        <w:rPr>
          <w:rFonts w:hint="eastAsia" w:ascii="Times New Roman" w:hAnsi="Times New Roman" w:cs="Times New Roman"/>
          <w:kern w:val="0"/>
          <w:sz w:val="24"/>
          <w:szCs w:val="24"/>
        </w:rPr>
        <w:t>内</w:t>
      </w:r>
      <w:r>
        <w:rPr>
          <w:rFonts w:ascii="Times New Roman" w:hAnsi="Times New Roman" w:cs="Times New Roman"/>
          <w:kern w:val="0"/>
          <w:sz w:val="24"/>
          <w:szCs w:val="24"/>
        </w:rPr>
        <w:t>，厂界周围200m范围内无声环境敏感目标。</w:t>
      </w:r>
    </w:p>
    <w:p>
      <w:pPr>
        <w:pStyle w:val="7"/>
        <w:widowControl w:val="0"/>
        <w:spacing w:before="0" w:after="0" w:line="360" w:lineRule="auto"/>
        <w:ind w:firstLine="562" w:firstLineChars="200"/>
        <w:rPr>
          <w:sz w:val="28"/>
          <w:szCs w:val="28"/>
        </w:rPr>
      </w:pPr>
      <w:r>
        <w:rPr>
          <w:sz w:val="28"/>
          <w:szCs w:val="28"/>
        </w:rPr>
        <w:t>2.5.2 污染控制目标</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2.5.2.1废气控制目标</w:t>
      </w:r>
    </w:p>
    <w:p>
      <w:pPr>
        <w:widowControl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本项目排放的废气，要充分做好治理措施论证，力争采用技术先进、运行可靠且经济合理的治理措施，并加大回收力度，最大限度减少排放量，不仅要确保废气中各类污染物达标排放，而且要满足大气环境质量的要求。</w:t>
      </w:r>
    </w:p>
    <w:p>
      <w:pPr>
        <w:widowControl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采用技术先进、运行可靠且经济合理的治理措施，最大限度减少排放量，确保项目排放的废气污染物达标排放、区域环境空气质量不因本项目建设而突破环境质量底线。</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2.5.2.2废水控制目标</w:t>
      </w:r>
    </w:p>
    <w:p>
      <w:pPr>
        <w:widowControl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采用技术先进、运行可靠且经济合理的治理措施，确保项目废水有效收集排至市政污水管网，最终进入</w:t>
      </w:r>
      <w:r>
        <w:rPr>
          <w:rFonts w:hint="eastAsia" w:ascii="Times New Roman" w:hAnsi="Times New Roman" w:eastAsia="宋体" w:cs="Times New Roman"/>
          <w:kern w:val="0"/>
          <w:sz w:val="24"/>
          <w:szCs w:val="24"/>
        </w:rPr>
        <w:t>污水处理厂</w:t>
      </w:r>
      <w:r>
        <w:rPr>
          <w:rFonts w:ascii="Times New Roman" w:hAnsi="Times New Roman" w:eastAsia="宋体" w:cs="Times New Roman"/>
          <w:kern w:val="0"/>
          <w:sz w:val="24"/>
          <w:szCs w:val="24"/>
        </w:rPr>
        <w:t>，与区域地表水系不发生水力联系。通过分区防渗保护厂址及下游区域地下水水质，保证不因本项目建设及运行而降低区域地下水环境质量现状级别。</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2.5.2.3噪声控制目标</w:t>
      </w:r>
    </w:p>
    <w:p>
      <w:pPr>
        <w:widowControl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采取有效的减噪措施，确保项目区边界噪声满足《工业企业厂界环境噪声排放标准》（GB12348-2008）中3类标准。</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2.5.2.4固体废物控制目标</w:t>
      </w:r>
    </w:p>
    <w:p>
      <w:pPr>
        <w:widowControl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固体废物实现分类处置，不对周围环境产生危害和二次污染；一般工业固体废物达到“三防”控制要求；危险废物按照规范处置，项目区临时贮存场所符合《危险废物贮存污染控制标准》（GB18597-2023）要求。</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2.5.2.5环境风险污染控制目标</w:t>
      </w:r>
    </w:p>
    <w:p>
      <w:pPr>
        <w:widowControl w:val="0"/>
        <w:spacing w:line="360" w:lineRule="auto"/>
        <w:ind w:firstLine="480" w:firstLineChars="200"/>
        <w:rPr>
          <w:rFonts w:ascii="Times New Roman" w:hAnsi="Times New Roman" w:cs="Times New Roman"/>
          <w:kern w:val="24"/>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kern w:val="24"/>
          <w:sz w:val="24"/>
          <w:szCs w:val="24"/>
        </w:rPr>
        <w:t>采取有效的事故预防及应急措施，力争将事故风险降低至最小，通过措施降低风险事故排放的废水和废气等事故发生频率和强度，使最大可信事故结果不会对厂外环境构成严重环境影响。</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16" w:name="_Toc15517"/>
      <w:bookmarkStart w:id="17" w:name="_Toc12897"/>
      <w:bookmarkStart w:id="18" w:name="_Toc10401"/>
      <w:r>
        <w:rPr>
          <w:rFonts w:ascii="Times New Roman" w:hAnsi="Times New Roman" w:eastAsiaTheme="majorEastAsia"/>
          <w:bCs w:val="0"/>
          <w:sz w:val="32"/>
          <w:szCs w:val="32"/>
        </w:rPr>
        <w:t>3 拟建项目概况</w:t>
      </w:r>
      <w:bookmarkEnd w:id="16"/>
      <w:bookmarkEnd w:id="17"/>
    </w:p>
    <w:bookmarkEnd w:id="18"/>
    <w:p>
      <w:pPr>
        <w:pStyle w:val="6"/>
        <w:widowControl w:val="0"/>
        <w:ind w:firstLine="640"/>
      </w:pPr>
      <w:bookmarkStart w:id="19" w:name="_Toc21570"/>
      <w:r>
        <w:t>3.1 拟建项目概况</w:t>
      </w:r>
      <w:bookmarkEnd w:id="19"/>
    </w:p>
    <w:p>
      <w:pPr>
        <w:widowControl w:val="0"/>
        <w:tabs>
          <w:tab w:val="left" w:pos="308"/>
        </w:tabs>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项目名称：</w:t>
      </w:r>
      <w:r>
        <w:rPr>
          <w:rFonts w:hint="eastAsia" w:ascii="Times New Roman" w:hAnsi="Times New Roman" w:eastAsia="宋体" w:cs="Times New Roman"/>
          <w:kern w:val="0"/>
          <w:sz w:val="24"/>
          <w:szCs w:val="24"/>
        </w:rPr>
        <w:t>新疆武晓新能源有限公司年产300套塔筒项目（三期）</w:t>
      </w:r>
      <w:r>
        <w:rPr>
          <w:rFonts w:ascii="Times New Roman" w:hAnsi="Times New Roman" w:eastAsia="宋体" w:cs="Times New Roman"/>
          <w:kern w:val="0"/>
          <w:sz w:val="24"/>
          <w:szCs w:val="24"/>
        </w:rPr>
        <w:t>。</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建设性质：新建。</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建设地点：本项目拟建场地位于吐鲁番市高昌区</w:t>
      </w:r>
    </w:p>
    <w:p>
      <w:pPr>
        <w:pStyle w:val="6"/>
        <w:widowControl w:val="0"/>
        <w:ind w:firstLine="640"/>
      </w:pPr>
      <w:bookmarkStart w:id="20" w:name="_Toc14578"/>
      <w:r>
        <w:t>3.2 建设内容及技术经济指标</w:t>
      </w:r>
      <w:bookmarkEnd w:id="20"/>
    </w:p>
    <w:p>
      <w:pPr>
        <w:pStyle w:val="7"/>
        <w:widowControl w:val="0"/>
        <w:spacing w:before="0" w:after="0" w:line="360" w:lineRule="auto"/>
        <w:ind w:firstLine="562" w:firstLineChars="200"/>
        <w:rPr>
          <w:sz w:val="28"/>
          <w:szCs w:val="28"/>
        </w:rPr>
      </w:pPr>
      <w:r>
        <w:rPr>
          <w:sz w:val="28"/>
          <w:szCs w:val="28"/>
        </w:rPr>
        <w:t>3.2.1 建设内容</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w:t>
      </w:r>
      <w:r>
        <w:rPr>
          <w:rFonts w:hint="eastAsia" w:ascii="Times New Roman" w:hAnsi="Times New Roman" w:eastAsia="宋体" w:cs="Times New Roman"/>
          <w:kern w:val="0"/>
          <w:sz w:val="24"/>
          <w:szCs w:val="24"/>
        </w:rPr>
        <w:t>主要建设塔筒生产车间、喷涂车间、转运场、堆场、仓库等；购置卷板机、离子切割机、行车、埋弧焊机、焊接检测设备等其他配套附属设施</w:t>
      </w:r>
      <w:r>
        <w:rPr>
          <w:rFonts w:ascii="Times New Roman" w:hAnsi="Times New Roman" w:eastAsia="宋体" w:cs="Times New Roman"/>
          <w:kern w:val="0"/>
          <w:sz w:val="24"/>
          <w:szCs w:val="24"/>
        </w:rPr>
        <w:t>，新建年产</w:t>
      </w:r>
      <w:r>
        <w:rPr>
          <w:rFonts w:hint="eastAsia" w:ascii="Times New Roman" w:hAnsi="Times New Roman" w:eastAsia="宋体" w:cs="Times New Roman"/>
          <w:kern w:val="0"/>
          <w:sz w:val="24"/>
          <w:szCs w:val="24"/>
        </w:rPr>
        <w:t>300套</w:t>
      </w:r>
      <w:r>
        <w:rPr>
          <w:rFonts w:ascii="Times New Roman" w:hAnsi="Times New Roman" w:eastAsia="宋体" w:cs="Times New Roman"/>
          <w:kern w:val="0"/>
          <w:sz w:val="24"/>
          <w:szCs w:val="24"/>
        </w:rPr>
        <w:t>塔筒生产线。</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本项目建设内容包括主体工程、公用工程、辅助工程、环保工程等，项目建设内容详见表3.2-1。</w:t>
      </w:r>
    </w:p>
    <w:p>
      <w:pPr>
        <w:widowControl w:val="0"/>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表3.2-1  项目组成表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58"/>
        <w:gridCol w:w="6272"/>
        <w:gridCol w:w="6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pct"/>
            <w:gridSpan w:val="2"/>
            <w:tcBorders>
              <w:tl2br w:val="nil"/>
              <w:tr2bl w:val="nil"/>
            </w:tcBorders>
            <w:vAlign w:val="center"/>
          </w:tcPr>
          <w:p>
            <w:pPr>
              <w:pStyle w:val="132"/>
              <w:spacing w:line="240" w:lineRule="auto"/>
              <w:rPr>
                <w:rFonts w:ascii="Times New Roman" w:hAnsi="Times New Roman" w:eastAsia="宋体" w:cs="Times New Roman"/>
                <w:b/>
                <w:bCs/>
                <w:kern w:val="2"/>
              </w:rPr>
            </w:pPr>
            <w:bookmarkStart w:id="21" w:name="_Toc12956"/>
            <w:r>
              <w:rPr>
                <w:rFonts w:ascii="Times New Roman" w:hAnsi="Times New Roman" w:eastAsia="宋体" w:cs="Times New Roman"/>
                <w:b/>
                <w:bCs/>
                <w:kern w:val="2"/>
              </w:rPr>
              <w:t>项目组成</w:t>
            </w:r>
          </w:p>
        </w:tc>
        <w:tc>
          <w:tcPr>
            <w:tcW w:w="3679" w:type="pct"/>
            <w:tcBorders>
              <w:tl2br w:val="nil"/>
              <w:tr2bl w:val="nil"/>
            </w:tcBorders>
            <w:vAlign w:val="center"/>
          </w:tcPr>
          <w:p>
            <w:pPr>
              <w:pStyle w:val="132"/>
              <w:spacing w:line="240" w:lineRule="auto"/>
              <w:rPr>
                <w:rFonts w:ascii="Times New Roman" w:hAnsi="Times New Roman" w:eastAsia="宋体" w:cs="Times New Roman"/>
                <w:b/>
                <w:bCs/>
                <w:kern w:val="2"/>
              </w:rPr>
            </w:pPr>
            <w:r>
              <w:rPr>
                <w:rFonts w:ascii="Times New Roman" w:hAnsi="Times New Roman" w:eastAsia="宋体" w:cs="Times New Roman"/>
                <w:b/>
                <w:bCs/>
                <w:kern w:val="2"/>
              </w:rPr>
              <w:t>建设内容及用途</w:t>
            </w:r>
          </w:p>
        </w:tc>
        <w:tc>
          <w:tcPr>
            <w:tcW w:w="377" w:type="pct"/>
            <w:tcBorders>
              <w:tl2br w:val="nil"/>
              <w:tr2bl w:val="nil"/>
            </w:tcBorders>
            <w:vAlign w:val="center"/>
          </w:tcPr>
          <w:p>
            <w:pPr>
              <w:pStyle w:val="132"/>
              <w:spacing w:line="240" w:lineRule="auto"/>
              <w:rPr>
                <w:rFonts w:ascii="Times New Roman" w:hAnsi="Times New Roman" w:eastAsia="宋体" w:cs="Times New Roman"/>
                <w:b/>
                <w:bCs/>
                <w:kern w:val="2"/>
              </w:rPr>
            </w:pPr>
            <w:r>
              <w:rPr>
                <w:rFonts w:ascii="Times New Roman" w:hAnsi="Times New Roman" w:eastAsia="宋体" w:cs="Times New Roman"/>
                <w:b/>
                <w:bCs/>
                <w:kern w:val="2"/>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restar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主体工程</w:t>
            </w: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hint="eastAsia" w:ascii="Times New Roman" w:hAnsi="Times New Roman" w:eastAsia="宋体" w:cs="Times New Roman"/>
                <w:kern w:val="2"/>
              </w:rPr>
              <w:t>塔筒生产车间</w:t>
            </w:r>
          </w:p>
        </w:tc>
        <w:tc>
          <w:tcPr>
            <w:tcW w:w="3679"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11"/>
                <w:szCs w:val="21"/>
              </w:rPr>
              <w:t>钢结构，占地面积</w:t>
            </w:r>
            <w:r>
              <w:rPr>
                <w:rFonts w:ascii="Times New Roman" w:hAnsi="Times New Roman" w:eastAsia="宋体" w:cs="Times New Roman"/>
                <w:kern w:val="0"/>
                <w:szCs w:val="21"/>
              </w:rPr>
              <w:t>14299平方米</w:t>
            </w:r>
            <w:r>
              <w:rPr>
                <w:rFonts w:ascii="Times New Roman" w:hAnsi="Times New Roman" w:eastAsia="宋体" w:cs="Times New Roman"/>
                <w:spacing w:val="11"/>
                <w:szCs w:val="21"/>
              </w:rPr>
              <w:t>，1层，高15米，车间内设切割工段、卷圆</w:t>
            </w:r>
            <w:r>
              <w:rPr>
                <w:rFonts w:ascii="Times New Roman" w:hAnsi="Times New Roman" w:eastAsia="宋体" w:cs="Times New Roman"/>
                <w:spacing w:val="23"/>
                <w:szCs w:val="21"/>
              </w:rPr>
              <w:t>工段、焊接工段、组对工段</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hint="eastAsia" w:ascii="Times New Roman" w:hAnsi="Times New Roman" w:eastAsia="宋体" w:cs="Times New Roman"/>
                <w:kern w:val="2"/>
              </w:rPr>
              <w:t>喷涂车间</w:t>
            </w:r>
          </w:p>
        </w:tc>
        <w:tc>
          <w:tcPr>
            <w:tcW w:w="3679"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11"/>
                <w:szCs w:val="21"/>
              </w:rPr>
              <w:t>钢结构，占地面积</w:t>
            </w:r>
            <w:r>
              <w:rPr>
                <w:rFonts w:ascii="Times New Roman" w:hAnsi="Times New Roman" w:eastAsia="宋体" w:cs="Times New Roman"/>
                <w:szCs w:val="21"/>
              </w:rPr>
              <w:t>2970.5</w:t>
            </w:r>
            <w:r>
              <w:rPr>
                <w:rFonts w:ascii="Times New Roman" w:hAnsi="Times New Roman" w:eastAsia="宋体" w:cs="Times New Roman"/>
                <w:kern w:val="0"/>
                <w:szCs w:val="21"/>
              </w:rPr>
              <w:t>平方米</w:t>
            </w:r>
            <w:r>
              <w:rPr>
                <w:rFonts w:ascii="Times New Roman" w:hAnsi="Times New Roman" w:eastAsia="宋体" w:cs="Times New Roman"/>
                <w:spacing w:val="11"/>
                <w:szCs w:val="21"/>
              </w:rPr>
              <w:t>，1层，高8</w:t>
            </w:r>
            <w:r>
              <w:rPr>
                <w:rFonts w:ascii="Times New Roman" w:hAnsi="Times New Roman" w:eastAsia="宋体" w:cs="Times New Roman"/>
                <w:kern w:val="0"/>
                <w:szCs w:val="21"/>
              </w:rPr>
              <w:t>米</w:t>
            </w:r>
            <w:r>
              <w:rPr>
                <w:rFonts w:ascii="Times New Roman" w:hAnsi="Times New Roman" w:eastAsia="宋体" w:cs="Times New Roman"/>
                <w:spacing w:val="11"/>
                <w:szCs w:val="21"/>
              </w:rPr>
              <w:t>，车间内</w:t>
            </w:r>
            <w:r>
              <w:rPr>
                <w:rFonts w:hint="eastAsia" w:ascii="Times New Roman" w:hAnsi="Times New Roman" w:eastAsia="宋体" w:cs="Times New Roman"/>
                <w:spacing w:val="11"/>
                <w:szCs w:val="21"/>
              </w:rPr>
              <w:t>分为喷砂间（1242.5</w:t>
            </w:r>
            <w:r>
              <w:rPr>
                <w:rFonts w:ascii="Times New Roman" w:hAnsi="Times New Roman" w:eastAsia="宋体" w:cs="Times New Roman"/>
                <w:kern w:val="0"/>
                <w:szCs w:val="21"/>
              </w:rPr>
              <w:t>平方米</w:t>
            </w:r>
            <w:r>
              <w:rPr>
                <w:rFonts w:hint="eastAsia" w:ascii="Times New Roman" w:hAnsi="Times New Roman" w:eastAsia="宋体" w:cs="Times New Roman"/>
                <w:spacing w:val="11"/>
                <w:szCs w:val="21"/>
              </w:rPr>
              <w:t>）、喷漆间（1728</w:t>
            </w:r>
            <w:r>
              <w:rPr>
                <w:rFonts w:ascii="Times New Roman" w:hAnsi="Times New Roman" w:eastAsia="宋体" w:cs="Times New Roman"/>
                <w:kern w:val="0"/>
                <w:szCs w:val="21"/>
              </w:rPr>
              <w:t>平方米</w:t>
            </w:r>
            <w:r>
              <w:rPr>
                <w:rFonts w:hint="eastAsia" w:ascii="Times New Roman" w:hAnsi="Times New Roman" w:eastAsia="宋体" w:cs="Times New Roman"/>
                <w:spacing w:val="11"/>
                <w:szCs w:val="21"/>
              </w:rPr>
              <w:t>），喷砂间</w:t>
            </w:r>
            <w:r>
              <w:rPr>
                <w:rFonts w:ascii="Times New Roman" w:hAnsi="Times New Roman" w:eastAsia="宋体" w:cs="Times New Roman"/>
                <w:spacing w:val="11"/>
                <w:szCs w:val="21"/>
              </w:rPr>
              <w:t>设喷砂除锈工段</w:t>
            </w:r>
            <w:r>
              <w:rPr>
                <w:rFonts w:hint="eastAsia" w:ascii="Times New Roman" w:hAnsi="Times New Roman" w:eastAsia="宋体" w:cs="Times New Roman"/>
                <w:spacing w:val="11"/>
                <w:szCs w:val="21"/>
              </w:rPr>
              <w:t>，</w:t>
            </w:r>
            <w:r>
              <w:rPr>
                <w:rFonts w:ascii="Times New Roman" w:hAnsi="Times New Roman" w:eastAsia="宋体" w:cs="Times New Roman"/>
                <w:spacing w:val="9"/>
                <w:szCs w:val="21"/>
              </w:rPr>
              <w:t>调漆、喷漆、自然晾干、清洗喷枪均在喷漆间</w:t>
            </w:r>
            <w:r>
              <w:rPr>
                <w:rFonts w:hint="eastAsia" w:ascii="Times New Roman" w:hAnsi="Times New Roman" w:eastAsia="宋体" w:cs="Times New Roman"/>
                <w:spacing w:val="9"/>
                <w:szCs w:val="21"/>
              </w:rPr>
              <w:t>进行</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restar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仓储工程</w:t>
            </w: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hint="eastAsia" w:ascii="Times New Roman" w:hAnsi="Times New Roman" w:eastAsia="宋体" w:cs="Times New Roman"/>
                <w:kern w:val="2"/>
              </w:rPr>
              <w:t>堆场</w:t>
            </w:r>
          </w:p>
        </w:tc>
        <w:tc>
          <w:tcPr>
            <w:tcW w:w="3679"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11"/>
                <w:szCs w:val="21"/>
              </w:rPr>
              <w:t>占地面积</w:t>
            </w:r>
            <w:r>
              <w:rPr>
                <w:rFonts w:ascii="Times New Roman" w:hAnsi="Times New Roman" w:eastAsia="宋体" w:cs="Times New Roman"/>
                <w:szCs w:val="21"/>
              </w:rPr>
              <w:t>12915</w:t>
            </w:r>
            <w:r>
              <w:rPr>
                <w:rFonts w:ascii="Times New Roman" w:hAnsi="Times New Roman" w:eastAsia="宋体" w:cs="Times New Roman"/>
                <w:kern w:val="0"/>
                <w:szCs w:val="21"/>
              </w:rPr>
              <w:t>平方米</w:t>
            </w:r>
            <w:r>
              <w:rPr>
                <w:rFonts w:ascii="Times New Roman" w:hAnsi="Times New Roman" w:eastAsia="宋体" w:cs="Times New Roman"/>
                <w:spacing w:val="11"/>
                <w:szCs w:val="21"/>
              </w:rPr>
              <w:t>，</w:t>
            </w:r>
            <w:r>
              <w:rPr>
                <w:rFonts w:hint="eastAsia" w:ascii="Times New Roman" w:hAnsi="Times New Roman" w:eastAsia="宋体" w:cs="Times New Roman"/>
                <w:spacing w:val="11"/>
                <w:szCs w:val="21"/>
              </w:rPr>
              <w:t>地面硬化，</w:t>
            </w:r>
            <w:r>
              <w:rPr>
                <w:rFonts w:ascii="Times New Roman" w:hAnsi="Times New Roman" w:eastAsia="宋体" w:cs="Times New Roman"/>
                <w:spacing w:val="11"/>
                <w:szCs w:val="21"/>
              </w:rPr>
              <w:t>用</w:t>
            </w:r>
            <w:r>
              <w:rPr>
                <w:rFonts w:ascii="Times New Roman" w:hAnsi="Times New Roman" w:eastAsia="宋体" w:cs="Times New Roman"/>
                <w:spacing w:val="21"/>
                <w:szCs w:val="21"/>
              </w:rPr>
              <w:t>于</w:t>
            </w:r>
            <w:r>
              <w:rPr>
                <w:rFonts w:hint="eastAsia" w:ascii="Times New Roman" w:hAnsi="Times New Roman" w:eastAsia="宋体" w:cs="Times New Roman"/>
                <w:spacing w:val="21"/>
                <w:szCs w:val="21"/>
              </w:rPr>
              <w:t>原料及产品存放</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spacing w:val="13"/>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一般固废暂存间</w:t>
            </w:r>
          </w:p>
        </w:tc>
        <w:tc>
          <w:tcPr>
            <w:tcW w:w="3679" w:type="pct"/>
            <w:tcBorders>
              <w:tl2br w:val="nil"/>
              <w:tr2bl w:val="nil"/>
            </w:tcBorders>
            <w:vAlign w:val="center"/>
          </w:tcPr>
          <w:p>
            <w:pPr>
              <w:spacing w:line="240" w:lineRule="auto"/>
              <w:jc w:val="center"/>
              <w:rPr>
                <w:rFonts w:ascii="Times New Roman" w:hAnsi="Times New Roman" w:eastAsia="宋体" w:cs="Times New Roman"/>
                <w:spacing w:val="24"/>
                <w:szCs w:val="21"/>
              </w:rPr>
            </w:pPr>
            <w:r>
              <w:rPr>
                <w:rFonts w:ascii="Times New Roman" w:hAnsi="Times New Roman" w:eastAsia="宋体" w:cs="Times New Roman"/>
                <w:spacing w:val="11"/>
                <w:szCs w:val="21"/>
              </w:rPr>
              <w:t>占地面积</w:t>
            </w:r>
            <w:r>
              <w:rPr>
                <w:rFonts w:ascii="Times New Roman" w:hAnsi="Times New Roman" w:eastAsia="宋体" w:cs="Times New Roman"/>
                <w:szCs w:val="21"/>
              </w:rPr>
              <w:t>80</w:t>
            </w:r>
            <w:r>
              <w:rPr>
                <w:rFonts w:ascii="Times New Roman" w:hAnsi="Times New Roman" w:eastAsia="宋体" w:cs="Times New Roman"/>
                <w:kern w:val="0"/>
                <w:szCs w:val="21"/>
              </w:rPr>
              <w:t>平方米</w:t>
            </w:r>
            <w:r>
              <w:rPr>
                <w:rFonts w:ascii="Times New Roman" w:hAnsi="Times New Roman" w:eastAsia="宋体" w:cs="Times New Roman"/>
                <w:spacing w:val="11"/>
                <w:szCs w:val="21"/>
              </w:rPr>
              <w:t>，位</w:t>
            </w:r>
            <w:r>
              <w:rPr>
                <w:rFonts w:ascii="Times New Roman" w:hAnsi="Times New Roman" w:eastAsia="宋体" w:cs="Times New Roman"/>
                <w:szCs w:val="21"/>
              </w:rPr>
              <w:t>于</w:t>
            </w:r>
            <w:r>
              <w:rPr>
                <w:rFonts w:hint="eastAsia" w:ascii="Times New Roman" w:hAnsi="Times New Roman" w:eastAsia="宋体" w:cs="Times New Roman"/>
                <w:szCs w:val="21"/>
              </w:rPr>
              <w:t>塔筒生产车间</w:t>
            </w:r>
            <w:r>
              <w:rPr>
                <w:rFonts w:ascii="Times New Roman" w:hAnsi="Times New Roman" w:eastAsia="宋体" w:cs="Times New Roman"/>
                <w:szCs w:val="21"/>
              </w:rPr>
              <w:t>北侧，用于收集暂存生产过程中产生的一般工业固体废物</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spacing w:val="13"/>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hint="eastAsia" w:ascii="Times New Roman" w:hAnsi="Times New Roman" w:eastAsia="宋体" w:cs="Times New Roman"/>
                <w:kern w:val="2"/>
              </w:rPr>
              <w:t>危废贮存库</w:t>
            </w:r>
          </w:p>
        </w:tc>
        <w:tc>
          <w:tcPr>
            <w:tcW w:w="3679" w:type="pct"/>
            <w:tcBorders>
              <w:tl2br w:val="nil"/>
              <w:tr2bl w:val="nil"/>
            </w:tcBorders>
            <w:vAlign w:val="center"/>
          </w:tcPr>
          <w:p>
            <w:pPr>
              <w:spacing w:line="240" w:lineRule="auto"/>
              <w:jc w:val="center"/>
              <w:rPr>
                <w:rFonts w:ascii="Times New Roman" w:hAnsi="Times New Roman" w:eastAsia="宋体" w:cs="Times New Roman"/>
                <w:spacing w:val="24"/>
                <w:szCs w:val="21"/>
              </w:rPr>
            </w:pPr>
            <w:r>
              <w:rPr>
                <w:rFonts w:ascii="Times New Roman" w:hAnsi="Times New Roman" w:eastAsia="宋体" w:cs="Times New Roman"/>
                <w:spacing w:val="11"/>
                <w:szCs w:val="21"/>
              </w:rPr>
              <w:t>占地面积</w:t>
            </w:r>
            <w:r>
              <w:rPr>
                <w:rFonts w:ascii="Times New Roman" w:hAnsi="Times New Roman" w:eastAsia="宋体" w:cs="Times New Roman"/>
                <w:szCs w:val="21"/>
              </w:rPr>
              <w:t>50</w:t>
            </w:r>
            <w:r>
              <w:rPr>
                <w:rFonts w:ascii="Times New Roman" w:hAnsi="Times New Roman" w:eastAsia="宋体" w:cs="Times New Roman"/>
                <w:kern w:val="0"/>
                <w:szCs w:val="21"/>
              </w:rPr>
              <w:t>平方米</w:t>
            </w:r>
            <w:r>
              <w:rPr>
                <w:rFonts w:ascii="Times New Roman" w:hAnsi="Times New Roman" w:eastAsia="宋体" w:cs="Times New Roman"/>
                <w:spacing w:val="11"/>
                <w:szCs w:val="21"/>
              </w:rPr>
              <w:t>，位</w:t>
            </w:r>
            <w:r>
              <w:rPr>
                <w:rFonts w:ascii="Times New Roman" w:hAnsi="Times New Roman" w:eastAsia="宋体" w:cs="Times New Roman"/>
                <w:szCs w:val="21"/>
              </w:rPr>
              <w:t>于</w:t>
            </w:r>
            <w:r>
              <w:rPr>
                <w:rFonts w:hint="eastAsia" w:ascii="Times New Roman" w:hAnsi="Times New Roman" w:eastAsia="宋体" w:cs="Times New Roman"/>
                <w:szCs w:val="21"/>
              </w:rPr>
              <w:t>塔筒生产车间</w:t>
            </w:r>
            <w:r>
              <w:rPr>
                <w:rFonts w:ascii="Times New Roman" w:hAnsi="Times New Roman" w:eastAsia="宋体" w:cs="Times New Roman"/>
                <w:szCs w:val="21"/>
              </w:rPr>
              <w:t>北侧，</w:t>
            </w:r>
            <w:r>
              <w:rPr>
                <w:rFonts w:ascii="Times New Roman" w:hAnsi="Times New Roman" w:eastAsia="宋体" w:cs="Times New Roman"/>
                <w:spacing w:val="24"/>
                <w:szCs w:val="21"/>
              </w:rPr>
              <w:t>用于收集暂存生产过程中产生的危险废物</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辅助工程</w:t>
            </w: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hint="eastAsia" w:ascii="Times New Roman" w:hAnsi="Times New Roman" w:eastAsia="宋体" w:cs="Times New Roman"/>
                <w:kern w:val="2"/>
              </w:rPr>
              <w:t>办公宿舍</w:t>
            </w:r>
          </w:p>
        </w:tc>
        <w:tc>
          <w:tcPr>
            <w:tcW w:w="3679" w:type="pct"/>
            <w:tcBorders>
              <w:tl2br w:val="nil"/>
              <w:tr2bl w:val="nil"/>
            </w:tcBorders>
            <w:vAlign w:val="center"/>
          </w:tcPr>
          <w:p>
            <w:pPr>
              <w:pStyle w:val="139"/>
              <w:spacing w:line="240" w:lineRule="auto"/>
              <w:rPr>
                <w:rFonts w:ascii="Times New Roman" w:hAnsi="Times New Roman" w:cs="Times New Roman"/>
                <w:sz w:val="21"/>
                <w:szCs w:val="21"/>
                <w:lang w:eastAsia="zh-CN"/>
              </w:rPr>
            </w:pPr>
            <w:r>
              <w:rPr>
                <w:rFonts w:ascii="Times New Roman" w:hAnsi="Times New Roman" w:cs="Times New Roman"/>
                <w:spacing w:val="11"/>
                <w:sz w:val="21"/>
                <w:szCs w:val="21"/>
                <w:lang w:eastAsia="zh-CN"/>
              </w:rPr>
              <w:t>砖混结构，</w:t>
            </w:r>
            <w:r>
              <w:rPr>
                <w:rFonts w:hint="eastAsia" w:ascii="Times New Roman" w:hAnsi="Times New Roman" w:cs="Times New Roman"/>
                <w:spacing w:val="11"/>
                <w:sz w:val="21"/>
                <w:szCs w:val="21"/>
                <w:lang w:eastAsia="zh-CN"/>
              </w:rPr>
              <w:t>3</w:t>
            </w:r>
            <w:r>
              <w:rPr>
                <w:rFonts w:ascii="Times New Roman" w:hAnsi="Times New Roman" w:cs="Times New Roman"/>
                <w:spacing w:val="11"/>
                <w:sz w:val="21"/>
                <w:szCs w:val="21"/>
                <w:lang w:eastAsia="zh-CN"/>
              </w:rPr>
              <w:t>层，</w:t>
            </w:r>
            <w:r>
              <w:rPr>
                <w:rFonts w:hint="eastAsia" w:ascii="Times New Roman" w:hAnsi="Times New Roman" w:cs="Times New Roman"/>
                <w:spacing w:val="11"/>
                <w:sz w:val="21"/>
                <w:szCs w:val="21"/>
                <w:lang w:eastAsia="zh-CN"/>
              </w:rPr>
              <w:t>建筑面积1179.24m</w:t>
            </w:r>
            <w:r>
              <w:rPr>
                <w:rFonts w:hint="eastAsia" w:ascii="Times New Roman" w:hAnsi="Times New Roman" w:cs="Times New Roman"/>
                <w:spacing w:val="11"/>
                <w:sz w:val="21"/>
                <w:szCs w:val="21"/>
                <w:vertAlign w:val="superscript"/>
                <w:lang w:eastAsia="zh-CN"/>
              </w:rPr>
              <w:t>2</w:t>
            </w:r>
            <w:r>
              <w:rPr>
                <w:rFonts w:ascii="Times New Roman" w:hAnsi="Times New Roman" w:cs="Times New Roman"/>
                <w:spacing w:val="11"/>
                <w:sz w:val="21"/>
                <w:szCs w:val="21"/>
                <w:lang w:eastAsia="zh-CN"/>
              </w:rPr>
              <w:t>，用于职工办公</w:t>
            </w:r>
            <w:r>
              <w:rPr>
                <w:rFonts w:hint="eastAsia" w:ascii="Times New Roman" w:hAnsi="Times New Roman" w:cs="Times New Roman"/>
                <w:spacing w:val="11"/>
                <w:sz w:val="21"/>
                <w:szCs w:val="21"/>
                <w:lang w:eastAsia="zh-CN"/>
              </w:rPr>
              <w:t>生活。厂区不设置食堂。</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hint="eastAsia" w:ascii="Times New Roman" w:hAnsi="Times New Roman" w:eastAsia="宋体" w:cs="Times New Roman"/>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restar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公用工程</w:t>
            </w: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spacing w:val="13"/>
              </w:rPr>
              <w:t>供水</w:t>
            </w:r>
          </w:p>
        </w:tc>
        <w:tc>
          <w:tcPr>
            <w:tcW w:w="3679" w:type="pct"/>
            <w:tcBorders>
              <w:tl2br w:val="nil"/>
              <w:tr2bl w:val="nil"/>
            </w:tcBorders>
            <w:vAlign w:val="center"/>
          </w:tcPr>
          <w:p>
            <w:pPr>
              <w:pStyle w:val="132"/>
              <w:spacing w:line="240" w:lineRule="auto"/>
              <w:jc w:val="both"/>
              <w:rPr>
                <w:rFonts w:ascii="Times New Roman" w:hAnsi="Times New Roman" w:eastAsia="宋体" w:cs="Times New Roman"/>
                <w:kern w:val="2"/>
              </w:rPr>
            </w:pPr>
            <w:r>
              <w:rPr>
                <w:rFonts w:ascii="Times New Roman" w:hAnsi="Times New Roman" w:eastAsia="宋体" w:cs="Times New Roman"/>
                <w:kern w:val="2"/>
              </w:rPr>
              <w:t>项目用水由</w:t>
            </w:r>
            <w:r>
              <w:rPr>
                <w:rFonts w:hint="eastAsia" w:ascii="Times New Roman" w:hAnsi="Times New Roman" w:eastAsia="宋体" w:cs="Times New Roman"/>
                <w:kern w:val="2"/>
              </w:rPr>
              <w:t>工业片区</w:t>
            </w:r>
            <w:r>
              <w:rPr>
                <w:rFonts w:ascii="Times New Roman" w:hAnsi="Times New Roman" w:eastAsia="宋体" w:cs="Times New Roman"/>
                <w:kern w:val="2"/>
              </w:rPr>
              <w:t>供水供给</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13"/>
                <w:kern w:val="0"/>
                <w:szCs w:val="21"/>
              </w:rPr>
              <w:t>排水</w:t>
            </w:r>
          </w:p>
        </w:tc>
        <w:tc>
          <w:tcPr>
            <w:tcW w:w="3679" w:type="pct"/>
            <w:tcBorders>
              <w:tl2br w:val="nil"/>
              <w:tr2bl w:val="nil"/>
            </w:tcBorders>
            <w:vAlign w:val="center"/>
          </w:tcPr>
          <w:p>
            <w:pPr>
              <w:spacing w:line="240" w:lineRule="auto"/>
              <w:rPr>
                <w:rFonts w:ascii="Times New Roman" w:hAnsi="Times New Roman" w:cs="Times New Roman"/>
                <w:szCs w:val="21"/>
              </w:rPr>
            </w:pPr>
            <w:r>
              <w:rPr>
                <w:rFonts w:ascii="Times New Roman" w:hAnsi="Times New Roman" w:eastAsia="宋体" w:cs="Times New Roman"/>
                <w:szCs w:val="21"/>
              </w:rPr>
              <w:t>本项目无生产用水</w:t>
            </w:r>
            <w:r>
              <w:rPr>
                <w:rStyle w:val="38"/>
                <w:rFonts w:hint="eastAsia"/>
              </w:rPr>
              <w:t>，生活污水排入园区污水管网，最终进入园区污水处理站进行处理。</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供电</w:t>
            </w:r>
          </w:p>
        </w:tc>
        <w:tc>
          <w:tcPr>
            <w:tcW w:w="3679" w:type="pct"/>
            <w:tcBorders>
              <w:tl2br w:val="nil"/>
              <w:tr2bl w:val="nil"/>
            </w:tcBorders>
            <w:vAlign w:val="center"/>
          </w:tcPr>
          <w:p>
            <w:pPr>
              <w:spacing w:line="240" w:lineRule="auto"/>
              <w:rPr>
                <w:rFonts w:ascii="Times New Roman" w:hAnsi="Times New Roman" w:eastAsia="宋体" w:cs="Times New Roman"/>
                <w:szCs w:val="21"/>
              </w:rPr>
            </w:pPr>
            <w:r>
              <w:rPr>
                <w:rFonts w:ascii="Times New Roman" w:hAnsi="Times New Roman" w:eastAsia="宋体" w:cs="Times New Roman"/>
                <w:szCs w:val="21"/>
              </w:rPr>
              <w:t>依托</w:t>
            </w:r>
            <w:r>
              <w:rPr>
                <w:rFonts w:hint="eastAsia" w:ascii="Times New Roman" w:hAnsi="Times New Roman" w:eastAsia="宋体" w:cs="Times New Roman"/>
                <w:szCs w:val="21"/>
              </w:rPr>
              <w:t>工业片区</w:t>
            </w:r>
            <w:r>
              <w:rPr>
                <w:rFonts w:ascii="Times New Roman" w:hAnsi="Times New Roman" w:eastAsia="宋体" w:cs="Times New Roman"/>
                <w:szCs w:val="21"/>
              </w:rPr>
              <w:t>供电线路</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供暖</w:t>
            </w:r>
          </w:p>
        </w:tc>
        <w:tc>
          <w:tcPr>
            <w:tcW w:w="3679" w:type="pct"/>
            <w:tcBorders>
              <w:tl2br w:val="nil"/>
              <w:tr2bl w:val="nil"/>
            </w:tcBorders>
            <w:vAlign w:val="center"/>
          </w:tcPr>
          <w:p>
            <w:pPr>
              <w:spacing w:line="240" w:lineRule="auto"/>
              <w:rPr>
                <w:rFonts w:ascii="Times New Roman" w:hAnsi="Times New Roman" w:eastAsia="宋体" w:cs="Times New Roman"/>
                <w:szCs w:val="21"/>
              </w:rPr>
            </w:pPr>
            <w:r>
              <w:rPr>
                <w:rFonts w:ascii="Times New Roman" w:hAnsi="Times New Roman" w:eastAsia="宋体" w:cs="Times New Roman"/>
                <w:szCs w:val="21"/>
              </w:rPr>
              <w:t>由</w:t>
            </w:r>
            <w:r>
              <w:rPr>
                <w:rFonts w:hint="eastAsia" w:ascii="Times New Roman" w:hAnsi="Times New Roman" w:eastAsia="宋体" w:cs="Times New Roman"/>
                <w:szCs w:val="21"/>
              </w:rPr>
              <w:t>工业片区</w:t>
            </w:r>
            <w:r>
              <w:rPr>
                <w:rFonts w:ascii="Times New Roman" w:hAnsi="Times New Roman" w:eastAsia="宋体" w:cs="Times New Roman"/>
                <w:szCs w:val="21"/>
              </w:rPr>
              <w:t>供热管网供应</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消防</w:t>
            </w:r>
          </w:p>
        </w:tc>
        <w:tc>
          <w:tcPr>
            <w:tcW w:w="3679" w:type="pct"/>
            <w:tcBorders>
              <w:tl2br w:val="nil"/>
              <w:tr2bl w:val="nil"/>
            </w:tcBorders>
            <w:vAlign w:val="center"/>
          </w:tcPr>
          <w:p>
            <w:pPr>
              <w:spacing w:line="240" w:lineRule="auto"/>
              <w:rPr>
                <w:rFonts w:ascii="Times New Roman" w:hAnsi="Times New Roman" w:eastAsia="宋体" w:cs="Times New Roman"/>
                <w:szCs w:val="21"/>
              </w:rPr>
            </w:pPr>
            <w:r>
              <w:rPr>
                <w:rFonts w:hint="eastAsia" w:ascii="Times New Roman" w:hAnsi="Times New Roman" w:eastAsia="宋体" w:cs="Times New Roman"/>
                <w:szCs w:val="21"/>
              </w:rPr>
              <w:t>设置消防水池、泵房</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restar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环保工程</w:t>
            </w:r>
          </w:p>
        </w:tc>
        <w:tc>
          <w:tcPr>
            <w:tcW w:w="562" w:type="pct"/>
            <w:tcBorders>
              <w:tl2br w:val="nil"/>
              <w:tr2bl w:val="nil"/>
            </w:tcBorders>
            <w:vAlign w:val="center"/>
          </w:tcPr>
          <w:p>
            <w:pPr>
              <w:spacing w:line="240" w:lineRule="auto"/>
              <w:jc w:val="center"/>
              <w:rPr>
                <w:rFonts w:ascii="Times New Roman" w:hAnsi="Times New Roman" w:eastAsia="宋体" w:cs="Times New Roman"/>
                <w:spacing w:val="10"/>
                <w:szCs w:val="21"/>
              </w:rPr>
            </w:pPr>
            <w:r>
              <w:rPr>
                <w:rFonts w:ascii="Times New Roman" w:hAnsi="Times New Roman" w:eastAsia="宋体" w:cs="Times New Roman"/>
                <w:szCs w:val="21"/>
              </w:rPr>
              <w:t>废水</w:t>
            </w:r>
          </w:p>
        </w:tc>
        <w:tc>
          <w:tcPr>
            <w:tcW w:w="3679"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10"/>
                <w:szCs w:val="21"/>
              </w:rPr>
              <w:t>生活污水经化粪池处理后由污水管网排</w:t>
            </w:r>
            <w:r>
              <w:rPr>
                <w:rFonts w:ascii="Times New Roman" w:hAnsi="Times New Roman" w:eastAsia="宋体" w:cs="Times New Roman"/>
                <w:spacing w:val="8"/>
                <w:szCs w:val="21"/>
              </w:rPr>
              <w:t>至吐鲁番市高昌区污水处理厂进行处理，待高端装备制造产业园区污水处理厂（吐鲁番市第二污水处理厂）建成后，排入该污水处理厂处理</w:t>
            </w:r>
            <w:r>
              <w:rPr>
                <w:rFonts w:hint="eastAsia" w:ascii="Times New Roman" w:hAnsi="Times New Roman" w:eastAsia="宋体" w:cs="Times New Roman"/>
                <w:spacing w:val="8"/>
                <w:szCs w:val="21"/>
              </w:rPr>
              <w:t>；化粪池位于项目区西北角，容积为10立方米</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spacing w:line="240" w:lineRule="auto"/>
              <w:jc w:val="center"/>
              <w:rPr>
                <w:rFonts w:ascii="Times New Roman" w:hAnsi="Times New Roman" w:eastAsia="宋体" w:cs="Times New Roman"/>
                <w:spacing w:val="8"/>
                <w:szCs w:val="21"/>
              </w:rPr>
            </w:pPr>
            <w:r>
              <w:rPr>
                <w:rFonts w:ascii="Times New Roman" w:hAnsi="Times New Roman" w:eastAsia="宋体" w:cs="Times New Roman"/>
                <w:szCs w:val="21"/>
              </w:rPr>
              <w:t>废气</w:t>
            </w:r>
          </w:p>
        </w:tc>
        <w:tc>
          <w:tcPr>
            <w:tcW w:w="3679"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pacing w:val="8"/>
                <w:szCs w:val="21"/>
              </w:rPr>
              <w:t>下料切割粉尘、焊接烟尘设置移动式烟尘净化装置处理，处理后在车间内无组织排放；</w:t>
            </w:r>
            <w:r>
              <w:rPr>
                <w:rFonts w:ascii="Times New Roman" w:hAnsi="Times New Roman" w:eastAsia="宋体" w:cs="Times New Roman"/>
                <w:spacing w:val="4"/>
                <w:szCs w:val="21"/>
              </w:rPr>
              <w:t>喷砂</w:t>
            </w:r>
            <w:r>
              <w:rPr>
                <w:rFonts w:ascii="Times New Roman" w:hAnsi="Times New Roman" w:eastAsia="宋体" w:cs="Times New Roman"/>
                <w:spacing w:val="1"/>
                <w:szCs w:val="21"/>
              </w:rPr>
              <w:t>粉尘经布袋除尘器处理后由15</w:t>
            </w:r>
            <w:r>
              <w:rPr>
                <w:rFonts w:ascii="Times New Roman" w:hAnsi="Times New Roman" w:eastAsia="宋体" w:cs="Times New Roman"/>
                <w:spacing w:val="11"/>
                <w:szCs w:val="21"/>
              </w:rPr>
              <w:t>米</w:t>
            </w:r>
            <w:r>
              <w:rPr>
                <w:rFonts w:ascii="Times New Roman" w:hAnsi="Times New Roman" w:eastAsia="宋体" w:cs="Times New Roman"/>
                <w:spacing w:val="1"/>
                <w:szCs w:val="21"/>
              </w:rPr>
              <w:t>高排气筒（</w:t>
            </w:r>
            <w:r>
              <w:rPr>
                <w:rFonts w:ascii="Times New Roman" w:hAnsi="Times New Roman" w:eastAsia="宋体" w:cs="Times New Roman"/>
                <w:szCs w:val="21"/>
              </w:rPr>
              <w:t>DA</w:t>
            </w:r>
            <w:r>
              <w:rPr>
                <w:rFonts w:ascii="Times New Roman" w:hAnsi="Times New Roman" w:eastAsia="宋体" w:cs="Times New Roman"/>
                <w:spacing w:val="1"/>
                <w:szCs w:val="21"/>
              </w:rPr>
              <w:t>001）</w:t>
            </w:r>
            <w:r>
              <w:rPr>
                <w:rFonts w:ascii="Times New Roman" w:hAnsi="Times New Roman" w:eastAsia="宋体" w:cs="Times New Roman"/>
                <w:spacing w:val="8"/>
                <w:szCs w:val="21"/>
              </w:rPr>
              <w:t>排放</w:t>
            </w:r>
            <w:r>
              <w:rPr>
                <w:rFonts w:hint="eastAsia" w:ascii="Times New Roman" w:hAnsi="Times New Roman" w:eastAsia="宋体" w:cs="Times New Roman"/>
                <w:spacing w:val="8"/>
                <w:szCs w:val="21"/>
              </w:rPr>
              <w:t>，设备风量为50000m</w:t>
            </w:r>
            <w:r>
              <w:rPr>
                <w:rFonts w:hint="eastAsia" w:ascii="Times New Roman" w:hAnsi="Times New Roman" w:eastAsia="宋体" w:cs="Times New Roman"/>
                <w:spacing w:val="8"/>
                <w:szCs w:val="21"/>
                <w:vertAlign w:val="superscript"/>
              </w:rPr>
              <w:t>3</w:t>
            </w:r>
            <w:r>
              <w:rPr>
                <w:rFonts w:hint="eastAsia" w:ascii="Times New Roman" w:hAnsi="Times New Roman" w:eastAsia="宋体" w:cs="Times New Roman"/>
                <w:spacing w:val="8"/>
                <w:szCs w:val="21"/>
              </w:rPr>
              <w:t>/h</w:t>
            </w:r>
            <w:r>
              <w:rPr>
                <w:rFonts w:ascii="Times New Roman" w:hAnsi="Times New Roman" w:eastAsia="宋体" w:cs="Times New Roman"/>
                <w:spacing w:val="8"/>
                <w:szCs w:val="21"/>
              </w:rPr>
              <w:t>；喷漆车间密闭，喷漆车间废气经过“多级干式过滤器</w:t>
            </w:r>
            <w:r>
              <w:rPr>
                <w:rFonts w:ascii="Times New Roman" w:hAnsi="Times New Roman" w:eastAsia="宋体" w:cs="Times New Roman"/>
                <w:spacing w:val="6"/>
                <w:szCs w:val="21"/>
              </w:rPr>
              <w:t>+活性炭吸附/脱附+催化燃烧”处理后通过15</w:t>
            </w:r>
            <w:r>
              <w:rPr>
                <w:rFonts w:ascii="Times New Roman" w:hAnsi="Times New Roman" w:eastAsia="宋体" w:cs="Times New Roman"/>
                <w:spacing w:val="11"/>
                <w:szCs w:val="21"/>
              </w:rPr>
              <w:t>米</w:t>
            </w:r>
            <w:r>
              <w:rPr>
                <w:rFonts w:ascii="Times New Roman" w:hAnsi="Times New Roman" w:eastAsia="宋体" w:cs="Times New Roman"/>
                <w:spacing w:val="6"/>
                <w:szCs w:val="21"/>
              </w:rPr>
              <w:t>高排气筒（</w:t>
            </w:r>
            <w:r>
              <w:rPr>
                <w:rFonts w:ascii="Times New Roman" w:hAnsi="Times New Roman" w:eastAsia="宋体" w:cs="Times New Roman"/>
                <w:szCs w:val="21"/>
              </w:rPr>
              <w:t>DA</w:t>
            </w:r>
            <w:r>
              <w:rPr>
                <w:rFonts w:ascii="Times New Roman" w:hAnsi="Times New Roman" w:eastAsia="宋体" w:cs="Times New Roman"/>
                <w:spacing w:val="6"/>
                <w:szCs w:val="21"/>
              </w:rPr>
              <w:t>002）排放</w:t>
            </w:r>
            <w:r>
              <w:rPr>
                <w:rFonts w:hint="eastAsia" w:ascii="Times New Roman" w:hAnsi="Times New Roman" w:eastAsia="宋体" w:cs="Times New Roman"/>
                <w:spacing w:val="6"/>
                <w:szCs w:val="21"/>
              </w:rPr>
              <w:t>，</w:t>
            </w:r>
            <w:r>
              <w:rPr>
                <w:rFonts w:hint="eastAsia" w:ascii="Times New Roman" w:hAnsi="Times New Roman" w:eastAsia="宋体" w:cs="Times New Roman"/>
                <w:spacing w:val="8"/>
                <w:szCs w:val="21"/>
              </w:rPr>
              <w:t>设备风量为80000m</w:t>
            </w:r>
            <w:r>
              <w:rPr>
                <w:rFonts w:hint="eastAsia" w:ascii="Times New Roman" w:hAnsi="Times New Roman" w:eastAsia="宋体" w:cs="Times New Roman"/>
                <w:spacing w:val="8"/>
                <w:szCs w:val="21"/>
                <w:vertAlign w:val="superscript"/>
              </w:rPr>
              <w:t>3</w:t>
            </w:r>
            <w:r>
              <w:rPr>
                <w:rFonts w:hint="eastAsia" w:ascii="Times New Roman" w:hAnsi="Times New Roman" w:eastAsia="宋体" w:cs="Times New Roman"/>
                <w:spacing w:val="8"/>
                <w:szCs w:val="21"/>
              </w:rPr>
              <w:t>/h</w:t>
            </w:r>
            <w:r>
              <w:rPr>
                <w:rFonts w:ascii="Times New Roman" w:hAnsi="Times New Roman" w:eastAsia="宋体" w:cs="Times New Roman"/>
                <w:spacing w:val="6"/>
                <w:szCs w:val="21"/>
              </w:rPr>
              <w:t>。</w:t>
            </w:r>
          </w:p>
        </w:tc>
        <w:tc>
          <w:tcPr>
            <w:tcW w:w="377" w:type="pct"/>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固废</w:t>
            </w:r>
          </w:p>
        </w:tc>
        <w:tc>
          <w:tcPr>
            <w:tcW w:w="3679" w:type="pct"/>
            <w:tcBorders>
              <w:tl2br w:val="nil"/>
              <w:tr2bl w:val="nil"/>
            </w:tcBorders>
            <w:vAlign w:val="center"/>
          </w:tcPr>
          <w:p>
            <w:pPr>
              <w:spacing w:line="240" w:lineRule="auto"/>
              <w:jc w:val="center"/>
              <w:rPr>
                <w:rFonts w:ascii="Times New Roman" w:hAnsi="Times New Roman" w:eastAsia="宋体" w:cs="Times New Roman"/>
                <w:kern w:val="40"/>
                <w:szCs w:val="21"/>
              </w:rPr>
            </w:pPr>
            <w:r>
              <w:rPr>
                <w:rFonts w:ascii="Times New Roman" w:hAnsi="Times New Roman" w:eastAsia="宋体" w:cs="Times New Roman"/>
                <w:spacing w:val="3"/>
                <w:szCs w:val="21"/>
              </w:rPr>
              <w:t>生活垃圾集中收集后由环卫部门清运处置；废边角料、</w:t>
            </w:r>
            <w:r>
              <w:rPr>
                <w:rFonts w:ascii="Times New Roman" w:hAnsi="Times New Roman" w:eastAsia="宋体" w:cs="Times New Roman"/>
                <w:spacing w:val="9"/>
                <w:szCs w:val="21"/>
              </w:rPr>
              <w:t>除尘器收集的粉尘、废焊材等一般工业固废在固废暂存间内集中收集后外售综合利用；废过滤棉、废活性炭、废催化剂、废包装桶、漆渣、废机油等危险废物集中收集后暂存于</w:t>
            </w:r>
            <w:r>
              <w:rPr>
                <w:rFonts w:hint="eastAsia" w:ascii="Times New Roman" w:hAnsi="Times New Roman" w:eastAsia="宋体" w:cs="Times New Roman"/>
                <w:spacing w:val="7"/>
                <w:szCs w:val="21"/>
              </w:rPr>
              <w:t>危废贮存库</w:t>
            </w:r>
            <w:r>
              <w:rPr>
                <w:rFonts w:ascii="Times New Roman" w:hAnsi="Times New Roman" w:eastAsia="宋体" w:cs="Times New Roman"/>
                <w:spacing w:val="7"/>
                <w:szCs w:val="21"/>
              </w:rPr>
              <w:t>内，定期交有资质单位处置。</w:t>
            </w:r>
          </w:p>
        </w:tc>
        <w:tc>
          <w:tcPr>
            <w:tcW w:w="377" w:type="pct"/>
            <w:tcBorders>
              <w:tl2br w:val="nil"/>
              <w:tr2bl w:val="nil"/>
            </w:tcBorders>
            <w:vAlign w:val="center"/>
          </w:tcPr>
          <w:p>
            <w:pPr>
              <w:spacing w:line="240" w:lineRule="auto"/>
              <w:jc w:val="center"/>
              <w:rPr>
                <w:rFonts w:ascii="Times New Roman" w:hAnsi="Times New Roman" w:eastAsia="宋体" w:cs="Times New Roman"/>
                <w:spacing w:val="3"/>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噪声</w:t>
            </w:r>
          </w:p>
        </w:tc>
        <w:tc>
          <w:tcPr>
            <w:tcW w:w="3679"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spacing w:val="9"/>
              </w:rPr>
              <w:t>选用低噪声设备，基础减振、厂房隔声措施</w:t>
            </w:r>
          </w:p>
        </w:tc>
        <w:tc>
          <w:tcPr>
            <w:tcW w:w="377" w:type="pct"/>
            <w:tcBorders>
              <w:tl2br w:val="nil"/>
              <w:tr2bl w:val="nil"/>
            </w:tcBorders>
            <w:vAlign w:val="center"/>
          </w:tcPr>
          <w:p>
            <w:pPr>
              <w:spacing w:line="240" w:lineRule="auto"/>
              <w:jc w:val="center"/>
              <w:rPr>
                <w:rFonts w:ascii="Times New Roman" w:hAnsi="Times New Roman" w:eastAsia="宋体" w:cs="Times New Roman"/>
                <w:spacing w:val="9"/>
                <w:szCs w:val="21"/>
              </w:rPr>
            </w:pPr>
            <w:r>
              <w:rPr>
                <w:rFonts w:ascii="Times New Roman" w:hAnsi="Times New Roman" w:eastAsia="宋体" w:cs="Times New Roman"/>
                <w:snapToGrid w:val="0"/>
                <w:kern w:val="0"/>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Merge w:val="continue"/>
            <w:tcBorders>
              <w:tl2br w:val="nil"/>
              <w:tr2bl w:val="nil"/>
            </w:tcBorders>
            <w:vAlign w:val="center"/>
          </w:tcPr>
          <w:p>
            <w:pPr>
              <w:pStyle w:val="132"/>
              <w:spacing w:line="240" w:lineRule="auto"/>
              <w:rPr>
                <w:rFonts w:ascii="Times New Roman" w:hAnsi="Times New Roman" w:eastAsia="宋体" w:cs="Times New Roman"/>
                <w:kern w:val="2"/>
              </w:rPr>
            </w:pPr>
          </w:p>
        </w:tc>
        <w:tc>
          <w:tcPr>
            <w:tcW w:w="562" w:type="pct"/>
            <w:tcBorders>
              <w:tl2br w:val="nil"/>
              <w:tr2bl w:val="nil"/>
            </w:tcBorders>
            <w:vAlign w:val="center"/>
          </w:tcPr>
          <w:p>
            <w:pPr>
              <w:pStyle w:val="132"/>
              <w:spacing w:line="240" w:lineRule="auto"/>
              <w:rPr>
                <w:rFonts w:ascii="Times New Roman" w:hAnsi="Times New Roman" w:eastAsia="宋体" w:cs="Times New Roman"/>
                <w:kern w:val="2"/>
              </w:rPr>
            </w:pPr>
            <w:r>
              <w:rPr>
                <w:rFonts w:ascii="Times New Roman" w:hAnsi="Times New Roman" w:eastAsia="宋体" w:cs="Times New Roman"/>
                <w:kern w:val="2"/>
              </w:rPr>
              <w:t>环境风险</w:t>
            </w:r>
          </w:p>
        </w:tc>
        <w:tc>
          <w:tcPr>
            <w:tcW w:w="3679" w:type="pct"/>
            <w:tcBorders>
              <w:tl2br w:val="nil"/>
              <w:tr2bl w:val="nil"/>
            </w:tcBorders>
            <w:vAlign w:val="center"/>
          </w:tcPr>
          <w:p>
            <w:pPr>
              <w:pStyle w:val="132"/>
              <w:spacing w:line="240" w:lineRule="auto"/>
              <w:rPr>
                <w:rFonts w:ascii="Times New Roman" w:hAnsi="Times New Roman" w:eastAsia="宋体" w:cs="Times New Roman"/>
                <w:spacing w:val="9"/>
              </w:rPr>
            </w:pPr>
            <w:r>
              <w:rPr>
                <w:rFonts w:ascii="Times New Roman" w:hAnsi="Times New Roman" w:eastAsia="宋体" w:cs="Times New Roman"/>
                <w:spacing w:val="9"/>
              </w:rPr>
              <w:t>加强日常管理；危险废物使用专用容器装载，危废间防渗；设置事故水池。</w:t>
            </w:r>
            <w:r>
              <w:rPr>
                <w:rFonts w:hint="eastAsia" w:ascii="Times New Roman" w:hAnsi="Times New Roman" w:eastAsia="宋体" w:cs="Times New Roman"/>
                <w:spacing w:val="9"/>
              </w:rPr>
              <w:t>建设事故水池容积200m</w:t>
            </w:r>
            <w:r>
              <w:rPr>
                <w:rFonts w:hint="eastAsia" w:ascii="Times New Roman" w:hAnsi="Times New Roman" w:eastAsia="宋体" w:cs="Times New Roman"/>
                <w:spacing w:val="9"/>
                <w:vertAlign w:val="superscript"/>
              </w:rPr>
              <w:t>3</w:t>
            </w:r>
            <w:r>
              <w:rPr>
                <w:rFonts w:hint="eastAsia" w:ascii="Times New Roman" w:hAnsi="Times New Roman" w:eastAsia="宋体" w:cs="Times New Roman"/>
                <w:spacing w:val="9"/>
              </w:rPr>
              <w:t>，位于塔筒生产车间西侧</w:t>
            </w:r>
          </w:p>
        </w:tc>
        <w:tc>
          <w:tcPr>
            <w:tcW w:w="377" w:type="pct"/>
            <w:tcBorders>
              <w:tl2br w:val="nil"/>
              <w:tr2bl w:val="nil"/>
            </w:tcBorders>
            <w:vAlign w:val="center"/>
          </w:tcPr>
          <w:p>
            <w:pPr>
              <w:spacing w:line="240" w:lineRule="auto"/>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新建</w:t>
            </w:r>
          </w:p>
        </w:tc>
      </w:tr>
      <w:bookmarkEnd w:id="21"/>
    </w:tbl>
    <w:p>
      <w:pPr>
        <w:widowControl w:val="0"/>
        <w:spacing w:line="360" w:lineRule="auto"/>
        <w:ind w:firstLine="480" w:firstLineChars="200"/>
        <w:contextualSpacing/>
        <w:rPr>
          <w:rFonts w:ascii="Times New Roman" w:hAnsi="Times New Roman" w:eastAsia="宋体" w:cs="Times New Roman"/>
          <w:kern w:val="0"/>
          <w:sz w:val="24"/>
          <w:szCs w:val="24"/>
        </w:rPr>
        <w:sectPr>
          <w:pgSz w:w="11906" w:h="16838"/>
          <w:pgMar w:top="1440" w:right="1800" w:bottom="1440" w:left="1800" w:header="851" w:footer="992" w:gutter="0"/>
          <w:cols w:space="425" w:num="1"/>
          <w:docGrid w:type="lines" w:linePitch="312" w:charSpace="0"/>
        </w:sectPr>
      </w:pP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22" w:name="_Toc3668"/>
      <w:r>
        <w:rPr>
          <w:rFonts w:ascii="Times New Roman" w:hAnsi="Times New Roman" w:eastAsiaTheme="majorEastAsia"/>
          <w:bCs w:val="0"/>
          <w:sz w:val="32"/>
          <w:szCs w:val="32"/>
        </w:rPr>
        <w:t>4 工程分析</w:t>
      </w:r>
      <w:bookmarkEnd w:id="22"/>
    </w:p>
    <w:p>
      <w:pPr>
        <w:pStyle w:val="6"/>
        <w:widowControl w:val="0"/>
        <w:ind w:firstLine="640"/>
      </w:pPr>
      <w:bookmarkStart w:id="23" w:name="_Toc3173"/>
      <w:bookmarkStart w:id="24" w:name="_Toc4660"/>
      <w:r>
        <w:t>4.1 施工期工程分析及产污环节</w:t>
      </w:r>
      <w:bookmarkEnd w:id="23"/>
    </w:p>
    <w:p>
      <w:pPr>
        <w:pStyle w:val="7"/>
        <w:widowControl w:val="0"/>
        <w:spacing w:before="0" w:after="0" w:line="360" w:lineRule="auto"/>
        <w:ind w:firstLine="562" w:firstLineChars="200"/>
        <w:rPr>
          <w:sz w:val="28"/>
          <w:szCs w:val="28"/>
        </w:rPr>
      </w:pPr>
      <w:bookmarkStart w:id="25" w:name="_Toc455473071"/>
      <w:bookmarkStart w:id="26" w:name="_Toc27580"/>
      <w:bookmarkStart w:id="27" w:name="_Toc23306"/>
      <w:r>
        <w:rPr>
          <w:sz w:val="28"/>
          <w:szCs w:val="28"/>
        </w:rPr>
        <w:t>4.1.1 施工期工艺流程及产污节点</w:t>
      </w:r>
      <w:bookmarkEnd w:id="25"/>
      <w:bookmarkEnd w:id="26"/>
      <w:bookmarkEnd w:id="27"/>
    </w:p>
    <w:p>
      <w:pPr>
        <w:pStyle w:val="141"/>
        <w:widowControl w:val="0"/>
        <w:ind w:firstLine="480"/>
        <w:contextualSpacing/>
        <w:rPr>
          <w:rFonts w:ascii="Times New Roman" w:hAnsi="Times New Roman" w:cs="Times New Roman"/>
        </w:rPr>
      </w:pPr>
      <w:r>
        <w:rPr>
          <w:rFonts w:ascii="Times New Roman" w:hAnsi="Times New Roman" w:cs="Times New Roman"/>
        </w:rPr>
        <w:t>施工期分场地平</w:t>
      </w:r>
      <w:r>
        <w:rPr>
          <w:rFonts w:hint="eastAsia" w:ascii="Times New Roman" w:hAnsi="Times New Roman" w:cs="Times New Roman"/>
        </w:rPr>
        <w:t>整和</w:t>
      </w:r>
      <w:r>
        <w:rPr>
          <w:rFonts w:ascii="Times New Roman" w:hAnsi="Times New Roman" w:cs="Times New Roman"/>
        </w:rPr>
        <w:t>地基开挖、建筑施工、设备安装三个部分。</w:t>
      </w:r>
    </w:p>
    <w:p>
      <w:pPr>
        <w:pStyle w:val="7"/>
        <w:widowControl w:val="0"/>
        <w:spacing w:before="0" w:after="0" w:line="360" w:lineRule="auto"/>
        <w:ind w:firstLine="562" w:firstLineChars="200"/>
        <w:rPr>
          <w:sz w:val="28"/>
          <w:szCs w:val="28"/>
        </w:rPr>
      </w:pPr>
      <w:bookmarkStart w:id="28" w:name="_Toc20070"/>
      <w:bookmarkStart w:id="29" w:name="_Toc30646"/>
      <w:bookmarkStart w:id="30" w:name="_Toc455473073"/>
      <w:r>
        <w:rPr>
          <w:sz w:val="28"/>
          <w:szCs w:val="28"/>
        </w:rPr>
        <w:t>4.1.2 施工期项目污染源分析</w:t>
      </w:r>
      <w:bookmarkEnd w:id="28"/>
      <w:bookmarkEnd w:id="29"/>
      <w:bookmarkEnd w:id="30"/>
    </w:p>
    <w:p>
      <w:pPr>
        <w:widowControl w:val="0"/>
        <w:spacing w:line="360" w:lineRule="auto"/>
        <w:ind w:firstLine="480" w:firstLineChars="200"/>
        <w:contextualSpacing/>
        <w:rPr>
          <w:rFonts w:ascii="Times New Roman" w:hAnsi="Times New Roman" w:eastAsia="宋体" w:cs="Times New Roman"/>
          <w:sz w:val="24"/>
          <w:szCs w:val="21"/>
        </w:rPr>
      </w:pPr>
      <w:bookmarkStart w:id="31" w:name="_Toc455473074"/>
      <w:bookmarkStart w:id="32" w:name="_Toc19394"/>
      <w:bookmarkStart w:id="33" w:name="_Toc20747"/>
      <w:bookmarkStart w:id="34" w:name="_Toc14589"/>
      <w:r>
        <w:rPr>
          <w:rFonts w:ascii="Times New Roman" w:hAnsi="Times New Roman" w:cs="Times New Roman"/>
          <w:sz w:val="24"/>
        </w:rPr>
        <w:t>（1）废气污染源</w:t>
      </w:r>
      <w:bookmarkEnd w:id="31"/>
      <w:bookmarkEnd w:id="32"/>
      <w:bookmarkEnd w:id="33"/>
      <w:bookmarkEnd w:id="34"/>
    </w:p>
    <w:p>
      <w:pPr>
        <w:widowControl w:val="0"/>
        <w:autoSpaceDE w:val="0"/>
        <w:autoSpaceDN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cs="Times New Roman"/>
          <w:sz w:val="24"/>
        </w:rPr>
        <w:t>对整个施工期而言，施工产生的扬尘主要集中在土建施工阶段，按起尘的原因可分为风力起尘和动力起尘。其中风力起尘主要由于露天堆放的建材（如黄沙、水泥等</w:t>
      </w:r>
      <w:r>
        <w:rPr>
          <w:rFonts w:hint="eastAsia" w:ascii="Times New Roman" w:hAnsi="Times New Roman" w:eastAsia="宋体" w:cs="Times New Roman"/>
          <w:kern w:val="0"/>
          <w:sz w:val="24"/>
          <w:szCs w:val="24"/>
        </w:rPr>
        <w:t>）、裸露的施工区表层浮尘，由于天气干燥及大风，产生风力扬尘；动力起尘，主要是在土方的挖掘及挖土机装载、建材包括白灰、水泥、沙子等搬运、装卸及搅拌的过程中，由于外力而产生的尘粒再悬浮而造成，其中施工及装卸车辆造成的扬尘最为严重。</w:t>
      </w:r>
    </w:p>
    <w:p>
      <w:pPr>
        <w:widowControl w:val="0"/>
        <w:spacing w:line="360" w:lineRule="auto"/>
        <w:ind w:firstLine="480" w:firstLineChars="200"/>
        <w:contextualSpacing/>
        <w:rPr>
          <w:rFonts w:ascii="Times New Roman" w:hAnsi="Times New Roman" w:eastAsia="宋体" w:cs="Times New Roman"/>
          <w:kern w:val="0"/>
          <w:sz w:val="24"/>
          <w:szCs w:val="24"/>
        </w:rPr>
      </w:pPr>
      <w:bookmarkStart w:id="35" w:name="_Toc3625"/>
      <w:bookmarkStart w:id="36" w:name="_Toc13348"/>
      <w:bookmarkStart w:id="37" w:name="_Toc455473075"/>
      <w:bookmarkStart w:id="38" w:name="_Toc14633"/>
      <w:r>
        <w:rPr>
          <w:rFonts w:hint="eastAsia" w:ascii="Times New Roman" w:hAnsi="Times New Roman" w:eastAsia="宋体" w:cs="Times New Roman"/>
          <w:kern w:val="0"/>
          <w:sz w:val="24"/>
          <w:szCs w:val="24"/>
        </w:rPr>
        <w:t>（2）施工期废水污染源</w:t>
      </w:r>
      <w:bookmarkEnd w:id="35"/>
      <w:bookmarkEnd w:id="36"/>
      <w:bookmarkEnd w:id="37"/>
      <w:bookmarkEnd w:id="38"/>
    </w:p>
    <w:p>
      <w:pPr>
        <w:widowControl w:val="0"/>
        <w:autoSpaceDE w:val="0"/>
        <w:autoSpaceDN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本项目施工期间不在厂区设置施工营地，施工期间产生的生活污水设置临时环保厕所，并做好防渗处理，定期拉运至吐鲁番市高昌区污水处理厂处理。</w:t>
      </w:r>
    </w:p>
    <w:p>
      <w:pPr>
        <w:widowControl w:val="0"/>
        <w:autoSpaceDE w:val="0"/>
        <w:autoSpaceDN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施工期生产废水主要为骨料冲洗废水、混凝土养护浇灌废水及基坑排水。</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（3）施工期噪声污染源</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施工期噪声污染源主要是施工机械和运输车辆，这些机械的单体声级一般均在80dB（A）以上，这些设备的运转将影响施工场地周围区域声环境的质量。</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另外在多台机械设备同时作业时，各台设备产生的噪声会产生叠加。根据类比调查，叠加后的噪声增值约3～8dB(A），一般不超过10dB(A）。</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（4）施工期固体废弃物污染源</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施工期的固体废物主要为施工过程中产生的土石方、施工建筑垃圾、废弃的包装材料、工人产生的生活垃圾等。</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土石方：项目选址位于园区规划地块，地块已完成基本平整，项目施工期不涉及大面积土方开挖及回填，施工过程中产生的建筑垃圾由施工单位或承建单位外运至建筑垃圾填埋点进行安全填埋。</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生活垃圾收集至垃圾桶，由环卫部门统一清运至吐鲁番市生活垃圾卫生填埋场。吐鲁番市生活垃圾卫生填埋场位于吐鲁番市区东南侧，距本项目约16km。</w:t>
      </w:r>
    </w:p>
    <w:bookmarkEnd w:id="24"/>
    <w:p>
      <w:pPr>
        <w:pStyle w:val="6"/>
        <w:widowControl w:val="0"/>
        <w:ind w:firstLine="640"/>
      </w:pPr>
      <w:bookmarkStart w:id="39" w:name="_Toc13990"/>
      <w:r>
        <w:t>4.2 运营期工程分析及产污环节</w:t>
      </w:r>
      <w:bookmarkEnd w:id="39"/>
    </w:p>
    <w:p>
      <w:pPr>
        <w:widowControl w:val="0"/>
        <w:spacing w:line="360" w:lineRule="auto"/>
        <w:ind w:firstLine="482" w:firstLineChars="200"/>
        <w:contextualSpacing/>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项目运营期产污环节</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根据前文工程分析，项目运营期污染物排放主要为如下几个方面：</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运营期废气：切割粉尘、焊接烟尘、喷砂粉尘、喷漆废气；</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运营期废水：生活污水；</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营运期噪声：设备噪声；</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运营期固废：生活垃圾、切割边角料、废焊材、锈渣及废钢珠、喷漆过程产生的漆渣、废油漆桶、废过滤棉、废活性炭</w:t>
      </w:r>
      <w:r>
        <w:rPr>
          <w:rFonts w:hint="eastAsia" w:ascii="Times New Roman" w:hAnsi="Times New Roman" w:eastAsia="宋体" w:cs="Times New Roman"/>
          <w:kern w:val="0"/>
          <w:sz w:val="24"/>
          <w:szCs w:val="24"/>
        </w:rPr>
        <w:t>、废催化剂</w:t>
      </w:r>
      <w:r>
        <w:rPr>
          <w:rFonts w:ascii="Times New Roman" w:hAnsi="Times New Roman" w:eastAsia="宋体" w:cs="Times New Roman"/>
          <w:kern w:val="0"/>
          <w:sz w:val="24"/>
          <w:szCs w:val="24"/>
        </w:rPr>
        <w:t>等危废。</w:t>
      </w:r>
    </w:p>
    <w:p>
      <w:pPr>
        <w:pStyle w:val="7"/>
        <w:widowControl w:val="0"/>
        <w:spacing w:before="0" w:after="0" w:line="360" w:lineRule="auto"/>
        <w:ind w:firstLine="562" w:firstLineChars="200"/>
        <w:rPr>
          <w:sz w:val="28"/>
          <w:szCs w:val="28"/>
        </w:rPr>
      </w:pPr>
      <w:r>
        <w:rPr>
          <w:sz w:val="28"/>
          <w:szCs w:val="28"/>
        </w:rPr>
        <w:t>4.2.2 运营期项目污染源分析</w:t>
      </w:r>
    </w:p>
    <w:p>
      <w:pPr>
        <w:widowControl w:val="0"/>
        <w:spacing w:before="78" w:beforeLines="25" w:after="78" w:afterLines="25" w:line="360" w:lineRule="auto"/>
        <w:ind w:firstLine="482" w:firstLineChars="200"/>
        <w:contextualSpacing/>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（1）运营期大气</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①下料切割粉尘</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根据《排放源统计调查产排污核算方法和系数手册》</w:t>
      </w:r>
      <w:r>
        <w:rPr>
          <w:rFonts w:hint="eastAsia" w:ascii="Times New Roman" w:hAnsi="Times New Roman" w:cs="Times New Roman"/>
          <w:kern w:val="24"/>
          <w:sz w:val="24"/>
          <w:szCs w:val="24"/>
        </w:rPr>
        <w:t>中38电气机械和器材制造业行业系数手册，下料、切割</w:t>
      </w:r>
      <w:r>
        <w:rPr>
          <w:rFonts w:ascii="Times New Roman" w:hAnsi="Times New Roman" w:cs="Times New Roman"/>
          <w:kern w:val="24"/>
          <w:sz w:val="24"/>
          <w:szCs w:val="24"/>
        </w:rPr>
        <w:t>工序颗粒物</w:t>
      </w:r>
      <w:r>
        <w:rPr>
          <w:rFonts w:hint="eastAsia" w:ascii="Times New Roman" w:hAnsi="Times New Roman" w:cs="Times New Roman"/>
          <w:kern w:val="24"/>
          <w:sz w:val="24"/>
          <w:szCs w:val="24"/>
        </w:rPr>
        <w:t>产污系数</w:t>
      </w:r>
      <w:r>
        <w:rPr>
          <w:rFonts w:ascii="Times New Roman" w:hAnsi="Times New Roman" w:cs="Times New Roman"/>
          <w:kern w:val="24"/>
          <w:sz w:val="24"/>
          <w:szCs w:val="24"/>
        </w:rPr>
        <w:t>为</w:t>
      </w:r>
      <w:r>
        <w:rPr>
          <w:rFonts w:hint="eastAsia" w:ascii="Times New Roman" w:hAnsi="Times New Roman" w:cs="Times New Roman"/>
          <w:kern w:val="24"/>
          <w:sz w:val="24"/>
          <w:szCs w:val="24"/>
        </w:rPr>
        <w:t>0.4351</w:t>
      </w:r>
      <w:r>
        <w:rPr>
          <w:rFonts w:ascii="Times New Roman" w:hAnsi="Times New Roman" w:cs="Times New Roman"/>
          <w:kern w:val="24"/>
          <w:sz w:val="24"/>
          <w:szCs w:val="24"/>
        </w:rPr>
        <w:t>g/</w:t>
      </w:r>
      <w:r>
        <w:rPr>
          <w:rFonts w:hint="eastAsia" w:ascii="Times New Roman" w:hAnsi="Times New Roman" w:cs="Times New Roman"/>
          <w:kern w:val="24"/>
          <w:sz w:val="24"/>
          <w:szCs w:val="24"/>
        </w:rPr>
        <w:t>kg</w:t>
      </w:r>
      <w:r>
        <w:rPr>
          <w:rFonts w:ascii="Times New Roman" w:hAnsi="Times New Roman" w:cs="Times New Roman"/>
          <w:kern w:val="24"/>
          <w:sz w:val="24"/>
          <w:szCs w:val="24"/>
        </w:rPr>
        <w:t>原料，项目下料切割原料合计</w:t>
      </w:r>
      <w:r>
        <w:rPr>
          <w:rFonts w:hint="eastAsia" w:ascii="Times New Roman" w:hAnsi="Times New Roman" w:cs="Times New Roman"/>
          <w:kern w:val="24"/>
          <w:sz w:val="24"/>
          <w:szCs w:val="24"/>
        </w:rPr>
        <w:t>75000</w:t>
      </w:r>
      <w:r>
        <w:rPr>
          <w:rFonts w:ascii="Times New Roman" w:hAnsi="Times New Roman" w:cs="Times New Roman"/>
          <w:kern w:val="24"/>
          <w:sz w:val="24"/>
          <w:szCs w:val="24"/>
        </w:rPr>
        <w:t>吨，</w:t>
      </w:r>
      <w:r>
        <w:rPr>
          <w:rFonts w:hint="eastAsia" w:ascii="Times New Roman" w:hAnsi="Times New Roman" w:cs="Times New Roman"/>
          <w:kern w:val="24"/>
          <w:sz w:val="24"/>
          <w:szCs w:val="24"/>
        </w:rPr>
        <w:t>下料切割工序工作时长约为2400h，</w:t>
      </w:r>
      <w:r>
        <w:rPr>
          <w:rFonts w:ascii="Times New Roman" w:hAnsi="Times New Roman" w:cs="Times New Roman"/>
          <w:kern w:val="24"/>
          <w:sz w:val="24"/>
          <w:szCs w:val="24"/>
        </w:rPr>
        <w:t>则颗粒物产生量为</w:t>
      </w:r>
      <w:r>
        <w:rPr>
          <w:rFonts w:hint="eastAsia" w:ascii="Times New Roman" w:hAnsi="Times New Roman" w:cs="Times New Roman"/>
          <w:kern w:val="24"/>
          <w:sz w:val="24"/>
          <w:szCs w:val="24"/>
        </w:rPr>
        <w:t>32.632</w:t>
      </w:r>
      <w:r>
        <w:rPr>
          <w:rFonts w:ascii="Times New Roman" w:hAnsi="Times New Roman" w:cs="Times New Roman"/>
          <w:kern w:val="24"/>
          <w:sz w:val="24"/>
          <w:szCs w:val="24"/>
        </w:rPr>
        <w:t>t/a</w:t>
      </w:r>
      <w:r>
        <w:rPr>
          <w:rFonts w:hint="eastAsia" w:ascii="Times New Roman" w:hAnsi="Times New Roman" w:cs="Times New Roman"/>
          <w:kern w:val="24"/>
          <w:sz w:val="24"/>
          <w:szCs w:val="24"/>
        </w:rPr>
        <w:t>。切割过程中金属颗粒物粒径及重量较大，且受限于设备工作运行空间，切割工序设置便于移动的移动式除尘器对粉尘进行收集，收集效率为80%</w:t>
      </w:r>
      <w:r>
        <w:rPr>
          <w:rFonts w:ascii="Times New Roman" w:hAnsi="Times New Roman" w:cs="Times New Roman"/>
          <w:kern w:val="24"/>
          <w:sz w:val="24"/>
          <w:szCs w:val="24"/>
        </w:rPr>
        <w:t>，净化效率</w:t>
      </w:r>
      <w:r>
        <w:rPr>
          <w:rFonts w:hint="eastAsia" w:ascii="Times New Roman" w:hAnsi="Times New Roman" w:cs="Times New Roman"/>
          <w:kern w:val="24"/>
          <w:sz w:val="24"/>
          <w:szCs w:val="24"/>
        </w:rPr>
        <w:t>为</w:t>
      </w:r>
      <w:r>
        <w:rPr>
          <w:rFonts w:ascii="Times New Roman" w:hAnsi="Times New Roman" w:cs="Times New Roman"/>
          <w:kern w:val="24"/>
          <w:sz w:val="24"/>
          <w:szCs w:val="24"/>
        </w:rPr>
        <w:t>95%</w:t>
      </w:r>
      <w:r>
        <w:rPr>
          <w:rFonts w:hint="eastAsia" w:ascii="Times New Roman" w:hAnsi="Times New Roman" w:cs="Times New Roman"/>
          <w:kern w:val="24"/>
          <w:sz w:val="24"/>
          <w:szCs w:val="24"/>
        </w:rPr>
        <w:t>，收集的粉尘颗粒经除尘器处理，未收集的颗粒物为6.526</w:t>
      </w:r>
      <w:r>
        <w:rPr>
          <w:rFonts w:ascii="Times New Roman" w:hAnsi="Times New Roman" w:cs="Times New Roman"/>
          <w:kern w:val="24"/>
          <w:sz w:val="24"/>
          <w:szCs w:val="24"/>
        </w:rPr>
        <w:t>t/a</w:t>
      </w:r>
      <w:r>
        <w:rPr>
          <w:rFonts w:hint="eastAsia" w:ascii="Times New Roman" w:hAnsi="Times New Roman" w:cs="Times New Roman"/>
          <w:kern w:val="24"/>
          <w:sz w:val="24"/>
          <w:szCs w:val="24"/>
        </w:rPr>
        <w:t>，收集处理后在车间无组织排放的颗粒物为1.305</w:t>
      </w:r>
      <w:r>
        <w:rPr>
          <w:rFonts w:ascii="Times New Roman" w:hAnsi="Times New Roman" w:cs="Times New Roman"/>
          <w:kern w:val="24"/>
          <w:sz w:val="24"/>
          <w:szCs w:val="24"/>
        </w:rPr>
        <w:t>t/a</w:t>
      </w:r>
      <w:r>
        <w:rPr>
          <w:rFonts w:hint="eastAsia" w:ascii="Times New Roman" w:hAnsi="Times New Roman" w:cs="Times New Roman"/>
          <w:kern w:val="24"/>
          <w:sz w:val="24"/>
          <w:szCs w:val="24"/>
        </w:rPr>
        <w:t>，则车间内无组织排放的颗粒物为7.831</w:t>
      </w:r>
      <w:r>
        <w:rPr>
          <w:rFonts w:ascii="Times New Roman" w:hAnsi="Times New Roman" w:cs="Times New Roman"/>
          <w:kern w:val="24"/>
          <w:sz w:val="24"/>
          <w:szCs w:val="24"/>
        </w:rPr>
        <w:t>t/a</w:t>
      </w:r>
      <w:r>
        <w:rPr>
          <w:rFonts w:hint="eastAsia" w:ascii="Times New Roman" w:hAnsi="Times New Roman" w:cs="Times New Roman"/>
          <w:kern w:val="24"/>
          <w:sz w:val="24"/>
          <w:szCs w:val="24"/>
        </w:rPr>
        <w:t>。</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②焊接烟尘</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项目</w:t>
      </w:r>
      <w:r>
        <w:rPr>
          <w:rFonts w:ascii="Times New Roman" w:hAnsi="Times New Roman" w:cs="Times New Roman"/>
          <w:kern w:val="24"/>
          <w:sz w:val="24"/>
          <w:szCs w:val="24"/>
        </w:rPr>
        <w:t>在生产过程中会产生一定量焊接烟尘，焊接烟尘是由金属及非金属物质在过热条件下产生的蒸汽经氧化和冷凝而形成的</w:t>
      </w:r>
      <w:r>
        <w:rPr>
          <w:rFonts w:hint="eastAsia" w:ascii="Times New Roman" w:hAnsi="Times New Roman" w:cs="Times New Roman"/>
          <w:kern w:val="24"/>
          <w:sz w:val="24"/>
          <w:szCs w:val="24"/>
        </w:rPr>
        <w:t>，</w:t>
      </w:r>
      <w:r>
        <w:rPr>
          <w:rFonts w:ascii="Times New Roman" w:hAnsi="Times New Roman" w:cs="Times New Roman"/>
          <w:kern w:val="24"/>
          <w:sz w:val="24"/>
          <w:szCs w:val="24"/>
        </w:rPr>
        <w:t>使用实芯焊丝时，二氧化碳保护焊、埋弧焊和氩弧焊等工序颗粒物产生量为9.19kg/t-原料，项目</w:t>
      </w:r>
      <w:r>
        <w:rPr>
          <w:rFonts w:hint="eastAsia" w:ascii="Times New Roman" w:hAnsi="Times New Roman" w:cs="Times New Roman"/>
          <w:kern w:val="24"/>
          <w:sz w:val="24"/>
          <w:szCs w:val="24"/>
        </w:rPr>
        <w:t>焊接材料</w:t>
      </w:r>
      <w:r>
        <w:rPr>
          <w:rFonts w:ascii="Times New Roman" w:hAnsi="Times New Roman" w:cs="Times New Roman"/>
          <w:kern w:val="24"/>
          <w:sz w:val="24"/>
          <w:szCs w:val="24"/>
        </w:rPr>
        <w:t>年使用量</w:t>
      </w:r>
      <w:r>
        <w:rPr>
          <w:rFonts w:hint="eastAsia" w:ascii="Times New Roman" w:hAnsi="Times New Roman" w:cs="Times New Roman"/>
          <w:kern w:val="24"/>
          <w:sz w:val="24"/>
          <w:szCs w:val="24"/>
        </w:rPr>
        <w:t>450</w:t>
      </w:r>
      <w:r>
        <w:rPr>
          <w:rFonts w:ascii="Times New Roman" w:hAnsi="Times New Roman" w:cs="Times New Roman"/>
          <w:kern w:val="24"/>
          <w:sz w:val="24"/>
          <w:szCs w:val="24"/>
        </w:rPr>
        <w:t>t，</w:t>
      </w:r>
      <w:r>
        <w:rPr>
          <w:rFonts w:hint="eastAsia" w:ascii="Times New Roman" w:hAnsi="Times New Roman" w:cs="Times New Roman"/>
          <w:kern w:val="24"/>
          <w:sz w:val="24"/>
          <w:szCs w:val="24"/>
        </w:rPr>
        <w:t>焊接工序工作时长约为2400h，</w:t>
      </w:r>
      <w:r>
        <w:rPr>
          <w:rFonts w:ascii="Times New Roman" w:hAnsi="Times New Roman" w:cs="Times New Roman"/>
          <w:kern w:val="24"/>
          <w:sz w:val="24"/>
          <w:szCs w:val="24"/>
        </w:rPr>
        <w:t>则焊接烟尘产生量为</w:t>
      </w:r>
      <w:r>
        <w:rPr>
          <w:rFonts w:hint="eastAsia" w:ascii="Times New Roman" w:hAnsi="Times New Roman" w:cs="Times New Roman"/>
          <w:kern w:val="24"/>
          <w:sz w:val="24"/>
          <w:szCs w:val="24"/>
        </w:rPr>
        <w:t>4.136</w:t>
      </w:r>
      <w:r>
        <w:rPr>
          <w:rFonts w:ascii="Times New Roman" w:hAnsi="Times New Roman" w:cs="Times New Roman"/>
          <w:kern w:val="24"/>
          <w:sz w:val="24"/>
          <w:szCs w:val="24"/>
        </w:rPr>
        <w:t>t/a。</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项目</w:t>
      </w:r>
      <w:r>
        <w:rPr>
          <w:rFonts w:hint="eastAsia" w:ascii="Times New Roman" w:hAnsi="Times New Roman" w:cs="Times New Roman"/>
          <w:kern w:val="24"/>
          <w:sz w:val="24"/>
          <w:szCs w:val="24"/>
        </w:rPr>
        <w:t>工件尺寸较大，</w:t>
      </w:r>
      <w:r>
        <w:rPr>
          <w:rFonts w:ascii="Times New Roman" w:hAnsi="Times New Roman" w:cs="Times New Roman"/>
          <w:kern w:val="24"/>
          <w:sz w:val="24"/>
          <w:szCs w:val="24"/>
        </w:rPr>
        <w:t>焊接工序主要集中在组对工序和环焊工序，</w:t>
      </w:r>
      <w:r>
        <w:rPr>
          <w:rFonts w:hint="eastAsia" w:ascii="Times New Roman" w:hAnsi="Times New Roman" w:cs="Times New Roman"/>
          <w:kern w:val="24"/>
          <w:sz w:val="24"/>
          <w:szCs w:val="24"/>
        </w:rPr>
        <w:t>设置移动式</w:t>
      </w:r>
      <w:r>
        <w:rPr>
          <w:rFonts w:ascii="Times New Roman" w:hAnsi="Times New Roman" w:cs="Times New Roman"/>
          <w:kern w:val="24"/>
          <w:sz w:val="24"/>
          <w:szCs w:val="24"/>
        </w:rPr>
        <w:t>焊烟净化装置，</w:t>
      </w:r>
      <w:r>
        <w:rPr>
          <w:rFonts w:hint="eastAsia" w:ascii="Times New Roman" w:hAnsi="Times New Roman" w:cs="Times New Roman"/>
          <w:kern w:val="24"/>
          <w:sz w:val="24"/>
          <w:szCs w:val="24"/>
        </w:rPr>
        <w:t>设备跟着焊接点移动，实现焊接烟尘的有效收集。移动式</w:t>
      </w:r>
      <w:r>
        <w:rPr>
          <w:rFonts w:ascii="Times New Roman" w:hAnsi="Times New Roman" w:cs="Times New Roman"/>
          <w:kern w:val="24"/>
          <w:sz w:val="24"/>
          <w:szCs w:val="24"/>
        </w:rPr>
        <w:t>焊烟净化装置收集效率80%，净化效率95%。</w:t>
      </w:r>
      <w:r>
        <w:rPr>
          <w:rFonts w:hint="eastAsia" w:ascii="Times New Roman" w:hAnsi="Times New Roman" w:cs="Times New Roman"/>
          <w:kern w:val="24"/>
          <w:sz w:val="24"/>
          <w:szCs w:val="24"/>
        </w:rPr>
        <w:t>未收集的颗粒物为0.827</w:t>
      </w:r>
      <w:r>
        <w:rPr>
          <w:rFonts w:ascii="Times New Roman" w:hAnsi="Times New Roman" w:cs="Times New Roman"/>
          <w:kern w:val="24"/>
          <w:sz w:val="24"/>
          <w:szCs w:val="24"/>
        </w:rPr>
        <w:t>t/a</w:t>
      </w:r>
      <w:r>
        <w:rPr>
          <w:rFonts w:hint="eastAsia" w:ascii="Times New Roman" w:hAnsi="Times New Roman" w:cs="Times New Roman"/>
          <w:kern w:val="24"/>
          <w:sz w:val="24"/>
          <w:szCs w:val="24"/>
        </w:rPr>
        <w:t>，收集处理后在车间无组织排放的颗粒物为0.165</w:t>
      </w:r>
      <w:r>
        <w:rPr>
          <w:rFonts w:ascii="Times New Roman" w:hAnsi="Times New Roman" w:cs="Times New Roman"/>
          <w:kern w:val="24"/>
          <w:sz w:val="24"/>
          <w:szCs w:val="24"/>
        </w:rPr>
        <w:t>t/a</w:t>
      </w:r>
      <w:r>
        <w:rPr>
          <w:rFonts w:hint="eastAsia" w:ascii="Times New Roman" w:hAnsi="Times New Roman" w:cs="Times New Roman"/>
          <w:kern w:val="24"/>
          <w:sz w:val="24"/>
          <w:szCs w:val="24"/>
        </w:rPr>
        <w:t>，则车间内无组织排放的颗粒物为0.992</w:t>
      </w:r>
      <w:r>
        <w:rPr>
          <w:rFonts w:ascii="Times New Roman" w:hAnsi="Times New Roman" w:cs="Times New Roman"/>
          <w:kern w:val="24"/>
          <w:sz w:val="24"/>
          <w:szCs w:val="24"/>
        </w:rPr>
        <w:t>t/a</w:t>
      </w:r>
      <w:r>
        <w:rPr>
          <w:rFonts w:hint="eastAsia" w:ascii="Times New Roman" w:hAnsi="Times New Roman" w:cs="Times New Roman"/>
          <w:kern w:val="24"/>
          <w:sz w:val="24"/>
          <w:szCs w:val="24"/>
        </w:rPr>
        <w:t>。</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③喷砂粉尘</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项目工件在进入喷涂前需在喷砂机上进行喷砂打磨除锈处理，该预处理过程中有粉尘产生，喷砂/打磨工序颗粒物产生量为2.19kg/t-原料，项目工件均需进行喷砂处理，则原料用量为</w:t>
      </w:r>
      <w:r>
        <w:rPr>
          <w:rFonts w:hint="eastAsia" w:ascii="Times New Roman" w:hAnsi="Times New Roman" w:cs="Times New Roman"/>
          <w:sz w:val="24"/>
          <w:szCs w:val="24"/>
        </w:rPr>
        <w:t>75000</w:t>
      </w:r>
      <w:r>
        <w:rPr>
          <w:rFonts w:ascii="Times New Roman" w:hAnsi="Times New Roman" w:eastAsia="宋体" w:cs="Times New Roman"/>
          <w:kern w:val="0"/>
          <w:sz w:val="24"/>
          <w:szCs w:val="24"/>
        </w:rPr>
        <w:t>t，喷砂除锈工序颗粒物产生量为</w:t>
      </w:r>
      <w:r>
        <w:rPr>
          <w:rFonts w:hint="eastAsia" w:ascii="Times New Roman" w:hAnsi="Times New Roman" w:eastAsia="宋体" w:cs="Times New Roman"/>
          <w:kern w:val="0"/>
          <w:sz w:val="24"/>
          <w:szCs w:val="24"/>
        </w:rPr>
        <w:t>164.25</w:t>
      </w:r>
      <w:r>
        <w:rPr>
          <w:rFonts w:ascii="Times New Roman" w:hAnsi="Times New Roman" w:eastAsia="宋体" w:cs="Times New Roman"/>
          <w:kern w:val="0"/>
          <w:sz w:val="24"/>
          <w:szCs w:val="24"/>
        </w:rPr>
        <w:t>t/a，喷砂在密闭喷砂房内进行，运行期间废气通过管道收集，收集效率95%，收集后经布袋除尘器处理后通过15m高排气筒（编号DA00</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）排放。喷砂工序年工作2400h，</w:t>
      </w:r>
      <w:r>
        <w:rPr>
          <w:rFonts w:hint="eastAsia" w:ascii="Times New Roman" w:hAnsi="Times New Roman" w:eastAsia="宋体" w:cs="Times New Roman"/>
          <w:kern w:val="0"/>
          <w:sz w:val="24"/>
          <w:szCs w:val="24"/>
        </w:rPr>
        <w:t>配套风机</w:t>
      </w:r>
      <w:r>
        <w:rPr>
          <w:rFonts w:ascii="Times New Roman" w:hAnsi="Times New Roman" w:eastAsia="宋体" w:cs="Times New Roman"/>
          <w:kern w:val="0"/>
          <w:sz w:val="24"/>
          <w:szCs w:val="24"/>
        </w:rPr>
        <w:t>风量为</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0000m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/h，则喷砂粉尘有组织产生量为</w:t>
      </w:r>
      <w:r>
        <w:rPr>
          <w:rFonts w:hint="eastAsia" w:ascii="Times New Roman" w:hAnsi="Times New Roman" w:eastAsia="宋体" w:cs="Times New Roman"/>
          <w:kern w:val="0"/>
          <w:sz w:val="24"/>
          <w:szCs w:val="24"/>
        </w:rPr>
        <w:t>156.038</w:t>
      </w:r>
      <w:r>
        <w:rPr>
          <w:rFonts w:ascii="Times New Roman" w:hAnsi="Times New Roman" w:eastAsia="宋体" w:cs="Times New Roman"/>
          <w:kern w:val="0"/>
          <w:sz w:val="24"/>
          <w:szCs w:val="24"/>
        </w:rPr>
        <w:t>t/a、产生速率为</w:t>
      </w:r>
      <w:r>
        <w:rPr>
          <w:rFonts w:hint="eastAsia" w:ascii="Times New Roman" w:hAnsi="Times New Roman" w:eastAsia="宋体" w:cs="Times New Roman"/>
          <w:kern w:val="0"/>
          <w:sz w:val="24"/>
          <w:szCs w:val="24"/>
        </w:rPr>
        <w:t>65.016</w:t>
      </w:r>
      <w:r>
        <w:rPr>
          <w:rFonts w:ascii="Times New Roman" w:hAnsi="Times New Roman" w:eastAsia="宋体" w:cs="Times New Roman"/>
          <w:kern w:val="0"/>
          <w:sz w:val="24"/>
          <w:szCs w:val="24"/>
        </w:rPr>
        <w:t>kg/h、产生浓度为</w:t>
      </w:r>
      <w:r>
        <w:rPr>
          <w:rFonts w:hint="eastAsia" w:ascii="Times New Roman" w:hAnsi="Times New Roman" w:eastAsia="宋体" w:cs="Times New Roman"/>
          <w:kern w:val="0"/>
          <w:sz w:val="24"/>
          <w:szCs w:val="24"/>
        </w:rPr>
        <w:t>1300.32</w:t>
      </w:r>
      <w:r>
        <w:rPr>
          <w:rFonts w:ascii="Times New Roman" w:hAnsi="Times New Roman" w:eastAsia="宋体" w:cs="Times New Roman"/>
          <w:kern w:val="0"/>
          <w:sz w:val="24"/>
          <w:szCs w:val="24"/>
        </w:rPr>
        <w:t>mg/m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，经布袋除尘器处理后（处理效率为99%），则有组织排放量为</w:t>
      </w:r>
      <w:r>
        <w:rPr>
          <w:rFonts w:hint="eastAsia" w:ascii="Times New Roman" w:hAnsi="Times New Roman" w:eastAsia="宋体" w:cs="Times New Roman"/>
          <w:kern w:val="0"/>
          <w:sz w:val="24"/>
          <w:szCs w:val="24"/>
        </w:rPr>
        <w:t>1.56</w:t>
      </w:r>
      <w:r>
        <w:rPr>
          <w:rFonts w:ascii="Times New Roman" w:hAnsi="Times New Roman" w:eastAsia="宋体" w:cs="Times New Roman"/>
          <w:kern w:val="0"/>
          <w:sz w:val="24"/>
          <w:szCs w:val="24"/>
        </w:rPr>
        <w:t>t/a、排放速率为0.</w:t>
      </w:r>
      <w:r>
        <w:rPr>
          <w:rFonts w:hint="eastAsia" w:ascii="Times New Roman" w:hAnsi="Times New Roman" w:eastAsia="宋体" w:cs="Times New Roman"/>
          <w:kern w:val="0"/>
          <w:sz w:val="24"/>
          <w:szCs w:val="24"/>
        </w:rPr>
        <w:t>65</w:t>
      </w:r>
      <w:r>
        <w:rPr>
          <w:rFonts w:ascii="Times New Roman" w:hAnsi="Times New Roman" w:eastAsia="宋体" w:cs="Times New Roman"/>
          <w:kern w:val="0"/>
          <w:sz w:val="24"/>
          <w:szCs w:val="24"/>
        </w:rPr>
        <w:t>kg/h、排放浓度为</w:t>
      </w:r>
      <w:r>
        <w:rPr>
          <w:rFonts w:hint="eastAsia" w:ascii="Times New Roman" w:hAnsi="Times New Roman" w:eastAsia="宋体" w:cs="Times New Roman"/>
          <w:kern w:val="0"/>
          <w:sz w:val="24"/>
          <w:szCs w:val="24"/>
        </w:rPr>
        <w:t>13</w:t>
      </w:r>
      <w:r>
        <w:rPr>
          <w:rFonts w:ascii="Times New Roman" w:hAnsi="Times New Roman" w:eastAsia="宋体" w:cs="Times New Roman"/>
          <w:kern w:val="0"/>
          <w:sz w:val="24"/>
          <w:szCs w:val="24"/>
        </w:rPr>
        <w:t>mg/m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。未被收集的粉尘</w:t>
      </w:r>
      <w:r>
        <w:rPr>
          <w:rFonts w:hint="eastAsia" w:ascii="Times New Roman" w:hAnsi="Times New Roman" w:eastAsia="宋体" w:cs="Times New Roman"/>
          <w:kern w:val="0"/>
          <w:sz w:val="24"/>
          <w:szCs w:val="24"/>
        </w:rPr>
        <w:t>在喷砂间内沉降，产生量</w:t>
      </w:r>
      <w:r>
        <w:rPr>
          <w:rFonts w:ascii="Times New Roman" w:hAnsi="Times New Roman" w:eastAsia="宋体" w:cs="Times New Roman"/>
          <w:kern w:val="0"/>
          <w:sz w:val="24"/>
          <w:szCs w:val="24"/>
        </w:rPr>
        <w:t>为</w:t>
      </w:r>
      <w:r>
        <w:rPr>
          <w:rFonts w:hint="eastAsia" w:ascii="Times New Roman" w:hAnsi="Times New Roman" w:eastAsia="宋体" w:cs="Times New Roman"/>
          <w:kern w:val="0"/>
          <w:sz w:val="24"/>
          <w:szCs w:val="24"/>
        </w:rPr>
        <w:t>8.212</w:t>
      </w:r>
      <w:r>
        <w:rPr>
          <w:rFonts w:ascii="Times New Roman" w:hAnsi="Times New Roman" w:eastAsia="宋体" w:cs="Times New Roman"/>
          <w:kern w:val="0"/>
          <w:sz w:val="24"/>
          <w:szCs w:val="24"/>
        </w:rPr>
        <w:t>t/a，排放速率为</w:t>
      </w:r>
      <w:r>
        <w:rPr>
          <w:rFonts w:hint="eastAsia" w:ascii="Times New Roman" w:hAnsi="Times New Roman" w:eastAsia="宋体" w:cs="Times New Roman"/>
          <w:kern w:val="0"/>
          <w:sz w:val="24"/>
          <w:szCs w:val="24"/>
        </w:rPr>
        <w:t>3.422</w:t>
      </w:r>
      <w:r>
        <w:rPr>
          <w:rFonts w:ascii="Times New Roman" w:hAnsi="Times New Roman" w:eastAsia="宋体" w:cs="Times New Roman"/>
          <w:kern w:val="0"/>
          <w:sz w:val="24"/>
          <w:szCs w:val="24"/>
        </w:rPr>
        <w:t>kg/h。</w:t>
      </w:r>
    </w:p>
    <w:p>
      <w:pPr>
        <w:widowControl w:val="0"/>
        <w:spacing w:before="78" w:beforeLines="25" w:after="78" w:afterLines="25"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④喷涂废气</w:t>
      </w:r>
      <w:r>
        <w:rPr>
          <w:rFonts w:hint="eastAsia" w:ascii="Times New Roman" w:hAnsi="Times New Roman" w:eastAsia="宋体" w:cs="Times New Roman"/>
          <w:kern w:val="0"/>
          <w:sz w:val="24"/>
          <w:szCs w:val="24"/>
        </w:rPr>
        <w:t>（包括调漆、喷漆、流平、喷枪清洗、晾干等工序）</w:t>
      </w:r>
    </w:p>
    <w:p>
      <w:pPr>
        <w:widowControl w:val="0"/>
        <w:spacing w:before="78" w:beforeLines="25" w:after="78" w:afterLines="25"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涂装工序分为一遍底漆喷涂、一遍中漆和一遍面漆喷涂，全部采用溶剂型涂料</w:t>
      </w:r>
      <w:r>
        <w:rPr>
          <w:rFonts w:ascii="Times New Roman" w:hAnsi="Times New Roman" w:eastAsia="宋体" w:cs="Times New Roman"/>
          <w:kern w:val="0"/>
          <w:sz w:val="24"/>
          <w:szCs w:val="24"/>
        </w:rPr>
        <w:t>，喷涂后工件在喷涂房内自然晾干。油漆的调配均在喷涂房内进行，喷涂完成后的工件在喷涂房内</w:t>
      </w:r>
      <w:r>
        <w:rPr>
          <w:rFonts w:hint="eastAsia" w:ascii="Times New Roman" w:hAnsi="Times New Roman" w:eastAsia="宋体" w:cs="Times New Roman"/>
          <w:kern w:val="0"/>
          <w:sz w:val="24"/>
          <w:szCs w:val="24"/>
        </w:rPr>
        <w:t>自然晾干</w:t>
      </w:r>
      <w:r>
        <w:rPr>
          <w:rFonts w:ascii="Times New Roman" w:hAnsi="Times New Roman" w:eastAsia="宋体" w:cs="Times New Roman"/>
          <w:kern w:val="0"/>
          <w:sz w:val="24"/>
          <w:szCs w:val="24"/>
        </w:rPr>
        <w:t>，喷涂房每天喷漆8h、</w:t>
      </w:r>
      <w:r>
        <w:rPr>
          <w:rFonts w:hint="eastAsia" w:ascii="Times New Roman" w:hAnsi="Times New Roman" w:eastAsia="宋体" w:cs="Times New Roman"/>
          <w:kern w:val="0"/>
          <w:sz w:val="24"/>
          <w:szCs w:val="24"/>
        </w:rPr>
        <w:t>晾干8</w:t>
      </w:r>
      <w:r>
        <w:rPr>
          <w:rFonts w:ascii="Times New Roman" w:hAnsi="Times New Roman" w:eastAsia="宋体" w:cs="Times New Roman"/>
          <w:kern w:val="0"/>
          <w:sz w:val="24"/>
          <w:szCs w:val="24"/>
        </w:rPr>
        <w:t>h。喷涂房为密闭场所，车间内采用顶部送风，底部抽风方式进行废气收集，</w:t>
      </w:r>
      <w:r>
        <w:rPr>
          <w:rFonts w:hint="eastAsia" w:ascii="Times New Roman" w:hAnsi="Times New Roman" w:eastAsia="宋体" w:cs="Times New Roman"/>
          <w:kern w:val="0"/>
          <w:sz w:val="24"/>
          <w:szCs w:val="24"/>
        </w:rPr>
        <w:t>系统配套风机风量为80000</w:t>
      </w: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/h，废气密闭负压统一收集后进入</w:t>
      </w:r>
      <w:r>
        <w:rPr>
          <w:rFonts w:hint="eastAsia" w:ascii="Times New Roman" w:hAnsi="Times New Roman" w:eastAsia="宋体" w:cs="Times New Roman"/>
          <w:kern w:val="0"/>
          <w:sz w:val="24"/>
          <w:szCs w:val="24"/>
        </w:rPr>
        <w:t>多</w:t>
      </w:r>
      <w:r>
        <w:rPr>
          <w:rFonts w:ascii="Times New Roman" w:hAnsi="Times New Roman" w:eastAsia="宋体" w:cs="Times New Roman"/>
          <w:kern w:val="0"/>
          <w:sz w:val="24"/>
          <w:szCs w:val="24"/>
        </w:rPr>
        <w:t>级干式过滤器+活性炭吸附</w:t>
      </w:r>
      <w:r>
        <w:rPr>
          <w:rFonts w:hint="eastAsia" w:ascii="Times New Roman" w:hAnsi="Times New Roman" w:eastAsia="宋体" w:cs="Times New Roman"/>
          <w:kern w:val="0"/>
          <w:sz w:val="24"/>
          <w:szCs w:val="24"/>
        </w:rPr>
        <w:t>/脱附</w:t>
      </w:r>
      <w:r>
        <w:rPr>
          <w:rFonts w:ascii="Times New Roman" w:hAnsi="Times New Roman" w:eastAsia="宋体" w:cs="Times New Roman"/>
          <w:kern w:val="0"/>
          <w:sz w:val="24"/>
          <w:szCs w:val="24"/>
        </w:rPr>
        <w:t>+催化燃烧装置处理后通过15m高排气筒排放。</w:t>
      </w:r>
    </w:p>
    <w:p>
      <w:pPr>
        <w:widowControl w:val="0"/>
        <w:spacing w:before="78" w:beforeLines="25" w:after="78" w:afterLines="25"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喷涂工序固形物上漆率80%，除附着于工件外，干固部分下落漆渣占25%，升起漆雾量占75%，漆雾以有组织和无组织形式排放（收集效率为95%，收集的漆雾进入干式过滤器处理后有组织排放，处理效率99%；剩余5%漆雾无组织排放）。</w:t>
      </w:r>
    </w:p>
    <w:p>
      <w:pPr>
        <w:widowControl w:val="0"/>
        <w:spacing w:before="78" w:beforeLines="25" w:after="78" w:afterLines="25"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漆料中VOCs约40%在调漆、喷涂、流平、喷枪清洗过程工段挥发出来，调漆、喷漆房密闭，VOCs以有组织和无组织形式排放（根据《主要污染物总量减排核算技术指南（2022年修订）》中VOCs废气收集率：“废气收集率在密闭状况下正压时为80%、负压时为90%”。VOCs废气治理技术“活性炭吸附+脱附+催化燃烧”工艺去除率为85%。本项目废气收集效率为90%，收集的VOCs进入多级干式过滤器+活性炭吸附/脱附+催化燃烧装置处理后有组织排放，处理效率85%；其余为无组织排放）；60%VOCs在晾干工段挥发出来，VOCs以有组织和无组织形式排放（废气收集效率为90%，收集的VOCs进入多级干式过滤器+活性炭吸附/脱附+催化燃烧装置处理后有组织排放，处理效率85%；其余为无组织排放）。</w:t>
      </w:r>
    </w:p>
    <w:p>
      <w:pPr>
        <w:widowControl w:val="0"/>
        <w:spacing w:line="360" w:lineRule="auto"/>
        <w:ind w:firstLine="482" w:firstLineChars="200"/>
        <w:contextualSpacing/>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（2）运营期废水污染源</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项目运营期有工作人员100人，通过核算员工生活废水量1530m</w:t>
      </w:r>
      <w:r>
        <w:rPr>
          <w:rFonts w:ascii="Times New Roman" w:hAnsi="Times New Roman" w:cs="Times New Roman"/>
          <w:kern w:val="24"/>
          <w:sz w:val="24"/>
          <w:szCs w:val="24"/>
          <w:vertAlign w:val="superscript"/>
        </w:rPr>
        <w:t>3</w:t>
      </w:r>
      <w:r>
        <w:rPr>
          <w:rFonts w:ascii="Times New Roman" w:hAnsi="Times New Roman" w:cs="Times New Roman"/>
          <w:kern w:val="24"/>
          <w:sz w:val="24"/>
          <w:szCs w:val="24"/>
        </w:rPr>
        <w:t>/a。员工生活废水通过新疆武晓新能源有限公司</w:t>
      </w:r>
      <w:r>
        <w:rPr>
          <w:rFonts w:hint="eastAsia" w:ascii="Times New Roman" w:hAnsi="Times New Roman" w:cs="Times New Roman"/>
          <w:kern w:val="24"/>
          <w:sz w:val="24"/>
          <w:szCs w:val="24"/>
        </w:rPr>
        <w:t>现有管网</w:t>
      </w:r>
      <w:r>
        <w:rPr>
          <w:rFonts w:ascii="Times New Roman" w:hAnsi="Times New Roman" w:cs="Times New Roman"/>
          <w:kern w:val="24"/>
          <w:sz w:val="24"/>
          <w:szCs w:val="24"/>
        </w:rPr>
        <w:t>，达到《污水综合排放标准》（GB8978-1996）表4三级标准</w:t>
      </w:r>
      <w:r>
        <w:rPr>
          <w:rFonts w:hint="eastAsia" w:ascii="Times New Roman" w:hAnsi="Times New Roman" w:cs="Times New Roman"/>
          <w:kern w:val="24"/>
          <w:sz w:val="24"/>
          <w:szCs w:val="24"/>
        </w:rPr>
        <w:t>、《污水排入城镇下水道水质标准》（GBT31962-2015）表1中A级限值要求（污水处理厂进水要求）</w:t>
      </w:r>
      <w:r>
        <w:rPr>
          <w:rFonts w:ascii="Times New Roman" w:hAnsi="Times New Roman" w:cs="Times New Roman"/>
          <w:kern w:val="24"/>
          <w:sz w:val="24"/>
          <w:szCs w:val="24"/>
        </w:rPr>
        <w:t>后，排放至市政管网，最终排入吐鲁番市高昌区污水处理厂。</w:t>
      </w:r>
      <w:r>
        <w:rPr>
          <w:rFonts w:hint="eastAsia" w:ascii="Times New Roman" w:hAnsi="Times New Roman" w:cs="Times New Roman"/>
          <w:kern w:val="24"/>
          <w:sz w:val="24"/>
          <w:szCs w:val="24"/>
        </w:rPr>
        <w:t>待高端装备制造产业园区污水处理厂（新疆吐鲁番市第二污水处理厂）建成后，排入该污水处理厂处理。</w:t>
      </w:r>
      <w:r>
        <w:rPr>
          <w:rFonts w:ascii="Times New Roman" w:hAnsi="Times New Roman" w:cs="Times New Roman"/>
          <w:kern w:val="24"/>
          <w:sz w:val="24"/>
          <w:szCs w:val="24"/>
        </w:rPr>
        <w:t xml:space="preserve"> </w:t>
      </w:r>
    </w:p>
    <w:p>
      <w:pPr>
        <w:widowControl w:val="0"/>
        <w:spacing w:line="360" w:lineRule="auto"/>
        <w:ind w:firstLine="482" w:firstLineChars="200"/>
        <w:contextualSpacing/>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（3）运营期噪声污染源分析</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本项目营运期主要噪声源来自切割设备、焊接设备以及风机等。</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（4）运营期固废污染源分析</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①生活垃圾</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项目区生活垃圾主要为员工生活所产生。运营后项目职工人员为100人，均在项目区食宿。按1.0 kg/人。生活垃圾产生量100 kg/d（30 t/a），生活垃圾通过设置的垃圾收集桶收集后，委托环卫部门定期清运处置至吐鲁番市生活垃圾卫生填埋场。吐鲁番市生活垃圾卫生填埋场位于吐鲁番市区东南侧，距本项目约16km。</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②生产固废</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1）切割边角料：本项目边角料产生量按钢材总用量的0.1%计，约0.15t/a，在厂房内设置一般固废暂存间集中收集，定期综合外售。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2）废焊材：项目焊接工序会产生部分废焊材，主要为废焊丝，废焊材的产生量按30kg/t-原材料计，项目焊丝年使用量为1.5t，则废焊材产生量为0.045t/a。废焊材属于一般固体废物，集中收集至一般固废暂存间暂存，定期外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锈斑：项目纵缝焊接工序需去除焊接部位的锈斑等杂物，产生量约为0.1t/a，</w:t>
      </w:r>
      <w:r>
        <w:rPr>
          <w:rFonts w:ascii="Times New Roman" w:hAnsi="Times New Roman" w:eastAsia="宋体" w:cs="Times New Roman"/>
          <w:kern w:val="0"/>
          <w:sz w:val="24"/>
          <w:szCs w:val="24"/>
        </w:rPr>
        <w:t>属于一般固体废物，集中收集至一般固废暂存间暂存，定期外售。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布袋除尘器收尘灰：</w:t>
      </w:r>
      <w:r>
        <w:rPr>
          <w:rFonts w:ascii="Times New Roman" w:hAnsi="Times New Roman" w:eastAsia="宋体" w:cs="Times New Roman"/>
          <w:sz w:val="24"/>
          <w:szCs w:val="20"/>
        </w:rPr>
        <w:t>项目喷砂过程颗粒物经布袋除尘器收集处理，收尘灰属于一般固体废物，根据废气源强核算，项目收尘灰年共计产生</w:t>
      </w:r>
      <w:r>
        <w:rPr>
          <w:rFonts w:hint="eastAsia" w:ascii="Times New Roman" w:hAnsi="Times New Roman" w:eastAsia="宋体" w:cs="Times New Roman"/>
          <w:sz w:val="24"/>
          <w:szCs w:val="20"/>
        </w:rPr>
        <w:t>154.478</w:t>
      </w:r>
      <w:r>
        <w:rPr>
          <w:rFonts w:ascii="Times New Roman" w:hAnsi="Times New Roman" w:eastAsia="宋体" w:cs="Times New Roman"/>
          <w:sz w:val="24"/>
          <w:szCs w:val="20"/>
        </w:rPr>
        <w:t>t/a，</w:t>
      </w:r>
      <w:r>
        <w:rPr>
          <w:rFonts w:ascii="Times New Roman" w:hAnsi="Times New Roman" w:eastAsia="宋体" w:cs="Times New Roman"/>
          <w:kern w:val="0"/>
          <w:sz w:val="24"/>
          <w:szCs w:val="24"/>
        </w:rPr>
        <w:t>集中收集至一般固废暂存间暂存，定期外售</w:t>
      </w:r>
      <w:r>
        <w:rPr>
          <w:rFonts w:ascii="Times New Roman" w:hAnsi="Times New Roman" w:eastAsia="宋体" w:cs="Times New Roman"/>
          <w:sz w:val="24"/>
          <w:szCs w:val="20"/>
        </w:rPr>
        <w:t>。</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5）锈渣：</w:t>
      </w:r>
      <w:r>
        <w:rPr>
          <w:rFonts w:ascii="Times New Roman" w:hAnsi="Times New Roman" w:eastAsia="宋体" w:cs="Times New Roman"/>
          <w:kern w:val="0"/>
          <w:sz w:val="24"/>
          <w:szCs w:val="24"/>
        </w:rPr>
        <w:t>项目</w:t>
      </w:r>
      <w:r>
        <w:rPr>
          <w:rFonts w:hint="eastAsia" w:ascii="Times New Roman" w:hAnsi="Times New Roman" w:eastAsia="宋体" w:cs="Times New Roman"/>
          <w:kern w:val="0"/>
          <w:sz w:val="24"/>
          <w:szCs w:val="24"/>
        </w:rPr>
        <w:t>喷砂</w:t>
      </w:r>
      <w:r>
        <w:rPr>
          <w:rFonts w:ascii="Times New Roman" w:hAnsi="Times New Roman" w:eastAsia="宋体" w:cs="Times New Roman"/>
          <w:kern w:val="0"/>
          <w:sz w:val="24"/>
          <w:szCs w:val="24"/>
        </w:rPr>
        <w:t>工序会产生部分</w:t>
      </w:r>
      <w:r>
        <w:rPr>
          <w:rFonts w:hint="eastAsia" w:ascii="Times New Roman" w:hAnsi="Times New Roman" w:eastAsia="宋体" w:cs="Times New Roman"/>
          <w:kern w:val="0"/>
          <w:sz w:val="24"/>
          <w:szCs w:val="24"/>
        </w:rPr>
        <w:t>工件表面处理的锈渣</w:t>
      </w:r>
      <w:r>
        <w:rPr>
          <w:rFonts w:ascii="Times New Roman" w:hAnsi="Times New Roman" w:eastAsia="宋体" w:cs="Times New Roman"/>
          <w:kern w:val="0"/>
          <w:sz w:val="24"/>
          <w:szCs w:val="24"/>
        </w:rPr>
        <w:t>，主要为</w:t>
      </w:r>
      <w:r>
        <w:rPr>
          <w:rFonts w:hint="eastAsia" w:ascii="Times New Roman" w:hAnsi="Times New Roman" w:eastAsia="宋体" w:cs="Times New Roman"/>
          <w:kern w:val="0"/>
          <w:sz w:val="24"/>
          <w:szCs w:val="24"/>
        </w:rPr>
        <w:t>铁锈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根据项目设计，项目锈渣产生量约为5t。锈渣</w:t>
      </w:r>
      <w:r>
        <w:rPr>
          <w:rFonts w:ascii="Times New Roman" w:hAnsi="Times New Roman" w:eastAsia="宋体" w:cs="Times New Roman"/>
          <w:kern w:val="0"/>
          <w:sz w:val="24"/>
          <w:szCs w:val="24"/>
        </w:rPr>
        <w:t>属于一般固体废物，集中收集至一般固废暂存间暂存，定期外售。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③危险废物</w:t>
      </w:r>
    </w:p>
    <w:p>
      <w:pPr>
        <w:widowControl w:val="0"/>
        <w:numPr>
          <w:ilvl w:val="0"/>
          <w:numId w:val="1"/>
        </w:numPr>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废活性炭：本项目活性炭主要用于喷漆房有机废气的治理，喷漆废气主要使用“活性炭吸附床+催化燃烧再生”装置进行处理，该装置中活性炭主要起到富集浓缩有机废气的作用，通过催化燃烧再生装置可进行有限次的循环使用。该装置设置4台活性炭吸附箱），采用蜂窝状活性炭（含碘值600mg/kg，比表面积650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/g，铺设厚度0.8m）填充，单箱容积1m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，活性炭密度0.4g/cm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，则活性炭单箱填充量0.8m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（按密度折合0.32t/箱），4箱共为1.28t。吸附/催化燃烧装置活性炭更换周期为1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3年，</w:t>
      </w:r>
      <w:r>
        <w:rPr>
          <w:rFonts w:hint="eastAsia" w:ascii="Times New Roman" w:hAnsi="Times New Roman" w:eastAsia="宋体" w:cs="Times New Roman"/>
          <w:kern w:val="0"/>
          <w:sz w:val="24"/>
          <w:szCs w:val="24"/>
        </w:rPr>
        <w:t>一般1t活性炭能够吸附0.3t有机废气</w:t>
      </w:r>
      <w:r>
        <w:rPr>
          <w:rFonts w:ascii="Times New Roman" w:hAnsi="Times New Roman" w:eastAsia="宋体" w:cs="Times New Roman"/>
          <w:kern w:val="0"/>
          <w:sz w:val="24"/>
          <w:szCs w:val="24"/>
        </w:rPr>
        <w:t>，本项目有机废气处理量</w:t>
      </w:r>
      <w:r>
        <w:rPr>
          <w:rFonts w:hint="eastAsia" w:ascii="Times New Roman" w:hAnsi="Times New Roman" w:eastAsia="宋体" w:cs="Times New Roman"/>
          <w:kern w:val="0"/>
          <w:sz w:val="24"/>
          <w:szCs w:val="24"/>
        </w:rPr>
        <w:t>为48.054t/a，活性炭需吸附/脱附约160次，</w:t>
      </w:r>
      <w:r>
        <w:rPr>
          <w:rFonts w:ascii="Times New Roman" w:hAnsi="Times New Roman" w:eastAsia="宋体" w:cs="Times New Roman"/>
          <w:kern w:val="0"/>
          <w:sz w:val="24"/>
          <w:szCs w:val="24"/>
        </w:rPr>
        <w:t>环评</w:t>
      </w:r>
      <w:r>
        <w:rPr>
          <w:rFonts w:hint="eastAsia" w:ascii="Times New Roman" w:hAnsi="Times New Roman" w:eastAsia="宋体" w:cs="Times New Roman"/>
          <w:kern w:val="0"/>
          <w:sz w:val="24"/>
          <w:szCs w:val="24"/>
        </w:rPr>
        <w:t>建议</w:t>
      </w:r>
      <w:r>
        <w:rPr>
          <w:rFonts w:ascii="Times New Roman" w:hAnsi="Times New Roman" w:eastAsia="宋体" w:cs="Times New Roman"/>
          <w:kern w:val="0"/>
          <w:sz w:val="24"/>
          <w:szCs w:val="24"/>
        </w:rPr>
        <w:t>活性炭更换周期按1年实施，则项目废弃活性炭产生量为1.28t/a。根据</w:t>
      </w:r>
      <w:r>
        <w:rPr>
          <w:rFonts w:hint="eastAsia" w:ascii="Times New Roman" w:hAnsi="Times New Roman" w:eastAsia="宋体" w:cs="Times New Roman"/>
          <w:kern w:val="0"/>
          <w:sz w:val="24"/>
          <w:szCs w:val="24"/>
        </w:rPr>
        <w:t>《国家危险废物名录（2025年本）》</w:t>
      </w:r>
      <w:r>
        <w:rPr>
          <w:rFonts w:ascii="Times New Roman" w:hAnsi="Times New Roman" w:eastAsia="宋体" w:cs="Times New Roman"/>
          <w:kern w:val="0"/>
          <w:sz w:val="24"/>
          <w:szCs w:val="24"/>
        </w:rPr>
        <w:t>，废活性炭为危险固废，废物类别为HW49其他废物，废物代码为900-041-49。废活性炭经专门容器集中收集后，暂存于危废暂存间，定期交由有危废处理资质的单位定期清运处置。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2）废过滤棉：项目漆雾采用两级干式漆雾过滤装置进行捕集，干式漆雾过滤器滤材为过滤棉。喷漆过程中过滤棉去除约98%的漆雾，即3</w:t>
      </w:r>
      <w:r>
        <w:rPr>
          <w:rFonts w:hint="eastAsia" w:ascii="Times New Roman" w:hAnsi="Times New Roman" w:eastAsia="宋体" w:cs="Times New Roman"/>
          <w:kern w:val="0"/>
          <w:sz w:val="24"/>
          <w:szCs w:val="24"/>
        </w:rPr>
        <w:t>0.8</w:t>
      </w:r>
      <w:r>
        <w:rPr>
          <w:rFonts w:ascii="Times New Roman" w:hAnsi="Times New Roman" w:eastAsia="宋体" w:cs="Times New Roman"/>
          <w:kern w:val="0"/>
          <w:sz w:val="24"/>
          <w:szCs w:val="24"/>
        </w:rPr>
        <w:t>t/a，过滤棉年用量约为50t，因此漆雾及过滤材料等废物产生量一共约</w:t>
      </w:r>
      <w:r>
        <w:rPr>
          <w:rFonts w:hint="eastAsia" w:ascii="Times New Roman" w:hAnsi="Times New Roman" w:eastAsia="宋体" w:cs="Times New Roman"/>
          <w:kern w:val="0"/>
          <w:sz w:val="24"/>
          <w:szCs w:val="24"/>
        </w:rPr>
        <w:t>80.8</w:t>
      </w:r>
      <w:r>
        <w:rPr>
          <w:rFonts w:ascii="Times New Roman" w:hAnsi="Times New Roman" w:eastAsia="宋体" w:cs="Times New Roman"/>
          <w:kern w:val="0"/>
          <w:sz w:val="24"/>
          <w:szCs w:val="24"/>
        </w:rPr>
        <w:t>0/a；废过滤棉属于危废，其危废代码为HW49（900-041-49），收集后暂存于危废暂存间，定期交由有危废处理资质的单位定期清运处置。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3）废催化剂：项目采用催化燃烧方式处理活性炭中脱附出来的有机废气，催化剂主要成分为陶瓷及钯、铂等贵金属，约2年更换一次，项目催化剂产生量约0.1t/a，因长期与废气接触，废催化剂中也将沾染少量废气中有害物质组分，废催化剂属于危险废物，其危废代码为HW50（772-007-50），收集后交由有资质单位处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4）漆渣：项目在喷漆过</w:t>
      </w:r>
      <w:r>
        <w:rPr>
          <w:rFonts w:hint="eastAsia" w:ascii="Times New Roman" w:hAnsi="Times New Roman" w:eastAsia="宋体" w:cs="Times New Roman"/>
          <w:kern w:val="0"/>
          <w:sz w:val="24"/>
          <w:szCs w:val="24"/>
        </w:rPr>
        <w:t>程中黏附</w:t>
      </w:r>
      <w:r>
        <w:rPr>
          <w:rFonts w:ascii="Times New Roman" w:hAnsi="Times New Roman" w:eastAsia="宋体" w:cs="Times New Roman"/>
          <w:kern w:val="0"/>
          <w:sz w:val="24"/>
          <w:szCs w:val="24"/>
        </w:rPr>
        <w:t>在喷漆房内墙壁、地面以及操作台上的漆渣，全厂漆渣产生量为22.592t/a，漆渣属于危废，其危废代码为HW12（900-252-12），由公司收集后交由有危废资质单位处置。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5）废包装桶：本项目使用的原辅材料油漆主要以桶装形式进行储存，使用后会产生废包装桶，全厂产生量约为2t/a（1000个），此类废包装桶均属于危险废物，属于《国家危险废物名录》（202</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年版）中“HW</w:t>
      </w:r>
      <w:r>
        <w:rPr>
          <w:rFonts w:hint="eastAsia" w:ascii="Times New Roman" w:hAnsi="Times New Roman" w:eastAsia="宋体" w:cs="Times New Roman"/>
          <w:kern w:val="0"/>
          <w:sz w:val="24"/>
          <w:szCs w:val="24"/>
        </w:rPr>
        <w:t>49废弃的含油抹布、劳保用品</w:t>
      </w:r>
      <w:r>
        <w:rPr>
          <w:rFonts w:ascii="Times New Roman" w:hAnsi="Times New Roman" w:eastAsia="宋体" w:cs="Times New Roman"/>
          <w:kern w:val="0"/>
          <w:sz w:val="24"/>
          <w:szCs w:val="24"/>
        </w:rPr>
        <w:t>-代码900-</w:t>
      </w:r>
      <w:r>
        <w:rPr>
          <w:rFonts w:hint="eastAsia" w:ascii="Times New Roman" w:hAnsi="Times New Roman" w:eastAsia="宋体" w:cs="Times New Roman"/>
          <w:kern w:val="0"/>
          <w:sz w:val="24"/>
          <w:szCs w:val="24"/>
        </w:rPr>
        <w:t>041</w:t>
      </w:r>
      <w:r>
        <w:rPr>
          <w:rFonts w:ascii="Times New Roman" w:hAnsi="Times New Roman" w:eastAsia="宋体" w:cs="Times New Roman"/>
          <w:kern w:val="0"/>
          <w:sz w:val="24"/>
          <w:szCs w:val="24"/>
        </w:rPr>
        <w:t>-0</w:t>
      </w:r>
      <w:r>
        <w:rPr>
          <w:rFonts w:hint="eastAsia" w:ascii="Times New Roman" w:hAnsi="Times New Roman" w:eastAsia="宋体" w:cs="Times New Roman"/>
          <w:kern w:val="0"/>
          <w:sz w:val="24"/>
          <w:szCs w:val="24"/>
        </w:rPr>
        <w:t>49含有或者沾染毒性、感染性危险废物的废弃的包装物、容器、过滤吸附介质</w:t>
      </w:r>
      <w:r>
        <w:rPr>
          <w:rFonts w:ascii="Times New Roman" w:hAnsi="Times New Roman" w:eastAsia="宋体" w:cs="Times New Roman"/>
          <w:kern w:val="0"/>
          <w:sz w:val="24"/>
          <w:szCs w:val="24"/>
        </w:rPr>
        <w:t>”，收集后交由有资质单位处置。</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6）废机油：本项目生产设备及运输车辆在机修过程中会产生废机油，废机油产生量约为1.6t/a。废机油属于《国家危险废物名录》（202</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年版）中“HW08废矿物油与含矿物油废物</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代码900-249-08其他生产、销售、使用过程中产生的废矿物油及含矿物油废物”，为危险废弃物，收集后暂存于危废暂存间，定期交由资质单位安全处理。</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7）含油抹布：项目生产过程中会产生少量的含油抹布，产生量约为0.05</w:t>
      </w:r>
      <w:r>
        <w:rPr>
          <w:rFonts w:ascii="Times New Roman" w:hAnsi="Times New Roman" w:eastAsia="宋体" w:cs="Times New Roman"/>
          <w:kern w:val="0"/>
          <w:sz w:val="24"/>
          <w:szCs w:val="24"/>
        </w:rPr>
        <w:t>t/a。</w:t>
      </w:r>
      <w:r>
        <w:rPr>
          <w:rFonts w:hint="eastAsia" w:ascii="Times New Roman" w:hAnsi="Times New Roman" w:eastAsia="宋体" w:cs="Times New Roman"/>
          <w:kern w:val="0"/>
          <w:sz w:val="24"/>
          <w:szCs w:val="24"/>
        </w:rPr>
        <w:t>含油抹布</w:t>
      </w:r>
      <w:r>
        <w:rPr>
          <w:rFonts w:ascii="Times New Roman" w:hAnsi="Times New Roman" w:eastAsia="宋体" w:cs="Times New Roman"/>
          <w:kern w:val="0"/>
          <w:sz w:val="24"/>
          <w:szCs w:val="24"/>
        </w:rPr>
        <w:t>属于《国家危险废物名录》（202</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年版）中“HW</w:t>
      </w:r>
      <w:r>
        <w:rPr>
          <w:rFonts w:hint="eastAsia" w:ascii="Times New Roman" w:hAnsi="Times New Roman" w:eastAsia="宋体" w:cs="Times New Roman"/>
          <w:kern w:val="0"/>
          <w:sz w:val="24"/>
          <w:szCs w:val="24"/>
        </w:rPr>
        <w:t>49废弃的含油抹布、劳保用品</w:t>
      </w:r>
      <w:r>
        <w:rPr>
          <w:rFonts w:ascii="Times New Roman" w:hAnsi="Times New Roman" w:eastAsia="宋体" w:cs="Times New Roman"/>
          <w:kern w:val="0"/>
          <w:sz w:val="24"/>
          <w:szCs w:val="24"/>
        </w:rPr>
        <w:t>-代码900-</w:t>
      </w:r>
      <w:r>
        <w:rPr>
          <w:rFonts w:hint="eastAsia" w:ascii="Times New Roman" w:hAnsi="Times New Roman" w:eastAsia="宋体" w:cs="Times New Roman"/>
          <w:kern w:val="0"/>
          <w:sz w:val="24"/>
          <w:szCs w:val="24"/>
        </w:rPr>
        <w:t>041</w:t>
      </w:r>
      <w:r>
        <w:rPr>
          <w:rFonts w:ascii="Times New Roman" w:hAnsi="Times New Roman" w:eastAsia="宋体" w:cs="Times New Roman"/>
          <w:kern w:val="0"/>
          <w:sz w:val="24"/>
          <w:szCs w:val="24"/>
        </w:rPr>
        <w:t>-0</w:t>
      </w:r>
      <w:r>
        <w:rPr>
          <w:rFonts w:hint="eastAsia" w:ascii="Times New Roman" w:hAnsi="Times New Roman" w:eastAsia="宋体" w:cs="Times New Roman"/>
          <w:kern w:val="0"/>
          <w:sz w:val="24"/>
          <w:szCs w:val="24"/>
        </w:rPr>
        <w:t>49含有或者沾染毒性、感染性危险废物的废弃的包装物、容器、过滤吸附介质</w:t>
      </w:r>
      <w:r>
        <w:rPr>
          <w:rFonts w:ascii="Times New Roman" w:hAnsi="Times New Roman" w:eastAsia="宋体" w:cs="Times New Roman"/>
          <w:kern w:val="0"/>
          <w:sz w:val="24"/>
          <w:szCs w:val="24"/>
        </w:rPr>
        <w:t>”，为危险废弃物，收集后暂存于危废暂存间。</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项目区拟建一间占地面积约50m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的危废暂存间，危险废物收集储存在危废暂存间中专用的容器中，委托有资质单位定期清运处置，并建立转移联单制度，同时设立台账。</w:t>
      </w:r>
    </w:p>
    <w:p>
      <w:pPr>
        <w:widowControl w:val="0"/>
        <w:spacing w:line="360" w:lineRule="auto"/>
        <w:ind w:firstLine="480" w:firstLineChars="200"/>
        <w:contextualSpacing/>
        <w:rPr>
          <w:rFonts w:ascii="Times New Roman" w:hAnsi="Times New Roman" w:cs="Times New Roman"/>
        </w:rPr>
      </w:pPr>
      <w:r>
        <w:rPr>
          <w:rFonts w:ascii="Times New Roman" w:hAnsi="Times New Roman" w:eastAsia="宋体" w:cs="Times New Roman"/>
          <w:kern w:val="0"/>
          <w:sz w:val="24"/>
          <w:szCs w:val="24"/>
        </w:rPr>
        <w:t>经采取上述措施后，项目固体废弃物可做到100%合理处置，对周围环境影响较小。</w:t>
      </w:r>
    </w:p>
    <w:p>
      <w:pPr>
        <w:pStyle w:val="6"/>
        <w:widowControl w:val="0"/>
        <w:ind w:firstLine="640"/>
      </w:pPr>
      <w:bookmarkStart w:id="40" w:name="_Toc8835"/>
      <w:bookmarkStart w:id="41" w:name="_Toc26028"/>
      <w:bookmarkStart w:id="42" w:name="_Toc30349"/>
      <w:bookmarkStart w:id="43" w:name="_Toc26870"/>
      <w:r>
        <w:t>4.3总量控制指标核算</w:t>
      </w:r>
      <w:bookmarkEnd w:id="40"/>
      <w:bookmarkEnd w:id="41"/>
      <w:bookmarkEnd w:id="42"/>
      <w:bookmarkEnd w:id="43"/>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（1）废水</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本项目废水排放到</w:t>
      </w:r>
      <w:r>
        <w:rPr>
          <w:rFonts w:hint="eastAsia" w:ascii="Times New Roman" w:hAnsi="Times New Roman" w:eastAsia="宋体" w:cs="Times New Roman"/>
          <w:sz w:val="24"/>
          <w:szCs w:val="24"/>
        </w:rPr>
        <w:t>污水处理厂</w:t>
      </w:r>
      <w:r>
        <w:rPr>
          <w:rFonts w:ascii="Times New Roman" w:hAnsi="Times New Roman" w:eastAsia="宋体" w:cs="Times New Roman"/>
          <w:sz w:val="24"/>
          <w:szCs w:val="24"/>
        </w:rPr>
        <w:t>集中处理；污水中污染物的排放量是基于由吐鲁番市高昌区污水处理</w:t>
      </w:r>
      <w:r>
        <w:rPr>
          <w:rFonts w:hint="eastAsia" w:ascii="Times New Roman" w:hAnsi="Times New Roman" w:eastAsia="宋体" w:cs="Times New Roman"/>
          <w:sz w:val="24"/>
          <w:szCs w:val="24"/>
        </w:rPr>
        <w:t>厂</w:t>
      </w:r>
      <w:r>
        <w:rPr>
          <w:rFonts w:ascii="Times New Roman" w:hAnsi="Times New Roman" w:eastAsia="宋体" w:cs="Times New Roman"/>
          <w:sz w:val="24"/>
          <w:szCs w:val="24"/>
        </w:rPr>
        <w:t>处理达标后排入纳污水体情况下的水污染物排放总量，故本项目水污染物排放总量已属于吐鲁番市高昌区污水处理</w:t>
      </w:r>
      <w:r>
        <w:rPr>
          <w:rFonts w:hint="eastAsia" w:ascii="Times New Roman" w:hAnsi="Times New Roman" w:eastAsia="宋体" w:cs="Times New Roman"/>
          <w:sz w:val="24"/>
          <w:szCs w:val="24"/>
        </w:rPr>
        <w:t>厂</w:t>
      </w:r>
      <w:r>
        <w:rPr>
          <w:rFonts w:ascii="Times New Roman" w:hAnsi="Times New Roman" w:eastAsia="宋体" w:cs="Times New Roman"/>
          <w:sz w:val="24"/>
          <w:szCs w:val="24"/>
        </w:rPr>
        <w:t>总量控制指标，则其总量指标由该污水处理厂分配，本项目不单独另设污染物排放总量控制指标。</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（2）废气</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本项目运营期的大气污染物主要有颗粒物、非甲烷总烃，本项目申请总量控制指标为颗粒物：</w:t>
      </w:r>
      <w:r>
        <w:rPr>
          <w:rFonts w:hint="eastAsia" w:ascii="Times New Roman" w:hAnsi="Times New Roman" w:eastAsia="宋体" w:cs="Times New Roman"/>
          <w:sz w:val="24"/>
          <w:szCs w:val="24"/>
        </w:rPr>
        <w:t>1.871</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挥发性有机物8.40</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本项目总量控制指标待项目上报，由生态环境管理部门进行审批，同时进行总量控制指标削减调剂。</w:t>
      </w:r>
    </w:p>
    <w:p>
      <w:pPr>
        <w:widowControl w:val="0"/>
        <w:spacing w:line="360" w:lineRule="auto"/>
        <w:ind w:firstLine="480" w:firstLineChars="200"/>
        <w:contextualSpacing/>
        <w:rPr>
          <w:rFonts w:ascii="Times New Roman" w:hAnsi="Times New Roman" w:eastAsia="宋体" w:cs="Times New Roman"/>
          <w:kern w:val="0"/>
          <w:sz w:val="24"/>
          <w:szCs w:val="24"/>
        </w:rPr>
        <w:sectPr>
          <w:pgSz w:w="11906" w:h="16838"/>
          <w:pgMar w:top="1440" w:right="1800" w:bottom="1440" w:left="1800" w:header="851" w:footer="992" w:gutter="0"/>
          <w:cols w:space="425" w:num="1"/>
          <w:docGrid w:type="lines" w:linePitch="312" w:charSpace="0"/>
        </w:sectPr>
      </w:pP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44" w:name="_Toc9089"/>
      <w:r>
        <w:rPr>
          <w:rFonts w:ascii="Times New Roman" w:hAnsi="Times New Roman" w:eastAsiaTheme="majorEastAsia"/>
          <w:bCs w:val="0"/>
          <w:sz w:val="32"/>
          <w:szCs w:val="32"/>
        </w:rPr>
        <w:t>5 环境现状调查与评价</w:t>
      </w:r>
      <w:bookmarkEnd w:id="44"/>
    </w:p>
    <w:p>
      <w:pPr>
        <w:pStyle w:val="7"/>
        <w:ind w:firstLine="640"/>
      </w:pPr>
      <w:r>
        <w:t>生态环境现状调查</w:t>
      </w:r>
    </w:p>
    <w:p>
      <w:pPr>
        <w:widowControl w:val="0"/>
        <w:spacing w:line="440" w:lineRule="exact"/>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（1）生态功能区划</w:t>
      </w:r>
    </w:p>
    <w:p>
      <w:pPr>
        <w:widowControl w:val="0"/>
        <w:spacing w:line="440" w:lineRule="exact"/>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根据《新疆生态功能区划》，项目区属天山山地温性草原、森林生态区，天山北坡针叶林、草甸水源涵养及草原牧业生态亚区，吐鲁番盆地绿洲特色农业与旅游生态功能区。主要保护目标为：保护水源地、保护城市大气和水环境质量、保护城市绿地及景观多样性。</w:t>
      </w:r>
    </w:p>
    <w:p>
      <w:pPr>
        <w:widowControl w:val="0"/>
        <w:spacing w:line="440" w:lineRule="exact"/>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（2）</w:t>
      </w:r>
      <w:r>
        <w:rPr>
          <w:rFonts w:hint="eastAsia" w:ascii="Times New Roman" w:hAnsi="Times New Roman" w:eastAsia="宋体" w:cs="Times New Roman"/>
          <w:snapToGrid w:val="0"/>
          <w:kern w:val="0"/>
          <w:sz w:val="24"/>
        </w:rPr>
        <w:t>土地利用现状</w:t>
      </w:r>
    </w:p>
    <w:p>
      <w:pPr>
        <w:widowControl w:val="0"/>
        <w:spacing w:line="44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本项目位于</w:t>
      </w:r>
      <w:r>
        <w:rPr>
          <w:rFonts w:ascii="Times New Roman" w:hAnsi="Times New Roman" w:eastAsia="宋体" w:cs="Times New Roman"/>
          <w:sz w:val="24"/>
        </w:rPr>
        <w:t>吐鲁番</w:t>
      </w:r>
      <w:r>
        <w:rPr>
          <w:rFonts w:hint="eastAsia" w:ascii="Times New Roman" w:hAnsi="Times New Roman" w:eastAsia="宋体" w:cs="Times New Roman"/>
          <w:sz w:val="24"/>
        </w:rPr>
        <w:t>经济开发区高端装备制造产业园内</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项目占地为工业用地。</w:t>
      </w:r>
    </w:p>
    <w:p>
      <w:pPr>
        <w:widowControl w:val="0"/>
        <w:spacing w:line="44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（3）植被</w:t>
      </w:r>
    </w:p>
    <w:p>
      <w:pPr>
        <w:widowControl w:val="0"/>
        <w:spacing w:line="44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项目所在区域为工业聚集区</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项目区原生植被主要为少量杂草。</w:t>
      </w:r>
    </w:p>
    <w:p>
      <w:pPr>
        <w:widowControl w:val="0"/>
        <w:spacing w:line="44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（4）动物</w:t>
      </w:r>
    </w:p>
    <w:p>
      <w:pPr>
        <w:widowControl w:val="0"/>
        <w:spacing w:line="440" w:lineRule="exact"/>
        <w:ind w:firstLine="480" w:firstLineChars="200"/>
        <w:rPr>
          <w:rFonts w:ascii="Times New Roman" w:hAnsi="Times New Roman" w:eastAsia="宋体" w:cs="Times New Roman"/>
          <w:snapToGrid w:val="0"/>
          <w:kern w:val="0"/>
          <w:sz w:val="24"/>
        </w:rPr>
      </w:pPr>
      <w:r>
        <w:rPr>
          <w:rFonts w:hint="eastAsia" w:ascii="Times New Roman" w:hAnsi="Times New Roman" w:eastAsia="宋体" w:cs="Times New Roman"/>
          <w:kern w:val="0"/>
          <w:sz w:val="24"/>
          <w:szCs w:val="24"/>
        </w:rPr>
        <w:t>项目所在区域为工业聚集区，</w:t>
      </w:r>
      <w:r>
        <w:rPr>
          <w:rFonts w:ascii="Times New Roman" w:hAnsi="Times New Roman" w:eastAsia="宋体" w:cs="Times New Roman"/>
          <w:sz w:val="24"/>
        </w:rPr>
        <w:t>项目区</w:t>
      </w:r>
      <w:r>
        <w:rPr>
          <w:rFonts w:ascii="Times New Roman" w:hAnsi="Times New Roman" w:eastAsia="宋体" w:cs="Times New Roman"/>
          <w:snapToGrid w:val="0"/>
          <w:kern w:val="0"/>
          <w:sz w:val="24"/>
        </w:rPr>
        <w:t>主要分布有沙鼠、跳鼠等啮齿类野生动物，无大型野生哺乳动物出没。</w:t>
      </w:r>
    </w:p>
    <w:p>
      <w:pPr>
        <w:widowControl w:val="0"/>
        <w:spacing w:line="360" w:lineRule="auto"/>
        <w:ind w:firstLine="480" w:firstLineChars="200"/>
        <w:contextualSpacing/>
        <w:rPr>
          <w:rFonts w:ascii="Times New Roman" w:hAnsi="Times New Roman" w:eastAsia="宋体" w:cs="Times New Roman"/>
          <w:snapToGrid w:val="0"/>
          <w:kern w:val="0"/>
          <w:sz w:val="24"/>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napToGrid w:val="0"/>
          <w:kern w:val="0"/>
          <w:sz w:val="24"/>
        </w:rPr>
        <w:t>本项目评价范围内无名胜古迹、地质遗迹、自然保护区等，亦无保护类野生动植物。</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45" w:name="_Toc19800"/>
      <w:r>
        <w:rPr>
          <w:rFonts w:ascii="Times New Roman" w:hAnsi="Times New Roman" w:eastAsiaTheme="majorEastAsia"/>
          <w:bCs w:val="0"/>
          <w:sz w:val="32"/>
          <w:szCs w:val="32"/>
        </w:rPr>
        <w:t>6 环境影响预测与评价</w:t>
      </w:r>
      <w:bookmarkEnd w:id="45"/>
    </w:p>
    <w:p>
      <w:pPr>
        <w:pStyle w:val="6"/>
        <w:widowControl w:val="0"/>
        <w:ind w:firstLine="640"/>
      </w:pPr>
      <w:bookmarkStart w:id="46" w:name="_Toc2233"/>
      <w:bookmarkStart w:id="47" w:name="_Toc7599"/>
      <w:bookmarkStart w:id="48" w:name="_Toc15610"/>
      <w:bookmarkStart w:id="49" w:name="_Toc29658"/>
      <w:bookmarkStart w:id="50" w:name="_Toc22887"/>
      <w:r>
        <w:t>6.1 施工期环境影响分析</w:t>
      </w:r>
      <w:bookmarkEnd w:id="46"/>
      <w:bookmarkEnd w:id="47"/>
      <w:bookmarkEnd w:id="48"/>
    </w:p>
    <w:p>
      <w:pPr>
        <w:pStyle w:val="7"/>
        <w:widowControl w:val="0"/>
        <w:spacing w:before="0" w:after="0" w:line="360" w:lineRule="auto"/>
        <w:ind w:firstLine="562" w:firstLineChars="200"/>
        <w:rPr>
          <w:sz w:val="28"/>
          <w:szCs w:val="28"/>
        </w:rPr>
      </w:pPr>
      <w:bookmarkStart w:id="51" w:name="_Toc30401"/>
      <w:bookmarkStart w:id="52" w:name="_Toc10025"/>
      <w:r>
        <w:rPr>
          <w:sz w:val="28"/>
          <w:szCs w:val="28"/>
        </w:rPr>
        <w:t>6.1.1 施工期大气环境影响分析</w:t>
      </w:r>
      <w:bookmarkEnd w:id="51"/>
      <w:bookmarkEnd w:id="52"/>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扬尘是项目施工期间影响环境空气的主要污染物，来源于多项粉尘无组织源：建筑场地的平整清理，土方挖掘填埋，物料堆存，建筑材料的装卸、搬运、使用，以及运料车辆的出入等，都易产生扬尘污染。</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在施工运输中，由于开挖土方后，致使大片土地裸露和土方堆放，建筑材料装卸以及运输车辆产生粉尘，这些粉尘随风扩散和飘动，造成施工扬尘。</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施工扬尘是施工活动的一个重要污染源，是人们十分关注的问题。施工扬尘的大小随施工季节、施工管理等不同差别甚大，影响范围可达150～300m。</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本工程施工期对大气的影响主要是施工和运输产生的粉尘和二次扬尘。</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施工过程中大量的挖土堆置施工场地。工程所在区域风速较大，且堆置的土较为疏松，容易引起扬尘，给周围大气环境带来较大影响。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施工运输车辆在道路上行驶会引起扬尘，运送黏性土料的车辆如不遮盖也会产生扬尘。</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上述扬尘对大气环境的影响虽然是暂时的，但局部污染状况是较为严重的，必须引起重视，采取道路喷洒水或遮盖措施减少其影响。</w:t>
      </w:r>
    </w:p>
    <w:p>
      <w:pPr>
        <w:pStyle w:val="7"/>
        <w:widowControl w:val="0"/>
        <w:spacing w:before="0" w:after="0" w:line="360" w:lineRule="auto"/>
        <w:ind w:firstLine="562" w:firstLineChars="200"/>
        <w:rPr>
          <w:sz w:val="28"/>
          <w:szCs w:val="28"/>
        </w:rPr>
      </w:pPr>
      <w:r>
        <w:rPr>
          <w:sz w:val="28"/>
          <w:szCs w:val="28"/>
        </w:rPr>
        <w:t>6.1.2 施工期废水影响分析</w:t>
      </w:r>
      <w:bookmarkEnd w:id="49"/>
      <w:bookmarkEnd w:id="50"/>
    </w:p>
    <w:p>
      <w:pPr>
        <w:widowControl w:val="0"/>
        <w:spacing w:line="360" w:lineRule="auto"/>
        <w:ind w:firstLine="480" w:firstLineChars="200"/>
        <w:rPr>
          <w:rFonts w:ascii="Times New Roman" w:hAnsi="Times New Roman" w:eastAsia="宋体" w:cs="Times New Roman"/>
          <w:sz w:val="24"/>
        </w:rPr>
      </w:pPr>
      <w:bookmarkStart w:id="53" w:name="_Toc32474"/>
      <w:bookmarkStart w:id="54" w:name="_Toc24312"/>
      <w:r>
        <w:rPr>
          <w:rFonts w:ascii="Times New Roman" w:hAnsi="Times New Roman" w:eastAsia="宋体" w:cs="Times New Roman"/>
          <w:sz w:val="24"/>
        </w:rPr>
        <w:t>施工期污废水主要包括施工废水和施工人员生活污水。</w:t>
      </w:r>
    </w:p>
    <w:p>
      <w:pPr>
        <w:widowControl w:val="0"/>
        <w:spacing w:line="360" w:lineRule="auto"/>
        <w:ind w:firstLine="480" w:firstLineChars="200"/>
        <w:rPr>
          <w:rFonts w:ascii="Times New Roman" w:hAnsi="Times New Roman" w:cs="Times New Roman"/>
          <w:sz w:val="24"/>
        </w:rPr>
      </w:pPr>
      <w:r>
        <w:rPr>
          <w:rFonts w:ascii="Times New Roman" w:hAnsi="Times New Roman" w:eastAsia="宋体" w:cs="Times New Roman"/>
          <w:sz w:val="24"/>
        </w:rPr>
        <w:t>施工废水主要来自混凝土养护废水。废水排入防渗沉淀池，沉淀后回用，不外排。</w:t>
      </w:r>
      <w:r>
        <w:rPr>
          <w:rFonts w:ascii="Times New Roman" w:hAnsi="Times New Roman" w:cs="Times New Roman"/>
          <w:sz w:val="24"/>
        </w:rPr>
        <w:t>本项目施工期间不设置施工营地，施工期间产生的少量的</w:t>
      </w:r>
      <w:r>
        <w:rPr>
          <w:rFonts w:hint="eastAsia" w:ascii="Times New Roman" w:hAnsi="Times New Roman" w:cs="Times New Roman"/>
          <w:sz w:val="24"/>
        </w:rPr>
        <w:t>生活污水设置临时环保厕所，并做好防渗处理，定期拉运至吐鲁番市高昌区污水处理厂处理</w:t>
      </w:r>
      <w:r>
        <w:rPr>
          <w:rFonts w:ascii="Times New Roman" w:hAnsi="Times New Roman" w:cs="Times New Roman"/>
          <w:sz w:val="24"/>
        </w:rPr>
        <w:t>。</w:t>
      </w:r>
    </w:p>
    <w:p>
      <w:pPr>
        <w:pStyle w:val="7"/>
        <w:widowControl w:val="0"/>
        <w:spacing w:before="0" w:after="0" w:line="360" w:lineRule="auto"/>
        <w:ind w:firstLine="562" w:firstLineChars="200"/>
        <w:rPr>
          <w:sz w:val="28"/>
          <w:szCs w:val="28"/>
        </w:rPr>
      </w:pPr>
      <w:r>
        <w:rPr>
          <w:sz w:val="28"/>
          <w:szCs w:val="28"/>
        </w:rPr>
        <w:t>6.1.3 施工期声环境影响分析</w:t>
      </w:r>
      <w:bookmarkEnd w:id="53"/>
      <w:bookmarkEnd w:id="54"/>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拟建项目施工期会对周围产生噪声影响。施工中的噪声主要来源于施工机械设备，大多为不连续性噪声。施工中的主要设备噪声见下表。</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cs="Times New Roman"/>
          <w:kern w:val="0"/>
          <w:sz w:val="24"/>
          <w:szCs w:val="24"/>
        </w:rPr>
        <w:t>由上表可以看出，施工设备属强噪声源，且位于室外，无有效的控制措施。</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施工期各种噪声源多为点源，按点声源衰减模式计算施工机械噪声的距离</w:t>
      </w:r>
      <w:r>
        <w:rPr>
          <w:rFonts w:hint="eastAsia" w:ascii="Times New Roman" w:hAnsi="Times New Roman" w:cs="Times New Roman"/>
          <w:kern w:val="0"/>
          <w:sz w:val="24"/>
          <w:szCs w:val="24"/>
        </w:rPr>
        <w:t>。</w:t>
      </w:r>
      <w:r>
        <w:rPr>
          <w:rFonts w:ascii="Times New Roman" w:hAnsi="Times New Roman" w:cs="Times New Roman"/>
          <w:kern w:val="0"/>
          <w:sz w:val="24"/>
          <w:szCs w:val="24"/>
        </w:rPr>
        <w:t>由上表可以看出，土石方和装修阶段，白天场界可以达标，但夜间超标。声级值在100dB（A）以上的设备在30m处仍不能满足《建筑施工场界环境噪声排放标准》（GB12523-2011）相关标准。</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施工阶段使用中高噪声机械设备，要严格遵守当地环保管理部门制定的施工工地噪声作业规定及要求，并在午休时间和夜间休息时间停止施工，积极采取相应措施降低施工噪声，不会对自身人员造成噪声危害。</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为了减轻施工噪声对周边环境的影响，施工期应采取以下噪声防治措施：</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（1）制订施工计划时应避免同时使用大量高噪声设备施工，除此之外，高噪声机械施工时间要安排在日间，减少夜间施工量，禁止夜间打桩及限制车辆运输，白天车辆经过办公、居住区时，尽量不鸣喇叭。</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（2）合理布局施工现场，避免在同一地点安排大量动力机械设备，以防止局部声级过高。对一些施工位置相对固定的高噪施工设备，可以在棚内操作的尽量进入操作间。</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3）设备选型上应采用低噪声设备，如液压机械代替燃油机械，振捣器采用高频振捣器等。固定机械设备与挖土、运土机械（如挖土机、推土机等）可通过排气管消声器和隔离发动机振动部件的方法降低噪声；设备常因松动部件的振动或消声器的损坏而增加其工作时的噪声级。对动力机械设备进行定期的维修、养护。运输车辆进入现场应减速，并减少鸣笛。</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（4）尽量少用哨子、钟、笛等指挥作业，代之以现代化通信设备，按规程操作机械设备，减少人为噪声。</w:t>
      </w:r>
    </w:p>
    <w:p>
      <w:pPr>
        <w:pStyle w:val="7"/>
        <w:widowControl w:val="0"/>
        <w:spacing w:before="0" w:after="0" w:line="360" w:lineRule="auto"/>
        <w:ind w:firstLine="562" w:firstLineChars="200"/>
        <w:rPr>
          <w:sz w:val="28"/>
          <w:szCs w:val="28"/>
        </w:rPr>
      </w:pPr>
      <w:bookmarkStart w:id="55" w:name="_Toc4431"/>
      <w:bookmarkStart w:id="56" w:name="_Toc8560"/>
      <w:bookmarkStart w:id="57" w:name="_Toc3684"/>
      <w:bookmarkStart w:id="58" w:name="_Toc27280"/>
      <w:r>
        <w:rPr>
          <w:sz w:val="28"/>
          <w:szCs w:val="28"/>
        </w:rPr>
        <w:t>6.1.4 施工期固体废弃物影响分析及防治措施</w:t>
      </w:r>
      <w:bookmarkEnd w:id="55"/>
      <w:bookmarkEnd w:id="56"/>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本项目施工期的固体废物主要为施工建筑垃圾、工人产生的生活垃圾等。</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本项目</w:t>
      </w:r>
      <w:r>
        <w:rPr>
          <w:rFonts w:ascii="Times New Roman" w:hAnsi="Times New Roman" w:cs="Times New Roman"/>
          <w:kern w:val="24"/>
          <w:sz w:val="24"/>
          <w:szCs w:val="24"/>
        </w:rPr>
        <w:t>开挖产生的土石方量较少，可全部回用回填。施工建筑垃圾由施工单位或承建单位作为筑路材料或外运至建筑垃圾填埋点进行安全填埋。生活垃圾收集至项目区附近垃圾箱内，由环卫部门统一清运。</w:t>
      </w:r>
    </w:p>
    <w:p>
      <w:pPr>
        <w:pStyle w:val="7"/>
        <w:widowControl w:val="0"/>
        <w:spacing w:before="0" w:after="0" w:line="360" w:lineRule="auto"/>
        <w:ind w:firstLine="562" w:firstLineChars="200"/>
        <w:rPr>
          <w:sz w:val="28"/>
          <w:szCs w:val="28"/>
        </w:rPr>
      </w:pPr>
      <w:r>
        <w:rPr>
          <w:sz w:val="28"/>
          <w:szCs w:val="28"/>
        </w:rPr>
        <w:t>6.1.5 施工期生态环境影响分析及措施</w:t>
      </w:r>
      <w:bookmarkEnd w:id="57"/>
      <w:bookmarkEnd w:id="58"/>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本项目建设施工对生态环境的影响主要表现在工程占地及“三废”排放对项目区影响范围内土壤植被的影响；施工噪声对野生动物的影响；运输、人类活动对土壤植被及野生动物的影响。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（1）施工对土壤植被的影响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根据工程建设方案，与本议题相关的工程建设内容包括：项目区平整及设施建设、入厂道路建设。</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本工程总占地为永久性占地。经过施工期的场地平整建设，项目区大部分地表原生植被及土壤结构将被破坏，地形地貌被改变。虽然建厂后期要进行项目区绿化，但项目区植被覆盖度总体还是有所下降。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永久性占地将改变土壤表层结构，破坏其中大部分地表植被，虽然本项目所占用土地性质为建设用地，但从目前的实际自然状态而言，工程建设将间接地对当地生态造成一些影响。施工临时占地范围内部分地表植被和土壤表层结构被破坏，但随着施工的结束，地表植被将逐渐恢复，同时土地原有功能也得以恢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施工建设过</w:t>
      </w:r>
      <w:r>
        <w:rPr>
          <w:rFonts w:hint="eastAsia" w:ascii="Times New Roman" w:hAnsi="Times New Roman" w:cs="Times New Roman"/>
          <w:kern w:val="0"/>
          <w:sz w:val="24"/>
          <w:szCs w:val="24"/>
        </w:rPr>
        <w:t>程中</w:t>
      </w:r>
      <w:r>
        <w:rPr>
          <w:rFonts w:ascii="Times New Roman" w:hAnsi="Times New Roman" w:cs="Times New Roman"/>
          <w:kern w:val="0"/>
          <w:sz w:val="24"/>
          <w:szCs w:val="24"/>
        </w:rPr>
        <w:t>人员本身产生的“三废”量较少，影响不大，但场地平整和入厂道路建设开挖土方量很大，要求全部在项目区内部平衡，避免在工程用地范围以外设立堆场等设施，控制对土壤植被的破坏。</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（2）工程对生态系统连续性、生物多样性的影响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生态系统的功能是以系统完整的结构和良好的运行为基础的，要保护生态系统的整体性和运行的连续性，则要做到</w:t>
      </w:r>
      <w:r>
        <w:rPr>
          <w:rFonts w:ascii="Times New Roman" w:hAnsi="Times New Roman" w:eastAsia="宋体" w:cs="Times New Roman"/>
          <w:kern w:val="0"/>
          <w:sz w:val="24"/>
          <w:szCs w:val="24"/>
        </w:rPr>
        <w:t>①</w:t>
      </w:r>
      <w:r>
        <w:rPr>
          <w:rFonts w:ascii="Times New Roman" w:hAnsi="Times New Roman" w:cs="Times New Roman"/>
          <w:kern w:val="0"/>
          <w:sz w:val="24"/>
          <w:szCs w:val="24"/>
        </w:rPr>
        <w:t>地域的连续性，这是生态系统存在和长久维持的重要条件；</w:t>
      </w:r>
      <w:r>
        <w:rPr>
          <w:rFonts w:ascii="Times New Roman" w:hAnsi="Times New Roman" w:eastAsia="宋体" w:cs="Times New Roman"/>
          <w:kern w:val="0"/>
          <w:sz w:val="24"/>
          <w:szCs w:val="24"/>
        </w:rPr>
        <w:t>②</w:t>
      </w:r>
      <w:r>
        <w:rPr>
          <w:rFonts w:ascii="Times New Roman" w:hAnsi="Times New Roman" w:cs="Times New Roman"/>
          <w:kern w:val="0"/>
          <w:sz w:val="24"/>
          <w:szCs w:val="24"/>
        </w:rPr>
        <w:t>物种的多样性，这也是生态系统趋于稳定的重要因素，物种多样性越低，生态系统也就越脆弱。</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本工程的建设对生态系统地域的连续性和物种的多样性影响微弱，因为项目区占地面积有限且集中，厂外道路依托现有设施，不会对本地区生态系统的功能和可持续利用造成影响。</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施工建设期间，施工噪声、人流物流将会影响野生动物的活动，使较敏感的野生动物远离施工区。由于项目所在区域目前野生动物已经较少，本项目对野生动物的影响有限。</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建设项目施工期间对周围环境的影响，虽然时间短，但属毁灭性破坏，原生植被遭破坏后的第一个生长期将全部消失，需经过一定时间后，工程周围的原生植被才能逐渐得以恢复。施工中的弃土问题也是工程建设中常见的，它不仅破坏了原有的地表和植被，且弃土的堆存会占用土地，影响其原有功能，开挖处如不及时进行填方，遇到降水会发生地面塌陷，弃土如不及时运走，若遇降水，可能会引起水土流失，这些问题若不能及时处理，施工过程所产生的生态环境破坏将是明显的。</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因此，施工期前应先做好施工组织，做出详细的规划，首先修好道路，使拉运建筑材料和土石方的车辆在固定的道路上行驶，防止四处乱辗，扰动地表；划定好施工活动范围，包括材料的堆存范围、机械设备及运输车辆的行走路线、人员食宿及运动范围，尽量减少临时占地数量。</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在施工过程中需加强管理，严禁不按操作规程野蛮施工。施工监理部门和当地环保部门也应紧密合作，进行监督管理。施工结束后，须及时清理场地，恢复当地的植被。</w:t>
      </w:r>
    </w:p>
    <w:p>
      <w:pPr>
        <w:pStyle w:val="7"/>
        <w:widowControl w:val="0"/>
        <w:spacing w:before="0" w:after="0" w:line="360" w:lineRule="auto"/>
        <w:ind w:firstLine="562" w:firstLineChars="200"/>
        <w:rPr>
          <w:sz w:val="28"/>
          <w:szCs w:val="28"/>
        </w:rPr>
      </w:pPr>
      <w:bookmarkStart w:id="59" w:name="_Toc32628"/>
      <w:bookmarkStart w:id="60" w:name="_Toc19785"/>
      <w:r>
        <w:rPr>
          <w:sz w:val="28"/>
          <w:szCs w:val="28"/>
        </w:rPr>
        <w:t>6.1.6 施工期污染防治措施汇总及环境管理要求</w:t>
      </w:r>
      <w:bookmarkEnd w:id="59"/>
      <w:bookmarkEnd w:id="60"/>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项目施工影响分析结果来看，本建设项目施工扬尘、施工噪声、施工废水以及固体废物等均对环境有一定的影响，本评价依据施工影响分析结果，按照国家现有的有关环境管理要求，结合项目区域自然环境</w:t>
      </w:r>
      <w:r>
        <w:rPr>
          <w:rFonts w:hint="eastAsia" w:ascii="Times New Roman" w:hAnsi="Times New Roman" w:cs="Times New Roman"/>
          <w:kern w:val="0"/>
          <w:sz w:val="24"/>
          <w:szCs w:val="24"/>
          <w:lang w:eastAsia="zh-CN"/>
        </w:rPr>
        <w:t>实际情况</w:t>
      </w:r>
      <w:bookmarkStart w:id="127" w:name="_GoBack"/>
      <w:bookmarkEnd w:id="127"/>
      <w:r>
        <w:rPr>
          <w:rFonts w:ascii="Times New Roman" w:hAnsi="Times New Roman" w:cs="Times New Roman"/>
          <w:kern w:val="0"/>
          <w:sz w:val="24"/>
          <w:szCs w:val="24"/>
        </w:rPr>
        <w:t>，提出施工期的污染防治措施和环境管理要求。</w:t>
      </w:r>
    </w:p>
    <w:p>
      <w:pPr>
        <w:pStyle w:val="6"/>
        <w:widowControl w:val="0"/>
        <w:ind w:firstLine="640"/>
      </w:pPr>
      <w:bookmarkStart w:id="61" w:name="_Toc24275"/>
      <w:bookmarkStart w:id="62" w:name="_Toc22242"/>
      <w:r>
        <w:t>6.2 运营期大气环境影响预测及评价</w:t>
      </w:r>
      <w:bookmarkEnd w:id="61"/>
      <w:bookmarkEnd w:id="62"/>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预测模式选择《环境影响评价技术导则－大气环境》（HJ2.2-2018）附录A中推荐的 AERSCREEN模式。</w:t>
      </w:r>
    </w:p>
    <w:p>
      <w:pPr>
        <w:widowControl w:val="0"/>
        <w:spacing w:line="360" w:lineRule="auto"/>
        <w:ind w:firstLine="482" w:firstLineChars="200"/>
        <w:rPr>
          <w:rFonts w:ascii="Times New Roman" w:hAnsi="Times New Roman" w:cs="Times New Roman"/>
          <w:b/>
          <w:kern w:val="24"/>
          <w:sz w:val="24"/>
          <w:szCs w:val="24"/>
        </w:rPr>
      </w:pPr>
      <w:r>
        <w:rPr>
          <w:rFonts w:ascii="Times New Roman" w:hAnsi="Times New Roman" w:cs="Times New Roman"/>
          <w:b/>
          <w:kern w:val="24"/>
          <w:sz w:val="24"/>
          <w:szCs w:val="24"/>
        </w:rPr>
        <w:t>预测结果</w:t>
      </w:r>
    </w:p>
    <w:p>
      <w:pPr>
        <w:widowControl w:val="0"/>
        <w:spacing w:line="360" w:lineRule="auto"/>
        <w:ind w:firstLine="480" w:firstLineChars="200"/>
        <w:rPr>
          <w:rFonts w:ascii="Times New Roman" w:hAnsi="Times New Roman" w:cs="Times New Roman"/>
          <w:kern w:val="24"/>
          <w:sz w:val="24"/>
          <w:szCs w:val="24"/>
        </w:rPr>
      </w:pPr>
      <w:r>
        <w:rPr>
          <w:rFonts w:ascii="Times New Roman" w:hAnsi="Times New Roman" w:cs="Times New Roman"/>
          <w:kern w:val="24"/>
          <w:sz w:val="24"/>
          <w:szCs w:val="24"/>
        </w:rPr>
        <w:t>模式预测结果见</w:t>
      </w:r>
      <w:r>
        <w:rPr>
          <w:rFonts w:hint="eastAsia" w:ascii="Times New Roman" w:hAnsi="Times New Roman" w:cs="Times New Roman"/>
          <w:kern w:val="24"/>
          <w:sz w:val="24"/>
          <w:szCs w:val="24"/>
        </w:rPr>
        <w:t>下</w:t>
      </w:r>
      <w:r>
        <w:rPr>
          <w:rFonts w:ascii="Times New Roman" w:hAnsi="Times New Roman" w:cs="Times New Roman"/>
          <w:kern w:val="24"/>
          <w:sz w:val="24"/>
          <w:szCs w:val="24"/>
        </w:rPr>
        <w:t>表。</w:t>
      </w:r>
    </w:p>
    <w:p>
      <w:pPr>
        <w:widowControl w:val="0"/>
        <w:spacing w:line="360" w:lineRule="auto"/>
        <w:ind w:firstLine="480" w:firstLineChars="200"/>
        <w:rPr>
          <w:rFonts w:ascii="Times New Roman" w:hAnsi="Times New Roman" w:cs="Times New Roman"/>
          <w:kern w:val="24"/>
          <w:sz w:val="24"/>
          <w:szCs w:val="24"/>
        </w:rPr>
      </w:pPr>
      <w:r>
        <w:rPr>
          <w:rFonts w:hint="eastAsia" w:ascii="Times New Roman" w:hAnsi="Times New Roman" w:cs="Times New Roman"/>
          <w:kern w:val="24"/>
          <w:sz w:val="24"/>
          <w:szCs w:val="24"/>
        </w:rPr>
        <w:t>本项目喷漆车间排放的二甲苯Pmax值为6.5545%，Cmax为13.109μg/m³</w:t>
      </w:r>
      <w:r>
        <w:rPr>
          <w:rFonts w:ascii="Times New Roman" w:hAnsi="Times New Roman" w:cs="Times New Roman"/>
          <w:kern w:val="24"/>
          <w:sz w:val="24"/>
          <w:szCs w:val="24"/>
        </w:rPr>
        <w:t>。根据《环境影响评价技术导则 大气环境》（HJ2.2-2018）分级判据，确定本项目大气环境影响评价工作等级为二级。由此可见，本项目污染源排放的主要污染物下风向最大落地浓度及占标率均不会超过相应的环境质量标准，对区域环境空气质量现状影响较小。</w:t>
      </w:r>
    </w:p>
    <w:p>
      <w:pPr>
        <w:widowControl w:val="0"/>
        <w:spacing w:line="360" w:lineRule="auto"/>
        <w:ind w:firstLine="482" w:firstLineChars="200"/>
        <w:rPr>
          <w:rFonts w:ascii="Times New Roman" w:hAnsi="Times New Roman" w:cs="Times New Roman"/>
          <w:b/>
          <w:kern w:val="24"/>
          <w:sz w:val="24"/>
          <w:szCs w:val="24"/>
        </w:rPr>
      </w:pPr>
      <w:r>
        <w:rPr>
          <w:rFonts w:ascii="Times New Roman" w:hAnsi="Times New Roman" w:cs="Times New Roman"/>
          <w:b/>
          <w:kern w:val="24"/>
          <w:sz w:val="24"/>
          <w:szCs w:val="24"/>
        </w:rPr>
        <w:t>大气环境影响分析小结</w:t>
      </w:r>
    </w:p>
    <w:p>
      <w:pPr>
        <w:widowControl w:val="0"/>
        <w:spacing w:line="360" w:lineRule="auto"/>
        <w:ind w:firstLine="480" w:firstLineChars="200"/>
        <w:rPr>
          <w:rFonts w:ascii="Times New Roman" w:hAnsi="Times New Roman" w:eastAsia="宋体" w:cs="Times New Roman"/>
          <w:sz w:val="24"/>
        </w:rPr>
      </w:pPr>
      <w:r>
        <w:rPr>
          <w:rFonts w:ascii="Times New Roman" w:hAnsi="Times New Roman" w:cs="Times New Roman"/>
          <w:kern w:val="24"/>
          <w:sz w:val="24"/>
          <w:szCs w:val="24"/>
        </w:rPr>
        <w:t>根据预测结果可知：经相应措施处理后的项目废气均能实现达标排放，本项</w:t>
      </w:r>
      <w:r>
        <w:rPr>
          <w:rFonts w:ascii="Times New Roman" w:hAnsi="Times New Roman" w:eastAsia="宋体" w:cs="Times New Roman"/>
          <w:sz w:val="24"/>
        </w:rPr>
        <w:t>目Pmax最大值出现为喷漆车间排放的</w:t>
      </w:r>
      <w:r>
        <w:rPr>
          <w:rFonts w:hint="eastAsia" w:ascii="Times New Roman" w:hAnsi="Times New Roman" w:eastAsia="宋体" w:cs="Times New Roman"/>
          <w:sz w:val="24"/>
        </w:rPr>
        <w:t>二甲苯</w:t>
      </w:r>
      <w:r>
        <w:rPr>
          <w:rFonts w:ascii="Times New Roman" w:hAnsi="Times New Roman" w:eastAsia="宋体" w:cs="Times New Roman"/>
          <w:sz w:val="24"/>
        </w:rPr>
        <w:t>Pmax值为</w:t>
      </w:r>
      <w:r>
        <w:rPr>
          <w:rFonts w:hint="eastAsia" w:ascii="Times New Roman" w:hAnsi="Times New Roman" w:eastAsia="宋体" w:cs="Times New Roman"/>
          <w:sz w:val="24"/>
        </w:rPr>
        <w:t>7.7286</w:t>
      </w:r>
      <w:r>
        <w:rPr>
          <w:rFonts w:ascii="Times New Roman" w:hAnsi="Times New Roman" w:eastAsia="宋体" w:cs="Times New Roman"/>
          <w:sz w:val="24"/>
        </w:rPr>
        <w:t>%，Cmax为</w:t>
      </w:r>
      <w:r>
        <w:rPr>
          <w:rFonts w:hint="eastAsia" w:ascii="Times New Roman" w:hAnsi="Times New Roman" w:eastAsia="宋体" w:cs="Times New Roman"/>
          <w:sz w:val="24"/>
        </w:rPr>
        <w:t>15.4565</w:t>
      </w:r>
      <w:r>
        <w:rPr>
          <w:rFonts w:ascii="Times New Roman" w:hAnsi="Times New Roman" w:eastAsia="宋体" w:cs="Times New Roman"/>
          <w:sz w:val="24"/>
        </w:rPr>
        <w:t>μg/m³。根据《环境影响评价技术导则 大气环境》（HJ2.2-2018）分级判据，确定本项目大气环境影响评价工作等级为二级，项目所在区域为不达标区域。根据《环境影响评价技术导则—大气环境》（HJ2.2-2018），本项目环境影响可以接受。</w:t>
      </w:r>
    </w:p>
    <w:p>
      <w:pPr>
        <w:pStyle w:val="6"/>
        <w:widowControl w:val="0"/>
        <w:ind w:firstLine="640"/>
      </w:pPr>
      <w:bookmarkStart w:id="63" w:name="_Toc32000"/>
      <w:bookmarkStart w:id="64" w:name="_Toc31263"/>
      <w:r>
        <w:t>6.3 运营期水环境影响分析</w:t>
      </w:r>
      <w:bookmarkEnd w:id="63"/>
      <w:bookmarkEnd w:id="64"/>
    </w:p>
    <w:p>
      <w:pPr>
        <w:pStyle w:val="7"/>
        <w:widowControl w:val="0"/>
        <w:spacing w:before="0" w:after="0" w:line="360" w:lineRule="auto"/>
        <w:ind w:firstLine="562" w:firstLineChars="200"/>
        <w:rPr>
          <w:sz w:val="28"/>
          <w:szCs w:val="28"/>
        </w:rPr>
      </w:pPr>
      <w:r>
        <w:rPr>
          <w:sz w:val="28"/>
          <w:szCs w:val="28"/>
        </w:rPr>
        <w:t>6.3.1 项目用水来源</w:t>
      </w:r>
    </w:p>
    <w:p>
      <w:pPr>
        <w:widowControl w:val="0"/>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给水水源采用</w:t>
      </w:r>
      <w:r>
        <w:rPr>
          <w:rFonts w:hint="eastAsia" w:ascii="Times New Roman" w:hAnsi="Times New Roman" w:eastAsia="宋体" w:cs="Times New Roman"/>
          <w:sz w:val="24"/>
        </w:rPr>
        <w:t>工业片区</w:t>
      </w:r>
      <w:r>
        <w:rPr>
          <w:rFonts w:ascii="Times New Roman" w:hAnsi="Times New Roman" w:eastAsia="宋体" w:cs="Times New Roman"/>
          <w:sz w:val="24"/>
        </w:rPr>
        <w:t>自来水管网供给，项目所在地给水管网已经覆盖，项目区附近道路上供水管网预留接口接入。</w:t>
      </w:r>
    </w:p>
    <w:p>
      <w:pPr>
        <w:pStyle w:val="7"/>
        <w:widowControl w:val="0"/>
        <w:spacing w:before="0" w:after="0" w:line="360" w:lineRule="auto"/>
        <w:ind w:firstLine="562" w:firstLineChars="200"/>
        <w:rPr>
          <w:sz w:val="28"/>
          <w:szCs w:val="28"/>
        </w:rPr>
      </w:pPr>
      <w:r>
        <w:rPr>
          <w:sz w:val="28"/>
          <w:szCs w:val="28"/>
        </w:rPr>
        <w:t>6.3.2 废水产生情况</w:t>
      </w:r>
    </w:p>
    <w:p>
      <w:pPr>
        <w:widowControl w:val="0"/>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本项目生活污水排入</w:t>
      </w:r>
      <w:r>
        <w:rPr>
          <w:rFonts w:hint="eastAsia" w:ascii="Times New Roman" w:hAnsi="Times New Roman" w:eastAsia="宋体" w:cs="Times New Roman"/>
          <w:sz w:val="24"/>
        </w:rPr>
        <w:t>工业片区</w:t>
      </w:r>
      <w:r>
        <w:rPr>
          <w:rFonts w:ascii="Times New Roman" w:hAnsi="Times New Roman" w:eastAsia="宋体" w:cs="Times New Roman"/>
          <w:sz w:val="24"/>
        </w:rPr>
        <w:t>污水管网，最终进入吐鲁番市高昌区污水</w:t>
      </w:r>
      <w:r>
        <w:rPr>
          <w:rFonts w:hint="eastAsia" w:ascii="Times New Roman" w:hAnsi="Times New Roman" w:eastAsia="宋体" w:cs="Times New Roman"/>
          <w:sz w:val="24"/>
        </w:rPr>
        <w:t>处理厂</w:t>
      </w:r>
      <w:r>
        <w:rPr>
          <w:rFonts w:ascii="Times New Roman" w:hAnsi="Times New Roman" w:eastAsia="宋体" w:cs="Times New Roman"/>
          <w:sz w:val="24"/>
        </w:rPr>
        <w:t>，污水排放量为1530m</w:t>
      </w:r>
      <w:r>
        <w:rPr>
          <w:rFonts w:ascii="Times New Roman" w:hAnsi="Times New Roman" w:eastAsia="宋体" w:cs="Times New Roman"/>
          <w:sz w:val="24"/>
          <w:vertAlign w:val="superscript"/>
        </w:rPr>
        <w:t>3</w:t>
      </w:r>
      <w:r>
        <w:rPr>
          <w:rFonts w:ascii="Times New Roman" w:hAnsi="Times New Roman" w:eastAsia="宋体" w:cs="Times New Roman"/>
          <w:sz w:val="24"/>
        </w:rPr>
        <w:t>/a。</w:t>
      </w:r>
    </w:p>
    <w:p>
      <w:pPr>
        <w:pStyle w:val="7"/>
        <w:widowControl w:val="0"/>
        <w:spacing w:before="0" w:after="0" w:line="360" w:lineRule="auto"/>
        <w:ind w:firstLine="562" w:firstLineChars="200"/>
        <w:rPr>
          <w:sz w:val="28"/>
          <w:szCs w:val="28"/>
        </w:rPr>
      </w:pPr>
      <w:r>
        <w:rPr>
          <w:sz w:val="28"/>
          <w:szCs w:val="28"/>
        </w:rPr>
        <w:t>6.3.3 废水排放去向</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本项目废水</w:t>
      </w:r>
      <w:r>
        <w:rPr>
          <w:rFonts w:hint="eastAsia" w:ascii="Times New Roman" w:hAnsi="Times New Roman" w:eastAsia="宋体" w:cs="Times New Roman"/>
          <w:sz w:val="24"/>
          <w:szCs w:val="24"/>
        </w:rPr>
        <w:t>仅有生活污水，生活污水</w:t>
      </w:r>
      <w:r>
        <w:rPr>
          <w:rFonts w:ascii="Times New Roman" w:hAnsi="Times New Roman" w:eastAsia="宋体" w:cs="Times New Roman"/>
          <w:sz w:val="24"/>
          <w:szCs w:val="24"/>
        </w:rPr>
        <w:t>排放到吐鲁番市高昌区污水处理厂集中处理</w:t>
      </w:r>
      <w:r>
        <w:rPr>
          <w:rFonts w:ascii="Times New Roman" w:hAnsi="Times New Roman" w:cs="Times New Roman"/>
          <w:kern w:val="0"/>
          <w:sz w:val="24"/>
          <w:szCs w:val="24"/>
        </w:rPr>
        <w:t>，</w:t>
      </w:r>
      <w:r>
        <w:rPr>
          <w:rFonts w:hint="eastAsia" w:ascii="Times New Roman" w:hAnsi="Times New Roman" w:cs="Times New Roman"/>
          <w:kern w:val="0"/>
          <w:sz w:val="24"/>
          <w:szCs w:val="24"/>
        </w:rPr>
        <w:t>待高端装备制造产业园区污水处理厂（吐鲁番市第二污水处理厂）建成后，排入该污水处理厂处理</w:t>
      </w:r>
      <w:r>
        <w:rPr>
          <w:rFonts w:ascii="Times New Roman" w:hAnsi="Times New Roman" w:eastAsia="宋体" w:cs="Times New Roman"/>
          <w:sz w:val="24"/>
          <w:szCs w:val="24"/>
        </w:rPr>
        <w:t>。</w:t>
      </w:r>
    </w:p>
    <w:p>
      <w:pPr>
        <w:pStyle w:val="6"/>
        <w:widowControl w:val="0"/>
        <w:ind w:firstLine="640"/>
      </w:pPr>
      <w:bookmarkStart w:id="65" w:name="_Toc21882"/>
      <w:bookmarkStart w:id="66" w:name="_Toc30833"/>
      <w:bookmarkStart w:id="67" w:name="_Toc13754"/>
      <w:bookmarkStart w:id="68" w:name="_Toc9549"/>
      <w:r>
        <w:t>6.4 运营期地下水环境影响分析</w:t>
      </w:r>
      <w:bookmarkEnd w:id="65"/>
      <w:bookmarkEnd w:id="66"/>
    </w:p>
    <w:p>
      <w:pPr>
        <w:pStyle w:val="142"/>
        <w:snapToGrid/>
        <w:ind w:left="0" w:right="0" w:firstLine="480"/>
        <w:rPr>
          <w:color w:val="000000"/>
          <w:szCs w:val="24"/>
        </w:rPr>
      </w:pPr>
      <w:r>
        <w:rPr>
          <w:color w:val="000000"/>
          <w:szCs w:val="24"/>
        </w:rPr>
        <w:t>正常情况下，项目严格按照报告中提出的“源头控制、分区防控、污染监控、应急响应”原则。根据本项目生产特点、废水性质及排放去向，本项目废水主要为少量生活污水，生活污水排入污水处理厂处置，项目生活污水向地下渗透将得到很好</w:t>
      </w:r>
      <w:r>
        <w:rPr>
          <w:rFonts w:hint="eastAsia"/>
          <w:color w:val="000000"/>
          <w:szCs w:val="24"/>
        </w:rPr>
        <w:t>地</w:t>
      </w:r>
      <w:r>
        <w:rPr>
          <w:color w:val="000000"/>
          <w:szCs w:val="24"/>
        </w:rPr>
        <w:t>控制，不会对地下水质量造成功能类别的改变。</w:t>
      </w:r>
    </w:p>
    <w:p>
      <w:pPr>
        <w:widowControl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按照《环境影响评价技术导则地下水环境》（HJ610-2016）中“9.4.2已依据GB16889、GB18597、GB18598、GB18599、GB/T50934设计地下水污染防渗措施的建设项目，可不进行正常状况情景下的预测。”</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因此在正常状况下，项目</w:t>
      </w:r>
      <w:r>
        <w:rPr>
          <w:rFonts w:hint="eastAsia" w:ascii="Times New Roman" w:hAnsi="Times New Roman" w:eastAsia="宋体" w:cs="Times New Roman"/>
          <w:color w:val="000000"/>
          <w:sz w:val="24"/>
        </w:rPr>
        <w:t>生活污水</w:t>
      </w:r>
      <w:r>
        <w:rPr>
          <w:rFonts w:ascii="Times New Roman" w:hAnsi="Times New Roman" w:eastAsia="宋体" w:cs="Times New Roman"/>
          <w:color w:val="000000"/>
          <w:sz w:val="24"/>
        </w:rPr>
        <w:t>能得到妥善处置，在做好各区域防渗的基础上，不会对场地地下包气带及地下水环境造成影响。项目对地下水环境的影响主要为非正常情况下</w:t>
      </w:r>
      <w:r>
        <w:rPr>
          <w:rFonts w:hint="eastAsia" w:ascii="Times New Roman" w:hAnsi="Times New Roman" w:cs="Times New Roman"/>
          <w:color w:val="000000"/>
          <w:sz w:val="24"/>
        </w:rPr>
        <w:t>生活污水</w:t>
      </w:r>
      <w:r>
        <w:rPr>
          <w:rFonts w:ascii="Times New Roman" w:hAnsi="Times New Roman" w:cs="Times New Roman"/>
          <w:color w:val="000000"/>
          <w:sz w:val="24"/>
        </w:rPr>
        <w:t>泄漏</w:t>
      </w:r>
      <w:r>
        <w:rPr>
          <w:rFonts w:ascii="Times New Roman" w:hAnsi="Times New Roman" w:eastAsia="宋体" w:cs="Times New Roman"/>
          <w:color w:val="000000"/>
          <w:sz w:val="24"/>
        </w:rPr>
        <w:t>对地下水产生的影响。</w:t>
      </w:r>
    </w:p>
    <w:p>
      <w:pPr>
        <w:adjustRightInd w:val="0"/>
        <w:snapToGrid w:val="0"/>
        <w:spacing w:line="360" w:lineRule="auto"/>
        <w:ind w:firstLine="480" w:firstLineChars="200"/>
        <w:rPr>
          <w:rFonts w:ascii="Times New Roman" w:hAnsi="Times New Roman" w:eastAsia="宋体" w:cs="Times New Roman"/>
          <w:color w:val="000000"/>
          <w:spacing w:val="-1"/>
          <w:sz w:val="24"/>
          <w:szCs w:val="24"/>
        </w:rPr>
      </w:pPr>
      <w:r>
        <w:rPr>
          <w:rFonts w:ascii="Times New Roman" w:hAnsi="Times New Roman" w:eastAsia="宋体" w:cs="Times New Roman"/>
          <w:color w:val="000000"/>
          <w:sz w:val="24"/>
        </w:rPr>
        <w:t>根据上述分析可知，在模拟期内污染物对地下水的影响范围不断扩大，在实际的扩散过程中，经过土壤及砂层的吸附吸收，污染物泄漏后在土壤环境中的迁移影响范围较小，而且本次评价要求对水工设施按照导则要求做了严格的防渗措施，因此评价认为，项目在采取全面的防渗措施，建立健全地下水水质监测系统</w:t>
      </w:r>
      <w:r>
        <w:rPr>
          <w:rFonts w:hint="eastAsia" w:ascii="Times New Roman" w:hAnsi="Times New Roman" w:eastAsia="宋体" w:cs="Times New Roman"/>
          <w:color w:val="000000"/>
          <w:sz w:val="24"/>
        </w:rPr>
        <w:t>，在</w:t>
      </w:r>
      <w:r>
        <w:rPr>
          <w:rFonts w:ascii="Times New Roman" w:hAnsi="Times New Roman" w:eastAsia="宋体" w:cs="Times New Roman"/>
          <w:color w:val="000000"/>
          <w:sz w:val="24"/>
        </w:rPr>
        <w:t>突发环境事件预警预报系统和事故应急防范措施的基础上，项目建设对区域地下水的污染风险较低，项目建设对地下水环境影响较小。</w:t>
      </w:r>
    </w:p>
    <w:p>
      <w:pPr>
        <w:pStyle w:val="6"/>
        <w:widowControl w:val="0"/>
        <w:ind w:firstLine="640"/>
      </w:pPr>
      <w:r>
        <w:t>6.5 运营期地表水环境影响分析</w:t>
      </w:r>
      <w:bookmarkEnd w:id="67"/>
    </w:p>
    <w:p>
      <w:pPr>
        <w:widowControl w:val="0"/>
        <w:spacing w:line="360" w:lineRule="auto"/>
        <w:ind w:firstLine="476" w:firstLineChars="200"/>
        <w:contextualSpacing/>
        <w:rPr>
          <w:rFonts w:ascii="Times New Roman" w:hAnsi="Times New Roman" w:eastAsia="宋体" w:cs="Times New Roman"/>
          <w:spacing w:val="-1"/>
          <w:sz w:val="24"/>
          <w:szCs w:val="24"/>
        </w:rPr>
      </w:pPr>
      <w:r>
        <w:rPr>
          <w:rFonts w:ascii="Times New Roman" w:hAnsi="Times New Roman" w:eastAsia="宋体" w:cs="Times New Roman"/>
          <w:spacing w:val="-1"/>
          <w:sz w:val="24"/>
          <w:szCs w:val="24"/>
        </w:rPr>
        <w:t>项目所在区域附近无地表水体，</w:t>
      </w:r>
      <w:r>
        <w:rPr>
          <w:rFonts w:hint="eastAsia" w:ascii="Times New Roman" w:hAnsi="Times New Roman" w:eastAsia="宋体" w:cs="Times New Roman"/>
          <w:spacing w:val="-1"/>
          <w:sz w:val="24"/>
          <w:szCs w:val="24"/>
        </w:rPr>
        <w:t>生活污水</w:t>
      </w:r>
      <w:r>
        <w:rPr>
          <w:rFonts w:ascii="Times New Roman" w:hAnsi="Times New Roman" w:eastAsia="宋体" w:cs="Times New Roman"/>
          <w:spacing w:val="-1"/>
          <w:sz w:val="24"/>
          <w:szCs w:val="24"/>
        </w:rPr>
        <w:t>排入市政污水管网，最终进入</w:t>
      </w:r>
      <w:r>
        <w:rPr>
          <w:rFonts w:hint="eastAsia" w:ascii="Times New Roman" w:hAnsi="Times New Roman" w:eastAsia="宋体" w:cs="Times New Roman"/>
          <w:spacing w:val="-1"/>
          <w:sz w:val="24"/>
          <w:szCs w:val="24"/>
        </w:rPr>
        <w:t>污水处理厂</w:t>
      </w:r>
      <w:r>
        <w:rPr>
          <w:rFonts w:ascii="Times New Roman" w:hAnsi="Times New Roman" w:eastAsia="宋体" w:cs="Times New Roman"/>
          <w:spacing w:val="-1"/>
          <w:sz w:val="24"/>
          <w:szCs w:val="24"/>
        </w:rPr>
        <w:t>，不进入地表水体，因此对地表水无影响。</w:t>
      </w:r>
    </w:p>
    <w:p>
      <w:pPr>
        <w:pStyle w:val="6"/>
        <w:widowControl w:val="0"/>
        <w:ind w:firstLine="640"/>
      </w:pPr>
      <w:bookmarkStart w:id="69" w:name="_Toc4066"/>
      <w:r>
        <w:t>6.6 声环境影响分析</w:t>
      </w:r>
      <w:bookmarkEnd w:id="69"/>
    </w:p>
    <w:p>
      <w:pPr>
        <w:pStyle w:val="7"/>
        <w:widowControl w:val="0"/>
        <w:spacing w:before="0" w:after="0" w:line="360" w:lineRule="auto"/>
        <w:ind w:firstLine="562" w:firstLineChars="200"/>
        <w:rPr>
          <w:sz w:val="28"/>
          <w:szCs w:val="28"/>
        </w:rPr>
      </w:pPr>
      <w:bookmarkStart w:id="70" w:name="_Toc21930"/>
      <w:bookmarkStart w:id="71" w:name="_Toc21788"/>
      <w:r>
        <w:rPr>
          <w:sz w:val="28"/>
          <w:szCs w:val="28"/>
        </w:rPr>
        <w:t>6.6.1 预测内容</w:t>
      </w:r>
      <w:bookmarkEnd w:id="70"/>
      <w:bookmarkEnd w:id="71"/>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根据项目特点，本项目运营期排放的噪声主要为鼓风</w:t>
      </w:r>
      <w:r>
        <w:rPr>
          <w:rFonts w:hint="eastAsia" w:ascii="Times New Roman" w:hAnsi="Times New Roman" w:cs="Times New Roman"/>
          <w:kern w:val="0"/>
          <w:sz w:val="24"/>
          <w:szCs w:val="24"/>
        </w:rPr>
        <w:t>机</w:t>
      </w:r>
      <w:r>
        <w:rPr>
          <w:rFonts w:ascii="Times New Roman" w:hAnsi="Times New Roman" w:cs="Times New Roman"/>
          <w:kern w:val="0"/>
          <w:sz w:val="24"/>
          <w:szCs w:val="24"/>
        </w:rPr>
        <w:t>、</w:t>
      </w:r>
      <w:r>
        <w:rPr>
          <w:rFonts w:hint="eastAsia" w:ascii="Times New Roman" w:hAnsi="Times New Roman" w:cs="Times New Roman"/>
          <w:kern w:val="0"/>
          <w:sz w:val="24"/>
          <w:szCs w:val="24"/>
        </w:rPr>
        <w:t>切割机、卷板机</w:t>
      </w:r>
      <w:r>
        <w:rPr>
          <w:rFonts w:ascii="Times New Roman" w:hAnsi="Times New Roman" w:cs="Times New Roman"/>
          <w:kern w:val="0"/>
          <w:sz w:val="24"/>
          <w:szCs w:val="24"/>
        </w:rPr>
        <w:t>噪声等，根据工程分析内容，噪声源强在70～90dB</w:t>
      </w:r>
      <w:r>
        <w:rPr>
          <w:rFonts w:hint="eastAsia" w:ascii="Times New Roman" w:hAnsi="Times New Roman" w:cs="Times New Roman"/>
          <w:kern w:val="0"/>
          <w:sz w:val="24"/>
          <w:szCs w:val="24"/>
        </w:rPr>
        <w:t>（</w:t>
      </w:r>
      <w:r>
        <w:rPr>
          <w:rFonts w:ascii="Times New Roman" w:hAnsi="Times New Roman" w:cs="Times New Roman"/>
          <w:kern w:val="0"/>
          <w:sz w:val="24"/>
          <w:szCs w:val="24"/>
        </w:rPr>
        <w:t>A）左右。</w:t>
      </w:r>
    </w:p>
    <w:p>
      <w:pPr>
        <w:widowControl w:val="0"/>
        <w:spacing w:line="360" w:lineRule="auto"/>
        <w:ind w:firstLine="480" w:firstLineChars="200"/>
        <w:contextualSpacing/>
        <w:rPr>
          <w:rFonts w:ascii="Times New Roman" w:hAnsi="Times New Roman" w:eastAsia="宋体" w:cs="Times New Roman"/>
          <w:sz w:val="24"/>
          <w:szCs w:val="24"/>
        </w:rPr>
      </w:pPr>
      <w:r>
        <w:rPr>
          <w:rFonts w:ascii="Times New Roman" w:hAnsi="Times New Roman" w:cs="Times New Roman"/>
          <w:kern w:val="0"/>
          <w:sz w:val="24"/>
          <w:szCs w:val="24"/>
        </w:rPr>
        <w:t>设备置于房间内隔声减震。经降噪措施后，环评以25dB（A）计算，噪声排放源强见下表。</w:t>
      </w:r>
    </w:p>
    <w:p>
      <w:pPr>
        <w:pStyle w:val="7"/>
        <w:widowControl w:val="0"/>
        <w:spacing w:before="0" w:after="0" w:line="360" w:lineRule="auto"/>
        <w:ind w:firstLine="562" w:firstLineChars="200"/>
        <w:rPr>
          <w:sz w:val="28"/>
          <w:szCs w:val="28"/>
        </w:rPr>
      </w:pPr>
      <w:bookmarkStart w:id="72" w:name="_Toc19068"/>
      <w:bookmarkStart w:id="73" w:name="_Toc31393"/>
      <w:r>
        <w:rPr>
          <w:sz w:val="28"/>
          <w:szCs w:val="28"/>
        </w:rPr>
        <w:t>6.6.2 噪声预测模式</w:t>
      </w:r>
      <w:bookmarkEnd w:id="72"/>
      <w:bookmarkEnd w:id="73"/>
    </w:p>
    <w:p>
      <w:pPr>
        <w:widowControl w:val="0"/>
        <w:spacing w:line="360" w:lineRule="auto"/>
        <w:ind w:firstLine="480" w:firstLineChars="200"/>
        <w:contextualSpacing/>
        <w:jc w:val="left"/>
        <w:rPr>
          <w:rFonts w:ascii="Times New Roman" w:hAnsi="Times New Roman" w:cs="Times New Roman"/>
          <w:b/>
          <w:bCs/>
          <w:kern w:val="0"/>
          <w:szCs w:val="21"/>
        </w:rPr>
      </w:pPr>
      <w:r>
        <w:rPr>
          <w:rFonts w:ascii="Times New Roman" w:hAnsi="Times New Roman" w:cs="Times New Roman"/>
          <w:kern w:val="0"/>
          <w:sz w:val="24"/>
          <w:szCs w:val="24"/>
        </w:rPr>
        <w:t>项目设备均置于</w:t>
      </w:r>
      <w:r>
        <w:rPr>
          <w:rFonts w:hint="eastAsia" w:ascii="Times New Roman" w:hAnsi="Times New Roman" w:cs="Times New Roman"/>
          <w:kern w:val="0"/>
          <w:sz w:val="24"/>
          <w:szCs w:val="24"/>
        </w:rPr>
        <w:t>车间</w:t>
      </w:r>
      <w:r>
        <w:rPr>
          <w:rFonts w:ascii="Times New Roman" w:hAnsi="Times New Roman" w:cs="Times New Roman"/>
          <w:kern w:val="0"/>
          <w:sz w:val="24"/>
          <w:szCs w:val="24"/>
        </w:rPr>
        <w:t>内，经墙体阻隔后，根据以上模式对主要声源噪声衰减进行预测。</w:t>
      </w:r>
    </w:p>
    <w:p>
      <w:pPr>
        <w:pStyle w:val="7"/>
        <w:widowControl w:val="0"/>
        <w:spacing w:before="0" w:after="0" w:line="360" w:lineRule="auto"/>
        <w:ind w:firstLine="562" w:firstLineChars="200"/>
        <w:rPr>
          <w:sz w:val="28"/>
          <w:szCs w:val="28"/>
        </w:rPr>
      </w:pPr>
      <w:bookmarkStart w:id="74" w:name="_Toc21996"/>
      <w:bookmarkStart w:id="75" w:name="_Toc15177"/>
      <w:r>
        <w:rPr>
          <w:sz w:val="28"/>
          <w:szCs w:val="28"/>
        </w:rPr>
        <w:t>6.6.</w:t>
      </w:r>
      <w:r>
        <w:rPr>
          <w:rFonts w:hint="eastAsia"/>
          <w:sz w:val="28"/>
          <w:szCs w:val="28"/>
        </w:rPr>
        <w:t>3</w:t>
      </w:r>
      <w:r>
        <w:rPr>
          <w:sz w:val="28"/>
          <w:szCs w:val="28"/>
        </w:rPr>
        <w:t xml:space="preserve"> 设备运行噪声对内环境影响分析</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为有效降低噪声对环境的影响，建设单位计划采取以下措施：</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（1）在设备选型时优先选择高效、低噪声设备，做好设备的安装调试，同时加强营运期间对各种机械的维修保养，保持其良好的运行效果；</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（2）在</w:t>
      </w:r>
      <w:r>
        <w:rPr>
          <w:rFonts w:ascii="Times New Roman" w:hAnsi="Times New Roman" w:cs="Times New Roman"/>
          <w:sz w:val="24"/>
          <w:szCs w:val="24"/>
        </w:rPr>
        <w:t>设备安装中结合</w:t>
      </w:r>
      <w:r>
        <w:rPr>
          <w:rFonts w:ascii="Times New Roman" w:hAnsi="Times New Roman" w:eastAsia="宋体" w:cs="Times New Roman"/>
          <w:sz w:val="24"/>
          <w:szCs w:val="24"/>
        </w:rPr>
        <w:t>厂房建筑、绿化设计等方面</w:t>
      </w:r>
      <w:r>
        <w:rPr>
          <w:rFonts w:ascii="Times New Roman" w:hAnsi="Times New Roman" w:cs="Times New Roman"/>
          <w:sz w:val="24"/>
          <w:szCs w:val="24"/>
        </w:rPr>
        <w:t>已</w:t>
      </w:r>
      <w:r>
        <w:rPr>
          <w:rFonts w:ascii="Times New Roman" w:hAnsi="Times New Roman" w:eastAsia="宋体" w:cs="Times New Roman"/>
          <w:sz w:val="24"/>
          <w:szCs w:val="24"/>
        </w:rPr>
        <w:t>采取</w:t>
      </w:r>
      <w:r>
        <w:rPr>
          <w:rFonts w:ascii="Times New Roman" w:hAnsi="Times New Roman" w:cs="Times New Roman"/>
          <w:sz w:val="24"/>
          <w:szCs w:val="24"/>
        </w:rPr>
        <w:t>的</w:t>
      </w:r>
      <w:r>
        <w:rPr>
          <w:rFonts w:ascii="Times New Roman" w:hAnsi="Times New Roman" w:eastAsia="宋体" w:cs="Times New Roman"/>
          <w:sz w:val="24"/>
          <w:szCs w:val="24"/>
        </w:rPr>
        <w:t>有效控制措施，在工厂总体布置上利用建筑物，构筑物来阻隔声波的传播</w:t>
      </w:r>
      <w:r>
        <w:rPr>
          <w:rFonts w:ascii="Times New Roman" w:hAnsi="Times New Roman" w:cs="Times New Roman"/>
          <w:sz w:val="24"/>
          <w:szCs w:val="24"/>
        </w:rPr>
        <w:t>，</w:t>
      </w:r>
      <w:r>
        <w:rPr>
          <w:rFonts w:ascii="Times New Roman" w:hAnsi="Times New Roman" w:eastAsia="宋体" w:cs="Times New Roman"/>
          <w:sz w:val="24"/>
          <w:szCs w:val="24"/>
        </w:rPr>
        <w:t>以降低噪声的传播和干扰。</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（3）生产车间临场界侧设隔声门窗，生产时关闭门窗。</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（4）对于厂区内流动的声源（汽车、装卸车），单独控制声源技术难度较大，故需强化行车管理制度，严禁鸣号，低速行驶等。</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本项目建成后主要噪声源为</w:t>
      </w:r>
      <w:r>
        <w:rPr>
          <w:rFonts w:hint="eastAsia" w:ascii="Times New Roman" w:hAnsi="Times New Roman" w:cs="Times New Roman"/>
          <w:kern w:val="0"/>
          <w:sz w:val="24"/>
          <w:szCs w:val="24"/>
        </w:rPr>
        <w:t>车间内</w:t>
      </w:r>
      <w:r>
        <w:rPr>
          <w:rFonts w:ascii="Times New Roman" w:hAnsi="Times New Roman" w:cs="Times New Roman"/>
          <w:kern w:val="0"/>
          <w:sz w:val="24"/>
          <w:szCs w:val="24"/>
        </w:rPr>
        <w:t>设备噪声，采取减振、隔音、材料消音等噪声污染防治措施，隔声降噪效果按照20dB</w:t>
      </w:r>
      <w:r>
        <w:rPr>
          <w:rFonts w:hint="eastAsia" w:ascii="Times New Roman" w:hAnsi="Times New Roman" w:cs="Times New Roman"/>
          <w:kern w:val="0"/>
          <w:sz w:val="24"/>
          <w:szCs w:val="24"/>
        </w:rPr>
        <w:t>（</w:t>
      </w:r>
      <w:r>
        <w:rPr>
          <w:rFonts w:ascii="Times New Roman" w:hAnsi="Times New Roman" w:cs="Times New Roman"/>
          <w:kern w:val="0"/>
          <w:sz w:val="24"/>
          <w:szCs w:val="24"/>
        </w:rPr>
        <w:t>A）计。</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运营期鼓风</w:t>
      </w:r>
      <w:r>
        <w:rPr>
          <w:rFonts w:hint="eastAsia" w:ascii="Times New Roman" w:hAnsi="Times New Roman" w:cs="Times New Roman"/>
          <w:kern w:val="0"/>
          <w:sz w:val="24"/>
          <w:szCs w:val="24"/>
        </w:rPr>
        <w:t>机</w:t>
      </w:r>
      <w:r>
        <w:rPr>
          <w:rFonts w:ascii="Times New Roman" w:hAnsi="Times New Roman" w:cs="Times New Roman"/>
          <w:kern w:val="0"/>
          <w:sz w:val="24"/>
          <w:szCs w:val="24"/>
        </w:rPr>
        <w:t>、</w:t>
      </w:r>
      <w:r>
        <w:rPr>
          <w:rFonts w:hint="eastAsia" w:ascii="Times New Roman" w:hAnsi="Times New Roman" w:cs="Times New Roman"/>
          <w:kern w:val="0"/>
          <w:sz w:val="24"/>
          <w:szCs w:val="24"/>
        </w:rPr>
        <w:t>切割机、卷板机等设备均位于车间内</w:t>
      </w:r>
      <w:r>
        <w:rPr>
          <w:rFonts w:ascii="Times New Roman" w:hAnsi="Times New Roman" w:cs="Times New Roman"/>
          <w:kern w:val="0"/>
          <w:sz w:val="24"/>
          <w:szCs w:val="24"/>
        </w:rPr>
        <w:t>，采用基础减振，设备隔音、墙体阻隔等污染防治措施，再加上建筑隔声和距离衰减作用，本项目</w:t>
      </w:r>
      <w:r>
        <w:rPr>
          <w:rFonts w:hint="eastAsia" w:ascii="Times New Roman" w:hAnsi="Times New Roman" w:cs="Times New Roman"/>
          <w:kern w:val="0"/>
          <w:sz w:val="24"/>
          <w:szCs w:val="24"/>
        </w:rPr>
        <w:t>设备噪声</w:t>
      </w:r>
      <w:r>
        <w:rPr>
          <w:rFonts w:ascii="Times New Roman" w:hAnsi="Times New Roman" w:cs="Times New Roman"/>
          <w:kern w:val="0"/>
          <w:sz w:val="24"/>
          <w:szCs w:val="24"/>
        </w:rPr>
        <w:t>对</w:t>
      </w:r>
      <w:r>
        <w:rPr>
          <w:rFonts w:hint="eastAsia" w:ascii="Times New Roman" w:hAnsi="Times New Roman" w:cs="Times New Roman"/>
          <w:kern w:val="0"/>
          <w:sz w:val="24"/>
          <w:szCs w:val="24"/>
        </w:rPr>
        <w:t>项目区</w:t>
      </w:r>
      <w:r>
        <w:rPr>
          <w:rFonts w:ascii="Times New Roman" w:hAnsi="Times New Roman" w:cs="Times New Roman"/>
          <w:kern w:val="0"/>
          <w:sz w:val="24"/>
          <w:szCs w:val="24"/>
        </w:rPr>
        <w:t>贡献值较小，对内环境影响不大。</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车辆进入项目范围后均低速行驶，通过内部车流的分流引导，设置明显指示牌，禁止鸣笛等，经过距离衰减后，不会对项目内部声环境造成不良的影响。</w:t>
      </w:r>
    </w:p>
    <w:p>
      <w:pPr>
        <w:pStyle w:val="7"/>
        <w:widowControl w:val="0"/>
        <w:spacing w:before="0" w:after="0" w:line="360" w:lineRule="auto"/>
        <w:ind w:firstLine="562" w:firstLineChars="200"/>
        <w:rPr>
          <w:sz w:val="28"/>
          <w:szCs w:val="28"/>
        </w:rPr>
      </w:pPr>
      <w:r>
        <w:rPr>
          <w:sz w:val="28"/>
          <w:szCs w:val="28"/>
        </w:rPr>
        <w:t>6.6.</w:t>
      </w:r>
      <w:r>
        <w:rPr>
          <w:rFonts w:hint="eastAsia"/>
          <w:sz w:val="28"/>
          <w:szCs w:val="28"/>
        </w:rPr>
        <w:t>5</w:t>
      </w:r>
      <w:r>
        <w:rPr>
          <w:sz w:val="28"/>
          <w:szCs w:val="28"/>
        </w:rPr>
        <w:t xml:space="preserve"> 声环境影响评价</w:t>
      </w:r>
      <w:bookmarkEnd w:id="74"/>
      <w:bookmarkEnd w:id="75"/>
      <w:r>
        <w:rPr>
          <w:sz w:val="28"/>
          <w:szCs w:val="28"/>
        </w:rPr>
        <w:t>结论</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从表6.6-2可知，厂界周围各预测点排放噪声均达到《工业企业厂界环境噪声排放标准》（GB12348-2008）</w:t>
      </w:r>
      <w:r>
        <w:rPr>
          <w:rFonts w:hint="eastAsia" w:ascii="Times New Roman" w:hAnsi="Times New Roman" w:cs="Times New Roman"/>
          <w:kern w:val="0"/>
          <w:sz w:val="24"/>
          <w:szCs w:val="24"/>
        </w:rPr>
        <w:t>3</w:t>
      </w:r>
      <w:r>
        <w:rPr>
          <w:rFonts w:ascii="Times New Roman" w:hAnsi="Times New Roman" w:cs="Times New Roman"/>
          <w:kern w:val="0"/>
          <w:sz w:val="24"/>
          <w:szCs w:val="24"/>
        </w:rPr>
        <w:t>类声环境功能区厂界环境噪声排放限值：昼间≤</w:t>
      </w:r>
      <w:r>
        <w:rPr>
          <w:rFonts w:hint="eastAsia" w:ascii="Times New Roman" w:hAnsi="Times New Roman" w:cs="Times New Roman"/>
          <w:kern w:val="0"/>
          <w:sz w:val="24"/>
          <w:szCs w:val="24"/>
        </w:rPr>
        <w:t>65</w:t>
      </w:r>
      <w:r>
        <w:rPr>
          <w:rFonts w:ascii="Times New Roman" w:hAnsi="Times New Roman" w:cs="Times New Roman"/>
          <w:kern w:val="0"/>
          <w:sz w:val="24"/>
          <w:szCs w:val="24"/>
        </w:rPr>
        <w:t>dB（A），夜间≤</w:t>
      </w:r>
      <w:r>
        <w:rPr>
          <w:rFonts w:hint="eastAsia" w:ascii="Times New Roman" w:hAnsi="Times New Roman" w:cs="Times New Roman"/>
          <w:kern w:val="0"/>
          <w:sz w:val="24"/>
          <w:szCs w:val="24"/>
        </w:rPr>
        <w:t>55</w:t>
      </w:r>
      <w:r>
        <w:rPr>
          <w:rFonts w:ascii="Times New Roman" w:hAnsi="Times New Roman" w:cs="Times New Roman"/>
          <w:kern w:val="0"/>
          <w:sz w:val="24"/>
          <w:szCs w:val="24"/>
        </w:rPr>
        <w:t>dB（A）。</w:t>
      </w:r>
    </w:p>
    <w:p>
      <w:pPr>
        <w:pStyle w:val="6"/>
        <w:widowControl w:val="0"/>
        <w:ind w:firstLine="640"/>
      </w:pPr>
      <w:bookmarkStart w:id="76" w:name="_Toc10465"/>
      <w:r>
        <w:t>6.7 运营期固废环境影响分析</w:t>
      </w:r>
      <w:bookmarkEnd w:id="68"/>
      <w:bookmarkEnd w:id="76"/>
    </w:p>
    <w:p>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项目运营期固废主要包括生活垃圾、生产固废及危险废物三大类。</w:t>
      </w:r>
    </w:p>
    <w:p>
      <w:pPr>
        <w:snapToGrid w:val="0"/>
        <w:spacing w:line="360" w:lineRule="auto"/>
        <w:ind w:firstLine="480" w:firstLineChars="200"/>
        <w:rPr>
          <w:rFonts w:ascii="Times New Roman" w:hAnsi="Times New Roman" w:eastAsia="宋体" w:cs="Times New Roman"/>
          <w:kern w:val="0"/>
          <w:sz w:val="24"/>
          <w:szCs w:val="24"/>
          <w:lang w:bidi="ar"/>
        </w:rPr>
      </w:pPr>
      <w:r>
        <w:rPr>
          <w:rFonts w:ascii="Times New Roman" w:hAnsi="Times New Roman" w:eastAsia="宋体" w:cs="Times New Roman"/>
          <w:kern w:val="0"/>
          <w:sz w:val="24"/>
          <w:szCs w:val="24"/>
        </w:rPr>
        <w:t>本项目运营期生活垃圾由环卫部门定期清运至生活垃圾填埋场填埋处理。</w:t>
      </w:r>
      <w:r>
        <w:rPr>
          <w:rFonts w:ascii="Times New Roman" w:hAnsi="Times New Roman" w:eastAsia="宋体" w:cs="Times New Roman"/>
          <w:kern w:val="0"/>
          <w:sz w:val="24"/>
          <w:szCs w:val="24"/>
          <w:lang w:bidi="ar"/>
        </w:rPr>
        <w:t>建设单位严格按照《一般工业固体废物贮存和填埋污染控制标准》（GB18599-2020）及《危险废物贮存污染控制标准》（GB18597-20</w:t>
      </w:r>
      <w:r>
        <w:rPr>
          <w:rFonts w:ascii="Times New Roman" w:hAnsi="Times New Roman" w:cs="Times New Roman"/>
          <w:kern w:val="0"/>
          <w:sz w:val="24"/>
          <w:szCs w:val="24"/>
          <w:lang w:bidi="ar"/>
        </w:rPr>
        <w:t>23</w:t>
      </w:r>
      <w:r>
        <w:rPr>
          <w:rFonts w:ascii="Times New Roman" w:hAnsi="Times New Roman" w:eastAsia="宋体" w:cs="Times New Roman"/>
          <w:kern w:val="0"/>
          <w:sz w:val="24"/>
          <w:szCs w:val="24"/>
          <w:lang w:bidi="ar"/>
        </w:rPr>
        <w:t>）对固体废物进行处理处置。</w:t>
      </w:r>
    </w:p>
    <w:p>
      <w:pPr>
        <w:spacing w:line="360" w:lineRule="auto"/>
        <w:ind w:firstLine="480" w:firstLineChars="200"/>
        <w:rPr>
          <w:rFonts w:ascii="Times New Roman" w:hAnsi="Times New Roman" w:cs="Times New Roman"/>
          <w:kern w:val="0"/>
          <w:sz w:val="24"/>
          <w:szCs w:val="24"/>
          <w:lang w:bidi="ar"/>
        </w:rPr>
      </w:pPr>
      <w:r>
        <w:rPr>
          <w:rFonts w:hint="eastAsia" w:ascii="Times New Roman" w:hAnsi="Times New Roman" w:cs="Times New Roman"/>
          <w:kern w:val="0"/>
          <w:sz w:val="24"/>
          <w:szCs w:val="24"/>
          <w:lang w:bidi="ar"/>
        </w:rPr>
        <w:t>一般固废的收集、储存、管理严格按照《一般工业固体废物贮存和填埋污染控制标准》（GB 18599-2020）相关规定和要求执行，建立产生、收集、贮存、运输、利用、处置全过程的污染环境防治责任制度，建立管理台账。由专人负责一般固废的收集和管理工作。</w:t>
      </w:r>
    </w:p>
    <w:p>
      <w:pPr>
        <w:spacing w:line="360" w:lineRule="auto"/>
        <w:ind w:firstLine="480" w:firstLineChars="200"/>
        <w:rPr>
          <w:rFonts w:ascii="Times New Roman" w:hAnsi="Times New Roman" w:eastAsia="宋体" w:cs="Times New Roman"/>
          <w:kern w:val="0"/>
          <w:sz w:val="24"/>
          <w:szCs w:val="24"/>
          <w:lang w:bidi="ar"/>
        </w:rPr>
      </w:pPr>
      <w:r>
        <w:rPr>
          <w:rFonts w:ascii="Times New Roman" w:hAnsi="Times New Roman" w:cs="Times New Roman"/>
          <w:kern w:val="0"/>
          <w:sz w:val="24"/>
          <w:szCs w:val="24"/>
          <w:lang w:bidi="ar"/>
        </w:rPr>
        <w:t>本项目建设一座</w:t>
      </w:r>
      <w:r>
        <w:rPr>
          <w:rFonts w:hint="eastAsia" w:ascii="Times New Roman" w:hAnsi="Times New Roman" w:cs="Times New Roman"/>
          <w:kern w:val="0"/>
          <w:sz w:val="24"/>
          <w:szCs w:val="24"/>
          <w:lang w:bidi="ar"/>
        </w:rPr>
        <w:t>危废贮存库</w:t>
      </w:r>
      <w:r>
        <w:rPr>
          <w:rFonts w:ascii="Times New Roman" w:hAnsi="Times New Roman" w:cs="Times New Roman"/>
          <w:kern w:val="0"/>
          <w:sz w:val="24"/>
          <w:szCs w:val="24"/>
          <w:lang w:bidi="ar"/>
        </w:rPr>
        <w:t>，建筑面积50m</w:t>
      </w:r>
      <w:r>
        <w:rPr>
          <w:rFonts w:ascii="Times New Roman" w:hAnsi="Times New Roman" w:cs="Times New Roman"/>
          <w:kern w:val="0"/>
          <w:sz w:val="24"/>
          <w:szCs w:val="24"/>
          <w:vertAlign w:val="superscript"/>
          <w:lang w:bidi="ar"/>
        </w:rPr>
        <w:t>2</w:t>
      </w:r>
      <w:r>
        <w:rPr>
          <w:rFonts w:ascii="Times New Roman" w:hAnsi="Times New Roman" w:cs="Times New Roman"/>
          <w:kern w:val="0"/>
          <w:sz w:val="24"/>
          <w:szCs w:val="24"/>
          <w:lang w:bidi="ar"/>
        </w:rPr>
        <w:t>。</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按照《危险废物贮存污染控制标准》（GB18597-20</w:t>
      </w:r>
      <w:r>
        <w:rPr>
          <w:rFonts w:ascii="Times New Roman" w:hAnsi="Times New Roman" w:cs="Times New Roman"/>
          <w:kern w:val="0"/>
          <w:sz w:val="24"/>
          <w:szCs w:val="24"/>
          <w:lang w:bidi="ar"/>
        </w:rPr>
        <w:t>23</w:t>
      </w:r>
      <w:r>
        <w:rPr>
          <w:rFonts w:ascii="Times New Roman" w:hAnsi="Times New Roman" w:eastAsia="宋体" w:cs="Times New Roman"/>
          <w:kern w:val="0"/>
          <w:sz w:val="24"/>
          <w:szCs w:val="24"/>
          <w:lang w:bidi="ar"/>
        </w:rPr>
        <w:t>）中的要求，建设</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必须做防渗处理，并满足生态环境管理部门的要求，在醒目的位置安装危废标识牌。</w:t>
      </w:r>
      <w:r>
        <w:rPr>
          <w:rFonts w:hint="eastAsia" w:ascii="Times New Roman" w:hAnsi="Times New Roman" w:eastAsia="宋体" w:cs="Times New Roman"/>
          <w:kern w:val="0"/>
          <w:sz w:val="24"/>
          <w:szCs w:val="24"/>
          <w:lang w:bidi="ar"/>
        </w:rPr>
        <w:t>项目产生的危险废物密闭收集，无需进一步设置危废贮存库废气收集及处理措施。</w:t>
      </w:r>
      <w:r>
        <w:rPr>
          <w:rFonts w:ascii="Times New Roman" w:hAnsi="Times New Roman" w:eastAsia="宋体" w:cs="Times New Roman"/>
          <w:kern w:val="0"/>
          <w:sz w:val="24"/>
          <w:szCs w:val="24"/>
          <w:lang w:bidi="ar"/>
        </w:rPr>
        <w:t>危险废物收集后</w:t>
      </w:r>
      <w:r>
        <w:rPr>
          <w:rFonts w:ascii="Times New Roman" w:hAnsi="Times New Roman" w:cs="Times New Roman"/>
          <w:kern w:val="0"/>
          <w:sz w:val="24"/>
          <w:szCs w:val="24"/>
          <w:lang w:bidi="ar"/>
        </w:rPr>
        <w:t>分类</w:t>
      </w:r>
      <w:r>
        <w:rPr>
          <w:rFonts w:ascii="Times New Roman" w:hAnsi="Times New Roman" w:eastAsia="宋体" w:cs="Times New Roman"/>
          <w:kern w:val="0"/>
          <w:sz w:val="24"/>
          <w:szCs w:val="24"/>
          <w:lang w:bidi="ar"/>
        </w:rPr>
        <w:t>存放于</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，并做好防扬散、防流失、防渗漏措施，由危废处置单位委托具有危险货物专业运输资质的运输单位进行承运，并根据规定实施危废转移联单制度。</w:t>
      </w:r>
    </w:p>
    <w:p>
      <w:pPr>
        <w:widowControl w:val="0"/>
        <w:spacing w:line="360" w:lineRule="auto"/>
        <w:ind w:firstLine="480" w:firstLineChars="200"/>
        <w:contextualSpacing/>
        <w:rPr>
          <w:rFonts w:ascii="Times New Roman" w:hAnsi="Times New Roman" w:cs="Times New Roman"/>
          <w:kern w:val="0"/>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kern w:val="0"/>
          <w:sz w:val="24"/>
          <w:szCs w:val="24"/>
        </w:rPr>
        <w:t>综上所述，本项目</w:t>
      </w:r>
      <w:r>
        <w:rPr>
          <w:rFonts w:hint="eastAsia" w:ascii="Times New Roman" w:hAnsi="Times New Roman" w:eastAsia="宋体" w:cs="Times New Roman"/>
          <w:kern w:val="0"/>
          <w:sz w:val="24"/>
          <w:szCs w:val="24"/>
        </w:rPr>
        <w:t>生活垃圾、生产固废及危险废物</w:t>
      </w:r>
      <w:r>
        <w:rPr>
          <w:rFonts w:ascii="Times New Roman" w:hAnsi="Times New Roman" w:cs="Times New Roman"/>
          <w:kern w:val="0"/>
          <w:sz w:val="24"/>
          <w:szCs w:val="24"/>
        </w:rPr>
        <w:t>实行分类管理，在得到妥善处理处置的情况下，不会对周围环境造成明显不良影响。</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77" w:name="_Toc4953"/>
      <w:bookmarkStart w:id="78" w:name="_Toc18936"/>
      <w:r>
        <w:rPr>
          <w:rFonts w:ascii="Times New Roman" w:hAnsi="Times New Roman" w:eastAsiaTheme="majorEastAsia"/>
          <w:bCs w:val="0"/>
          <w:sz w:val="32"/>
          <w:szCs w:val="32"/>
        </w:rPr>
        <w:t>7 环境保护措施及其可行性论证</w:t>
      </w:r>
      <w:bookmarkEnd w:id="77"/>
    </w:p>
    <w:p>
      <w:pPr>
        <w:pStyle w:val="6"/>
        <w:widowControl w:val="0"/>
        <w:ind w:firstLine="640"/>
      </w:pPr>
      <w:bookmarkStart w:id="79" w:name="_Toc9558"/>
      <w:r>
        <w:t>7.1 施工期环保措施可行性分析</w:t>
      </w:r>
      <w:bookmarkEnd w:id="79"/>
    </w:p>
    <w:p>
      <w:pPr>
        <w:pStyle w:val="7"/>
        <w:widowControl w:val="0"/>
        <w:spacing w:before="0" w:after="0" w:line="360" w:lineRule="auto"/>
        <w:ind w:firstLine="562" w:firstLineChars="200"/>
        <w:rPr>
          <w:sz w:val="28"/>
          <w:szCs w:val="28"/>
        </w:rPr>
      </w:pPr>
      <w:r>
        <w:rPr>
          <w:sz w:val="28"/>
          <w:szCs w:val="28"/>
        </w:rPr>
        <w:t>7.1.1大气废气治理措施</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本项目施工期大气环保对策措施依据《建筑施工现场环境与卫生标准》（JGJ 146-2004）中“3环境保护”强制性条文</w:t>
      </w:r>
      <w:r>
        <w:rPr>
          <w:rFonts w:hint="eastAsia" w:ascii="Times New Roman" w:hAnsi="Times New Roman" w:cs="Times New Roman"/>
          <w:kern w:val="0"/>
          <w:sz w:val="24"/>
          <w:szCs w:val="24"/>
        </w:rPr>
        <w:t>及施工工地扬尘“六个百分百”治理措施</w:t>
      </w:r>
      <w:r>
        <w:rPr>
          <w:rFonts w:ascii="Times New Roman" w:hAnsi="Times New Roman" w:cs="Times New Roman"/>
          <w:kern w:val="0"/>
          <w:sz w:val="24"/>
          <w:szCs w:val="24"/>
        </w:rPr>
        <w:t>，其内容如下：</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（1）大风天禁止施工作业，同时散体材料装卸必须采取防风遮挡等降尘措施。</w:t>
      </w:r>
      <w:r>
        <w:rPr>
          <w:rFonts w:hint="eastAsia" w:ascii="Times New Roman" w:hAnsi="Times New Roman" w:cs="Times New Roman"/>
          <w:kern w:val="0"/>
          <w:sz w:val="24"/>
          <w:szCs w:val="24"/>
        </w:rPr>
        <w:t>工程渣土、建筑垃圾和生活垃圾做到集中分类堆放、严密覆盖、及时清理；在施工现场裸露的场地和集中堆放的土方，采取覆盖、固化或绿化等防尘措施；易产生扬尘的物料，用防尘布或六针以上的防尘网苫盖，并定期洒水抑尘。</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（2）未铺装的施工道路在干燥天气及大风条件下极易起尘，因此</w:t>
      </w:r>
      <w:r>
        <w:rPr>
          <w:rFonts w:hint="eastAsia" w:ascii="Times New Roman" w:hAnsi="Times New Roman" w:cs="Times New Roman"/>
          <w:kern w:val="0"/>
          <w:sz w:val="24"/>
          <w:szCs w:val="24"/>
        </w:rPr>
        <w:t>要</w:t>
      </w:r>
      <w:r>
        <w:rPr>
          <w:rFonts w:ascii="Times New Roman" w:hAnsi="Times New Roman" w:cs="Times New Roman"/>
          <w:kern w:val="0"/>
          <w:sz w:val="24"/>
          <w:szCs w:val="24"/>
        </w:rPr>
        <w:t>及时洒水降尘，缩短扬尘污染的时段和污染范围，最大限度地减少起尘量；同时对施工道路进行定期养护、清扫，确保路况良好。</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（3）施工现场实行封闭管理，连续设置硬质围挡，做到坚固、平整、整洁、美观，并符合城市风貌规划和车辆行驶安全视距的要求，在建工程的外立面应用安全网，实现全封闭围护。</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在施工现场出入口设置车辆冲洗装置和沉淀池，运输车辆底盘和车轮冲洗干净后，方可驶离施工现场。</w:t>
      </w:r>
    </w:p>
    <w:p>
      <w:pPr>
        <w:widowControl w:val="0"/>
        <w:spacing w:line="360" w:lineRule="auto"/>
        <w:ind w:firstLine="480" w:firstLineChars="200"/>
        <w:contextualSpacing/>
        <w:rPr>
          <w:rFonts w:ascii="Times New Roman" w:hAnsi="Times New Roman" w:cs="Times New Roman"/>
          <w:kern w:val="0"/>
          <w:sz w:val="24"/>
          <w:szCs w:val="24"/>
        </w:rPr>
      </w:pPr>
      <w:r>
        <w:rPr>
          <w:rFonts w:hint="eastAsia" w:ascii="Times New Roman" w:hAnsi="Times New Roman" w:cs="Times New Roman"/>
          <w:kern w:val="0"/>
          <w:sz w:val="24"/>
          <w:szCs w:val="24"/>
        </w:rPr>
        <w:t>（5）施工现场安排专人负责卫生保洁工作，遇到干旱和大风天气时，增加洒水降尘次数，确保无浮土扬尘。在进行开挖、回填等土方作业时，要辅以洒水压尘等措施。工程竣工后，施工现场的临设、围挡、垃圾等，必须及时清理完毕，清理时必须采取有效的降尘措施。</w:t>
      </w:r>
    </w:p>
    <w:p>
      <w:pPr>
        <w:widowControl w:val="0"/>
        <w:spacing w:line="360" w:lineRule="auto"/>
        <w:ind w:firstLine="480" w:firstLineChars="200"/>
        <w:contextualSpacing/>
        <w:rPr>
          <w:rFonts w:ascii="Times New Roman" w:hAnsi="Times New Roman" w:cs="Times New Roman"/>
          <w:kern w:val="0"/>
          <w:sz w:val="24"/>
          <w:szCs w:val="24"/>
        </w:rPr>
      </w:pPr>
      <w:r>
        <w:rPr>
          <w:rFonts w:hint="eastAsia" w:ascii="Times New Roman" w:hAnsi="Times New Roman" w:cs="Times New Roman"/>
          <w:kern w:val="0"/>
          <w:sz w:val="24"/>
          <w:szCs w:val="24"/>
        </w:rPr>
        <w:t>（6）施工现场安排专人负责卫生保洁工作，遇到干旱和大风天气时，增加洒水降尘次数，确保无浮土扬尘。在进行开挖、回填等土方作业时，要辅以洒水压尘等措施。工程竣工后，施工现场的临设、围挡、垃圾等，必须及时清理完毕，清理时必须采取有效的降尘措施。</w:t>
      </w:r>
    </w:p>
    <w:p>
      <w:pPr>
        <w:widowControl w:val="0"/>
        <w:spacing w:line="360" w:lineRule="auto"/>
        <w:ind w:firstLine="480" w:firstLineChars="200"/>
        <w:contextualSpacing/>
        <w:rPr>
          <w:rFonts w:ascii="Times New Roman" w:hAnsi="Times New Roman" w:cs="Times New Roman"/>
          <w:kern w:val="0"/>
          <w:sz w:val="24"/>
          <w:szCs w:val="24"/>
        </w:rPr>
      </w:pPr>
      <w:r>
        <w:rPr>
          <w:rFonts w:hint="eastAsia" w:ascii="Times New Roman" w:hAnsi="Times New Roman" w:cs="Times New Roman"/>
          <w:kern w:val="0"/>
          <w:sz w:val="24"/>
          <w:szCs w:val="24"/>
        </w:rPr>
        <w:t>（7）车辆在运输垃圾、渣土、砂石、土方、灰浆等散装、流体物料时，必须采取密闭或其他措施，做到车辆密封、装载均衡，不得沿途洒落，造成二次道路扬尘污染。</w:t>
      </w:r>
    </w:p>
    <w:p>
      <w:pPr>
        <w:widowControl w:val="0"/>
        <w:spacing w:line="360" w:lineRule="auto"/>
        <w:ind w:firstLine="480" w:firstLineChars="200"/>
        <w:contextualSpacing/>
        <w:rPr>
          <w:rFonts w:ascii="Times New Roman" w:hAnsi="Times New Roman" w:cs="Times New Roman"/>
          <w:kern w:val="0"/>
          <w:sz w:val="24"/>
          <w:szCs w:val="24"/>
        </w:rPr>
      </w:pPr>
      <w:r>
        <w:rPr>
          <w:rFonts w:hint="eastAsia" w:ascii="Times New Roman" w:hAnsi="Times New Roman" w:cs="Times New Roman"/>
          <w:kern w:val="0"/>
          <w:sz w:val="24"/>
          <w:szCs w:val="24"/>
        </w:rPr>
        <w:t>（8）</w:t>
      </w:r>
      <w:r>
        <w:rPr>
          <w:rFonts w:ascii="Times New Roman" w:hAnsi="Times New Roman" w:cs="Times New Roman"/>
          <w:kern w:val="0"/>
          <w:sz w:val="24"/>
          <w:szCs w:val="24"/>
        </w:rPr>
        <w:t>施工单位必须选用符合国家卫生防护标准的施工机械设备和运输工具，确保废气排放符合国家有关标准的规定。</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w:t>
      </w:r>
      <w:r>
        <w:rPr>
          <w:rFonts w:hint="eastAsia" w:ascii="Times New Roman" w:hAnsi="Times New Roman" w:cs="Times New Roman"/>
          <w:kern w:val="0"/>
          <w:sz w:val="24"/>
          <w:szCs w:val="24"/>
        </w:rPr>
        <w:t>9</w:t>
      </w:r>
      <w:r>
        <w:rPr>
          <w:rFonts w:ascii="Times New Roman" w:hAnsi="Times New Roman" w:cs="Times New Roman"/>
          <w:kern w:val="0"/>
          <w:sz w:val="24"/>
          <w:szCs w:val="24"/>
        </w:rPr>
        <w:t>）车辆及施工器械在施工过程中应尽量避免扰动原始地面、碾压周围地区的植被，不得随意开辟便道，严禁车辆下道行驶，并对施工集中区进行喷洒作业，以减少大气中浮尘及扬尘来源，减轻对动植物的干扰。</w:t>
      </w:r>
    </w:p>
    <w:p>
      <w:pPr>
        <w:pStyle w:val="7"/>
        <w:widowControl w:val="0"/>
        <w:spacing w:before="0" w:after="0" w:line="360" w:lineRule="auto"/>
        <w:ind w:firstLine="562" w:firstLineChars="200"/>
        <w:rPr>
          <w:sz w:val="28"/>
          <w:szCs w:val="28"/>
        </w:rPr>
      </w:pPr>
      <w:r>
        <w:rPr>
          <w:sz w:val="28"/>
          <w:szCs w:val="28"/>
        </w:rPr>
        <w:t>7.1.2水污染防治措施</w:t>
      </w:r>
      <w:bookmarkEnd w:id="78"/>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为使本项目施工过程中产生的施工废水对周围环境的影响降低到最低程度，采取以下防护措施：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（1）加强施工机械设备的维修保养，避免在施工过程中燃料油的跑、冒、滴、漏；不得在施工区域内清洗施工设备和冲洗汽车。</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（2）施工期间，施工单位设置临时沉淀池，产生的生产废水经沉淀处理后回用于施工过程。</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（3）施工现场设置可移动环保厕所，并应定期清运至污水处理厂处理；</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（4）针对施工期污水产生过程不连续、废水种类较单一等特点，可采取措施控制污水中污染物的产生量；</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（5）施工</w:t>
      </w:r>
      <w:r>
        <w:rPr>
          <w:rFonts w:hint="eastAsia" w:ascii="Times New Roman" w:hAnsi="Times New Roman" w:eastAsia="宋体" w:cs="Times New Roman"/>
          <w:kern w:val="0"/>
          <w:sz w:val="24"/>
          <w:szCs w:val="20"/>
        </w:rPr>
        <w:t>期间</w:t>
      </w:r>
      <w:r>
        <w:rPr>
          <w:rFonts w:ascii="Times New Roman" w:hAnsi="Times New Roman" w:eastAsia="宋体" w:cs="Times New Roman"/>
          <w:kern w:val="0"/>
          <w:sz w:val="24"/>
          <w:szCs w:val="20"/>
        </w:rPr>
        <w:t>注意节约用水，减少废水产生量，禁止废水外排。</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6</w:t>
      </w:r>
      <w:r>
        <w:rPr>
          <w:rFonts w:ascii="Times New Roman" w:hAnsi="Times New Roman" w:eastAsia="宋体" w:cs="Times New Roman"/>
          <w:kern w:val="0"/>
          <w:sz w:val="24"/>
          <w:szCs w:val="20"/>
        </w:rPr>
        <w:t>）为防止场地内部地表径流外排，在施工期间，沿项目区用地周边布设临时砖砌排水沟，并在临时排水沟尾端地势较低处布设1个沉砂池对雨水沉淀处理，降雨径流沉淀处理后回用于洒水降尘及施工用水，不外排。</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4"/>
        </w:rPr>
      </w:pPr>
      <w:r>
        <w:rPr>
          <w:rFonts w:ascii="Times New Roman" w:hAnsi="Times New Roman" w:eastAsia="宋体" w:cs="Times New Roman"/>
          <w:kern w:val="0"/>
          <w:sz w:val="24"/>
          <w:szCs w:val="20"/>
        </w:rPr>
        <w:t>通过上述措施，施工期的废水可得到妥善处理，不会对外环境产生明显影响。</w:t>
      </w:r>
    </w:p>
    <w:p>
      <w:pPr>
        <w:pStyle w:val="7"/>
        <w:widowControl w:val="0"/>
        <w:spacing w:before="0" w:after="0" w:line="360" w:lineRule="auto"/>
        <w:ind w:firstLine="562" w:firstLineChars="200"/>
        <w:rPr>
          <w:sz w:val="28"/>
          <w:szCs w:val="28"/>
        </w:rPr>
      </w:pPr>
      <w:bookmarkStart w:id="80" w:name="_Toc28815"/>
      <w:r>
        <w:rPr>
          <w:sz w:val="28"/>
          <w:szCs w:val="28"/>
        </w:rPr>
        <w:t>7.1.3噪声污染防治措施</w:t>
      </w:r>
      <w:bookmarkEnd w:id="80"/>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施工期噪声主要来自不同的施工阶段所使用的不同施工机械产生的非连续性作业噪声，具有阶段性、临时性和不固定性等特点，因此管理显得尤为重要。施工现场的噪声管理必须执行《建筑施工场界环境噪声排放标准》（GB12523-2011）相关标准的规定。为减轻施工噪声的环境影响建议采取的措施如下：</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（1）制订施工计划时应避免同时使用大量高噪声设备施工，除此之外，高噪声机械施工时间要安排在日间，减少夜间施工量，禁止夜间打桩及限制车辆运输，白天车辆经过办公、居民区时，尽量不鸣喇叭。</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2）合理布局施工现场，避免在同一地点安排大量动力机械设备，以防止局部声级过高。对一些施工位置相对固定的高噪施工设备，可以在棚内操作的尽量进入操作间，如搅拌机、木工机械、线材切割机等设备应远离厂内人群活动密集区域，必要时采取声屏障等措施。</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3）设备选型上应采用低噪声设备，如液压机械代替燃油机械，振捣器采用高频振捣器等。固定机械设备与挖土、运土机械（如挖土机、推土机等）可通过排气管消声器和隔离发动机振动部件的方法降低噪声；设备常因松动部件的振动或消声器的损坏而增加其工作时的噪声级。对动力机械设备进行定期的维修、养护。运输车辆进入现场应减速，并减少鸣笛。</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（4）尽量少用哨子、钟、笛等指挥作业，代之以现代化通信设备，按规程操作机械设备，减少人为噪声。</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采取上述措施后，可有效减轻项目施工噪声对周围环境的影响程度，各项措施技术、经济可行。</w:t>
      </w:r>
    </w:p>
    <w:p>
      <w:pPr>
        <w:pStyle w:val="7"/>
        <w:widowControl w:val="0"/>
        <w:spacing w:before="0" w:after="0" w:line="360" w:lineRule="auto"/>
        <w:ind w:firstLine="562" w:firstLineChars="200"/>
        <w:rPr>
          <w:sz w:val="28"/>
          <w:szCs w:val="28"/>
        </w:rPr>
      </w:pPr>
      <w:bookmarkStart w:id="81" w:name="_Toc20089"/>
      <w:r>
        <w:rPr>
          <w:sz w:val="28"/>
          <w:szCs w:val="28"/>
        </w:rPr>
        <w:t>7.1.4施工期固体废弃物污染防治措施</w:t>
      </w:r>
      <w:bookmarkEnd w:id="81"/>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为减少施工期固体废物在堆放和运输过程中对环境的不利影响，采取如下措施：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（1）施工建筑垃圾主要是各类建筑碎片、碎砖头、废水泥、石子、泥土、混合材料等。大部分为无害物，其中能回收的应尽可能回收，如废钢筋可卖给废品回收单位处理，</w:t>
      </w:r>
      <w:r>
        <w:rPr>
          <w:rFonts w:hint="eastAsia" w:ascii="Times New Roman" w:hAnsi="Times New Roman" w:eastAsia="宋体" w:cs="Times New Roman"/>
          <w:kern w:val="0"/>
          <w:sz w:val="24"/>
          <w:szCs w:val="20"/>
        </w:rPr>
        <w:t>其他</w:t>
      </w:r>
      <w:r>
        <w:rPr>
          <w:rFonts w:ascii="Times New Roman" w:hAnsi="Times New Roman" w:eastAsia="宋体" w:cs="Times New Roman"/>
          <w:kern w:val="0"/>
          <w:sz w:val="24"/>
          <w:szCs w:val="20"/>
        </w:rPr>
        <w:t>无回收利用价值的建筑垃圾，由当地环卫部门处理。建筑垃圾不能混入生活垃圾排放，单独收集运往指定地点。</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（2）施工期车辆运输散体物料和废弃物时，必须密闭、包扎、覆盖，不得沿途漏撒。</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（3）生活垃圾集中堆放到垃圾桶等临时收集系统，交由当地环卫部门统一处置。</w:t>
      </w:r>
    </w:p>
    <w:p>
      <w:pPr>
        <w:widowControl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采取上述环保措施后，施工期固体废弃物对环境影响较小，各项措施技术、经济可行。</w:t>
      </w:r>
    </w:p>
    <w:p>
      <w:pPr>
        <w:pStyle w:val="7"/>
        <w:widowControl w:val="0"/>
        <w:spacing w:before="0" w:after="0" w:line="360" w:lineRule="auto"/>
        <w:ind w:firstLine="562" w:firstLineChars="200"/>
        <w:rPr>
          <w:sz w:val="28"/>
          <w:szCs w:val="28"/>
        </w:rPr>
      </w:pPr>
      <w:bookmarkStart w:id="82" w:name="_Toc30681"/>
      <w:r>
        <w:rPr>
          <w:sz w:val="28"/>
          <w:szCs w:val="28"/>
        </w:rPr>
        <w:t>7.1.5生态环境保护措施</w:t>
      </w:r>
      <w:bookmarkEnd w:id="82"/>
    </w:p>
    <w:p>
      <w:pPr>
        <w:pStyle w:val="8"/>
        <w:spacing w:before="0" w:after="0"/>
        <w:ind w:firstLine="560"/>
        <w:rPr>
          <w:rFonts w:cs="Times New Roman"/>
        </w:rPr>
      </w:pPr>
      <w:r>
        <w:rPr>
          <w:rFonts w:cs="Times New Roman"/>
        </w:rPr>
        <w:t>7.1.5.1施工期对植被的保护措施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项目区地表植被稀疏，植被覆盖度较低。施工期间要严格控制作业带宽度，不跨作业带占用土地，基础开挖采用分层开挖，保留表层土壤，遵循分层堆放原则，之后分层覆盖，将施工对区域植被覆盖度减小的影响降到最低。</w:t>
      </w:r>
    </w:p>
    <w:p>
      <w:pPr>
        <w:pStyle w:val="8"/>
        <w:spacing w:before="0" w:after="0"/>
        <w:ind w:firstLine="560"/>
        <w:rPr>
          <w:rFonts w:cs="Times New Roman"/>
        </w:rPr>
      </w:pPr>
      <w:r>
        <w:rPr>
          <w:rFonts w:cs="Times New Roman"/>
        </w:rPr>
        <w:t>7.1.5.2施工期对动物的保护措施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施工期间施工人员活动以及工程施工过程都会对区域动物造成惊扰。施工期间，建设单位在施工进场前，应加强对施工人员的生态环境保护的宣传教育工作；在施工现场设置警示或提示牌，警示或提示施工人员在施工过程中发现有野生动植物出没要自觉加以保护，并严禁伤害与猎杀任何野生动物；尽量减少人员活动、施工</w:t>
      </w:r>
      <w:r>
        <w:rPr>
          <w:rFonts w:hint="eastAsia" w:ascii="Times New Roman" w:hAnsi="Times New Roman" w:eastAsia="宋体" w:cs="Times New Roman"/>
          <w:kern w:val="0"/>
          <w:sz w:val="24"/>
          <w:szCs w:val="20"/>
        </w:rPr>
        <w:t>噪声</w:t>
      </w:r>
      <w:r>
        <w:rPr>
          <w:rFonts w:ascii="Times New Roman" w:hAnsi="Times New Roman" w:eastAsia="宋体" w:cs="Times New Roman"/>
          <w:kern w:val="0"/>
          <w:sz w:val="24"/>
          <w:szCs w:val="20"/>
        </w:rPr>
        <w:t>来控制对区域野生动物的生活环境的影响。</w:t>
      </w:r>
    </w:p>
    <w:p>
      <w:pPr>
        <w:pStyle w:val="8"/>
        <w:spacing w:before="0" w:after="0"/>
        <w:ind w:firstLine="560"/>
        <w:rPr>
          <w:rFonts w:cs="Times New Roman"/>
        </w:rPr>
      </w:pPr>
      <w:r>
        <w:rPr>
          <w:rFonts w:cs="Times New Roman"/>
        </w:rPr>
        <w:t>7.1.5.3水土流失保护措施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针对建设过程中扰动和破坏地表方式多种多样，水土流失强度及治理难度各异的特点，本项目水土流失可采用如下防治措施：</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（1）本项目建设必须做好水土流失沙漠化的预防工作，认真贯彻“谁造成水土流失，谁投资治理，谁造成新的危害，谁负责赔偿”和“治理与生产建设相结合”的原则。</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（2）加强水土保持法治宣传。对施工人员进行培训和教育，自觉保持水土，保护植被。大力宣传保护生态环境、防止沙漠化的重要性。</w:t>
      </w:r>
      <w:r>
        <w:rPr>
          <w:rFonts w:ascii="Times New Roman" w:hAnsi="Times New Roman" w:eastAsia="宋体" w:cs="Times New Roman"/>
          <w:sz w:val="24"/>
          <w:szCs w:val="24"/>
        </w:rPr>
        <w:t>对完工的裸露地面要尽早平整，对道路进行固化处理，及时绿化场地，通过播种一些耐干旱的沙生植物，改善沙漠化土地，控制和固定流沙。尽量减少大型机械施工，基坑开挖后，尽快浇筑混凝土，并及时回填，</w:t>
      </w:r>
      <w:r>
        <w:rPr>
          <w:rFonts w:hint="eastAsia" w:ascii="Times New Roman" w:hAnsi="Times New Roman" w:eastAsia="宋体" w:cs="Times New Roman"/>
          <w:sz w:val="24"/>
          <w:szCs w:val="24"/>
        </w:rPr>
        <w:t>对</w:t>
      </w:r>
      <w:r>
        <w:rPr>
          <w:rFonts w:ascii="Times New Roman" w:hAnsi="Times New Roman" w:eastAsia="宋体" w:cs="Times New Roman"/>
          <w:sz w:val="24"/>
          <w:szCs w:val="24"/>
        </w:rPr>
        <w:t>表层进行碾压，缩短裸露时间，减少扬尘发生。基坑开挖严禁大爆破，以减少粉尘及</w:t>
      </w:r>
      <w:r>
        <w:rPr>
          <w:rFonts w:hint="eastAsia" w:ascii="Times New Roman" w:hAnsi="Times New Roman" w:eastAsia="宋体" w:cs="Times New Roman"/>
          <w:sz w:val="24"/>
          <w:szCs w:val="24"/>
        </w:rPr>
        <w:t>振动</w:t>
      </w:r>
      <w:r>
        <w:rPr>
          <w:rFonts w:ascii="Times New Roman" w:hAnsi="Times New Roman" w:eastAsia="宋体" w:cs="Times New Roman"/>
          <w:sz w:val="24"/>
          <w:szCs w:val="24"/>
        </w:rPr>
        <w:t>对周围环境的影响。项目施工过程中和施工结束后，及时对施工场地进行平整和修缮。</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（3）充分做到土方的合理综合利用，合理安排工期和工程顺序，做到挖方、填方土石方平衡，减少土壤损失和地表破坏面积，特别是减少填埋场以外的临时占地。</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（4）施工期间应划定施工活动范围，严格控制和管理运输车辆及重型机械的运行范围，不得离开运输道路随意行驶，以防破坏土壤和植被，从而引发水土流失。</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综上所述，本项目施工期对原地表形态、地表植被造成直接破坏，施工期人为活动及施工噪声对野生动物有一定影响，在采取减少临时占地，施工结束后恢复地表，减少对地表植被的侵扰，控制施工噪声等措施后，施工期对周边生态环境影响是可接受的，同时由于项目区地表植被稀疏，施工期结束后通过项目区绿化，可使区域生态环境得到改善。</w:t>
      </w:r>
    </w:p>
    <w:p>
      <w:pPr>
        <w:pStyle w:val="6"/>
        <w:widowControl w:val="0"/>
        <w:ind w:firstLine="640"/>
      </w:pPr>
      <w:bookmarkStart w:id="83" w:name="_Toc2256"/>
      <w:r>
        <w:t>7.2 运营期环保措施可行性分析</w:t>
      </w:r>
      <w:bookmarkEnd w:id="83"/>
    </w:p>
    <w:p>
      <w:pPr>
        <w:pStyle w:val="7"/>
        <w:widowControl w:val="0"/>
        <w:spacing w:before="0" w:after="0" w:line="360" w:lineRule="auto"/>
        <w:ind w:firstLine="562" w:firstLineChars="200"/>
        <w:rPr>
          <w:sz w:val="28"/>
          <w:szCs w:val="28"/>
        </w:rPr>
      </w:pPr>
      <w:r>
        <w:rPr>
          <w:sz w:val="28"/>
          <w:szCs w:val="28"/>
        </w:rPr>
        <w:t>7.2.1废气治理措施</w:t>
      </w:r>
      <w:r>
        <w:rPr>
          <w:rFonts w:hint="eastAsia"/>
          <w:sz w:val="28"/>
          <w:szCs w:val="28"/>
        </w:rPr>
        <w:t>及可行性分析</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1）喷砂废气</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本项目</w:t>
      </w:r>
      <w:r>
        <w:rPr>
          <w:rFonts w:ascii="Times New Roman" w:hAnsi="Times New Roman" w:eastAsia="宋体" w:cs="Times New Roman"/>
          <w:kern w:val="0"/>
          <w:sz w:val="24"/>
          <w:szCs w:val="20"/>
        </w:rPr>
        <w:t>喷砂工序为工件喷漆的前处理工序，先对拼装、焊接后的工件焊缝、棱角部位</w:t>
      </w:r>
      <w:r>
        <w:rPr>
          <w:rFonts w:hint="eastAsia" w:ascii="Times New Roman" w:hAnsi="Times New Roman" w:eastAsia="宋体" w:cs="Times New Roman"/>
          <w:kern w:val="0"/>
          <w:sz w:val="24"/>
          <w:szCs w:val="20"/>
        </w:rPr>
        <w:t>进行人工</w:t>
      </w:r>
      <w:r>
        <w:rPr>
          <w:rFonts w:ascii="Times New Roman" w:hAnsi="Times New Roman" w:eastAsia="宋体" w:cs="Times New Roman"/>
          <w:kern w:val="0"/>
          <w:sz w:val="24"/>
          <w:szCs w:val="20"/>
        </w:rPr>
        <w:t>打磨，然后利用石英砂的冲击力除去工件表面锈渍及氧化物，打磨、喷砂操作在全封闭的喷砂房内自动完成。</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喷砂产生的金属粉尘，</w:t>
      </w:r>
      <w:r>
        <w:rPr>
          <w:rFonts w:hint="eastAsia" w:ascii="Times New Roman" w:hAnsi="Times New Roman" w:eastAsia="宋体" w:cs="Times New Roman"/>
          <w:kern w:val="0"/>
          <w:sz w:val="24"/>
          <w:szCs w:val="20"/>
        </w:rPr>
        <w:t>经负压</w:t>
      </w:r>
      <w:r>
        <w:rPr>
          <w:rFonts w:ascii="Times New Roman" w:hAnsi="Times New Roman" w:eastAsia="宋体" w:cs="Times New Roman"/>
          <w:kern w:val="0"/>
          <w:sz w:val="24"/>
          <w:szCs w:val="20"/>
        </w:rPr>
        <w:t>收集+布袋除尘器</w:t>
      </w:r>
      <w:r>
        <w:rPr>
          <w:rFonts w:hint="eastAsia" w:ascii="Times New Roman" w:hAnsi="Times New Roman" w:eastAsia="宋体" w:cs="Times New Roman"/>
          <w:kern w:val="0"/>
          <w:sz w:val="24"/>
          <w:szCs w:val="20"/>
        </w:rPr>
        <w:t>处理后，通过15m</w:t>
      </w:r>
      <w:r>
        <w:rPr>
          <w:rFonts w:ascii="Times New Roman" w:hAnsi="Times New Roman" w:eastAsia="宋体" w:cs="Times New Roman"/>
          <w:kern w:val="0"/>
          <w:sz w:val="24"/>
          <w:szCs w:val="20"/>
        </w:rPr>
        <w:t>高排气筒</w:t>
      </w:r>
      <w:r>
        <w:rPr>
          <w:rFonts w:hint="eastAsia" w:ascii="Times New Roman" w:hAnsi="Times New Roman" w:eastAsia="宋体" w:cs="Times New Roman"/>
          <w:kern w:val="0"/>
          <w:sz w:val="24"/>
          <w:szCs w:val="20"/>
        </w:rPr>
        <w:t>排放，</w:t>
      </w:r>
      <w:r>
        <w:rPr>
          <w:rFonts w:ascii="Times New Roman" w:hAnsi="Times New Roman" w:eastAsia="宋体" w:cs="Times New Roman"/>
          <w:kern w:val="0"/>
          <w:sz w:val="24"/>
          <w:szCs w:val="20"/>
        </w:rPr>
        <w:t>排放浓度满足《大气污染源综合排放标准》（GB16297-1996）</w:t>
      </w:r>
      <w:r>
        <w:rPr>
          <w:rFonts w:hint="eastAsia" w:ascii="Times New Roman" w:hAnsi="Times New Roman" w:eastAsia="宋体" w:cs="Times New Roman"/>
          <w:kern w:val="0"/>
          <w:sz w:val="24"/>
          <w:szCs w:val="20"/>
        </w:rPr>
        <w:t>表2中排放标准浓度限值要求（有组织：120mg/m</w:t>
      </w:r>
      <w:r>
        <w:rPr>
          <w:rFonts w:hint="eastAsia" w:ascii="Times New Roman" w:hAnsi="Times New Roman" w:eastAsia="宋体" w:cs="Times New Roman"/>
          <w:kern w:val="0"/>
          <w:sz w:val="24"/>
          <w:szCs w:val="20"/>
          <w:vertAlign w:val="superscript"/>
        </w:rPr>
        <w:t>3</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无组织逸散量很小，少部分</w:t>
      </w:r>
      <w:r>
        <w:rPr>
          <w:rFonts w:ascii="Times New Roman" w:hAnsi="Times New Roman" w:eastAsia="宋体" w:cs="Times New Roman"/>
          <w:kern w:val="0"/>
          <w:sz w:val="24"/>
          <w:szCs w:val="20"/>
        </w:rPr>
        <w:t>经重力沉降后基本散落在车间地面，对于车间内散落的粉尘，应做到及时收</w:t>
      </w:r>
      <w:r>
        <w:rPr>
          <w:rFonts w:hint="eastAsia" w:ascii="Times New Roman" w:hAnsi="Times New Roman" w:eastAsia="宋体" w:cs="Times New Roman"/>
          <w:kern w:val="0"/>
          <w:sz w:val="24"/>
          <w:szCs w:val="20"/>
        </w:rPr>
        <w:t>集，定期清扫，按时清运。工作人员佩戴口罩，同时加强车间的通风换气，采取相关措施后，对项目区及周边空气环境影响很小。</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参照《排污许可证申请与核发技术规范 金属铸造工业》（HJ1115）中金属制品清理（抛（喷）丸、打磨）环节产生的颗粒物推荐污染治理设施为：静电除尘器、袋式除尘器、电袋复合除尘器、旋风除尘器、滤筒除尘器、湿式除尘器、其他。根据《国家污染防治技术指导目录（2025年）》，洗涤、水膜（浴）、文丘里湿式除尘技术（排除范围：易燃易爆粉尘气体洗涤净化；高温高湿、易结露，黏性，含油，含水溶性颗粒物气体除尘；预除尘）、低效干式除尘技术（排除范围：预除尘；低浓度除尘）、正压反吸风类袋式除尘技术为低效类技术。</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本项目粉尘处理采用布袋除尘器，符合以上文件要求，为可行技术。</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2）喷漆废气</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本项目建设一座全封闭喷漆车间，喷漆、烘干共用一套处理废气处理设备。喷漆废气经封闭喷漆车间收集+活性炭吸附脱附+催化燃烧装置净化后，由风机抽出，经15m高排气筒有组织排放。</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ascii="Times New Roman" w:hAnsi="Times New Roman" w:eastAsia="宋体" w:cs="Times New Roman"/>
          <w:kern w:val="0"/>
          <w:sz w:val="24"/>
          <w:szCs w:val="20"/>
        </w:rPr>
        <w:t>喷漆、</w:t>
      </w:r>
      <w:r>
        <w:rPr>
          <w:rFonts w:hint="eastAsia" w:ascii="Times New Roman" w:hAnsi="Times New Roman" w:eastAsia="宋体" w:cs="Times New Roman"/>
          <w:kern w:val="0"/>
          <w:sz w:val="24"/>
          <w:szCs w:val="20"/>
        </w:rPr>
        <w:t>烘干</w:t>
      </w:r>
      <w:r>
        <w:rPr>
          <w:rFonts w:ascii="Times New Roman" w:hAnsi="Times New Roman" w:eastAsia="宋体" w:cs="Times New Roman"/>
          <w:kern w:val="0"/>
          <w:sz w:val="24"/>
          <w:szCs w:val="20"/>
        </w:rPr>
        <w:t>过程产生的VOCs</w:t>
      </w:r>
      <w:r>
        <w:rPr>
          <w:rFonts w:hint="eastAsia" w:ascii="Times New Roman" w:hAnsi="Times New Roman" w:eastAsia="宋体" w:cs="Times New Roman"/>
          <w:kern w:val="0"/>
          <w:sz w:val="24"/>
          <w:szCs w:val="20"/>
        </w:rPr>
        <w:t>活性炭吸附脱附+催化燃烧装置处理</w:t>
      </w:r>
      <w:r>
        <w:rPr>
          <w:rFonts w:ascii="Times New Roman" w:hAnsi="Times New Roman" w:eastAsia="宋体" w:cs="Times New Roman"/>
          <w:kern w:val="0"/>
          <w:sz w:val="24"/>
          <w:szCs w:val="20"/>
        </w:rPr>
        <w:t>后，通过</w:t>
      </w:r>
      <w:r>
        <w:rPr>
          <w:rFonts w:hint="eastAsia" w:ascii="Times New Roman" w:hAnsi="Times New Roman" w:eastAsia="宋体" w:cs="Times New Roman"/>
          <w:kern w:val="0"/>
          <w:sz w:val="24"/>
          <w:szCs w:val="20"/>
        </w:rPr>
        <w:t>15</w:t>
      </w:r>
      <w:r>
        <w:rPr>
          <w:rFonts w:ascii="Times New Roman" w:hAnsi="Times New Roman" w:eastAsia="宋体" w:cs="Times New Roman"/>
          <w:kern w:val="0"/>
          <w:sz w:val="24"/>
          <w:szCs w:val="20"/>
        </w:rPr>
        <w:t>m高排气筒有组织排放，非甲烷总烃排放浓度满足《大气污染源综合排放标准》（GB16297-1996）表2中排放标准浓度限值要求（非甲烷总烃120mg/m</w:t>
      </w:r>
      <w:r>
        <w:rPr>
          <w:rFonts w:ascii="Times New Roman" w:hAnsi="Times New Roman" w:eastAsia="宋体" w:cs="Times New Roman"/>
          <w:kern w:val="0"/>
          <w:sz w:val="24"/>
          <w:szCs w:val="20"/>
          <w:vertAlign w:val="superscript"/>
        </w:rPr>
        <w:t>3</w:t>
      </w:r>
      <w:r>
        <w:rPr>
          <w:rFonts w:ascii="Times New Roman" w:hAnsi="Times New Roman" w:eastAsia="宋体" w:cs="Times New Roman"/>
          <w:kern w:val="0"/>
          <w:sz w:val="24"/>
          <w:szCs w:val="20"/>
        </w:rPr>
        <w:t>）。</w:t>
      </w:r>
      <w:r>
        <w:rPr>
          <w:rFonts w:hint="eastAsia" w:ascii="Times New Roman" w:hAnsi="Times New Roman" w:eastAsia="宋体" w:cs="Times New Roman"/>
          <w:kern w:val="0"/>
          <w:sz w:val="24"/>
          <w:szCs w:val="20"/>
        </w:rPr>
        <w:t>采取相关措施后，对项目区及周边空气环境影响很小。</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参照《排污许可证申请与核发技术规范 金属铸造工业》（HJ1115）中金属制品涂装环节产生的颗粒物、非甲烷总烃、苯系物推荐污染治理设施为：水幕、吸附燃烧、催化燃烧。本项目喷漆废气采用</w:t>
      </w:r>
      <w:r>
        <w:rPr>
          <w:rFonts w:hint="eastAsia" w:ascii="Times New Roman" w:hAnsi="Times New Roman" w:eastAsia="宋体" w:cs="Times New Roman"/>
          <w:kern w:val="0"/>
          <w:sz w:val="24"/>
          <w:szCs w:val="24"/>
        </w:rPr>
        <w:t>“多</w:t>
      </w:r>
      <w:r>
        <w:rPr>
          <w:rFonts w:ascii="Times New Roman" w:hAnsi="Times New Roman" w:eastAsia="宋体" w:cs="Times New Roman"/>
          <w:kern w:val="0"/>
          <w:sz w:val="24"/>
          <w:szCs w:val="24"/>
        </w:rPr>
        <w:t>级干式过滤+活性炭吸附</w:t>
      </w:r>
      <w:r>
        <w:rPr>
          <w:rFonts w:hint="eastAsia" w:ascii="Times New Roman" w:hAnsi="Times New Roman" w:eastAsia="宋体" w:cs="Times New Roman"/>
          <w:kern w:val="0"/>
          <w:sz w:val="24"/>
          <w:szCs w:val="24"/>
        </w:rPr>
        <w:t>/脱附</w:t>
      </w:r>
      <w:r>
        <w:rPr>
          <w:rFonts w:ascii="Times New Roman" w:hAnsi="Times New Roman" w:eastAsia="宋体" w:cs="Times New Roman"/>
          <w:kern w:val="0"/>
          <w:sz w:val="24"/>
          <w:szCs w:val="24"/>
        </w:rPr>
        <w:t>+催化燃烧装置</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处理</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0"/>
        </w:rPr>
        <w:t>符合文件要求，为可行技术。</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3）无组织废气</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①下料、焊接无组织粉尘</w:t>
      </w:r>
    </w:p>
    <w:p>
      <w:pPr>
        <w:widowControl w:val="0"/>
        <w:adjustRightInd w:val="0"/>
        <w:spacing w:line="360" w:lineRule="auto"/>
        <w:ind w:firstLine="480" w:firstLineChars="200"/>
        <w:jc w:val="left"/>
        <w:textAlignment w:val="baseline"/>
        <w:rPr>
          <w:rFonts w:ascii="Times New Roman" w:hAnsi="Times New Roman" w:cs="Times New Roman"/>
          <w:kern w:val="0"/>
          <w:sz w:val="24"/>
          <w:szCs w:val="20"/>
        </w:rPr>
      </w:pPr>
      <w:r>
        <w:rPr>
          <w:rFonts w:hint="eastAsia" w:ascii="Times New Roman" w:hAnsi="Times New Roman" w:eastAsia="宋体" w:cs="Times New Roman"/>
          <w:kern w:val="0"/>
          <w:sz w:val="24"/>
          <w:szCs w:val="20"/>
        </w:rPr>
        <w:t>本项目为风电塔筒生产项目，加工工件体积大，</w:t>
      </w:r>
      <w:r>
        <w:rPr>
          <w:rFonts w:hint="eastAsia" w:ascii="Times New Roman" w:hAnsi="Times New Roman" w:cs="Times New Roman"/>
          <w:sz w:val="24"/>
          <w:szCs w:val="24"/>
        </w:rPr>
        <w:t>受设备工作运行空间限制，项目</w:t>
      </w:r>
      <w:r>
        <w:rPr>
          <w:rFonts w:ascii="Times New Roman" w:hAnsi="Times New Roman" w:cs="Times New Roman"/>
          <w:sz w:val="24"/>
          <w:szCs w:val="24"/>
        </w:rPr>
        <w:t>钢材的下料、坡口开制</w:t>
      </w:r>
      <w:r>
        <w:rPr>
          <w:rFonts w:hint="eastAsia" w:ascii="Times New Roman" w:hAnsi="Times New Roman" w:cs="Times New Roman"/>
          <w:sz w:val="24"/>
          <w:szCs w:val="24"/>
        </w:rPr>
        <w:t>、焊接过程中产生的烟尘采用移动式除尘器对烟尘进行收集处理。</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移动式除尘器‌是一种经济高效的就地除尘设备，主要用于在产生粉尘的地点进行除尘作业。</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工艺原理：含尘气体由风机通过吸尘管吸入箱体，进入滤袋过滤，粉尘颗粒被滤袋阻留在表面，经过过滤的净化气体由出风口排出，可直接排放在室内循环使用。整个除尘过滤是一个重力，惯性力，碰撞，静电吸附，筛滤等综合效应的结果。除尘器连续工作一段时间后，滤袋表面的粉尘不断增加，继而进行清灰，粉尘抖落在集尘器（抽屉）中，再由人工进行处理 。</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本项目采用</w:t>
      </w:r>
      <w:r>
        <w:rPr>
          <w:rFonts w:hint="eastAsia" w:ascii="Times New Roman" w:hAnsi="Times New Roman" w:cs="Times New Roman"/>
          <w:sz w:val="24"/>
          <w:szCs w:val="24"/>
        </w:rPr>
        <w:t>移动式除尘器，符合本项目实际生产需要，</w:t>
      </w:r>
      <w:r>
        <w:rPr>
          <w:rFonts w:hint="eastAsia" w:ascii="Times New Roman" w:hAnsi="Times New Roman" w:eastAsia="宋体" w:cs="Times New Roman"/>
          <w:kern w:val="0"/>
          <w:sz w:val="24"/>
          <w:szCs w:val="20"/>
        </w:rPr>
        <w:t>灵活方便，就地集尘，就地处理，能有效地保证空气的洁净度。</w:t>
      </w:r>
    </w:p>
    <w:p>
      <w:pPr>
        <w:widowControl w:val="0"/>
        <w:adjustRightInd w:val="0"/>
        <w:spacing w:line="360" w:lineRule="auto"/>
        <w:ind w:firstLine="480" w:firstLineChars="200"/>
        <w:jc w:val="left"/>
        <w:textAlignment w:val="baseline"/>
        <w:rPr>
          <w:rFonts w:ascii="Times New Roman" w:hAnsi="Times New Roman" w:cs="Times New Roman"/>
          <w:kern w:val="0"/>
          <w:sz w:val="24"/>
          <w:szCs w:val="20"/>
        </w:rPr>
      </w:pPr>
      <w:r>
        <w:rPr>
          <w:rFonts w:hint="eastAsia" w:ascii="Times New Roman" w:hAnsi="Times New Roman" w:eastAsia="宋体" w:cs="Times New Roman"/>
          <w:kern w:val="0"/>
          <w:sz w:val="24"/>
          <w:szCs w:val="20"/>
        </w:rPr>
        <w:t>根据前文核算、预测结果，项目采用</w:t>
      </w:r>
      <w:r>
        <w:rPr>
          <w:rFonts w:hint="eastAsia" w:ascii="Times New Roman" w:hAnsi="Times New Roman" w:cs="Times New Roman"/>
          <w:sz w:val="24"/>
          <w:szCs w:val="24"/>
        </w:rPr>
        <w:t>移动式除尘器后，厂界无组织颗粒物能够满足</w:t>
      </w:r>
      <w:r>
        <w:rPr>
          <w:rFonts w:ascii="Times New Roman" w:hAnsi="Times New Roman" w:cs="Times New Roman"/>
          <w:kern w:val="0"/>
          <w:sz w:val="24"/>
          <w:szCs w:val="24"/>
        </w:rPr>
        <w:t>《大气污染物综合排放标准》（GB16297-1996）</w:t>
      </w:r>
      <w:r>
        <w:rPr>
          <w:rFonts w:hint="eastAsia" w:ascii="Times New Roman" w:hAnsi="Times New Roman" w:cs="Times New Roman"/>
          <w:kern w:val="0"/>
          <w:sz w:val="24"/>
          <w:szCs w:val="24"/>
        </w:rPr>
        <w:t>厂界无组织现状要求。</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②喷砂、喷漆无组织废气</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项目喷砂、喷漆过程均采用全封闭厂房对废气收集，尽可能减少项目无组织废气产生。为此，建设单位应该加强对封闭厂房管理，保证生产期间封闭内始终保持负压，车间做好封闭，控制封闭厂房无组织废气逃逸。</w:t>
      </w:r>
    </w:p>
    <w:p>
      <w:pPr>
        <w:widowControl w:val="0"/>
        <w:adjustRightInd w:val="0"/>
        <w:spacing w:line="360" w:lineRule="auto"/>
        <w:ind w:firstLine="480" w:firstLineChars="200"/>
        <w:jc w:val="left"/>
        <w:textAlignment w:val="baseline"/>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综上，项目在采取各项废气治理措施符合现行环保要求，实施后均能做到达标排放，项目采用的废气治理措施可行。</w:t>
      </w:r>
    </w:p>
    <w:p>
      <w:pPr>
        <w:pStyle w:val="7"/>
        <w:widowControl w:val="0"/>
        <w:spacing w:before="0" w:after="0" w:line="360" w:lineRule="auto"/>
        <w:ind w:firstLine="562" w:firstLineChars="200"/>
        <w:rPr>
          <w:sz w:val="28"/>
          <w:szCs w:val="28"/>
        </w:rPr>
      </w:pPr>
      <w:r>
        <w:rPr>
          <w:sz w:val="28"/>
          <w:szCs w:val="28"/>
        </w:rPr>
        <w:t>7.2.2废水治理措施</w:t>
      </w:r>
      <w:r>
        <w:rPr>
          <w:rFonts w:hint="eastAsia"/>
          <w:sz w:val="28"/>
          <w:szCs w:val="28"/>
        </w:rPr>
        <w:t>及可行性分析</w:t>
      </w:r>
    </w:p>
    <w:p>
      <w:pPr>
        <w:pStyle w:val="17"/>
        <w:spacing w:line="360" w:lineRule="auto"/>
        <w:ind w:firstLine="480" w:firstLineChars="200"/>
        <w:rPr>
          <w:sz w:val="24"/>
        </w:rPr>
      </w:pPr>
      <w:r>
        <w:rPr>
          <w:rFonts w:hint="eastAsia"/>
          <w:sz w:val="24"/>
        </w:rPr>
        <w:t>根据工程分析，本项目不产生生产废水，项目废水主要为生活污水。</w:t>
      </w:r>
    </w:p>
    <w:p>
      <w:pPr>
        <w:spacing w:line="360" w:lineRule="auto"/>
        <w:ind w:firstLine="480" w:firstLineChars="200"/>
        <w:jc w:val="left"/>
        <w:rPr>
          <w:rFonts w:ascii="Times New Roman" w:hAnsi="Times New Roman" w:cs="Times New Roman"/>
          <w:sz w:val="24"/>
        </w:rPr>
      </w:pPr>
      <w:r>
        <w:rPr>
          <w:rFonts w:ascii="Times New Roman" w:hAnsi="Times New Roman" w:cs="Times New Roman"/>
          <w:color w:val="000000"/>
          <w:sz w:val="24"/>
        </w:rPr>
        <w:t>项目生活废水进入化粪池预处理后排入园区污水管网，进入园区污水处理厂进行处理。根据工程分析章节，项目生活污水经化粪池预处理后能够</w:t>
      </w:r>
      <w:r>
        <w:rPr>
          <w:rFonts w:hint="eastAsia" w:ascii="Times New Roman" w:hAnsi="Times New Roman" w:cs="Times New Roman"/>
          <w:color w:val="000000"/>
          <w:sz w:val="24"/>
        </w:rPr>
        <w:t>达到</w:t>
      </w:r>
      <w:r>
        <w:rPr>
          <w:rFonts w:ascii="Times New Roman" w:hAnsi="Times New Roman" w:cs="Times New Roman"/>
          <w:color w:val="000000"/>
          <w:sz w:val="24"/>
        </w:rPr>
        <w:t>《污水综合排放标准》（GB8978-1996）三级标准、《污水排入城镇下水道水质标准》（GB/T31962-2015）表1 A等级标准要求。故废水处理措施可行。</w:t>
      </w:r>
    </w:p>
    <w:p>
      <w:pPr>
        <w:pStyle w:val="7"/>
        <w:widowControl w:val="0"/>
        <w:spacing w:before="0" w:after="0" w:line="360" w:lineRule="auto"/>
        <w:ind w:firstLine="562" w:firstLineChars="200"/>
        <w:rPr>
          <w:sz w:val="28"/>
          <w:szCs w:val="28"/>
        </w:rPr>
      </w:pPr>
      <w:r>
        <w:rPr>
          <w:sz w:val="28"/>
          <w:szCs w:val="28"/>
        </w:rPr>
        <w:t>7.2.3 噪声防治措施</w:t>
      </w:r>
    </w:p>
    <w:p>
      <w:pPr>
        <w:widowControl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本项目噪声防治的总原则是：合理设置平面布置，风机、</w:t>
      </w:r>
      <w:r>
        <w:rPr>
          <w:rFonts w:hint="eastAsia" w:ascii="Times New Roman" w:hAnsi="Times New Roman" w:cs="Times New Roman"/>
          <w:kern w:val="0"/>
          <w:sz w:val="24"/>
          <w:szCs w:val="24"/>
        </w:rPr>
        <w:t>卷板机、焊机</w:t>
      </w:r>
      <w:r>
        <w:rPr>
          <w:rFonts w:ascii="Times New Roman" w:hAnsi="Times New Roman" w:cs="Times New Roman"/>
          <w:kern w:val="0"/>
          <w:sz w:val="24"/>
          <w:szCs w:val="24"/>
        </w:rPr>
        <w:t>等噪声源</w:t>
      </w:r>
      <w:r>
        <w:rPr>
          <w:rFonts w:hint="eastAsia" w:ascii="Times New Roman" w:hAnsi="Times New Roman" w:cs="Times New Roman"/>
          <w:kern w:val="0"/>
          <w:sz w:val="24"/>
          <w:szCs w:val="24"/>
        </w:rPr>
        <w:t>合理布置</w:t>
      </w:r>
      <w:r>
        <w:rPr>
          <w:rFonts w:ascii="Times New Roman" w:hAnsi="Times New Roman" w:cs="Times New Roman"/>
          <w:kern w:val="0"/>
          <w:sz w:val="24"/>
          <w:szCs w:val="24"/>
        </w:rPr>
        <w:t>；各岗位尽可能选用低噪声设备；对噪声超标设备采用隔声、消声、减振等降噪措施；对操作人员进行防噪保护等一系列噪声控制措施。</w:t>
      </w:r>
    </w:p>
    <w:p>
      <w:pPr>
        <w:widowControl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采取以下噪声防治措施：</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（1）在设备选型时优先选择高效、低噪声设备，做好设备的安装调试，同时加强营运期间对各种机械的维修保养，保持其良好的运行效果；</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（2）在</w:t>
      </w:r>
      <w:r>
        <w:rPr>
          <w:rFonts w:ascii="Times New Roman" w:hAnsi="Times New Roman" w:cs="Times New Roman"/>
          <w:sz w:val="24"/>
          <w:szCs w:val="24"/>
        </w:rPr>
        <w:t>设备安装中结合</w:t>
      </w:r>
      <w:r>
        <w:rPr>
          <w:rFonts w:ascii="Times New Roman" w:hAnsi="Times New Roman" w:eastAsia="宋体" w:cs="Times New Roman"/>
          <w:sz w:val="24"/>
          <w:szCs w:val="24"/>
        </w:rPr>
        <w:t>厂房建筑、绿化设计等方面</w:t>
      </w:r>
      <w:r>
        <w:rPr>
          <w:rFonts w:ascii="Times New Roman" w:hAnsi="Times New Roman" w:cs="Times New Roman"/>
          <w:sz w:val="24"/>
          <w:szCs w:val="24"/>
        </w:rPr>
        <w:t>已</w:t>
      </w:r>
      <w:r>
        <w:rPr>
          <w:rFonts w:ascii="Times New Roman" w:hAnsi="Times New Roman" w:eastAsia="宋体" w:cs="Times New Roman"/>
          <w:sz w:val="24"/>
          <w:szCs w:val="24"/>
        </w:rPr>
        <w:t>采取</w:t>
      </w:r>
      <w:r>
        <w:rPr>
          <w:rFonts w:ascii="Times New Roman" w:hAnsi="Times New Roman" w:cs="Times New Roman"/>
          <w:sz w:val="24"/>
          <w:szCs w:val="24"/>
        </w:rPr>
        <w:t>的</w:t>
      </w:r>
      <w:r>
        <w:rPr>
          <w:rFonts w:ascii="Times New Roman" w:hAnsi="Times New Roman" w:eastAsia="宋体" w:cs="Times New Roman"/>
          <w:sz w:val="24"/>
          <w:szCs w:val="24"/>
        </w:rPr>
        <w:t>有效控制措施，在工厂总体布置上利用建筑物，构筑物来阻隔声波的传播</w:t>
      </w:r>
      <w:r>
        <w:rPr>
          <w:rFonts w:ascii="Times New Roman" w:hAnsi="Times New Roman" w:cs="Times New Roman"/>
          <w:sz w:val="24"/>
          <w:szCs w:val="24"/>
        </w:rPr>
        <w:t>，</w:t>
      </w:r>
      <w:r>
        <w:rPr>
          <w:rFonts w:ascii="Times New Roman" w:hAnsi="Times New Roman" w:eastAsia="宋体" w:cs="Times New Roman"/>
          <w:sz w:val="24"/>
          <w:szCs w:val="24"/>
        </w:rPr>
        <w:t>以降低噪声的传播和干扰。</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（3）生产车间临场界侧设隔声门窗，生产时关闭门窗。</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（4）对于厂区内流动的声源（汽车、装卸车），单独控制声源技术难度较大，故需强化行车管理制度，严禁鸣号，低速行驶等。</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本项目建成后主要噪声源为</w:t>
      </w:r>
      <w:r>
        <w:rPr>
          <w:rFonts w:hint="eastAsia" w:ascii="Times New Roman" w:hAnsi="Times New Roman" w:cs="Times New Roman"/>
          <w:kern w:val="0"/>
          <w:sz w:val="24"/>
          <w:szCs w:val="24"/>
        </w:rPr>
        <w:t>车间内</w:t>
      </w:r>
      <w:r>
        <w:rPr>
          <w:rFonts w:ascii="Times New Roman" w:hAnsi="Times New Roman" w:cs="Times New Roman"/>
          <w:kern w:val="0"/>
          <w:sz w:val="24"/>
          <w:szCs w:val="24"/>
        </w:rPr>
        <w:t>设备噪声，采取减振、隔音、材料消音等噪声污染防治措施，隔声降噪效果按照20dB</w:t>
      </w:r>
      <w:r>
        <w:rPr>
          <w:rFonts w:hint="eastAsia" w:ascii="Times New Roman" w:hAnsi="Times New Roman" w:cs="Times New Roman"/>
          <w:kern w:val="0"/>
          <w:sz w:val="24"/>
          <w:szCs w:val="24"/>
        </w:rPr>
        <w:t>（</w:t>
      </w:r>
      <w:r>
        <w:rPr>
          <w:rFonts w:ascii="Times New Roman" w:hAnsi="Times New Roman" w:cs="Times New Roman"/>
          <w:kern w:val="0"/>
          <w:sz w:val="24"/>
          <w:szCs w:val="24"/>
        </w:rPr>
        <w:t>A）计。</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运营期鼓风</w:t>
      </w:r>
      <w:r>
        <w:rPr>
          <w:rFonts w:hint="eastAsia" w:ascii="Times New Roman" w:hAnsi="Times New Roman" w:cs="Times New Roman"/>
          <w:kern w:val="0"/>
          <w:sz w:val="24"/>
          <w:szCs w:val="24"/>
        </w:rPr>
        <w:t>机</w:t>
      </w:r>
      <w:r>
        <w:rPr>
          <w:rFonts w:ascii="Times New Roman" w:hAnsi="Times New Roman" w:cs="Times New Roman"/>
          <w:kern w:val="0"/>
          <w:sz w:val="24"/>
          <w:szCs w:val="24"/>
        </w:rPr>
        <w:t>、</w:t>
      </w:r>
      <w:r>
        <w:rPr>
          <w:rFonts w:hint="eastAsia" w:ascii="Times New Roman" w:hAnsi="Times New Roman" w:cs="Times New Roman"/>
          <w:kern w:val="0"/>
          <w:sz w:val="24"/>
          <w:szCs w:val="24"/>
        </w:rPr>
        <w:t>切割机、卷板机等设备均位于车间内</w:t>
      </w:r>
      <w:r>
        <w:rPr>
          <w:rFonts w:ascii="Times New Roman" w:hAnsi="Times New Roman" w:cs="Times New Roman"/>
          <w:kern w:val="0"/>
          <w:sz w:val="24"/>
          <w:szCs w:val="24"/>
        </w:rPr>
        <w:t>，采用基础减振，设备隔音、墙体阻隔等污染防治措施，再加上建筑隔声和距离衰减作用，本项目</w:t>
      </w:r>
      <w:r>
        <w:rPr>
          <w:rFonts w:hint="eastAsia" w:ascii="Times New Roman" w:hAnsi="Times New Roman" w:cs="Times New Roman"/>
          <w:kern w:val="0"/>
          <w:sz w:val="24"/>
          <w:szCs w:val="24"/>
        </w:rPr>
        <w:t>设备噪声</w:t>
      </w:r>
      <w:r>
        <w:rPr>
          <w:rFonts w:ascii="Times New Roman" w:hAnsi="Times New Roman" w:cs="Times New Roman"/>
          <w:kern w:val="0"/>
          <w:sz w:val="24"/>
          <w:szCs w:val="24"/>
        </w:rPr>
        <w:t>对</w:t>
      </w:r>
      <w:r>
        <w:rPr>
          <w:rFonts w:hint="eastAsia" w:ascii="Times New Roman" w:hAnsi="Times New Roman" w:cs="Times New Roman"/>
          <w:kern w:val="0"/>
          <w:sz w:val="24"/>
          <w:szCs w:val="24"/>
        </w:rPr>
        <w:t>项目区</w:t>
      </w:r>
      <w:r>
        <w:rPr>
          <w:rFonts w:ascii="Times New Roman" w:hAnsi="Times New Roman" w:cs="Times New Roman"/>
          <w:kern w:val="0"/>
          <w:sz w:val="24"/>
          <w:szCs w:val="24"/>
        </w:rPr>
        <w:t>贡献值较小，对内环境影响不大。</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cs="Times New Roman"/>
          <w:kern w:val="0"/>
          <w:sz w:val="24"/>
          <w:szCs w:val="24"/>
        </w:rPr>
        <w:t>综上所述，采取以上噪声污染防治措施可使厂边界噪声贡献值符合《工业企业厂界环境噪声排放标准》（GB12348-2008）中</w:t>
      </w:r>
      <w:r>
        <w:rPr>
          <w:rFonts w:hint="eastAsia" w:ascii="Times New Roman" w:hAnsi="Times New Roman" w:cs="Times New Roman"/>
          <w:kern w:val="0"/>
          <w:sz w:val="24"/>
          <w:szCs w:val="24"/>
        </w:rPr>
        <w:t>3</w:t>
      </w:r>
      <w:r>
        <w:rPr>
          <w:rFonts w:ascii="Times New Roman" w:hAnsi="Times New Roman" w:cs="Times New Roman"/>
          <w:kern w:val="0"/>
          <w:sz w:val="24"/>
          <w:szCs w:val="24"/>
        </w:rPr>
        <w:t>类标准的要求，可防治措施可行。</w:t>
      </w:r>
    </w:p>
    <w:p>
      <w:pPr>
        <w:pStyle w:val="7"/>
        <w:widowControl w:val="0"/>
        <w:spacing w:before="0" w:after="0" w:line="360" w:lineRule="auto"/>
        <w:ind w:firstLine="562" w:firstLineChars="200"/>
        <w:rPr>
          <w:sz w:val="28"/>
          <w:szCs w:val="28"/>
        </w:rPr>
      </w:pPr>
      <w:r>
        <w:rPr>
          <w:sz w:val="28"/>
          <w:szCs w:val="28"/>
        </w:rPr>
        <w:t>7.2.4 固体废物防治措施</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7.2.4.1处置原则</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项目垃圾处理的目的是使产生的垃圾废物稳定化（有机垃圾有机化）、安全化（有毒有害物质分解去除，细菌病毒灭菌消毒）和减量化。</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（1）分类原则</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固体分类种类繁多，性质各异，因此在废物集中处理过程中，搞好分类是十分重要的，尤其是将带有传染性的固体废弃物和不带传染性的严格分开，尽量减少有毒有害固体废物和带传染性固体废物的数量，以利于废物的回收利用和处理。</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（2）回收利用原则</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固废也是一种可以利用的资源，不带传染性和未受传染的纸类塑料类及瓶罐等废物可回收利用。</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（3）减量化原则</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通过重复利用、焚烧等手段减少固体废弃物的数量和体积。</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（4）无害化原则</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在对项目固废进行处理时，不能产生二次污染。</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7.2.4.2固体废物治理措施</w:t>
      </w:r>
    </w:p>
    <w:p>
      <w:pPr>
        <w:snapToGrid w:val="0"/>
        <w:spacing w:line="360" w:lineRule="auto"/>
        <w:ind w:firstLine="480" w:firstLineChars="200"/>
        <w:rPr>
          <w:rFonts w:ascii="Times New Roman" w:hAnsi="Times New Roman" w:eastAsia="宋体" w:cs="Times New Roman"/>
          <w:kern w:val="0"/>
          <w:sz w:val="24"/>
          <w:szCs w:val="24"/>
          <w:lang w:bidi="ar"/>
        </w:rPr>
      </w:pPr>
      <w:r>
        <w:rPr>
          <w:rFonts w:ascii="Times New Roman" w:hAnsi="Times New Roman" w:eastAsia="宋体" w:cs="Times New Roman"/>
          <w:kern w:val="0"/>
          <w:sz w:val="24"/>
          <w:szCs w:val="24"/>
        </w:rPr>
        <w:t>本项目运营期生活垃圾由环卫部门定期清运至生活垃圾填埋场填埋处理。</w:t>
      </w:r>
      <w:r>
        <w:rPr>
          <w:rFonts w:ascii="Times New Roman" w:hAnsi="Times New Roman" w:eastAsia="宋体" w:cs="Times New Roman"/>
          <w:kern w:val="0"/>
          <w:sz w:val="24"/>
          <w:szCs w:val="24"/>
          <w:lang w:bidi="ar"/>
        </w:rPr>
        <w:t>建设单位严格按照《一般工业固体废物贮存和填埋污染控制标准》（GB18599-2020）及《危险废物贮存污染控制标准》（GB18597-20</w:t>
      </w:r>
      <w:r>
        <w:rPr>
          <w:rFonts w:ascii="Times New Roman" w:hAnsi="Times New Roman" w:cs="Times New Roman"/>
          <w:kern w:val="0"/>
          <w:sz w:val="24"/>
          <w:szCs w:val="24"/>
          <w:lang w:bidi="ar"/>
        </w:rPr>
        <w:t>23</w:t>
      </w:r>
      <w:r>
        <w:rPr>
          <w:rFonts w:ascii="Times New Roman" w:hAnsi="Times New Roman" w:eastAsia="宋体" w:cs="Times New Roman"/>
          <w:kern w:val="0"/>
          <w:sz w:val="24"/>
          <w:szCs w:val="24"/>
          <w:lang w:bidi="ar"/>
        </w:rPr>
        <w:t>）对固体废物进行处理处置。</w:t>
      </w:r>
    </w:p>
    <w:p>
      <w:pPr>
        <w:spacing w:line="360" w:lineRule="auto"/>
        <w:ind w:firstLine="480" w:firstLineChars="200"/>
        <w:rPr>
          <w:rFonts w:ascii="Times New Roman" w:hAnsi="Times New Roman" w:eastAsia="宋体" w:cs="Times New Roman"/>
          <w:kern w:val="0"/>
          <w:sz w:val="24"/>
          <w:szCs w:val="24"/>
          <w:lang w:bidi="ar"/>
        </w:rPr>
      </w:pPr>
      <w:r>
        <w:rPr>
          <w:rFonts w:ascii="Times New Roman" w:hAnsi="Times New Roman" w:cs="Times New Roman"/>
          <w:kern w:val="0"/>
          <w:sz w:val="24"/>
          <w:szCs w:val="24"/>
          <w:lang w:bidi="ar"/>
        </w:rPr>
        <w:t>本项目建设一座</w:t>
      </w:r>
      <w:r>
        <w:rPr>
          <w:rFonts w:hint="eastAsia" w:ascii="Times New Roman" w:hAnsi="Times New Roman" w:cs="Times New Roman"/>
          <w:kern w:val="0"/>
          <w:sz w:val="24"/>
          <w:szCs w:val="24"/>
          <w:lang w:bidi="ar"/>
        </w:rPr>
        <w:t>危废贮存库</w:t>
      </w:r>
      <w:r>
        <w:rPr>
          <w:rFonts w:ascii="Times New Roman" w:hAnsi="Times New Roman" w:cs="Times New Roman"/>
          <w:kern w:val="0"/>
          <w:sz w:val="24"/>
          <w:szCs w:val="24"/>
          <w:lang w:bidi="ar"/>
        </w:rPr>
        <w:t>，建筑面积50m</w:t>
      </w:r>
      <w:r>
        <w:rPr>
          <w:rFonts w:ascii="Times New Roman" w:hAnsi="Times New Roman" w:cs="Times New Roman"/>
          <w:kern w:val="0"/>
          <w:sz w:val="24"/>
          <w:szCs w:val="24"/>
          <w:vertAlign w:val="superscript"/>
          <w:lang w:bidi="ar"/>
        </w:rPr>
        <w:t>2</w:t>
      </w:r>
      <w:r>
        <w:rPr>
          <w:rFonts w:ascii="Times New Roman" w:hAnsi="Times New Roman" w:cs="Times New Roman"/>
          <w:kern w:val="0"/>
          <w:sz w:val="24"/>
          <w:szCs w:val="24"/>
          <w:lang w:bidi="ar"/>
        </w:rPr>
        <w:t>。</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按照《危险废物贮存污染控制标准》（GB18597-20</w:t>
      </w:r>
      <w:r>
        <w:rPr>
          <w:rFonts w:ascii="Times New Roman" w:hAnsi="Times New Roman" w:cs="Times New Roman"/>
          <w:kern w:val="0"/>
          <w:sz w:val="24"/>
          <w:szCs w:val="24"/>
          <w:lang w:bidi="ar"/>
        </w:rPr>
        <w:t>23</w:t>
      </w:r>
      <w:r>
        <w:rPr>
          <w:rFonts w:ascii="Times New Roman" w:hAnsi="Times New Roman" w:eastAsia="宋体" w:cs="Times New Roman"/>
          <w:kern w:val="0"/>
          <w:sz w:val="24"/>
          <w:szCs w:val="24"/>
          <w:lang w:bidi="ar"/>
        </w:rPr>
        <w:t>）中的要求，建设</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必须做防渗处理，并满足生态环境管理部门的要求，在醒目的位置安装危废标识牌。危险废物收集后</w:t>
      </w:r>
      <w:r>
        <w:rPr>
          <w:rFonts w:ascii="Times New Roman" w:hAnsi="Times New Roman" w:cs="Times New Roman"/>
          <w:kern w:val="0"/>
          <w:sz w:val="24"/>
          <w:szCs w:val="24"/>
          <w:lang w:bidi="ar"/>
        </w:rPr>
        <w:t>分类</w:t>
      </w:r>
      <w:r>
        <w:rPr>
          <w:rFonts w:ascii="Times New Roman" w:hAnsi="Times New Roman" w:eastAsia="宋体" w:cs="Times New Roman"/>
          <w:kern w:val="0"/>
          <w:sz w:val="24"/>
          <w:szCs w:val="24"/>
          <w:lang w:bidi="ar"/>
        </w:rPr>
        <w:t>存放于</w:t>
      </w:r>
      <w:r>
        <w:rPr>
          <w:rFonts w:hint="eastAsia" w:ascii="Times New Roman" w:hAnsi="Times New Roman" w:eastAsia="宋体" w:cs="Times New Roman"/>
          <w:kern w:val="0"/>
          <w:sz w:val="24"/>
          <w:szCs w:val="24"/>
          <w:lang w:bidi="ar"/>
        </w:rPr>
        <w:t>危废贮存库</w:t>
      </w:r>
      <w:r>
        <w:rPr>
          <w:rFonts w:ascii="Times New Roman" w:hAnsi="Times New Roman" w:eastAsia="宋体" w:cs="Times New Roman"/>
          <w:kern w:val="0"/>
          <w:sz w:val="24"/>
          <w:szCs w:val="24"/>
          <w:lang w:bidi="ar"/>
        </w:rPr>
        <w:t>，并做好防扬散、防流失、防渗漏措施，由危废处置单位委托具有危险货物专业运输资质的运输单位进行承运，并根据规定实施危废转移联单制度。</w:t>
      </w:r>
    </w:p>
    <w:p>
      <w:pPr>
        <w:pStyle w:val="7"/>
        <w:widowControl w:val="0"/>
        <w:spacing w:before="0" w:after="0" w:line="360" w:lineRule="auto"/>
        <w:ind w:firstLine="562" w:firstLineChars="200"/>
        <w:rPr>
          <w:sz w:val="28"/>
          <w:szCs w:val="28"/>
        </w:rPr>
      </w:pPr>
      <w:r>
        <w:rPr>
          <w:sz w:val="28"/>
          <w:szCs w:val="28"/>
        </w:rPr>
        <w:t>7.2.5 地下水污染防治措施</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本项目地下水污染防治措施按照“源头控制、分区防控、污染监控、应急响应”相结合的原则，从污染物的产生、入渗、扩散、应急响应全方位进行控制。</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（1）源头控制</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1）在设备、仪表及阀门的选型上把好关，不合格的配件坚决不用；严格掌握关键设备的性能</w:t>
      </w:r>
      <w:r>
        <w:rPr>
          <w:rFonts w:hint="eastAsia" w:ascii="Times New Roman" w:hAnsi="Times New Roman" w:eastAsia="宋体" w:cs="Times New Roman"/>
          <w:kern w:val="0"/>
          <w:sz w:val="24"/>
          <w:szCs w:val="24"/>
        </w:rPr>
        <w:t>；在危废贮存库</w:t>
      </w:r>
      <w:r>
        <w:rPr>
          <w:rFonts w:ascii="Times New Roman" w:hAnsi="Times New Roman" w:eastAsia="宋体" w:cs="Times New Roman"/>
          <w:kern w:val="0"/>
          <w:sz w:val="24"/>
          <w:szCs w:val="24"/>
        </w:rPr>
        <w:t>进行防渗处理、</w:t>
      </w:r>
      <w:r>
        <w:rPr>
          <w:rFonts w:hint="eastAsia" w:ascii="Times New Roman" w:hAnsi="Times New Roman" w:eastAsia="宋体" w:cs="Times New Roman"/>
          <w:kern w:val="0"/>
          <w:sz w:val="24"/>
          <w:szCs w:val="24"/>
        </w:rPr>
        <w:t>喷漆间</w:t>
      </w:r>
      <w:r>
        <w:rPr>
          <w:rFonts w:ascii="Times New Roman" w:hAnsi="Times New Roman" w:eastAsia="宋体" w:cs="Times New Roman"/>
          <w:kern w:val="0"/>
          <w:sz w:val="24"/>
          <w:szCs w:val="24"/>
        </w:rPr>
        <w:t>进行防渗，以防止和降低各类污染物的跑、冒、滴、漏，防止废水下渗污染地下水。</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2）采用先进污水处理工艺，减少新鲜水用量，提高水的重复利用率，降低废水外排的污染物浓度，减少污染物外排量。</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加强生产管理，对管道阀门定期检查。污水输送管道、阀门等尽可能设置在地上，以便于发现破损等问题及时更换，对设置地下的管道必须采用防渗管沟，管沟上设活动观察顶盖，以便于出现渗漏问题及时观察解决。</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（2）分区防渗</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对厂区可能泄漏污染物的地面进行防渗处理，可有效防</w:t>
      </w:r>
      <w:r>
        <w:rPr>
          <w:rFonts w:hint="eastAsia" w:ascii="Times New Roman" w:hAnsi="Times New Roman" w:eastAsia="宋体" w:cs="Times New Roman"/>
          <w:kern w:val="0"/>
          <w:sz w:val="24"/>
          <w:szCs w:val="24"/>
        </w:rPr>
        <w:t>止</w:t>
      </w:r>
      <w:r>
        <w:rPr>
          <w:rFonts w:ascii="Times New Roman" w:hAnsi="Times New Roman" w:eastAsia="宋体" w:cs="Times New Roman"/>
          <w:kern w:val="0"/>
          <w:sz w:val="24"/>
          <w:szCs w:val="24"/>
        </w:rPr>
        <w:t>污染物渗入地下，并及时地将泄漏的污染物收集并进行集中处理。</w:t>
      </w:r>
    </w:p>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项目对塔筒生产车间、喷漆车间、危废贮存库进行重点防渗，喷砂车间为一般防渗区，材料转运区为简单防渗区。本项目分区防渗情况详见图7.2-1</w:t>
      </w:r>
      <w:r>
        <w:rPr>
          <w:rFonts w:ascii="Times New Roman" w:hAnsi="Times New Roman" w:eastAsia="宋体" w:cs="Times New Roman"/>
          <w:kern w:val="0"/>
          <w:sz w:val="24"/>
          <w:szCs w:val="24"/>
        </w:rPr>
        <w:t>项目</w:t>
      </w:r>
      <w:r>
        <w:rPr>
          <w:rFonts w:hint="eastAsia" w:ascii="Times New Roman" w:hAnsi="Times New Roman" w:eastAsia="宋体" w:cs="Times New Roman"/>
          <w:kern w:val="0"/>
          <w:sz w:val="24"/>
          <w:szCs w:val="24"/>
        </w:rPr>
        <w:t>分区防渗图及下表。</w:t>
      </w:r>
    </w:p>
    <w:p>
      <w:pPr>
        <w:widowControl w:val="0"/>
        <w:spacing w:line="360" w:lineRule="auto"/>
        <w:ind w:firstLine="482" w:firstLineChars="200"/>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表</w:t>
      </w:r>
      <w:r>
        <w:rPr>
          <w:rFonts w:hint="eastAsia" w:ascii="Times New Roman" w:hAnsi="Times New Roman" w:eastAsia="宋体" w:cs="Times New Roman"/>
          <w:b/>
          <w:bCs/>
          <w:sz w:val="24"/>
          <w:szCs w:val="20"/>
        </w:rPr>
        <w:t>7.2-1</w:t>
      </w:r>
      <w:r>
        <w:rPr>
          <w:rFonts w:ascii="Times New Roman" w:hAnsi="Times New Roman" w:eastAsia="宋体" w:cs="Times New Roman"/>
          <w:b/>
          <w:bCs/>
          <w:sz w:val="24"/>
          <w:szCs w:val="20"/>
        </w:rPr>
        <w:t xml:space="preserve">    </w:t>
      </w:r>
      <w:r>
        <w:rPr>
          <w:rFonts w:hint="eastAsia" w:ascii="Times New Roman" w:hAnsi="Times New Roman" w:eastAsia="宋体" w:cs="Times New Roman"/>
          <w:b/>
          <w:bCs/>
          <w:sz w:val="24"/>
          <w:szCs w:val="20"/>
        </w:rPr>
        <w:t>项目分区防渗区域及内容</w:t>
      </w:r>
    </w:p>
    <w:tbl>
      <w:tblPr>
        <w:tblStyle w:val="28"/>
        <w:tblW w:w="495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74"/>
        <w:gridCol w:w="2774"/>
        <w:gridCol w:w="408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72" w:type="dxa"/>
            <w:tcBorders>
              <w:bottom w:val="single" w:color="000000" w:sz="12" w:space="0"/>
            </w:tcBorders>
            <w:vAlign w:val="center"/>
          </w:tcPr>
          <w:p>
            <w:pPr>
              <w:widowControl w:val="0"/>
              <w:spacing w:line="240" w:lineRule="auto"/>
              <w:ind w:firstLine="480"/>
              <w:jc w:val="center"/>
              <w:rPr>
                <w:rFonts w:ascii="Times New Roman" w:hAnsi="Times New Roman" w:eastAsia="宋体" w:cs="Times New Roman"/>
                <w:b/>
                <w:bCs/>
                <w:szCs w:val="21"/>
              </w:rPr>
            </w:pPr>
            <w:r>
              <w:rPr>
                <w:rFonts w:ascii="Times New Roman" w:hAnsi="Times New Roman" w:eastAsia="宋体" w:cs="Times New Roman"/>
                <w:b/>
                <w:bCs/>
                <w:szCs w:val="21"/>
              </w:rPr>
              <w:t>分区防渗级别</w:t>
            </w:r>
          </w:p>
        </w:tc>
        <w:tc>
          <w:tcPr>
            <w:tcW w:w="2960" w:type="dxa"/>
            <w:tcBorders>
              <w:bottom w:val="single" w:color="000000" w:sz="12" w:space="0"/>
            </w:tcBorders>
            <w:vAlign w:val="center"/>
          </w:tcPr>
          <w:p>
            <w:pPr>
              <w:widowControl w:val="0"/>
              <w:spacing w:line="240" w:lineRule="auto"/>
              <w:ind w:firstLine="480"/>
              <w:jc w:val="center"/>
              <w:rPr>
                <w:rFonts w:ascii="Times New Roman" w:hAnsi="Times New Roman" w:eastAsia="宋体" w:cs="Times New Roman"/>
                <w:b/>
                <w:bCs/>
                <w:szCs w:val="21"/>
              </w:rPr>
            </w:pPr>
            <w:r>
              <w:rPr>
                <w:rFonts w:ascii="Times New Roman" w:hAnsi="Times New Roman" w:eastAsia="宋体" w:cs="Times New Roman"/>
                <w:b/>
                <w:bCs/>
                <w:szCs w:val="21"/>
              </w:rPr>
              <w:t>防渗范围</w:t>
            </w:r>
          </w:p>
        </w:tc>
        <w:tc>
          <w:tcPr>
            <w:tcW w:w="4371" w:type="dxa"/>
            <w:tcBorders>
              <w:bottom w:val="single" w:color="000000" w:sz="12" w:space="0"/>
            </w:tcBorders>
            <w:vAlign w:val="center"/>
          </w:tcPr>
          <w:p>
            <w:pPr>
              <w:widowControl w:val="0"/>
              <w:spacing w:line="240" w:lineRule="auto"/>
              <w:ind w:firstLine="480"/>
              <w:jc w:val="center"/>
              <w:rPr>
                <w:rFonts w:ascii="Times New Roman" w:hAnsi="Times New Roman" w:eastAsia="宋体" w:cs="Times New Roman"/>
                <w:b/>
                <w:bCs/>
                <w:szCs w:val="21"/>
              </w:rPr>
            </w:pPr>
            <w:r>
              <w:rPr>
                <w:rFonts w:ascii="Times New Roman" w:hAnsi="Times New Roman" w:eastAsia="宋体" w:cs="Times New Roman"/>
                <w:b/>
                <w:bCs/>
                <w:szCs w:val="21"/>
              </w:rPr>
              <w:t>防渗内容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72" w:type="dxa"/>
            <w:tcBorders>
              <w:top w:val="single" w:color="000000" w:sz="12" w:space="0"/>
            </w:tcBorders>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szCs w:val="21"/>
              </w:rPr>
              <w:t>简单防渗</w:t>
            </w:r>
          </w:p>
        </w:tc>
        <w:tc>
          <w:tcPr>
            <w:tcW w:w="2960" w:type="dxa"/>
            <w:tcBorders>
              <w:top w:val="single" w:color="000000" w:sz="12" w:space="0"/>
            </w:tcBorders>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kern w:val="0"/>
                <w:szCs w:val="21"/>
              </w:rPr>
              <w:t>材料转运区</w:t>
            </w:r>
          </w:p>
        </w:tc>
        <w:tc>
          <w:tcPr>
            <w:tcW w:w="4371" w:type="dxa"/>
            <w:tcBorders>
              <w:top w:val="single" w:color="000000" w:sz="12" w:space="0"/>
            </w:tcBorders>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szCs w:val="21"/>
              </w:rPr>
              <w:t>地面硬化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72" w:type="dxa"/>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szCs w:val="21"/>
              </w:rPr>
              <w:t>一般防渗</w:t>
            </w:r>
          </w:p>
        </w:tc>
        <w:tc>
          <w:tcPr>
            <w:tcW w:w="2960" w:type="dxa"/>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kern w:val="0"/>
                <w:szCs w:val="21"/>
              </w:rPr>
              <w:t>喷砂车间</w:t>
            </w:r>
          </w:p>
        </w:tc>
        <w:tc>
          <w:tcPr>
            <w:tcW w:w="4371" w:type="dxa"/>
            <w:vAlign w:val="center"/>
          </w:tcPr>
          <w:p>
            <w:pPr>
              <w:widowControl w:val="0"/>
              <w:tabs>
                <w:tab w:val="left" w:pos="640"/>
              </w:tabs>
              <w:autoSpaceDE w:val="0"/>
              <w:autoSpaceDN w:val="0"/>
              <w:spacing w:line="240" w:lineRule="auto"/>
              <w:jc w:val="center"/>
              <w:rPr>
                <w:rFonts w:ascii="Times New Roman" w:hAnsi="Times New Roman" w:eastAsia="宋体" w:cs="Times New Roman"/>
                <w:szCs w:val="21"/>
              </w:rPr>
            </w:pPr>
            <w:r>
              <w:rPr>
                <w:rFonts w:ascii="Times New Roman" w:hAnsi="Times New Roman" w:eastAsia="宋体" w:cs="Times New Roman"/>
                <w:kern w:val="0"/>
                <w:szCs w:val="21"/>
              </w:rPr>
              <w:t>等效黏土防渗层Mb≥1.5m，K≤1×10</w:t>
            </w:r>
            <w:r>
              <w:rPr>
                <w:rFonts w:ascii="Times New Roman" w:hAnsi="Times New Roman" w:eastAsia="宋体" w:cs="Times New Roman"/>
                <w:kern w:val="0"/>
                <w:szCs w:val="21"/>
                <w:vertAlign w:val="superscript"/>
              </w:rPr>
              <w:t>-7</w:t>
            </w:r>
            <w:r>
              <w:rPr>
                <w:rFonts w:ascii="Times New Roman" w:hAnsi="Times New Roman" w:eastAsia="宋体" w:cs="Times New Roman"/>
                <w:kern w:val="0"/>
                <w:szCs w:val="21"/>
              </w:rPr>
              <w:t>cm/s。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72" w:type="dxa"/>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szCs w:val="21"/>
              </w:rPr>
              <w:t>重点防渗</w:t>
            </w:r>
          </w:p>
        </w:tc>
        <w:tc>
          <w:tcPr>
            <w:tcW w:w="2960" w:type="dxa"/>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kern w:val="0"/>
                <w:szCs w:val="21"/>
              </w:rPr>
              <w:t>塔筒生产车间（含</w:t>
            </w:r>
            <w:r>
              <w:rPr>
                <w:rFonts w:hint="eastAsia" w:ascii="Times New Roman" w:hAnsi="Times New Roman" w:eastAsia="宋体" w:cs="Times New Roman"/>
                <w:kern w:val="0"/>
                <w:szCs w:val="21"/>
              </w:rPr>
              <w:t>危废贮存库</w:t>
            </w:r>
            <w:r>
              <w:rPr>
                <w:rFonts w:ascii="Times New Roman" w:hAnsi="Times New Roman" w:eastAsia="宋体" w:cs="Times New Roman"/>
                <w:kern w:val="0"/>
                <w:szCs w:val="21"/>
              </w:rPr>
              <w:t>）、喷漆车间</w:t>
            </w:r>
          </w:p>
        </w:tc>
        <w:tc>
          <w:tcPr>
            <w:tcW w:w="4371" w:type="dxa"/>
            <w:vAlign w:val="center"/>
          </w:tcPr>
          <w:p>
            <w:pPr>
              <w:widowControl w:val="0"/>
              <w:spacing w:line="240" w:lineRule="auto"/>
              <w:jc w:val="center"/>
              <w:rPr>
                <w:rFonts w:ascii="Times New Roman" w:hAnsi="Times New Roman" w:eastAsia="宋体" w:cs="Times New Roman"/>
                <w:szCs w:val="21"/>
              </w:rPr>
            </w:pPr>
            <w:r>
              <w:rPr>
                <w:rFonts w:ascii="Times New Roman" w:hAnsi="Times New Roman" w:eastAsia="宋体" w:cs="Times New Roman"/>
                <w:kern w:val="0"/>
                <w:szCs w:val="21"/>
              </w:rPr>
              <w:t>等效黏土防渗层Mb≥6.0m，K≤1×10</w:t>
            </w:r>
            <w:r>
              <w:rPr>
                <w:rFonts w:ascii="Times New Roman" w:hAnsi="Times New Roman" w:eastAsia="宋体" w:cs="Times New Roman"/>
                <w:kern w:val="0"/>
                <w:szCs w:val="21"/>
                <w:vertAlign w:val="superscript"/>
              </w:rPr>
              <w:t>-7</w:t>
            </w:r>
            <w:r>
              <w:rPr>
                <w:rFonts w:ascii="Times New Roman" w:hAnsi="Times New Roman" w:eastAsia="宋体" w:cs="Times New Roman"/>
                <w:kern w:val="0"/>
                <w:szCs w:val="21"/>
              </w:rPr>
              <w:t>cm/s。</w:t>
            </w:r>
          </w:p>
        </w:tc>
      </w:tr>
    </w:tbl>
    <w:p>
      <w:pPr>
        <w:widowControl w:val="0"/>
        <w:tabs>
          <w:tab w:val="left" w:pos="640"/>
        </w:tabs>
        <w:autoSpaceDE w:val="0"/>
        <w:autoSpaceDN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根据《环境影响评价技术导则 地下水环境》</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HJ610-2016</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表7要求，重点防渗区防渗层的防渗性能不低于6.0m厚、渗透系数不大于1.0×10</w:t>
      </w:r>
      <w:r>
        <w:rPr>
          <w:rFonts w:ascii="Times New Roman" w:hAnsi="Times New Roman" w:eastAsia="宋体" w:cs="Times New Roman"/>
          <w:kern w:val="0"/>
          <w:sz w:val="24"/>
          <w:szCs w:val="24"/>
          <w:vertAlign w:val="superscript"/>
        </w:rPr>
        <w:t>-7</w:t>
      </w:r>
      <w:r>
        <w:rPr>
          <w:rFonts w:ascii="Times New Roman" w:hAnsi="Times New Roman" w:eastAsia="宋体" w:cs="Times New Roman"/>
          <w:kern w:val="0"/>
          <w:sz w:val="24"/>
          <w:szCs w:val="24"/>
        </w:rPr>
        <w:t>cm/s的黏土层的防渗性能</w:t>
      </w:r>
      <w:r>
        <w:rPr>
          <w:rFonts w:hint="eastAsia" w:ascii="Times New Roman" w:hAnsi="Times New Roman" w:eastAsia="宋体" w:cs="Times New Roman"/>
          <w:kern w:val="0"/>
          <w:sz w:val="24"/>
          <w:szCs w:val="24"/>
        </w:rPr>
        <w:t>。本项目设计新建一个危废贮存库，要求对危废贮存库进行重点防渗。</w:t>
      </w:r>
    </w:p>
    <w:p>
      <w:pPr>
        <w:pStyle w:val="7"/>
        <w:widowControl w:val="0"/>
        <w:spacing w:before="0" w:after="0" w:line="360" w:lineRule="auto"/>
        <w:ind w:firstLine="562" w:firstLineChars="200"/>
        <w:rPr>
          <w:sz w:val="28"/>
          <w:szCs w:val="28"/>
        </w:rPr>
      </w:pPr>
      <w:r>
        <w:rPr>
          <w:rFonts w:hint="eastAsia"/>
          <w:sz w:val="28"/>
          <w:szCs w:val="28"/>
        </w:rPr>
        <w:t>7.2.6土壤环境污染防治措施</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项目建设后如发生生活污水泄漏、油漆、废机油泄漏事故，</w:t>
      </w:r>
      <w:r>
        <w:rPr>
          <w:rFonts w:ascii="Times New Roman" w:hAnsi="Times New Roman" w:eastAsia="宋体" w:cs="Times New Roman"/>
          <w:kern w:val="0"/>
          <w:sz w:val="24"/>
          <w:szCs w:val="24"/>
        </w:rPr>
        <w:t>泄漏</w:t>
      </w:r>
      <w:r>
        <w:rPr>
          <w:rFonts w:hint="eastAsia" w:ascii="Times New Roman" w:hAnsi="Times New Roman" w:eastAsia="宋体" w:cs="Times New Roman"/>
          <w:kern w:val="0"/>
          <w:sz w:val="24"/>
          <w:szCs w:val="24"/>
        </w:rPr>
        <w:t>的生活</w:t>
      </w:r>
      <w:r>
        <w:rPr>
          <w:rFonts w:ascii="Times New Roman" w:hAnsi="Times New Roman" w:eastAsia="宋体" w:cs="Times New Roman"/>
          <w:kern w:val="0"/>
          <w:sz w:val="24"/>
          <w:szCs w:val="24"/>
        </w:rPr>
        <w:t>污水</w:t>
      </w:r>
      <w:r>
        <w:rPr>
          <w:rFonts w:hint="eastAsia" w:ascii="Times New Roman" w:hAnsi="Times New Roman" w:eastAsia="宋体" w:cs="Times New Roman"/>
          <w:kern w:val="0"/>
          <w:sz w:val="24"/>
          <w:szCs w:val="24"/>
        </w:rPr>
        <w:t>、油漆、废机油泄漏将</w:t>
      </w:r>
      <w:r>
        <w:rPr>
          <w:rFonts w:ascii="Times New Roman" w:hAnsi="Times New Roman" w:eastAsia="宋体" w:cs="Times New Roman"/>
          <w:kern w:val="0"/>
          <w:sz w:val="24"/>
          <w:szCs w:val="24"/>
        </w:rPr>
        <w:t>以垂直入渗方式进入土壤环境</w:t>
      </w:r>
      <w:r>
        <w:rPr>
          <w:rFonts w:hint="eastAsia" w:ascii="Times New Roman" w:hAnsi="Times New Roman" w:eastAsia="宋体" w:cs="Times New Roman"/>
          <w:kern w:val="0"/>
          <w:sz w:val="24"/>
          <w:szCs w:val="24"/>
        </w:rPr>
        <w:t>，造成土壤环境影响。为此，项目提出如下污染防治措施。</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制定严格的管理措施，设专人定时对厂区内管道进行巡检，要求巡检人员对发现的跑冒滴漏现象要及时上报，对出现的问题</w:t>
      </w:r>
      <w:r>
        <w:rPr>
          <w:rFonts w:hint="eastAsia" w:ascii="Times New Roman" w:hAnsi="Times New Roman" w:eastAsia="宋体" w:cs="Times New Roman"/>
          <w:sz w:val="24"/>
        </w:rPr>
        <w:t>要</w:t>
      </w:r>
      <w:r>
        <w:rPr>
          <w:rFonts w:ascii="Times New Roman" w:hAnsi="Times New Roman" w:eastAsia="宋体" w:cs="Times New Roman"/>
          <w:sz w:val="24"/>
        </w:rPr>
        <w:t>及时妥善处置。同时也要加强对管道、阀门采购的质量管理，如发现问题，应及时更换。本项目废水和</w:t>
      </w:r>
      <w:r>
        <w:rPr>
          <w:rFonts w:hint="eastAsia" w:ascii="Times New Roman" w:hAnsi="Times New Roman" w:eastAsia="宋体" w:cs="Times New Roman"/>
          <w:sz w:val="24"/>
        </w:rPr>
        <w:t>原料油漆、危废</w:t>
      </w:r>
      <w:r>
        <w:rPr>
          <w:rFonts w:ascii="Times New Roman" w:hAnsi="Times New Roman" w:eastAsia="宋体" w:cs="Times New Roman"/>
          <w:sz w:val="24"/>
        </w:rPr>
        <w:t>均得到妥善处置，从源头上减少对土壤环境的污染。</w:t>
      </w:r>
    </w:p>
    <w:p>
      <w:pPr>
        <w:widowControl w:val="0"/>
        <w:spacing w:line="360" w:lineRule="auto"/>
        <w:ind w:firstLine="480" w:firstLineChars="200"/>
        <w:contextualSpacing/>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z w:val="24"/>
        </w:rPr>
        <w:t>（2）严格落实分区防渗措施，按照</w:t>
      </w:r>
      <w:r>
        <w:rPr>
          <w:rFonts w:ascii="Times New Roman" w:hAnsi="Times New Roman" w:eastAsia="宋体" w:cs="Times New Roman"/>
          <w:kern w:val="0"/>
          <w:sz w:val="24"/>
          <w:szCs w:val="24"/>
          <w:lang w:bidi="ar"/>
        </w:rPr>
        <w:t>《危险废物贮存污染控制标准》（GB18597-20</w:t>
      </w:r>
      <w:r>
        <w:rPr>
          <w:rFonts w:ascii="Times New Roman" w:hAnsi="Times New Roman" w:cs="Times New Roman"/>
          <w:kern w:val="0"/>
          <w:sz w:val="24"/>
          <w:szCs w:val="24"/>
          <w:lang w:bidi="ar"/>
        </w:rPr>
        <w:t>23</w:t>
      </w:r>
      <w:r>
        <w:rPr>
          <w:rFonts w:ascii="Times New Roman" w:hAnsi="Times New Roman" w:eastAsia="宋体" w:cs="Times New Roman"/>
          <w:kern w:val="0"/>
          <w:sz w:val="24"/>
          <w:szCs w:val="24"/>
          <w:lang w:bidi="ar"/>
        </w:rPr>
        <w:t>）</w:t>
      </w:r>
      <w:r>
        <w:rPr>
          <w:rFonts w:hint="eastAsia" w:ascii="Times New Roman" w:hAnsi="Times New Roman" w:eastAsia="宋体" w:cs="Times New Roman"/>
          <w:kern w:val="0"/>
          <w:sz w:val="24"/>
          <w:szCs w:val="24"/>
          <w:lang w:bidi="ar"/>
        </w:rPr>
        <w:t>要求落实危险废物管理</w:t>
      </w:r>
      <w:r>
        <w:rPr>
          <w:rFonts w:ascii="Times New Roman" w:hAnsi="Times New Roman" w:eastAsia="宋体" w:cs="Times New Roman"/>
          <w:sz w:val="24"/>
        </w:rPr>
        <w:t>。</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r>
        <w:rPr>
          <w:rFonts w:ascii="Times New Roman" w:hAnsi="Times New Roman" w:eastAsiaTheme="majorEastAsia"/>
          <w:bCs w:val="0"/>
          <w:sz w:val="32"/>
          <w:szCs w:val="32"/>
        </w:rPr>
        <w:t>8 环境影响经济损益分析</w:t>
      </w:r>
    </w:p>
    <w:p>
      <w:pPr>
        <w:pStyle w:val="6"/>
        <w:widowControl w:val="0"/>
        <w:ind w:firstLine="640"/>
      </w:pPr>
      <w:bookmarkStart w:id="84" w:name="_Toc28944"/>
      <w:r>
        <w:t>环境效益分析</w:t>
      </w:r>
      <w:bookmarkEnd w:id="84"/>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（1）噪声控制环境效益分析</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项目对噪声设施采取隔声、减振、安装</w:t>
      </w:r>
      <w:r>
        <w:rPr>
          <w:rFonts w:hint="eastAsia" w:ascii="Times New Roman" w:hAnsi="Times New Roman" w:cs="Times New Roman"/>
          <w:sz w:val="24"/>
          <w:szCs w:val="24"/>
        </w:rPr>
        <w:t>消声</w:t>
      </w:r>
      <w:r>
        <w:rPr>
          <w:rFonts w:ascii="Times New Roman" w:hAnsi="Times New Roman" w:cs="Times New Roman"/>
          <w:sz w:val="24"/>
          <w:szCs w:val="24"/>
        </w:rPr>
        <w:t>设备等措施后，将项目噪声降低至符合环境噪声要求，防止对周围环境造成噪声影响。</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（2）固废处理环境效益分析</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项目危险废物全部委托有资质专业单位进行处理处置，防止被重复利用的可能；生活垃圾送至生活垃圾填埋场卫生填埋。将项目固废按照环保的要求全部稳妥处置，避免对环境造成危害。</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（3）项目废水处置环境效益分析</w:t>
      </w:r>
    </w:p>
    <w:p>
      <w:pPr>
        <w:widowControl w:val="0"/>
        <w:spacing w:line="360" w:lineRule="auto"/>
        <w:ind w:firstLine="480" w:firstLineChars="200"/>
        <w:contextualSpacing/>
        <w:rPr>
          <w:rFonts w:ascii="Times New Roman" w:hAnsi="Times New Roman" w:cs="Times New Roman"/>
          <w:sz w:val="24"/>
          <w:szCs w:val="24"/>
        </w:rPr>
      </w:pPr>
      <w:r>
        <w:rPr>
          <w:rFonts w:hint="eastAsia" w:ascii="Times New Roman" w:hAnsi="Times New Roman" w:cs="Times New Roman"/>
          <w:sz w:val="24"/>
          <w:szCs w:val="24"/>
        </w:rPr>
        <w:t>生活污水</w:t>
      </w:r>
      <w:r>
        <w:rPr>
          <w:rFonts w:ascii="Times New Roman" w:hAnsi="Times New Roman" w:cs="Times New Roman"/>
          <w:sz w:val="24"/>
          <w:szCs w:val="24"/>
        </w:rPr>
        <w:t>排入市政污水管道，最终进入</w:t>
      </w:r>
      <w:r>
        <w:rPr>
          <w:rFonts w:hint="eastAsia" w:ascii="Times New Roman" w:hAnsi="Times New Roman" w:cs="Times New Roman"/>
          <w:sz w:val="24"/>
          <w:szCs w:val="24"/>
        </w:rPr>
        <w:t>污水处理厂</w:t>
      </w:r>
      <w:r>
        <w:rPr>
          <w:rFonts w:ascii="Times New Roman" w:hAnsi="Times New Roman" w:cs="Times New Roman"/>
          <w:sz w:val="24"/>
          <w:szCs w:val="24"/>
        </w:rPr>
        <w:t>，对环境影响较小。</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（4）项目大气处置环境效益分析</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在工程环保设施正常运行的情况下，经处理后排放的废气能达到相应的排放标准，有利于保护建设项目周围及生产区环境空气质量，对环境空气的影响较小。</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sz w:val="24"/>
          <w:szCs w:val="24"/>
        </w:rPr>
        <w:t>（5）其他</w:t>
      </w:r>
    </w:p>
    <w:p>
      <w:pPr>
        <w:widowControl w:val="0"/>
        <w:spacing w:line="360" w:lineRule="auto"/>
        <w:ind w:firstLine="480" w:firstLineChars="200"/>
        <w:contextualSpacing/>
        <w:rPr>
          <w:rFonts w:ascii="Times New Roman" w:hAnsi="Times New Roman" w:cs="Times New Roman"/>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szCs w:val="24"/>
        </w:rPr>
        <w:t>项目区进行绿化，不仅可以净化空气、阻挡噪声，还起到美化环境的作用。</w:t>
      </w: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85" w:name="_Toc8673"/>
      <w:bookmarkStart w:id="86" w:name="_Toc20062"/>
      <w:bookmarkStart w:id="87" w:name="_Toc6712"/>
      <w:r>
        <w:rPr>
          <w:rFonts w:ascii="Times New Roman" w:hAnsi="Times New Roman" w:eastAsiaTheme="majorEastAsia"/>
          <w:bCs w:val="0"/>
          <w:sz w:val="32"/>
          <w:szCs w:val="32"/>
        </w:rPr>
        <w:t>9 环境管理与环境监控计划</w:t>
      </w:r>
      <w:bookmarkEnd w:id="85"/>
      <w:bookmarkEnd w:id="86"/>
      <w:bookmarkEnd w:id="87"/>
    </w:p>
    <w:p>
      <w:pPr>
        <w:pStyle w:val="6"/>
        <w:widowControl w:val="0"/>
        <w:ind w:firstLine="640"/>
      </w:pPr>
      <w:bookmarkStart w:id="88" w:name="_Toc6332"/>
      <w:bookmarkStart w:id="89" w:name="_Toc29284"/>
      <w:bookmarkStart w:id="90" w:name="_Toc15556"/>
      <w:r>
        <w:t>9.1 环境保护管理</w:t>
      </w:r>
      <w:bookmarkEnd w:id="88"/>
      <w:bookmarkEnd w:id="89"/>
      <w:bookmarkEnd w:id="90"/>
    </w:p>
    <w:p>
      <w:pPr>
        <w:pStyle w:val="7"/>
        <w:widowControl w:val="0"/>
        <w:spacing w:before="0" w:after="0" w:line="360" w:lineRule="auto"/>
        <w:ind w:firstLine="562" w:firstLineChars="200"/>
        <w:rPr>
          <w:sz w:val="28"/>
          <w:szCs w:val="28"/>
        </w:rPr>
      </w:pPr>
      <w:bookmarkStart w:id="91" w:name="_Toc17121"/>
      <w:bookmarkStart w:id="92" w:name="_Toc21734"/>
      <w:r>
        <w:rPr>
          <w:sz w:val="28"/>
          <w:szCs w:val="28"/>
        </w:rPr>
        <w:t>9.1.1 环境管理机构的设置</w:t>
      </w:r>
      <w:bookmarkEnd w:id="91"/>
      <w:bookmarkEnd w:id="92"/>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本项目环境保护管理工作由</w:t>
      </w:r>
      <w:r>
        <w:rPr>
          <w:rFonts w:hint="eastAsia" w:ascii="Times New Roman" w:hAnsi="Times New Roman" w:cs="Times New Roman"/>
          <w:kern w:val="0"/>
          <w:sz w:val="24"/>
          <w:szCs w:val="24"/>
        </w:rPr>
        <w:t>建设单位</w:t>
      </w:r>
      <w:r>
        <w:rPr>
          <w:rFonts w:ascii="Times New Roman" w:hAnsi="Times New Roman" w:cs="Times New Roman"/>
          <w:kern w:val="0"/>
          <w:sz w:val="24"/>
          <w:szCs w:val="24"/>
        </w:rPr>
        <w:t>安排专人负责。</w:t>
      </w:r>
    </w:p>
    <w:p>
      <w:pPr>
        <w:pStyle w:val="7"/>
        <w:widowControl w:val="0"/>
        <w:spacing w:before="0" w:after="0" w:line="360" w:lineRule="auto"/>
        <w:ind w:firstLine="562" w:firstLineChars="200"/>
        <w:rPr>
          <w:sz w:val="28"/>
          <w:szCs w:val="28"/>
        </w:rPr>
      </w:pPr>
      <w:bookmarkStart w:id="93" w:name="_Toc27810"/>
      <w:bookmarkStart w:id="94" w:name="_Toc18161"/>
      <w:r>
        <w:rPr>
          <w:sz w:val="28"/>
          <w:szCs w:val="28"/>
        </w:rPr>
        <w:t>9.1.2 环境管理机构的职责</w:t>
      </w:r>
      <w:bookmarkEnd w:id="93"/>
      <w:bookmarkEnd w:id="94"/>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环境管理部门负责项目建设期与运营期的环境管理与环境监测工作，主要职责：</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（1）编制、提出项目建设期、运营期的短期环境保护计划及长远环境保护计划；</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（2）贯彻落实国家和地方的环境保护法律法规、政策和标准，直接接受行业主管部门、各级生态环境局的监督、领导，配合环境保护主管部门做好环保工作；</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（3）制定和实施环境监测方案，负责所有环保设施的日常运行管理，保障各环保设施的正常运行，并对环保设施的改进提出积极的建议；</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（4）在项目建设阶段负责监督环保设施的施工、安装、调试等，落实项目的环境保护“三同时”制度；</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（5）监督污染物总量排放及达标情况，确保污染物排放达到国家排放标准和总量控制指标；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（6）参与环保设施竣工验收工作；</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（7）负责对职工环保宣传教育工作及检查、监督各岗位环保制度的执行情况；</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（8）领导并组织环境监测工作，建立污染源与监测档案，定期向主管部门及环保部门上报监测报表。</w:t>
      </w:r>
    </w:p>
    <w:p>
      <w:pPr>
        <w:pStyle w:val="7"/>
        <w:widowControl w:val="0"/>
        <w:spacing w:before="0" w:after="0" w:line="360" w:lineRule="auto"/>
        <w:ind w:firstLine="562" w:firstLineChars="200"/>
        <w:rPr>
          <w:sz w:val="28"/>
          <w:szCs w:val="28"/>
        </w:rPr>
      </w:pPr>
      <w:bookmarkStart w:id="95" w:name="_Toc27393"/>
      <w:bookmarkStart w:id="96" w:name="_Toc8969"/>
      <w:r>
        <w:rPr>
          <w:sz w:val="28"/>
          <w:szCs w:val="28"/>
        </w:rPr>
        <w:t>9.1.3 环境保护管理</w:t>
      </w:r>
      <w:bookmarkEnd w:id="95"/>
      <w:bookmarkEnd w:id="96"/>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（1）根据国家环保政策、标准及环境监测要求，制定该项目运行期环保管理规章制度、各种污染物排放控制指标；</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（2）实施环境监理，确保施工期隐蔽工程按照环评及批复要求建设，保留影像资料，做好监理记录；</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（3）负责该项目运行期环境监测工作，及时掌握该项目污染状况，整理监测数据，建立污染源档案；</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（4）负责对职工进行环保宣传教育工作，以及检查、监督各单位环保制度的执行情况；</w:t>
      </w:r>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（5）建立健全环境档案管理与保密制度、污染防治设施设计技术改进及运行资料、污染源调查技术档案、环境监测及评价资料、项目平面图和给排水管网图等。</w:t>
      </w:r>
    </w:p>
    <w:p>
      <w:pPr>
        <w:pStyle w:val="7"/>
        <w:widowControl w:val="0"/>
        <w:spacing w:before="0" w:after="0" w:line="360" w:lineRule="auto"/>
        <w:ind w:firstLine="562" w:firstLineChars="200"/>
        <w:rPr>
          <w:sz w:val="28"/>
          <w:szCs w:val="28"/>
        </w:rPr>
      </w:pPr>
      <w:bookmarkStart w:id="97" w:name="_Toc24685"/>
      <w:bookmarkStart w:id="98" w:name="_Toc15178"/>
      <w:r>
        <w:rPr>
          <w:sz w:val="28"/>
          <w:szCs w:val="28"/>
        </w:rPr>
        <w:t>9.1.4 排污口规范化</w:t>
      </w:r>
      <w:bookmarkEnd w:id="97"/>
      <w:bookmarkEnd w:id="98"/>
    </w:p>
    <w:p>
      <w:pPr>
        <w:widowControl w:val="0"/>
        <w:spacing w:line="360" w:lineRule="auto"/>
        <w:ind w:firstLine="480" w:firstLineChars="200"/>
        <w:rPr>
          <w:rFonts w:ascii="Times New Roman" w:hAnsi="Times New Roman" w:eastAsia="宋体" w:cs="Times New Roman"/>
          <w:sz w:val="24"/>
          <w:szCs w:val="20"/>
        </w:rPr>
      </w:pPr>
      <w:bookmarkStart w:id="99" w:name="_Toc17469"/>
      <w:bookmarkStart w:id="100" w:name="_Toc25430"/>
      <w:r>
        <w:rPr>
          <w:rFonts w:ascii="Times New Roman" w:hAnsi="Times New Roman" w:eastAsia="宋体" w:cs="Times New Roman"/>
          <w:sz w:val="24"/>
          <w:szCs w:val="20"/>
        </w:rPr>
        <w:t>根据原国家环保总局《关于开展排污口规范化整治工作的通知》（环发〔1999〕24号）要求：一切新建、改建的排污单位以及限期治理的排污单位，都必须在建设污染治理措施的同时建设规范化排污口。</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为了便于定量准确地监测排放总量，必须建设规范的排污口。烟囱、烟道上预留采样孔，并设置排放口标志。标志牌上应注明污染物名称以警示周围群众。</w:t>
      </w:r>
    </w:p>
    <w:p>
      <w:pPr>
        <w:pStyle w:val="6"/>
        <w:widowControl w:val="0"/>
        <w:ind w:firstLine="640"/>
      </w:pPr>
      <w:bookmarkStart w:id="101" w:name="_Toc4809"/>
      <w:r>
        <w:t>9.2 环境监测</w:t>
      </w:r>
      <w:bookmarkEnd w:id="99"/>
      <w:bookmarkEnd w:id="100"/>
      <w:bookmarkEnd w:id="101"/>
    </w:p>
    <w:p>
      <w:pPr>
        <w:pStyle w:val="7"/>
        <w:widowControl w:val="0"/>
        <w:spacing w:before="0" w:after="0" w:line="360" w:lineRule="auto"/>
        <w:ind w:firstLine="562" w:firstLineChars="200"/>
        <w:rPr>
          <w:sz w:val="28"/>
          <w:szCs w:val="28"/>
        </w:rPr>
      </w:pPr>
      <w:bookmarkStart w:id="102" w:name="_Toc19331"/>
      <w:bookmarkStart w:id="103" w:name="_Toc30069"/>
      <w:r>
        <w:rPr>
          <w:sz w:val="28"/>
          <w:szCs w:val="28"/>
        </w:rPr>
        <w:t>9.2.1 环境监测机构及设备配置</w:t>
      </w:r>
      <w:bookmarkEnd w:id="102"/>
      <w:bookmarkEnd w:id="103"/>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为保障污染治理措施正常有效地运行，控制污染影响范围，对项目运营期污染源及环境质量现状进行监测。本项目环境监测委托有资质的检测公司完成，建设单位安环部人员对委托工作进行协调管理。监测结果按相应监测频次编制报表，并派专人管理并存档。</w:t>
      </w:r>
    </w:p>
    <w:p>
      <w:pPr>
        <w:pStyle w:val="7"/>
        <w:widowControl w:val="0"/>
        <w:spacing w:before="0" w:after="0" w:line="360" w:lineRule="auto"/>
        <w:ind w:firstLine="562" w:firstLineChars="200"/>
        <w:rPr>
          <w:sz w:val="28"/>
          <w:szCs w:val="28"/>
        </w:rPr>
      </w:pPr>
      <w:bookmarkStart w:id="104" w:name="_Toc19012"/>
      <w:bookmarkStart w:id="105" w:name="_Toc24764"/>
      <w:r>
        <w:rPr>
          <w:sz w:val="28"/>
          <w:szCs w:val="28"/>
        </w:rPr>
        <w:t>9.2.2 管理要求</w:t>
      </w:r>
      <w:bookmarkEnd w:id="104"/>
      <w:bookmarkEnd w:id="105"/>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9.2.2.1 运行管理要求</w:t>
      </w:r>
    </w:p>
    <w:p>
      <w:pPr>
        <w:widowControl w:val="0"/>
        <w:spacing w:line="360" w:lineRule="auto"/>
        <w:ind w:firstLine="480" w:firstLineChars="200"/>
        <w:rPr>
          <w:rFonts w:ascii="Times New Roman" w:hAnsi="Times New Roman" w:cs="Times New Roman"/>
          <w:sz w:val="24"/>
        </w:rPr>
      </w:pPr>
      <w:r>
        <w:rPr>
          <w:rFonts w:ascii="Times New Roman" w:hAnsi="Times New Roman" w:cs="Times New Roman"/>
          <w:sz w:val="24"/>
        </w:rPr>
        <w:t>根据装置运行状况及污染物排放情况，</w:t>
      </w:r>
      <w:r>
        <w:rPr>
          <w:rFonts w:ascii="Times New Roman" w:hAnsi="Times New Roman" w:cs="Times New Roman"/>
          <w:kern w:val="0"/>
          <w:sz w:val="24"/>
          <w:szCs w:val="24"/>
        </w:rPr>
        <w:t>排污单位应当按照相关法律法规、标准和技术规范等要求运行大气及水污染防治设施，并进行维护和管理，</w:t>
      </w:r>
      <w:r>
        <w:rPr>
          <w:rFonts w:ascii="Times New Roman" w:hAnsi="Times New Roman" w:cs="Times New Roman"/>
          <w:sz w:val="24"/>
        </w:rPr>
        <w:t>对项目环保设施运行进行监督，并对各类污染物排放进行监测，为工程投运后 “三废”达标排放，以及安全运行提供科学依据。</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9.2.2.2 污染物排放自行监测管理要求</w:t>
      </w:r>
    </w:p>
    <w:p>
      <w:pPr>
        <w:widowControl w:val="0"/>
        <w:spacing w:line="360" w:lineRule="auto"/>
        <w:ind w:firstLine="480" w:firstLineChars="200"/>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）废气排放监测计划</w:t>
      </w:r>
    </w:p>
    <w:p>
      <w:pPr>
        <w:widowControl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根据</w:t>
      </w:r>
      <w:r>
        <w:rPr>
          <w:rFonts w:hint="eastAsia"/>
          <w:sz w:val="24"/>
        </w:rPr>
        <w:t>《排污</w:t>
      </w:r>
      <w:r>
        <w:rPr>
          <w:rFonts w:ascii="Times New Roman" w:hAnsi="Times New Roman" w:cs="Times New Roman"/>
          <w:sz w:val="24"/>
        </w:rPr>
        <w:t>单位自行监测技术指南 总则》（HJ819-2017）、《排污许可证申请与核发技术规范 总则》（HJ 942-2018）和《排污单位自行监测技术指南 涂装（HJ 1086—2020）</w:t>
      </w:r>
      <w:r>
        <w:rPr>
          <w:rFonts w:ascii="Times New Roman" w:hAnsi="Times New Roman" w:eastAsia="宋体" w:cs="Times New Roman"/>
          <w:sz w:val="24"/>
        </w:rPr>
        <w:t>》</w:t>
      </w:r>
      <w:r>
        <w:rPr>
          <w:rFonts w:ascii="Times New Roman" w:hAnsi="Times New Roman" w:cs="Times New Roman"/>
          <w:sz w:val="24"/>
        </w:rPr>
        <w:t>，废气排放监测计划的相关要求如下：</w:t>
      </w:r>
    </w:p>
    <w:p>
      <w:pPr>
        <w:widowControl w:val="0"/>
        <w:spacing w:line="360" w:lineRule="auto"/>
        <w:ind w:firstLine="482" w:firstLineChars="200"/>
        <w:jc w:val="center"/>
        <w:rPr>
          <w:rFonts w:ascii="Times New Roman" w:hAnsi="Times New Roman" w:cs="Times New Roman"/>
          <w:sz w:val="24"/>
        </w:rPr>
      </w:pPr>
      <w:r>
        <w:rPr>
          <w:rFonts w:ascii="Times New Roman" w:hAnsi="Times New Roman" w:cs="Times New Roman"/>
          <w:b/>
          <w:bCs/>
          <w:sz w:val="24"/>
        </w:rPr>
        <w:t>表9.2-1  废气排放监测点位、监测指标及最低监测频次</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3532"/>
        <w:gridCol w:w="23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pct"/>
            <w:tcBorders>
              <w:tl2br w:val="nil"/>
              <w:tr2bl w:val="nil"/>
            </w:tcBorders>
            <w:vAlign w:val="center"/>
          </w:tcPr>
          <w:p>
            <w:pPr>
              <w:topLinePunct/>
              <w:ind w:firstLine="480"/>
              <w:jc w:val="center"/>
              <w:rPr>
                <w:rFonts w:ascii="Times New Roman" w:hAnsi="Times New Roman" w:cs="Times New Roman"/>
                <w:b/>
                <w:bCs/>
                <w:szCs w:val="21"/>
              </w:rPr>
            </w:pPr>
            <w:r>
              <w:rPr>
                <w:rFonts w:ascii="Times New Roman" w:hAnsi="Times New Roman" w:cs="Times New Roman"/>
                <w:b/>
                <w:bCs/>
                <w:szCs w:val="21"/>
              </w:rPr>
              <w:t>监测位置</w:t>
            </w:r>
          </w:p>
        </w:tc>
        <w:tc>
          <w:tcPr>
            <w:tcW w:w="2073" w:type="pct"/>
            <w:tcBorders>
              <w:tl2br w:val="nil"/>
              <w:tr2bl w:val="nil"/>
            </w:tcBorders>
            <w:vAlign w:val="center"/>
          </w:tcPr>
          <w:p>
            <w:pPr>
              <w:topLinePunct/>
              <w:ind w:firstLine="480"/>
              <w:jc w:val="center"/>
              <w:rPr>
                <w:rFonts w:ascii="Times New Roman" w:hAnsi="Times New Roman" w:cs="Times New Roman"/>
                <w:b/>
                <w:bCs/>
                <w:szCs w:val="21"/>
              </w:rPr>
            </w:pPr>
            <w:r>
              <w:rPr>
                <w:rFonts w:ascii="Times New Roman" w:hAnsi="Times New Roman" w:cs="Times New Roman"/>
                <w:b/>
                <w:bCs/>
                <w:szCs w:val="21"/>
              </w:rPr>
              <w:t>监测项目</w:t>
            </w:r>
          </w:p>
        </w:tc>
        <w:tc>
          <w:tcPr>
            <w:tcW w:w="1406" w:type="pct"/>
            <w:tcBorders>
              <w:tl2br w:val="nil"/>
              <w:tr2bl w:val="nil"/>
            </w:tcBorders>
            <w:vAlign w:val="center"/>
          </w:tcPr>
          <w:p>
            <w:pPr>
              <w:topLinePunct/>
              <w:ind w:firstLine="480"/>
              <w:jc w:val="center"/>
              <w:rPr>
                <w:rFonts w:ascii="Times New Roman" w:hAnsi="Times New Roman" w:cs="Times New Roman"/>
                <w:b/>
                <w:bCs/>
                <w:szCs w:val="21"/>
              </w:rPr>
            </w:pPr>
            <w:r>
              <w:rPr>
                <w:rFonts w:ascii="Times New Roman" w:hAnsi="Times New Roman" w:cs="Times New Roman"/>
                <w:b/>
                <w:bCs/>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pct"/>
            <w:tcBorders>
              <w:tl2br w:val="nil"/>
              <w:tr2bl w:val="nil"/>
            </w:tcBorders>
            <w:vAlign w:val="center"/>
          </w:tcPr>
          <w:p>
            <w:pPr>
              <w:jc w:val="center"/>
              <w:rPr>
                <w:rFonts w:ascii="Times New Roman" w:hAnsi="Times New Roman" w:eastAsia="宋体" w:cs="Times New Roman"/>
                <w:szCs w:val="21"/>
              </w:rPr>
            </w:pPr>
            <w:r>
              <w:rPr>
                <w:rFonts w:ascii="Times New Roman" w:hAnsi="Times New Roman" w:cs="Times New Roman"/>
              </w:rPr>
              <w:t>DA001</w:t>
            </w:r>
          </w:p>
        </w:tc>
        <w:tc>
          <w:tcPr>
            <w:tcW w:w="2073" w:type="pct"/>
            <w:tcBorders>
              <w:tl2br w:val="nil"/>
              <w:tr2bl w:val="nil"/>
            </w:tcBorders>
            <w:vAlign w:val="center"/>
          </w:tcPr>
          <w:p>
            <w:pPr>
              <w:snapToGrid w:val="0"/>
              <w:spacing w:line="240" w:lineRule="atLeast"/>
              <w:jc w:val="center"/>
              <w:rPr>
                <w:rFonts w:ascii="Times New Roman" w:hAnsi="Times New Roman" w:eastAsia="宋体" w:cs="Times New Roman"/>
                <w:szCs w:val="21"/>
              </w:rPr>
            </w:pPr>
            <w:r>
              <w:rPr>
                <w:snapToGrid w:val="0"/>
                <w:szCs w:val="21"/>
              </w:rPr>
              <w:t>颗粒物</w:t>
            </w:r>
          </w:p>
        </w:tc>
        <w:tc>
          <w:tcPr>
            <w:tcW w:w="1406" w:type="pct"/>
            <w:tcBorders>
              <w:tl2br w:val="nil"/>
              <w:tr2bl w:val="nil"/>
            </w:tcBorders>
            <w:vAlign w:val="center"/>
          </w:tcPr>
          <w:p>
            <w:pPr>
              <w:topLinePunct/>
              <w:jc w:val="center"/>
              <w:rPr>
                <w:rFonts w:ascii="Times New Roman" w:hAnsi="Times New Roman" w:cs="Times New Roman"/>
                <w:szCs w:val="21"/>
              </w:rPr>
            </w:pPr>
            <w:r>
              <w:rPr>
                <w:rFonts w:ascii="Times New Roman" w:hAnsi="Times New Roman" w:cs="Times New Roman"/>
                <w:szCs w:val="21"/>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pct"/>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kern w:val="0"/>
                <w:szCs w:val="21"/>
              </w:rPr>
              <w:t>DA002</w:t>
            </w:r>
          </w:p>
        </w:tc>
        <w:tc>
          <w:tcPr>
            <w:tcW w:w="2073" w:type="pct"/>
            <w:tcBorders>
              <w:tl2br w:val="nil"/>
              <w:tr2bl w:val="nil"/>
            </w:tcBorders>
            <w:shd w:val="clear" w:color="auto" w:fill="auto"/>
            <w:vAlign w:val="center"/>
          </w:tcPr>
          <w:p>
            <w:pPr>
              <w:topLinePunct/>
              <w:jc w:val="center"/>
              <w:rPr>
                <w:rFonts w:ascii="Times New Roman" w:hAnsi="Times New Roman" w:cs="Times New Roman"/>
                <w:szCs w:val="21"/>
              </w:rPr>
            </w:pPr>
            <w:r>
              <w:rPr>
                <w:rFonts w:ascii="Times New Roman" w:hAnsi="Times New Roman" w:cs="Times New Roman"/>
                <w:szCs w:val="21"/>
              </w:rPr>
              <w:t>非甲烷总烃</w:t>
            </w:r>
            <w:r>
              <w:rPr>
                <w:rFonts w:hint="eastAsia" w:ascii="Times New Roman" w:hAnsi="Times New Roman" w:cs="Times New Roman"/>
                <w:szCs w:val="21"/>
              </w:rPr>
              <w:t>、颗粒物、甲苯、二甲苯</w:t>
            </w:r>
          </w:p>
        </w:tc>
        <w:tc>
          <w:tcPr>
            <w:tcW w:w="1406" w:type="pct"/>
            <w:tcBorders>
              <w:tl2br w:val="nil"/>
              <w:tr2bl w:val="nil"/>
            </w:tcBorders>
            <w:shd w:val="clear" w:color="auto" w:fill="auto"/>
            <w:vAlign w:val="center"/>
          </w:tcPr>
          <w:p>
            <w:pPr>
              <w:topLinePunct/>
              <w:jc w:val="center"/>
              <w:rPr>
                <w:rFonts w:ascii="Times New Roman" w:hAnsi="Times New Roman" w:cs="Times New Roman"/>
                <w:szCs w:val="21"/>
              </w:rPr>
            </w:pPr>
            <w:r>
              <w:rPr>
                <w:rFonts w:ascii="Times New Roman" w:hAnsi="Times New Roman" w:cs="Times New Roman"/>
                <w:szCs w:val="21"/>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pct"/>
            <w:tcBorders>
              <w:tl2br w:val="nil"/>
              <w:tr2bl w:val="nil"/>
            </w:tcBorders>
            <w:vAlign w:val="center"/>
          </w:tcPr>
          <w:p>
            <w:pPr>
              <w:topLinePunct/>
              <w:jc w:val="center"/>
              <w:rPr>
                <w:rFonts w:ascii="Times New Roman" w:hAnsi="Times New Roman" w:eastAsia="宋体" w:cs="Times New Roman"/>
                <w:szCs w:val="21"/>
              </w:rPr>
            </w:pPr>
            <w:r>
              <w:rPr>
                <w:rFonts w:ascii="Times New Roman" w:hAnsi="Times New Roman" w:cs="Times New Roman"/>
                <w:szCs w:val="21"/>
              </w:rPr>
              <w:t>厂界</w:t>
            </w:r>
          </w:p>
        </w:tc>
        <w:tc>
          <w:tcPr>
            <w:tcW w:w="2073" w:type="pct"/>
            <w:tcBorders>
              <w:tl2br w:val="nil"/>
              <w:tr2bl w:val="nil"/>
            </w:tcBorders>
            <w:vAlign w:val="center"/>
          </w:tcPr>
          <w:p>
            <w:pPr>
              <w:topLinePunct/>
              <w:jc w:val="center"/>
              <w:rPr>
                <w:rFonts w:ascii="Times New Roman" w:hAnsi="Times New Roman" w:eastAsia="宋体" w:cs="Times New Roman"/>
                <w:szCs w:val="21"/>
              </w:rPr>
            </w:pPr>
            <w:r>
              <w:rPr>
                <w:rFonts w:ascii="Times New Roman" w:hAnsi="Times New Roman" w:cs="Times New Roman"/>
                <w:szCs w:val="21"/>
              </w:rPr>
              <w:t>非甲烷总烃</w:t>
            </w:r>
            <w:r>
              <w:rPr>
                <w:rFonts w:hint="eastAsia" w:ascii="Times New Roman" w:hAnsi="Times New Roman" w:cs="Times New Roman"/>
                <w:szCs w:val="21"/>
              </w:rPr>
              <w:t>、颗粒物、甲苯、二甲苯</w:t>
            </w:r>
          </w:p>
        </w:tc>
        <w:tc>
          <w:tcPr>
            <w:tcW w:w="1406" w:type="pct"/>
            <w:tcBorders>
              <w:tl2br w:val="nil"/>
              <w:tr2bl w:val="nil"/>
            </w:tcBorders>
            <w:vAlign w:val="center"/>
          </w:tcPr>
          <w:p>
            <w:pPr>
              <w:jc w:val="center"/>
              <w:rPr>
                <w:rFonts w:ascii="Times New Roman" w:hAnsi="Times New Roman" w:cs="Times New Roman"/>
                <w:szCs w:val="21"/>
              </w:rPr>
            </w:pPr>
            <w:r>
              <w:rPr>
                <w:rFonts w:ascii="Times New Roman" w:hAnsi="Times New Roman" w:cs="Times New Roman"/>
                <w:szCs w:val="21"/>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pct"/>
            <w:tcBorders>
              <w:tl2br w:val="nil"/>
              <w:tr2bl w:val="nil"/>
            </w:tcBorders>
            <w:vAlign w:val="center"/>
          </w:tcPr>
          <w:p>
            <w:pPr>
              <w:topLinePunct/>
              <w:jc w:val="center"/>
              <w:rPr>
                <w:rFonts w:ascii="Times New Roman" w:hAnsi="Times New Roman" w:cs="Times New Roman"/>
                <w:szCs w:val="21"/>
              </w:rPr>
            </w:pPr>
            <w:r>
              <w:rPr>
                <w:rFonts w:hint="eastAsia" w:ascii="Times New Roman" w:hAnsi="Times New Roman" w:cs="Times New Roman"/>
                <w:szCs w:val="21"/>
              </w:rPr>
              <w:t>厂区内</w:t>
            </w:r>
          </w:p>
        </w:tc>
        <w:tc>
          <w:tcPr>
            <w:tcW w:w="2073" w:type="pct"/>
            <w:tcBorders>
              <w:tl2br w:val="nil"/>
              <w:tr2bl w:val="nil"/>
            </w:tcBorders>
            <w:vAlign w:val="center"/>
          </w:tcPr>
          <w:p>
            <w:pPr>
              <w:topLinePunct/>
              <w:jc w:val="center"/>
              <w:rPr>
                <w:rFonts w:ascii="Times New Roman" w:hAnsi="Times New Roman" w:cs="Times New Roman"/>
                <w:szCs w:val="21"/>
              </w:rPr>
            </w:pPr>
            <w:r>
              <w:rPr>
                <w:rFonts w:ascii="Times New Roman" w:hAnsi="Times New Roman" w:cs="Times New Roman"/>
                <w:szCs w:val="21"/>
              </w:rPr>
              <w:t>非甲烷总烃</w:t>
            </w:r>
          </w:p>
        </w:tc>
        <w:tc>
          <w:tcPr>
            <w:tcW w:w="1406" w:type="pct"/>
            <w:tcBorders>
              <w:tl2br w:val="nil"/>
              <w:tr2bl w:val="nil"/>
            </w:tcBorders>
            <w:vAlign w:val="center"/>
          </w:tcPr>
          <w:p>
            <w:pPr>
              <w:jc w:val="center"/>
              <w:rPr>
                <w:rFonts w:ascii="Times New Roman" w:hAnsi="Times New Roman" w:cs="Times New Roman"/>
                <w:szCs w:val="21"/>
              </w:rPr>
            </w:pPr>
            <w:r>
              <w:rPr>
                <w:rFonts w:ascii="Times New Roman" w:hAnsi="Times New Roman" w:cs="Times New Roman"/>
                <w:szCs w:val="21"/>
              </w:rPr>
              <w:t>1次/年</w:t>
            </w:r>
          </w:p>
        </w:tc>
      </w:tr>
    </w:tbl>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sz w:val="24"/>
        </w:rPr>
        <w:t>地下水</w:t>
      </w:r>
      <w:r>
        <w:rPr>
          <w:rFonts w:ascii="Times New Roman" w:hAnsi="Times New Roman" w:cs="Times New Roman"/>
          <w:sz w:val="24"/>
        </w:rPr>
        <w:t>监测计划</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监测点位：</w:t>
      </w:r>
      <w:r>
        <w:rPr>
          <w:rFonts w:ascii="Times New Roman" w:hAnsi="Times New Roman" w:cs="Times New Roman"/>
          <w:sz w:val="24"/>
        </w:rPr>
        <w:t>本底井</w:t>
      </w:r>
      <w:r>
        <w:rPr>
          <w:rFonts w:hint="eastAsia" w:ascii="Times New Roman" w:hAnsi="Times New Roman" w:cs="Times New Roman"/>
          <w:sz w:val="24"/>
        </w:rPr>
        <w:t>（一眼，宜设在项目区地下水流向上游）</w:t>
      </w:r>
      <w:r>
        <w:rPr>
          <w:rFonts w:ascii="Times New Roman" w:hAnsi="Times New Roman" w:cs="Times New Roman"/>
          <w:sz w:val="24"/>
        </w:rPr>
        <w:t>、污染扩散井</w:t>
      </w:r>
      <w:r>
        <w:rPr>
          <w:rFonts w:hint="eastAsia" w:ascii="Times New Roman" w:hAnsi="Times New Roman" w:cs="Times New Roman"/>
          <w:sz w:val="24"/>
        </w:rPr>
        <w:t>（两眼，宜分别设在项目区地下水下游）</w:t>
      </w:r>
      <w:r>
        <w:rPr>
          <w:rFonts w:ascii="Times New Roman" w:hAnsi="Times New Roman" w:cs="Times New Roman"/>
          <w:sz w:val="24"/>
        </w:rPr>
        <w:t>、污染监视井等</w:t>
      </w:r>
      <w:r>
        <w:rPr>
          <w:rFonts w:hint="eastAsia" w:ascii="Times New Roman" w:hAnsi="Times New Roman" w:cs="Times New Roman"/>
          <w:sz w:val="24"/>
        </w:rPr>
        <w:t>共计3口</w:t>
      </w:r>
    </w:p>
    <w:p>
      <w:pPr>
        <w:widowControl w:val="0"/>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监测频次：1次/年。</w:t>
      </w:r>
    </w:p>
    <w:p>
      <w:pPr>
        <w:widowControl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（4）噪声排放监测计划</w:t>
      </w:r>
    </w:p>
    <w:p>
      <w:pPr>
        <w:widowControl w:val="0"/>
        <w:spacing w:line="360" w:lineRule="auto"/>
        <w:ind w:firstLine="480" w:firstLineChars="200"/>
        <w:rPr>
          <w:rFonts w:ascii="Times New Roman" w:hAnsi="Times New Roman" w:cs="Times New Roman"/>
          <w:sz w:val="24"/>
        </w:rPr>
      </w:pPr>
      <w:r>
        <w:rPr>
          <w:rFonts w:ascii="Times New Roman" w:hAnsi="Times New Roman" w:cs="Times New Roman"/>
          <w:sz w:val="24"/>
        </w:rPr>
        <w:t>根据《排污单位自行监测技术指南 总则》（HJ 819-2017），噪声排放监测计划如下：</w:t>
      </w:r>
    </w:p>
    <w:p>
      <w:pPr>
        <w:widowControl w:val="0"/>
        <w:spacing w:line="240" w:lineRule="auto"/>
        <w:ind w:firstLine="422" w:firstLineChars="200"/>
        <w:jc w:val="center"/>
        <w:rPr>
          <w:rFonts w:ascii="Times New Roman" w:hAnsi="Times New Roman" w:cs="Times New Roman"/>
          <w:b/>
          <w:bCs/>
          <w:szCs w:val="20"/>
        </w:rPr>
      </w:pPr>
      <w:r>
        <w:rPr>
          <w:rFonts w:ascii="Times New Roman" w:hAnsi="Times New Roman" w:cs="Times New Roman"/>
          <w:b/>
          <w:bCs/>
          <w:szCs w:val="20"/>
        </w:rPr>
        <w:t>表9.2-</w:t>
      </w:r>
      <w:r>
        <w:rPr>
          <w:rFonts w:hint="eastAsia" w:ascii="Times New Roman" w:hAnsi="Times New Roman" w:cs="Times New Roman"/>
          <w:b/>
          <w:bCs/>
          <w:szCs w:val="20"/>
        </w:rPr>
        <w:t>2</w:t>
      </w:r>
      <w:r>
        <w:rPr>
          <w:rFonts w:ascii="Times New Roman" w:hAnsi="Times New Roman" w:cs="Times New Roman"/>
          <w:b/>
          <w:bCs/>
          <w:szCs w:val="20"/>
        </w:rPr>
        <w:t xml:space="preserve">    噪声监测频次</w:t>
      </w:r>
    </w:p>
    <w:tbl>
      <w:tblPr>
        <w:tblStyle w:val="144"/>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121"/>
        <w:gridCol w:w="1221"/>
        <w:gridCol w:w="48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99"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7"/>
                <w:sz w:val="21"/>
                <w:szCs w:val="21"/>
              </w:rPr>
            </w:pPr>
            <w:r>
              <w:rPr>
                <w:rFonts w:ascii="Times New Roman" w:hAnsi="Times New Roman" w:cs="Times New Roman"/>
                <w:b/>
                <w:spacing w:val="7"/>
                <w:sz w:val="21"/>
                <w:szCs w:val="21"/>
              </w:rPr>
              <w:t>监测点位</w:t>
            </w:r>
          </w:p>
        </w:tc>
        <w:tc>
          <w:tcPr>
            <w:tcW w:w="1147"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7"/>
                <w:sz w:val="21"/>
                <w:szCs w:val="21"/>
              </w:rPr>
            </w:pPr>
            <w:r>
              <w:rPr>
                <w:rFonts w:ascii="Times New Roman" w:hAnsi="Times New Roman" w:cs="Times New Roman"/>
                <w:b/>
                <w:spacing w:val="7"/>
                <w:sz w:val="21"/>
                <w:szCs w:val="21"/>
              </w:rPr>
              <w:t>监测指标</w:t>
            </w:r>
          </w:p>
        </w:tc>
        <w:tc>
          <w:tcPr>
            <w:tcW w:w="1250"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7"/>
                <w:sz w:val="21"/>
                <w:szCs w:val="21"/>
              </w:rPr>
            </w:pPr>
            <w:r>
              <w:rPr>
                <w:rFonts w:ascii="Times New Roman" w:hAnsi="Times New Roman" w:cs="Times New Roman"/>
                <w:b/>
                <w:spacing w:val="7"/>
                <w:sz w:val="21"/>
                <w:szCs w:val="21"/>
              </w:rPr>
              <w:t>监测频次</w:t>
            </w:r>
          </w:p>
        </w:tc>
        <w:tc>
          <w:tcPr>
            <w:tcW w:w="5005"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7"/>
                <w:sz w:val="21"/>
                <w:szCs w:val="21"/>
              </w:rPr>
            </w:pPr>
            <w:r>
              <w:rPr>
                <w:rFonts w:ascii="Times New Roman" w:hAnsi="Times New Roman" w:cs="Times New Roman"/>
                <w:b/>
                <w:spacing w:val="7"/>
                <w:sz w:val="21"/>
                <w:szCs w:val="21"/>
              </w:rPr>
              <w:t>执行排放标准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79" w:hRule="atLeast"/>
          <w:jc w:val="center"/>
        </w:trPr>
        <w:tc>
          <w:tcPr>
            <w:tcW w:w="1099" w:type="dxa"/>
            <w:tcBorders>
              <w:tl2br w:val="nil"/>
              <w:tr2bl w:val="nil"/>
            </w:tcBorders>
            <w:vAlign w:val="center"/>
          </w:tcPr>
          <w:p>
            <w:pPr>
              <w:pStyle w:val="139"/>
              <w:widowControl/>
              <w:autoSpaceDE/>
              <w:autoSpaceDN/>
              <w:spacing w:line="240" w:lineRule="auto"/>
              <w:jc w:val="center"/>
              <w:rPr>
                <w:rFonts w:ascii="Times New Roman" w:hAnsi="Times New Roman" w:cs="Times New Roman"/>
                <w:spacing w:val="7"/>
                <w:sz w:val="21"/>
                <w:szCs w:val="21"/>
              </w:rPr>
            </w:pPr>
            <w:r>
              <w:rPr>
                <w:rFonts w:ascii="Times New Roman" w:hAnsi="Times New Roman" w:cs="Times New Roman"/>
                <w:spacing w:val="7"/>
                <w:sz w:val="21"/>
                <w:szCs w:val="21"/>
                <w:lang w:eastAsia="zh-CN"/>
              </w:rPr>
              <w:t>厂界</w:t>
            </w:r>
            <w:r>
              <w:rPr>
                <w:rFonts w:ascii="Times New Roman" w:hAnsi="Times New Roman" w:cs="Times New Roman"/>
                <w:spacing w:val="7"/>
                <w:sz w:val="21"/>
                <w:szCs w:val="21"/>
              </w:rPr>
              <w:t>周界</w:t>
            </w:r>
          </w:p>
        </w:tc>
        <w:tc>
          <w:tcPr>
            <w:tcW w:w="1147" w:type="dxa"/>
            <w:tcBorders>
              <w:tl2br w:val="nil"/>
              <w:tr2bl w:val="nil"/>
            </w:tcBorders>
            <w:vAlign w:val="center"/>
          </w:tcPr>
          <w:p>
            <w:pPr>
              <w:pStyle w:val="139"/>
              <w:widowControl/>
              <w:autoSpaceDE/>
              <w:autoSpaceDN/>
              <w:spacing w:line="240" w:lineRule="auto"/>
              <w:jc w:val="center"/>
              <w:rPr>
                <w:rFonts w:ascii="Times New Roman" w:hAnsi="Times New Roman" w:cs="Times New Roman"/>
                <w:spacing w:val="7"/>
                <w:sz w:val="21"/>
                <w:szCs w:val="21"/>
                <w:lang w:eastAsia="zh-CN"/>
              </w:rPr>
            </w:pPr>
            <w:r>
              <w:rPr>
                <w:rFonts w:ascii="Times New Roman" w:hAnsi="Times New Roman" w:cs="Times New Roman"/>
                <w:spacing w:val="7"/>
                <w:sz w:val="21"/>
                <w:szCs w:val="21"/>
                <w:lang w:eastAsia="zh-CN"/>
              </w:rPr>
              <w:t>噪声</w:t>
            </w:r>
          </w:p>
        </w:tc>
        <w:tc>
          <w:tcPr>
            <w:tcW w:w="1250" w:type="dxa"/>
            <w:tcBorders>
              <w:tl2br w:val="nil"/>
              <w:tr2bl w:val="nil"/>
            </w:tcBorders>
            <w:vAlign w:val="center"/>
          </w:tcPr>
          <w:p>
            <w:pPr>
              <w:pStyle w:val="139"/>
              <w:widowControl/>
              <w:autoSpaceDE/>
              <w:autoSpaceDN/>
              <w:spacing w:line="240" w:lineRule="auto"/>
              <w:jc w:val="center"/>
              <w:rPr>
                <w:rFonts w:ascii="Times New Roman" w:hAnsi="Times New Roman" w:cs="Times New Roman"/>
                <w:spacing w:val="7"/>
                <w:sz w:val="21"/>
                <w:szCs w:val="21"/>
              </w:rPr>
            </w:pPr>
            <w:r>
              <w:rPr>
                <w:rFonts w:ascii="Times New Roman" w:hAnsi="Times New Roman" w:cs="Times New Roman"/>
                <w:spacing w:val="7"/>
                <w:sz w:val="21"/>
                <w:szCs w:val="21"/>
                <w:lang w:eastAsia="zh-CN"/>
              </w:rPr>
              <w:t>1次/</w:t>
            </w:r>
            <w:r>
              <w:rPr>
                <w:rFonts w:ascii="Times New Roman" w:hAnsi="Times New Roman" w:cs="Times New Roman"/>
                <w:spacing w:val="7"/>
                <w:sz w:val="21"/>
                <w:szCs w:val="21"/>
              </w:rPr>
              <w:t>季度</w:t>
            </w:r>
          </w:p>
        </w:tc>
        <w:tc>
          <w:tcPr>
            <w:tcW w:w="5005" w:type="dxa"/>
            <w:tcBorders>
              <w:tl2br w:val="nil"/>
              <w:tr2bl w:val="nil"/>
            </w:tcBorders>
            <w:vAlign w:val="center"/>
          </w:tcPr>
          <w:p>
            <w:pPr>
              <w:pStyle w:val="139"/>
              <w:widowControl/>
              <w:autoSpaceDE/>
              <w:autoSpaceDN/>
              <w:spacing w:line="240" w:lineRule="auto"/>
              <w:jc w:val="center"/>
              <w:rPr>
                <w:rFonts w:ascii="Times New Roman" w:hAnsi="Times New Roman" w:cs="Times New Roman"/>
                <w:spacing w:val="7"/>
                <w:sz w:val="21"/>
                <w:szCs w:val="21"/>
                <w:lang w:eastAsia="zh-CN"/>
              </w:rPr>
            </w:pPr>
            <w:r>
              <w:rPr>
                <w:rFonts w:ascii="Times New Roman" w:hAnsi="Times New Roman" w:cs="Times New Roman"/>
                <w:spacing w:val="7"/>
                <w:sz w:val="21"/>
                <w:szCs w:val="21"/>
                <w:lang w:eastAsia="zh-CN"/>
              </w:rPr>
              <w:t>《工业企业厂界环境噪声排放标准》 （GB12348-2008）</w:t>
            </w:r>
          </w:p>
        </w:tc>
      </w:tr>
    </w:tbl>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9.2.2.3 环境管理台账记录与执行报告编制要求</w:t>
      </w:r>
    </w:p>
    <w:p>
      <w:pPr>
        <w:widowControl w:val="0"/>
        <w:autoSpaceDE w:val="0"/>
        <w:autoSpaceDN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排污单位应建立环境管理台账制度，设置专职人员进行台账的记录、整理、维护和管理，并对台账记录结果的真实性、准确性、完整性负责。</w:t>
      </w:r>
    </w:p>
    <w:p>
      <w:pPr>
        <w:widowControl w:val="0"/>
        <w:autoSpaceDE w:val="0"/>
        <w:autoSpaceDN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台账应当按照电子化储存和纸质储存两种形式同步管理。台账保存期限不得少于三年。</w:t>
      </w:r>
    </w:p>
    <w:p>
      <w:pPr>
        <w:widowControl w:val="0"/>
        <w:autoSpaceDE w:val="0"/>
        <w:autoSpaceDN w:val="0"/>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排污单位排污许可证台账应真实记录基本信息、生产设施及其运行情况、污染防治设施及其运行情况、监测记录信息、其他环境管理信息等。待《排污许可环境管理台账及执行报告技术规范》发布后从其规定。</w:t>
      </w:r>
    </w:p>
    <w:p>
      <w:pPr>
        <w:pStyle w:val="6"/>
        <w:widowControl w:val="0"/>
        <w:ind w:firstLine="640"/>
      </w:pPr>
      <w:bookmarkStart w:id="106" w:name="_Toc20653"/>
      <w:bookmarkStart w:id="107" w:name="_Toc6352"/>
      <w:bookmarkStart w:id="108" w:name="_Toc5730"/>
      <w:bookmarkStart w:id="109" w:name="_Toc17701"/>
      <w:bookmarkStart w:id="110" w:name="_Toc29541"/>
      <w:bookmarkStart w:id="111" w:name="_Toc4948"/>
      <w:bookmarkStart w:id="112" w:name="_Toc16702"/>
      <w:bookmarkStart w:id="113" w:name="_Toc4615"/>
      <w:r>
        <w:t>9.3 竣工环保验收</w:t>
      </w:r>
      <w:bookmarkEnd w:id="106"/>
      <w:bookmarkEnd w:id="107"/>
      <w:bookmarkEnd w:id="108"/>
    </w:p>
    <w:p>
      <w:pPr>
        <w:widowControl w:val="0"/>
        <w:spacing w:line="360" w:lineRule="auto"/>
        <w:ind w:firstLine="480" w:firstLineChars="200"/>
        <w:contextualSpacing/>
        <w:rPr>
          <w:rFonts w:ascii="Times New Roman" w:hAnsi="Times New Roman" w:cs="Times New Roman"/>
          <w:kern w:val="0"/>
          <w:sz w:val="24"/>
          <w:szCs w:val="24"/>
        </w:rPr>
      </w:pPr>
      <w:bookmarkStart w:id="114" w:name="_Toc27314"/>
      <w:bookmarkStart w:id="115" w:name="_Toc520129068"/>
      <w:bookmarkStart w:id="116" w:name="_Toc14019"/>
      <w:bookmarkStart w:id="117" w:name="_Toc21300"/>
      <w:r>
        <w:rPr>
          <w:rFonts w:ascii="Times New Roman" w:hAnsi="Times New Roman" w:cs="Times New Roman"/>
          <w:kern w:val="0"/>
          <w:sz w:val="24"/>
          <w:szCs w:val="24"/>
        </w:rPr>
        <w:t>根据建设项目环境管理办法，污染防治设施必须与主体工程同时设计、同时施工、同时投入使用。在项目完成后，在项目满足验收条件后，建设单位应积极开展环保设施竣工验收，进行项目验收。</w:t>
      </w:r>
      <w:bookmarkEnd w:id="109"/>
      <w:bookmarkEnd w:id="110"/>
      <w:bookmarkEnd w:id="111"/>
      <w:bookmarkEnd w:id="112"/>
      <w:bookmarkEnd w:id="113"/>
      <w:r>
        <w:rPr>
          <w:rFonts w:ascii="Times New Roman" w:hAnsi="Times New Roman" w:cs="Times New Roman"/>
          <w:kern w:val="0"/>
          <w:sz w:val="24"/>
          <w:szCs w:val="24"/>
        </w:rPr>
        <w:t>本项目三同时验收一览表见表9.3-1。</w:t>
      </w:r>
      <w:bookmarkEnd w:id="114"/>
      <w:bookmarkEnd w:id="115"/>
      <w:bookmarkEnd w:id="116"/>
      <w:bookmarkEnd w:id="117"/>
    </w:p>
    <w:p>
      <w:pPr>
        <w:widowControl w:val="0"/>
        <w:tabs>
          <w:tab w:val="left" w:pos="360"/>
          <w:tab w:val="left" w:pos="1620"/>
        </w:tabs>
        <w:spacing w:line="360" w:lineRule="auto"/>
        <w:ind w:firstLine="480"/>
        <w:rPr>
          <w:rFonts w:ascii="Times New Roman" w:hAnsi="Times New Roman" w:eastAsia="宋体" w:cs="Times New Roman"/>
          <w:b/>
          <w:bCs/>
          <w:sz w:val="24"/>
          <w:szCs w:val="20"/>
          <w:lang w:val="zh-CN"/>
        </w:rPr>
      </w:pPr>
    </w:p>
    <w:p>
      <w:pPr>
        <w:widowControl w:val="0"/>
        <w:tabs>
          <w:tab w:val="left" w:pos="360"/>
          <w:tab w:val="left" w:pos="1620"/>
        </w:tabs>
        <w:spacing w:line="360" w:lineRule="auto"/>
        <w:ind w:firstLine="480"/>
        <w:jc w:val="center"/>
        <w:rPr>
          <w:rFonts w:ascii="Times New Roman" w:hAnsi="Times New Roman" w:eastAsia="宋体" w:cs="Times New Roman"/>
          <w:b/>
          <w:bCs/>
          <w:sz w:val="24"/>
          <w:szCs w:val="20"/>
          <w:lang w:val="zh-CN"/>
        </w:rPr>
      </w:pPr>
      <w:r>
        <w:rPr>
          <w:rFonts w:ascii="Times New Roman" w:hAnsi="Times New Roman" w:eastAsia="宋体" w:cs="Times New Roman"/>
          <w:b/>
          <w:bCs/>
          <w:sz w:val="24"/>
          <w:szCs w:val="20"/>
          <w:lang w:val="zh-CN"/>
        </w:rPr>
        <w:t>表</w:t>
      </w:r>
      <w:r>
        <w:rPr>
          <w:rFonts w:ascii="Times New Roman" w:hAnsi="Times New Roman" w:eastAsia="宋体" w:cs="Times New Roman"/>
          <w:b/>
          <w:bCs/>
          <w:sz w:val="24"/>
          <w:szCs w:val="20"/>
        </w:rPr>
        <w:t>9.3-1</w:t>
      </w:r>
      <w:r>
        <w:rPr>
          <w:rFonts w:ascii="Times New Roman" w:hAnsi="Times New Roman" w:eastAsia="宋体" w:cs="Times New Roman"/>
          <w:b/>
          <w:bCs/>
          <w:sz w:val="24"/>
          <w:szCs w:val="20"/>
          <w:lang w:val="zh-CN"/>
        </w:rPr>
        <w:t xml:space="preserve">  本项目“三同时”验收一览表</w:t>
      </w:r>
    </w:p>
    <w:tbl>
      <w:tblPr>
        <w:tblStyle w:val="144"/>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09"/>
        <w:gridCol w:w="4082"/>
        <w:gridCol w:w="36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4" w:hRule="atLeast"/>
          <w:jc w:val="center"/>
        </w:trPr>
        <w:tc>
          <w:tcPr>
            <w:tcW w:w="623"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7"/>
                <w:sz w:val="21"/>
                <w:szCs w:val="21"/>
                <w:lang w:eastAsia="zh-CN"/>
              </w:rPr>
            </w:pPr>
            <w:r>
              <w:rPr>
                <w:rFonts w:ascii="Times New Roman" w:hAnsi="Times New Roman" w:cs="Times New Roman"/>
                <w:b/>
                <w:spacing w:val="7"/>
                <w:sz w:val="21"/>
                <w:szCs w:val="21"/>
                <w:lang w:eastAsia="zh-CN"/>
              </w:rPr>
              <w:t>项目</w:t>
            </w: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b/>
                <w:spacing w:val="10"/>
                <w:sz w:val="21"/>
                <w:szCs w:val="21"/>
                <w:lang w:eastAsia="zh-CN"/>
              </w:rPr>
            </w:pPr>
            <w:r>
              <w:rPr>
                <w:rFonts w:ascii="Times New Roman" w:hAnsi="Times New Roman" w:cs="Times New Roman"/>
                <w:b/>
                <w:spacing w:val="10"/>
                <w:sz w:val="21"/>
                <w:szCs w:val="21"/>
                <w:lang w:eastAsia="zh-CN"/>
              </w:rPr>
              <w:t>防治措施</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b/>
                <w:szCs w:val="21"/>
                <w:lang w:eastAsia="en-US"/>
              </w:rPr>
            </w:pPr>
            <w:r>
              <w:rPr>
                <w:rFonts w:ascii="Times New Roman" w:hAnsi="Times New Roman" w:eastAsia="宋体" w:cs="Times New Roman"/>
                <w:b/>
                <w:szCs w:val="21"/>
                <w:lang w:eastAsia="en-US"/>
              </w:rPr>
              <w:t>验收标准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623" w:type="dxa"/>
            <w:vMerge w:val="restart"/>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rPr>
            </w:pPr>
            <w:r>
              <w:rPr>
                <w:rFonts w:ascii="Times New Roman" w:hAnsi="Times New Roman" w:cs="Times New Roman"/>
                <w:spacing w:val="7"/>
                <w:sz w:val="21"/>
                <w:szCs w:val="21"/>
              </w:rPr>
              <w:t>废气治理</w:t>
            </w: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ascii="Times New Roman" w:hAnsi="Times New Roman" w:cs="Times New Roman"/>
                <w:spacing w:val="8"/>
                <w:sz w:val="21"/>
                <w:szCs w:val="21"/>
                <w:lang w:eastAsia="zh-CN"/>
              </w:rPr>
              <w:t>下料切割</w:t>
            </w:r>
            <w:r>
              <w:rPr>
                <w:rFonts w:hint="eastAsia" w:ascii="Times New Roman" w:hAnsi="Times New Roman" w:cs="Times New Roman"/>
                <w:spacing w:val="8"/>
                <w:sz w:val="21"/>
                <w:szCs w:val="21"/>
                <w:lang w:eastAsia="zh-CN"/>
              </w:rPr>
              <w:t>、</w:t>
            </w:r>
            <w:r>
              <w:rPr>
                <w:rFonts w:ascii="Times New Roman" w:hAnsi="Times New Roman" w:cs="Times New Roman"/>
                <w:spacing w:val="8"/>
                <w:sz w:val="21"/>
                <w:szCs w:val="21"/>
                <w:lang w:eastAsia="zh-CN"/>
              </w:rPr>
              <w:t>焊接烟尘设置</w:t>
            </w:r>
            <w:r>
              <w:rPr>
                <w:rFonts w:hint="eastAsia" w:ascii="Times New Roman" w:hAnsi="Times New Roman" w:cs="Times New Roman"/>
                <w:spacing w:val="8"/>
                <w:sz w:val="21"/>
                <w:szCs w:val="21"/>
                <w:lang w:eastAsia="zh-CN"/>
              </w:rPr>
              <w:t>移动式烟尘</w:t>
            </w:r>
            <w:r>
              <w:rPr>
                <w:rFonts w:ascii="Times New Roman" w:hAnsi="Times New Roman" w:cs="Times New Roman"/>
                <w:spacing w:val="8"/>
                <w:sz w:val="21"/>
                <w:szCs w:val="21"/>
                <w:lang w:eastAsia="zh-CN"/>
              </w:rPr>
              <w:t>净化装置处理</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执行</w:t>
            </w:r>
            <w:r>
              <w:rPr>
                <w:rFonts w:ascii="Times New Roman" w:hAnsi="Times New Roman" w:cs="Times New Roman"/>
                <w:szCs w:val="21"/>
                <w:lang w:eastAsia="zh-CN"/>
              </w:rPr>
              <w:t>《大气污染物综合排放标准》（GB16297-1996）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24" w:hRule="atLeast"/>
          <w:jc w:val="center"/>
        </w:trPr>
        <w:tc>
          <w:tcPr>
            <w:tcW w:w="623" w:type="dxa"/>
            <w:vMerge w:val="continue"/>
            <w:tcBorders>
              <w:tl2br w:val="nil"/>
              <w:tr2bl w:val="nil"/>
            </w:tcBorders>
            <w:vAlign w:val="center"/>
          </w:tcPr>
          <w:p>
            <w:pPr>
              <w:widowControl/>
              <w:autoSpaceDE/>
              <w:autoSpaceDN/>
              <w:spacing w:line="240" w:lineRule="auto"/>
              <w:jc w:val="center"/>
              <w:rPr>
                <w:rFonts w:ascii="Times New Roman" w:hAnsi="Times New Roman" w:cs="Times New Roman"/>
                <w:szCs w:val="21"/>
                <w:lang w:eastAsia="zh-CN"/>
              </w:rPr>
            </w:pP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ascii="Times New Roman" w:hAnsi="Times New Roman" w:cs="Times New Roman"/>
                <w:spacing w:val="4"/>
                <w:sz w:val="21"/>
                <w:szCs w:val="21"/>
                <w:lang w:eastAsia="zh-CN"/>
              </w:rPr>
              <w:t>喷砂</w:t>
            </w:r>
            <w:r>
              <w:rPr>
                <w:rFonts w:ascii="Times New Roman" w:hAnsi="Times New Roman" w:cs="Times New Roman"/>
                <w:spacing w:val="1"/>
                <w:sz w:val="21"/>
                <w:szCs w:val="21"/>
                <w:lang w:eastAsia="zh-CN"/>
              </w:rPr>
              <w:t>粉尘经布袋除尘器处理后由15m高排气筒（</w:t>
            </w:r>
            <w:r>
              <w:rPr>
                <w:rFonts w:ascii="Times New Roman" w:hAnsi="Times New Roman" w:cs="Times New Roman"/>
                <w:sz w:val="21"/>
                <w:szCs w:val="21"/>
                <w:lang w:eastAsia="zh-CN"/>
              </w:rPr>
              <w:t>DA</w:t>
            </w:r>
            <w:r>
              <w:rPr>
                <w:rFonts w:ascii="Times New Roman" w:hAnsi="Times New Roman" w:cs="Times New Roman"/>
                <w:spacing w:val="1"/>
                <w:sz w:val="21"/>
                <w:szCs w:val="21"/>
                <w:lang w:eastAsia="zh-CN"/>
              </w:rPr>
              <w:t>00</w:t>
            </w:r>
            <w:r>
              <w:rPr>
                <w:rFonts w:hint="eastAsia" w:ascii="Times New Roman" w:hAnsi="Times New Roman" w:cs="Times New Roman"/>
                <w:spacing w:val="1"/>
                <w:sz w:val="21"/>
                <w:szCs w:val="21"/>
                <w:lang w:eastAsia="zh-CN"/>
              </w:rPr>
              <w:t>1</w:t>
            </w:r>
            <w:r>
              <w:rPr>
                <w:rFonts w:ascii="Times New Roman" w:hAnsi="Times New Roman" w:cs="Times New Roman"/>
                <w:spacing w:val="1"/>
                <w:sz w:val="21"/>
                <w:szCs w:val="21"/>
                <w:lang w:eastAsia="zh-CN"/>
              </w:rPr>
              <w:t>）</w:t>
            </w:r>
            <w:r>
              <w:rPr>
                <w:rFonts w:ascii="Times New Roman" w:hAnsi="Times New Roman" w:cs="Times New Roman"/>
                <w:spacing w:val="8"/>
                <w:sz w:val="21"/>
                <w:szCs w:val="21"/>
                <w:lang w:eastAsia="zh-CN"/>
              </w:rPr>
              <w:t>排放；</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执行</w:t>
            </w:r>
            <w:r>
              <w:rPr>
                <w:rFonts w:ascii="Times New Roman" w:hAnsi="Times New Roman" w:cs="Times New Roman"/>
                <w:szCs w:val="21"/>
                <w:lang w:eastAsia="zh-CN"/>
              </w:rPr>
              <w:t>《大气污染物综合排放标准》（GB16297-1996）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36" w:hRule="atLeast"/>
          <w:jc w:val="center"/>
        </w:trPr>
        <w:tc>
          <w:tcPr>
            <w:tcW w:w="623" w:type="dxa"/>
            <w:vMerge w:val="continue"/>
            <w:tcBorders>
              <w:tl2br w:val="nil"/>
              <w:tr2bl w:val="nil"/>
            </w:tcBorders>
            <w:vAlign w:val="center"/>
          </w:tcPr>
          <w:p>
            <w:pPr>
              <w:widowControl/>
              <w:autoSpaceDE/>
              <w:autoSpaceDN/>
              <w:spacing w:line="240" w:lineRule="auto"/>
              <w:jc w:val="center"/>
              <w:rPr>
                <w:rFonts w:ascii="Times New Roman" w:hAnsi="Times New Roman" w:cs="Times New Roman"/>
                <w:szCs w:val="21"/>
                <w:lang w:eastAsia="zh-CN"/>
              </w:rPr>
            </w:pP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ascii="Times New Roman" w:hAnsi="Times New Roman" w:cs="Times New Roman"/>
                <w:spacing w:val="8"/>
                <w:sz w:val="21"/>
                <w:szCs w:val="21"/>
                <w:lang w:eastAsia="zh-CN"/>
              </w:rPr>
              <w:t>喷漆车间密闭，喷漆车间废气经过“</w:t>
            </w:r>
            <w:r>
              <w:rPr>
                <w:rFonts w:hint="eastAsia" w:ascii="Times New Roman" w:hAnsi="Times New Roman" w:cs="Times New Roman"/>
                <w:spacing w:val="8"/>
                <w:sz w:val="21"/>
                <w:szCs w:val="21"/>
                <w:lang w:eastAsia="zh-CN"/>
              </w:rPr>
              <w:t>多级干式过滤器</w:t>
            </w:r>
            <w:r>
              <w:rPr>
                <w:rFonts w:ascii="Times New Roman" w:hAnsi="Times New Roman" w:cs="Times New Roman"/>
                <w:spacing w:val="6"/>
                <w:sz w:val="21"/>
                <w:szCs w:val="21"/>
                <w:lang w:eastAsia="zh-CN"/>
              </w:rPr>
              <w:t>+活性炭吸附+催化燃烧”处理后通过15m高排气筒（</w:t>
            </w:r>
            <w:r>
              <w:rPr>
                <w:rFonts w:ascii="Times New Roman" w:hAnsi="Times New Roman" w:cs="Times New Roman"/>
                <w:sz w:val="21"/>
                <w:szCs w:val="21"/>
                <w:lang w:eastAsia="zh-CN"/>
              </w:rPr>
              <w:t>DA</w:t>
            </w:r>
            <w:r>
              <w:rPr>
                <w:rFonts w:ascii="Times New Roman" w:hAnsi="Times New Roman" w:cs="Times New Roman"/>
                <w:spacing w:val="6"/>
                <w:sz w:val="21"/>
                <w:szCs w:val="21"/>
                <w:lang w:eastAsia="zh-CN"/>
              </w:rPr>
              <w:t>00</w:t>
            </w:r>
            <w:r>
              <w:rPr>
                <w:rFonts w:hint="eastAsia" w:ascii="Times New Roman" w:hAnsi="Times New Roman" w:cs="Times New Roman"/>
                <w:spacing w:val="6"/>
                <w:sz w:val="21"/>
                <w:szCs w:val="21"/>
                <w:lang w:eastAsia="zh-CN"/>
              </w:rPr>
              <w:t>2</w:t>
            </w:r>
            <w:r>
              <w:rPr>
                <w:rFonts w:ascii="Times New Roman" w:hAnsi="Times New Roman" w:cs="Times New Roman"/>
                <w:spacing w:val="6"/>
                <w:sz w:val="21"/>
                <w:szCs w:val="21"/>
                <w:lang w:eastAsia="zh-CN"/>
              </w:rPr>
              <w:t>）排放。</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执行</w:t>
            </w:r>
            <w:r>
              <w:rPr>
                <w:rFonts w:ascii="Times New Roman" w:hAnsi="Times New Roman" w:cs="Times New Roman"/>
                <w:szCs w:val="21"/>
                <w:lang w:eastAsia="zh-CN"/>
              </w:rPr>
              <w:t>《大气污染物综合排放标准》（GB16297-1996）及</w:t>
            </w:r>
            <w:r>
              <w:rPr>
                <w:rFonts w:ascii="Times New Roman" w:hAnsi="Times New Roman" w:eastAsia="宋体" w:cs="Times New Roman"/>
                <w:spacing w:val="10"/>
                <w:szCs w:val="21"/>
                <w:lang w:eastAsia="zh-CN"/>
              </w:rPr>
              <w:t>《挥发性有机物无组织排放控制标准》（GB37822-2019）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8" w:hRule="atLeast"/>
          <w:jc w:val="center"/>
        </w:trPr>
        <w:tc>
          <w:tcPr>
            <w:tcW w:w="623"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rPr>
            </w:pPr>
            <w:r>
              <w:rPr>
                <w:rFonts w:ascii="Times New Roman" w:hAnsi="Times New Roman" w:cs="Times New Roman"/>
                <w:spacing w:val="7"/>
                <w:sz w:val="21"/>
                <w:szCs w:val="21"/>
              </w:rPr>
              <w:t>废水治理</w:t>
            </w: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ascii="Times New Roman" w:hAnsi="Times New Roman" w:cs="Times New Roman"/>
                <w:spacing w:val="10"/>
                <w:sz w:val="21"/>
                <w:szCs w:val="21"/>
                <w:lang w:eastAsia="zh-CN"/>
              </w:rPr>
              <w:t>生活污水经化粪池处理后由</w:t>
            </w:r>
            <w:r>
              <w:rPr>
                <w:rFonts w:hint="eastAsia" w:ascii="Times New Roman" w:hAnsi="Times New Roman" w:cs="Times New Roman"/>
                <w:spacing w:val="10"/>
                <w:sz w:val="21"/>
                <w:szCs w:val="21"/>
                <w:lang w:eastAsia="zh-CN"/>
              </w:rPr>
              <w:t>工业片区</w:t>
            </w:r>
            <w:r>
              <w:rPr>
                <w:rFonts w:ascii="Times New Roman" w:hAnsi="Times New Roman" w:cs="Times New Roman"/>
                <w:spacing w:val="10"/>
                <w:sz w:val="21"/>
                <w:szCs w:val="21"/>
                <w:lang w:eastAsia="zh-CN"/>
              </w:rPr>
              <w:t>污水管网排</w:t>
            </w:r>
            <w:r>
              <w:rPr>
                <w:rFonts w:ascii="Times New Roman" w:hAnsi="Times New Roman" w:cs="Times New Roman"/>
                <w:spacing w:val="8"/>
                <w:sz w:val="21"/>
                <w:szCs w:val="21"/>
                <w:lang w:eastAsia="zh-CN"/>
              </w:rPr>
              <w:t>至吐鲁番市高昌区污水处理厂进行处理</w:t>
            </w:r>
            <w:r>
              <w:rPr>
                <w:rFonts w:hint="eastAsia" w:ascii="Times New Roman" w:hAnsi="Times New Roman" w:cs="Times New Roman"/>
                <w:spacing w:val="8"/>
                <w:sz w:val="21"/>
                <w:szCs w:val="21"/>
                <w:lang w:eastAsia="zh-CN"/>
              </w:rPr>
              <w:t>，待高端装备制造产业园区污水处理厂（吐鲁番市第二污水处理厂）建成后，排入该污水处理厂处理</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执行《污水综合排放标准》（GB8978-1996）中三级标准</w:t>
            </w:r>
            <w:r>
              <w:rPr>
                <w:rFonts w:hint="eastAsia" w:ascii="Times New Roman" w:hAnsi="Times New Roman" w:eastAsia="宋体" w:cs="Times New Roman"/>
                <w:spacing w:val="10"/>
                <w:szCs w:val="21"/>
                <w:lang w:eastAsia="zh-CN"/>
              </w:rPr>
              <w:t>；</w:t>
            </w:r>
            <w:r>
              <w:rPr>
                <w:rFonts w:hint="eastAsia" w:ascii="Times New Roman" w:hAnsi="Times New Roman" w:cs="Times New Roman"/>
                <w:szCs w:val="21"/>
                <w:lang w:eastAsia="zh-CN"/>
              </w:rPr>
              <w:t>《污水排入城镇下水道水质标准》（GBT31962-2015）表1中A级限值要求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623" w:type="dxa"/>
            <w:vMerge w:val="restart"/>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rPr>
            </w:pPr>
            <w:r>
              <w:rPr>
                <w:rFonts w:ascii="Times New Roman" w:hAnsi="Times New Roman" w:cs="Times New Roman"/>
                <w:spacing w:val="2"/>
                <w:sz w:val="21"/>
                <w:szCs w:val="21"/>
              </w:rPr>
              <w:t>固废治理</w:t>
            </w: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rPr>
            </w:pPr>
            <w:r>
              <w:rPr>
                <w:rFonts w:ascii="Times New Roman" w:hAnsi="Times New Roman" w:cs="Times New Roman"/>
                <w:spacing w:val="8"/>
                <w:sz w:val="21"/>
                <w:szCs w:val="21"/>
              </w:rPr>
              <w:t>生活垃圾分类收集箱</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执行《一般工业固体废物贮存和填埋污染控制标准》（GB18599-2020）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623" w:type="dxa"/>
            <w:vMerge w:val="continue"/>
            <w:tcBorders>
              <w:tl2br w:val="nil"/>
              <w:tr2bl w:val="nil"/>
            </w:tcBorders>
            <w:vAlign w:val="center"/>
          </w:tcPr>
          <w:p>
            <w:pPr>
              <w:widowControl/>
              <w:autoSpaceDE/>
              <w:autoSpaceDN/>
              <w:spacing w:line="240" w:lineRule="auto"/>
              <w:jc w:val="center"/>
              <w:rPr>
                <w:rFonts w:ascii="Times New Roman" w:hAnsi="Times New Roman" w:cs="Times New Roman"/>
                <w:szCs w:val="21"/>
                <w:lang w:eastAsia="zh-CN"/>
              </w:rPr>
            </w:pP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hint="eastAsia" w:ascii="Times New Roman" w:hAnsi="Times New Roman" w:cs="Times New Roman"/>
                <w:spacing w:val="7"/>
                <w:sz w:val="21"/>
                <w:szCs w:val="21"/>
                <w:lang w:eastAsia="zh-CN"/>
              </w:rPr>
              <w:t>危险废物分类收集至危废贮存库后</w:t>
            </w:r>
            <w:r>
              <w:rPr>
                <w:rFonts w:ascii="Times New Roman" w:hAnsi="Times New Roman" w:cs="Times New Roman"/>
                <w:spacing w:val="7"/>
                <w:sz w:val="21"/>
                <w:szCs w:val="21"/>
                <w:lang w:eastAsia="zh-CN"/>
              </w:rPr>
              <w:t>定</w:t>
            </w:r>
            <w:r>
              <w:rPr>
                <w:rFonts w:ascii="Times New Roman" w:hAnsi="Times New Roman" w:cs="Times New Roman"/>
                <w:spacing w:val="6"/>
                <w:sz w:val="21"/>
                <w:szCs w:val="21"/>
                <w:lang w:eastAsia="zh-CN"/>
              </w:rPr>
              <w:t>期由</w:t>
            </w:r>
            <w:r>
              <w:rPr>
                <w:rFonts w:ascii="Times New Roman" w:hAnsi="Times New Roman" w:cs="Times New Roman"/>
                <w:spacing w:val="9"/>
                <w:sz w:val="21"/>
                <w:szCs w:val="21"/>
                <w:lang w:eastAsia="zh-CN"/>
              </w:rPr>
              <w:t>有资质单位处置，暂存间进行防渗</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危险废物贮存执行《危险废物贮存污染控制标准》（GB18957-2023）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4" w:hRule="atLeast"/>
          <w:jc w:val="center"/>
        </w:trPr>
        <w:tc>
          <w:tcPr>
            <w:tcW w:w="623"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rPr>
            </w:pPr>
            <w:r>
              <w:rPr>
                <w:rFonts w:ascii="Times New Roman" w:hAnsi="Times New Roman" w:cs="Times New Roman"/>
                <w:spacing w:val="4"/>
                <w:sz w:val="21"/>
                <w:szCs w:val="21"/>
              </w:rPr>
              <w:t>噪声治理</w:t>
            </w:r>
          </w:p>
        </w:tc>
        <w:tc>
          <w:tcPr>
            <w:tcW w:w="4180" w:type="dxa"/>
            <w:tcBorders>
              <w:tl2br w:val="nil"/>
              <w:tr2bl w:val="nil"/>
            </w:tcBorders>
            <w:vAlign w:val="center"/>
          </w:tcPr>
          <w:p>
            <w:pPr>
              <w:pStyle w:val="139"/>
              <w:widowControl/>
              <w:autoSpaceDE/>
              <w:autoSpaceDN/>
              <w:spacing w:line="240" w:lineRule="auto"/>
              <w:jc w:val="center"/>
              <w:rPr>
                <w:rFonts w:ascii="Times New Roman" w:hAnsi="Times New Roman" w:cs="Times New Roman"/>
                <w:sz w:val="21"/>
                <w:szCs w:val="21"/>
                <w:lang w:eastAsia="zh-CN"/>
              </w:rPr>
            </w:pPr>
            <w:r>
              <w:rPr>
                <w:rFonts w:ascii="Times New Roman" w:hAnsi="Times New Roman" w:cs="Times New Roman"/>
                <w:spacing w:val="9"/>
                <w:sz w:val="21"/>
                <w:szCs w:val="21"/>
                <w:lang w:eastAsia="zh-CN"/>
              </w:rPr>
              <w:t>选用低噪声设备，基础减振、厂房隔声措施</w:t>
            </w:r>
          </w:p>
        </w:tc>
        <w:tc>
          <w:tcPr>
            <w:tcW w:w="3702" w:type="dxa"/>
            <w:tcBorders>
              <w:tl2br w:val="nil"/>
              <w:tr2bl w:val="nil"/>
            </w:tcBorders>
            <w:vAlign w:val="center"/>
          </w:tcPr>
          <w:p>
            <w:pPr>
              <w:widowControl/>
              <w:autoSpaceDE/>
              <w:autoSpaceDN/>
              <w:spacing w:line="240" w:lineRule="auto"/>
              <w:jc w:val="center"/>
              <w:rPr>
                <w:rFonts w:ascii="Times New Roman" w:hAnsi="Times New Roman" w:eastAsia="宋体" w:cs="Times New Roman"/>
                <w:spacing w:val="10"/>
                <w:szCs w:val="21"/>
                <w:lang w:eastAsia="zh-CN"/>
              </w:rPr>
            </w:pPr>
            <w:r>
              <w:rPr>
                <w:rFonts w:ascii="Times New Roman" w:hAnsi="Times New Roman" w:eastAsia="宋体" w:cs="Times New Roman"/>
                <w:spacing w:val="10"/>
                <w:szCs w:val="21"/>
                <w:lang w:eastAsia="zh-CN"/>
              </w:rPr>
              <w:t>施工期噪声执行《建筑施工场界环境噪声排放标准》（GB12523-2011）相关标准；运营期厂界噪声执行《工业企业厂界环境噪声排放标准》（GB12348-2008）表1中的</w:t>
            </w:r>
            <w:r>
              <w:rPr>
                <w:rFonts w:hint="eastAsia" w:ascii="Times New Roman" w:hAnsi="Times New Roman" w:eastAsia="宋体" w:cs="Times New Roman"/>
                <w:spacing w:val="10"/>
                <w:szCs w:val="21"/>
                <w:lang w:eastAsia="zh-CN"/>
              </w:rPr>
              <w:t>3</w:t>
            </w:r>
            <w:r>
              <w:rPr>
                <w:rFonts w:ascii="Times New Roman" w:hAnsi="Times New Roman" w:eastAsia="宋体" w:cs="Times New Roman"/>
                <w:spacing w:val="10"/>
                <w:szCs w:val="21"/>
                <w:lang w:eastAsia="zh-CN"/>
              </w:rPr>
              <w:t>类标准</w:t>
            </w:r>
          </w:p>
        </w:tc>
      </w:tr>
    </w:tbl>
    <w:p>
      <w:pPr>
        <w:widowControl w:val="0"/>
        <w:spacing w:line="360" w:lineRule="auto"/>
        <w:ind w:firstLine="480" w:firstLineChars="200"/>
        <w:contextualSpacing/>
        <w:rPr>
          <w:rFonts w:ascii="Times New Roman" w:hAnsi="Times New Roman" w:eastAsia="宋体" w:cs="Times New Roman"/>
          <w:kern w:val="0"/>
          <w:sz w:val="24"/>
          <w:szCs w:val="24"/>
        </w:rPr>
        <w:sectPr>
          <w:pgSz w:w="11906" w:h="16838"/>
          <w:pgMar w:top="1440" w:right="1800" w:bottom="1440" w:left="1800" w:header="851" w:footer="992" w:gutter="0"/>
          <w:cols w:space="425" w:num="1"/>
          <w:docGrid w:type="lines" w:linePitch="312" w:charSpace="0"/>
        </w:sectPr>
      </w:pPr>
    </w:p>
    <w:p>
      <w:pPr>
        <w:pStyle w:val="5"/>
        <w:pageBreakBefore/>
        <w:widowControl w:val="0"/>
        <w:spacing w:line="360" w:lineRule="auto"/>
        <w:ind w:firstLine="643" w:firstLineChars="200"/>
        <w:contextualSpacing/>
        <w:textAlignment w:val="baseline"/>
        <w:rPr>
          <w:rFonts w:ascii="Times New Roman" w:hAnsi="Times New Roman" w:eastAsiaTheme="majorEastAsia"/>
          <w:bCs w:val="0"/>
          <w:sz w:val="32"/>
          <w:szCs w:val="32"/>
        </w:rPr>
      </w:pPr>
      <w:bookmarkStart w:id="118" w:name="_Toc11352"/>
      <w:bookmarkStart w:id="119" w:name="_Toc16922"/>
      <w:bookmarkStart w:id="120" w:name="_Toc29233"/>
      <w:r>
        <w:rPr>
          <w:rFonts w:ascii="Times New Roman" w:hAnsi="Times New Roman" w:eastAsiaTheme="majorEastAsia"/>
          <w:bCs w:val="0"/>
          <w:sz w:val="32"/>
          <w:szCs w:val="32"/>
        </w:rPr>
        <w:t>10 环境影响评价结论</w:t>
      </w:r>
      <w:bookmarkEnd w:id="118"/>
    </w:p>
    <w:p>
      <w:pPr>
        <w:pStyle w:val="6"/>
        <w:widowControl w:val="0"/>
        <w:ind w:firstLine="640"/>
      </w:pPr>
      <w:bookmarkStart w:id="121" w:name="_Toc6597"/>
      <w:r>
        <w:t>10.1结论</w:t>
      </w:r>
      <w:bookmarkEnd w:id="121"/>
    </w:p>
    <w:p>
      <w:pPr>
        <w:pStyle w:val="7"/>
        <w:widowControl w:val="0"/>
        <w:spacing w:before="0" w:after="0" w:line="360" w:lineRule="auto"/>
        <w:ind w:firstLine="562" w:firstLineChars="200"/>
        <w:rPr>
          <w:sz w:val="28"/>
          <w:szCs w:val="28"/>
        </w:rPr>
      </w:pPr>
      <w:r>
        <w:rPr>
          <w:sz w:val="28"/>
          <w:szCs w:val="28"/>
        </w:rPr>
        <w:t>10.1.1 项目建设概况</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新疆武晓新能源有限公司年产300套塔筒项目（三期）</w:t>
      </w:r>
      <w:r>
        <w:rPr>
          <w:rFonts w:ascii="Times New Roman" w:hAnsi="Times New Roman" w:eastAsia="宋体" w:cs="Times New Roman"/>
          <w:kern w:val="0"/>
          <w:sz w:val="24"/>
          <w:szCs w:val="24"/>
        </w:rPr>
        <w:t>位于吐鲁番市高昌区</w:t>
      </w:r>
      <w:r>
        <w:rPr>
          <w:rFonts w:hint="eastAsia" w:ascii="Times New Roman" w:hAnsi="Times New Roman" w:eastAsia="宋体" w:cs="Times New Roman"/>
          <w:kern w:val="0"/>
          <w:sz w:val="24"/>
          <w:szCs w:val="24"/>
        </w:rPr>
        <w:t>西洲路以北芙蓉路以东</w:t>
      </w:r>
      <w:r>
        <w:rPr>
          <w:rFonts w:ascii="Times New Roman" w:hAnsi="Times New Roman" w:eastAsia="宋体" w:cs="Times New Roman"/>
          <w:kern w:val="0"/>
          <w:sz w:val="24"/>
          <w:szCs w:val="24"/>
        </w:rPr>
        <w:t>。本项目</w:t>
      </w:r>
      <w:r>
        <w:rPr>
          <w:rFonts w:hint="eastAsia" w:ascii="Times New Roman" w:hAnsi="Times New Roman" w:eastAsia="宋体" w:cs="Times New Roman"/>
          <w:kern w:val="0"/>
          <w:sz w:val="24"/>
          <w:szCs w:val="24"/>
        </w:rPr>
        <w:t>主要建设塔筒生产车间、喷涂车间、转运场、堆场等；购置卷板机、离子切割机、行车、埋弧焊机、焊接检测设备等其他配套附属设施</w:t>
      </w:r>
      <w:r>
        <w:rPr>
          <w:rFonts w:ascii="Times New Roman" w:hAnsi="Times New Roman" w:eastAsia="宋体" w:cs="Times New Roman"/>
          <w:kern w:val="0"/>
          <w:sz w:val="24"/>
          <w:szCs w:val="24"/>
        </w:rPr>
        <w:t>，新建年产</w:t>
      </w:r>
      <w:r>
        <w:rPr>
          <w:rFonts w:hint="eastAsia" w:ascii="Times New Roman" w:hAnsi="Times New Roman" w:eastAsia="宋体" w:cs="Times New Roman"/>
          <w:kern w:val="0"/>
          <w:sz w:val="24"/>
          <w:szCs w:val="24"/>
        </w:rPr>
        <w:t>300套</w:t>
      </w:r>
      <w:r>
        <w:rPr>
          <w:rFonts w:ascii="Times New Roman" w:hAnsi="Times New Roman" w:eastAsia="宋体" w:cs="Times New Roman"/>
          <w:kern w:val="0"/>
          <w:sz w:val="24"/>
          <w:szCs w:val="24"/>
        </w:rPr>
        <w:t>塔筒生产线。</w:t>
      </w:r>
    </w:p>
    <w:p>
      <w:pPr>
        <w:pStyle w:val="7"/>
        <w:widowControl w:val="0"/>
        <w:spacing w:before="0" w:after="0" w:line="360" w:lineRule="auto"/>
        <w:ind w:firstLine="562" w:firstLineChars="200"/>
        <w:rPr>
          <w:sz w:val="28"/>
          <w:szCs w:val="28"/>
        </w:rPr>
      </w:pPr>
      <w:r>
        <w:rPr>
          <w:sz w:val="28"/>
          <w:szCs w:val="28"/>
        </w:rPr>
        <w:t>10.1.3 运营期环境影响分析</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10.1.3.1大气环境</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4"/>
        </w:rPr>
        <w:t>（1）</w:t>
      </w:r>
      <w:r>
        <w:rPr>
          <w:rFonts w:ascii="Times New Roman" w:hAnsi="Times New Roman" w:eastAsia="宋体" w:cs="Times New Roman"/>
          <w:sz w:val="24"/>
          <w:szCs w:val="20"/>
        </w:rPr>
        <w:t>建设工程完成后，各生产工序在各环保设施正常运行条件下，各污染物短期浓度贡献值的最大落地浓度占标率满足《环境空气质量标准》（</w:t>
      </w:r>
      <w:r>
        <w:rPr>
          <w:rFonts w:hint="eastAsia" w:ascii="Times New Roman" w:hAnsi="Times New Roman" w:eastAsia="宋体" w:cs="Times New Roman"/>
          <w:sz w:val="24"/>
          <w:szCs w:val="20"/>
        </w:rPr>
        <w:t>GB3095-2026</w:t>
      </w:r>
      <w:r>
        <w:rPr>
          <w:rFonts w:ascii="Times New Roman" w:hAnsi="Times New Roman" w:eastAsia="宋体" w:cs="Times New Roman"/>
          <w:sz w:val="24"/>
          <w:szCs w:val="20"/>
        </w:rPr>
        <w:t>）中的</w:t>
      </w:r>
      <w:r>
        <w:rPr>
          <w:rFonts w:hint="eastAsia" w:ascii="Times New Roman" w:hAnsi="Times New Roman" w:eastAsia="宋体" w:cs="Times New Roman"/>
          <w:sz w:val="24"/>
          <w:szCs w:val="20"/>
        </w:rPr>
        <w:t>过渡阶段浓度限值中</w:t>
      </w:r>
      <w:r>
        <w:rPr>
          <w:rFonts w:ascii="Times New Roman" w:hAnsi="Times New Roman" w:eastAsia="宋体" w:cs="Times New Roman"/>
          <w:sz w:val="24"/>
          <w:szCs w:val="20"/>
        </w:rPr>
        <w:t>二级标准浓度限值要求和《环境影响评价技术导则 大气环境》（HJ2.2-2018）的要求；</w:t>
      </w:r>
    </w:p>
    <w:p>
      <w:pPr>
        <w:widowControl w:val="0"/>
        <w:spacing w:line="360" w:lineRule="auto"/>
        <w:ind w:firstLine="480" w:firstLineChars="200"/>
        <w:contextualSpacing/>
        <w:rPr>
          <w:rFonts w:ascii="Times New Roman" w:hAnsi="Times New Roman" w:eastAsia="宋体" w:cs="Times New Roman"/>
          <w:kern w:val="0"/>
          <w:sz w:val="24"/>
          <w:szCs w:val="24"/>
        </w:rPr>
      </w:pPr>
      <w:r>
        <w:rPr>
          <w:rFonts w:ascii="Times New Roman" w:hAnsi="Times New Roman" w:eastAsia="宋体" w:cs="Times New Roman"/>
          <w:kern w:val="0"/>
          <w:sz w:val="24"/>
          <w:szCs w:val="24"/>
          <w:lang w:bidi="en-US"/>
        </w:rPr>
        <w:t>（2）</w:t>
      </w:r>
      <w:r>
        <w:rPr>
          <w:rFonts w:ascii="Times New Roman" w:hAnsi="Times New Roman" w:eastAsia="宋体" w:cs="Times New Roman"/>
          <w:sz w:val="24"/>
          <w:szCs w:val="24"/>
        </w:rPr>
        <w:t>非正常工况时，废气处理效率下降时，各污染物对评价范围内敏感目标、区域最大浓度点的小时最大浓度贡献值均未超过相应环境标准限值要求，但占标率有所增加。因此，项目运行过程中应严格控制非正常排放情况，加强生产管理并制定和落实防范措施，</w:t>
      </w:r>
      <w:r>
        <w:rPr>
          <w:rFonts w:ascii="Times New Roman" w:hAnsi="Times New Roman" w:eastAsia="宋体" w:cs="Times New Roman"/>
          <w:kern w:val="0"/>
          <w:sz w:val="24"/>
          <w:szCs w:val="24"/>
          <w:lang w:bidi="en-US"/>
        </w:rPr>
        <w:t>一旦尾气治理设施出现故障，必须立即停止生产进行检修，控制非正常工况的持续时间，待环保设施恢复正常运转后，方可恢复生产。</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10.1.3.2地下水环境</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在防渗措施落实、日常管理到位的情况下，泄漏的情况发生概率较小。根据预测结果，废水泄漏将对项目区域地下水环境造成一定影响，为避免泄漏污染物对地下水</w:t>
      </w:r>
      <w:r>
        <w:rPr>
          <w:rFonts w:hint="eastAsia" w:ascii="Times New Roman" w:hAnsi="Times New Roman" w:eastAsia="宋体" w:cs="Times New Roman"/>
          <w:sz w:val="24"/>
          <w:szCs w:val="24"/>
        </w:rPr>
        <w:t>造成</w:t>
      </w:r>
      <w:r>
        <w:rPr>
          <w:rFonts w:ascii="Times New Roman" w:hAnsi="Times New Roman" w:eastAsia="宋体" w:cs="Times New Roman"/>
          <w:sz w:val="24"/>
          <w:szCs w:val="24"/>
        </w:rPr>
        <w:t>较大影响，</w:t>
      </w:r>
      <w:r>
        <w:rPr>
          <w:rFonts w:ascii="Times New Roman" w:hAnsi="Times New Roman" w:eastAsia="宋体" w:cs="Times New Roman"/>
          <w:snapToGrid w:val="0"/>
          <w:sz w:val="24"/>
          <w:szCs w:val="24"/>
        </w:rPr>
        <w:t>对于易发生泄漏的区域，应根据相应的防渗要求设计防渗层，此外，</w:t>
      </w:r>
      <w:r>
        <w:rPr>
          <w:rFonts w:ascii="Times New Roman" w:hAnsi="Times New Roman" w:eastAsia="宋体" w:cs="Times New Roman"/>
          <w:sz w:val="24"/>
          <w:szCs w:val="24"/>
        </w:rPr>
        <w:t>建设单位需严格落实环境监测计划，密切关注地下水环境质量变化情况，制定相关应急预案，若发现泄漏事故应及时尽早进行治理，将事故对地下水环境造成的影响最大限度降低。</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10.1.3.3声环境</w:t>
      </w:r>
    </w:p>
    <w:p>
      <w:pPr>
        <w:widowControl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0"/>
        </w:rPr>
        <w:t>本项目运营期间噪声源对厂界声环境贡献值符合《工业企业厂界环境噪声排放标准》（GB12348-2008）</w:t>
      </w:r>
      <w:r>
        <w:rPr>
          <w:rFonts w:hint="eastAsia" w:ascii="Times New Roman" w:hAnsi="Times New Roman" w:eastAsia="宋体" w:cs="Times New Roman"/>
          <w:kern w:val="0"/>
          <w:sz w:val="24"/>
          <w:szCs w:val="20"/>
        </w:rPr>
        <w:t>3</w:t>
      </w:r>
      <w:r>
        <w:rPr>
          <w:rFonts w:ascii="Times New Roman" w:hAnsi="Times New Roman" w:eastAsia="宋体" w:cs="Times New Roman"/>
          <w:kern w:val="0"/>
          <w:sz w:val="24"/>
          <w:szCs w:val="20"/>
        </w:rPr>
        <w:t>类区标准要求，对区域声环境影响很小。</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10.1.3.4</w:t>
      </w:r>
      <w:r>
        <w:rPr>
          <w:rFonts w:hint="eastAsia" w:ascii="Times New Roman" w:hAnsi="Times New Roman" w:cs="Times New Roman"/>
        </w:rPr>
        <w:t>固体废物</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项目产生的一般固废、危险废物及生活垃圾均采取相应的处理处置措施，项目固废都得到有效</w:t>
      </w:r>
      <w:r>
        <w:rPr>
          <w:rFonts w:hint="eastAsia" w:ascii="Times New Roman" w:hAnsi="Times New Roman" w:eastAsia="宋体" w:cs="Times New Roman"/>
          <w:sz w:val="24"/>
          <w:szCs w:val="20"/>
        </w:rPr>
        <w:t>地</w:t>
      </w:r>
      <w:r>
        <w:rPr>
          <w:rFonts w:ascii="Times New Roman" w:hAnsi="Times New Roman" w:eastAsia="宋体" w:cs="Times New Roman"/>
          <w:sz w:val="24"/>
          <w:szCs w:val="20"/>
        </w:rPr>
        <w:t>处置，不会产生二次污染，对环境影响很小。</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10.1.3.5土壤环境</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正常情况下，项目</w:t>
      </w:r>
      <w:r>
        <w:rPr>
          <w:rFonts w:hint="eastAsia" w:ascii="Times New Roman" w:hAnsi="Times New Roman" w:eastAsia="宋体" w:cs="Times New Roman"/>
          <w:sz w:val="24"/>
          <w:szCs w:val="20"/>
        </w:rPr>
        <w:t>危废贮存库</w:t>
      </w:r>
      <w:r>
        <w:rPr>
          <w:rFonts w:ascii="Times New Roman" w:hAnsi="Times New Roman" w:eastAsia="宋体" w:cs="Times New Roman"/>
          <w:sz w:val="24"/>
          <w:szCs w:val="20"/>
        </w:rPr>
        <w:t>等均采取了相应的防渗措施，可以有效阻隔泄漏污染物与土壤之间的传播途径，在严格落实相应防渗措施后，运营期加强管理，严防跑冒滴漏事故，项目的建设对土壤环境的影响较小，不会对项目区及周边附近区域内土壤环境产生明显不利影响。因此，本项目对土壤环境的影响是可以接受的。</w:t>
      </w:r>
    </w:p>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10.1.3.6环境风险分析</w:t>
      </w:r>
    </w:p>
    <w:p>
      <w:pPr>
        <w:widowControl w:val="0"/>
        <w:spacing w:line="360" w:lineRule="auto"/>
        <w:ind w:firstLine="480" w:firstLineChars="200"/>
        <w:rPr>
          <w:rFonts w:ascii="Times New Roman" w:hAnsi="Times New Roman" w:eastAsia="宋体" w:cs="Times New Roman"/>
          <w:sz w:val="24"/>
          <w:szCs w:val="20"/>
        </w:rPr>
      </w:pPr>
      <w:bookmarkStart w:id="122" w:name="_Ref536449263"/>
      <w:r>
        <w:rPr>
          <w:rFonts w:ascii="Times New Roman" w:hAnsi="Times New Roman" w:eastAsia="宋体" w:cs="Times New Roman"/>
          <w:sz w:val="24"/>
          <w:szCs w:val="20"/>
        </w:rPr>
        <w:t>根据风险评价结果，在落实项目提出的各项风险防范措施和应急预案，加强风险管理的条件下，项目产生的环境风险在可接受的范围内，本项目环境风险事故对周围环境的影响较小。</w:t>
      </w:r>
    </w:p>
    <w:bookmarkEnd w:id="122"/>
    <w:p>
      <w:pPr>
        <w:pStyle w:val="8"/>
        <w:spacing w:before="0" w:after="0" w:line="360" w:lineRule="auto"/>
        <w:ind w:firstLine="562" w:firstLineChars="200"/>
        <w:rPr>
          <w:rFonts w:ascii="Times New Roman" w:hAnsi="Times New Roman" w:cs="Times New Roman"/>
        </w:rPr>
      </w:pPr>
      <w:r>
        <w:rPr>
          <w:rFonts w:ascii="Times New Roman" w:hAnsi="Times New Roman" w:cs="Times New Roman"/>
        </w:rPr>
        <w:t>10.1.5总量控制指标</w:t>
      </w:r>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4"/>
        </w:rPr>
        <w:t>本项目运营期的大气污染物主要有颗粒物、非甲烷总烃，本项目申请总量控制指标为颗粒物：</w:t>
      </w:r>
      <w:r>
        <w:rPr>
          <w:rFonts w:hint="eastAsia" w:ascii="Times New Roman" w:hAnsi="Times New Roman" w:eastAsia="宋体" w:cs="Times New Roman"/>
          <w:sz w:val="24"/>
          <w:szCs w:val="24"/>
        </w:rPr>
        <w:t>1.871</w:t>
      </w:r>
      <w:r>
        <w:rPr>
          <w:rFonts w:ascii="Times New Roman" w:hAnsi="Times New Roman" w:eastAsia="宋体" w:cs="Times New Roman"/>
          <w:sz w:val="24"/>
          <w:szCs w:val="24"/>
        </w:rPr>
        <w:t>t/a、</w:t>
      </w:r>
      <w:r>
        <w:rPr>
          <w:rFonts w:hint="eastAsia" w:ascii="Times New Roman" w:hAnsi="Times New Roman" w:eastAsia="宋体" w:cs="Times New Roman"/>
          <w:sz w:val="24"/>
          <w:szCs w:val="24"/>
        </w:rPr>
        <w:t>挥发性有机物</w:t>
      </w:r>
      <w:r>
        <w:rPr>
          <w:rFonts w:ascii="Times New Roman" w:hAnsi="Times New Roman" w:eastAsia="宋体" w:cs="Times New Roman"/>
          <w:sz w:val="24"/>
          <w:szCs w:val="24"/>
        </w:rPr>
        <w:t>：</w:t>
      </w:r>
      <w:r>
        <w:rPr>
          <w:rFonts w:hint="eastAsia" w:ascii="Times New Roman" w:hAnsi="Times New Roman" w:eastAsia="宋体" w:cs="Times New Roman"/>
          <w:sz w:val="24"/>
          <w:szCs w:val="24"/>
        </w:rPr>
        <w:t>8.40</w:t>
      </w:r>
      <w:r>
        <w:rPr>
          <w:rFonts w:ascii="Times New Roman" w:hAnsi="Times New Roman" w:eastAsia="宋体" w:cs="Times New Roman"/>
          <w:sz w:val="24"/>
          <w:szCs w:val="24"/>
        </w:rPr>
        <w:t>t/a。</w:t>
      </w:r>
    </w:p>
    <w:p>
      <w:pPr>
        <w:pStyle w:val="8"/>
        <w:spacing w:before="0" w:after="0" w:line="360" w:lineRule="auto"/>
        <w:ind w:firstLine="562" w:firstLineChars="200"/>
        <w:rPr>
          <w:rFonts w:ascii="Times New Roman" w:hAnsi="Times New Roman" w:cs="Times New Roman"/>
        </w:rPr>
      </w:pPr>
      <w:bookmarkStart w:id="123" w:name="_Toc11883"/>
      <w:bookmarkStart w:id="124" w:name="_Toc19507"/>
      <w:bookmarkStart w:id="125" w:name="_Toc26531"/>
      <w:r>
        <w:rPr>
          <w:rFonts w:ascii="Times New Roman" w:hAnsi="Times New Roman" w:cs="Times New Roman"/>
        </w:rPr>
        <w:t>10.1.</w:t>
      </w:r>
      <w:r>
        <w:rPr>
          <w:rFonts w:hint="eastAsia" w:ascii="Times New Roman" w:hAnsi="Times New Roman" w:cs="Times New Roman"/>
        </w:rPr>
        <w:t>7</w:t>
      </w:r>
      <w:r>
        <w:rPr>
          <w:rFonts w:ascii="Times New Roman" w:hAnsi="Times New Roman" w:cs="Times New Roman"/>
        </w:rPr>
        <w:t>环境影响可行性结论</w:t>
      </w:r>
      <w:bookmarkEnd w:id="123"/>
      <w:bookmarkEnd w:id="124"/>
      <w:bookmarkEnd w:id="125"/>
    </w:p>
    <w:p>
      <w:pPr>
        <w:widowControl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本项目建设符合国家产业政策，项目选址符合当地规划；所采用的废气、废水、固体废物处理工艺符合相关技术规范要求，污染防治措施经济可行，能保证各种污染物稳定达标排放；环境风险影响在可接受范围内；本项目的投产可取得良好的经济效益，同时可满足环境要求；加强环境管理后，可使项目建设符合国家要求；环评报告公示期间未收到公众意见反馈。综上，本项目在严格执行环保“三同时”制度和认真落实各项环保措施的前提下，从环境保护角度分析，项目的建设是可行的。</w:t>
      </w:r>
    </w:p>
    <w:p>
      <w:pPr>
        <w:pStyle w:val="6"/>
        <w:ind w:firstLine="640"/>
      </w:pPr>
      <w:bookmarkStart w:id="126" w:name="_Toc20190"/>
      <w:r>
        <w:t>10.2建议与要求</w:t>
      </w:r>
      <w:bookmarkEnd w:id="126"/>
    </w:p>
    <w:p>
      <w:pPr>
        <w:widowControl w:val="0"/>
        <w:spacing w:line="360" w:lineRule="auto"/>
        <w:ind w:firstLine="480" w:firstLineChars="200"/>
        <w:contextualSpacing/>
        <w:rPr>
          <w:rFonts w:ascii="Times New Roman" w:hAnsi="Times New Roman" w:cs="Times New Roman"/>
          <w:kern w:val="0"/>
          <w:sz w:val="24"/>
          <w:szCs w:val="24"/>
        </w:rPr>
      </w:pPr>
      <w:r>
        <w:rPr>
          <w:rFonts w:ascii="Times New Roman" w:hAnsi="Times New Roman" w:cs="Times New Roman"/>
          <w:kern w:val="0"/>
          <w:sz w:val="24"/>
          <w:szCs w:val="24"/>
        </w:rPr>
        <w:t>（1）加强企业内部的环境管理，确保污染治理设施的正常运行，完善清洁生产各项措施，最大限度减少污染物排放。项目严格按环评报告提到的治理措施实施，做到各项污染物长期稳定达标排放；</w:t>
      </w:r>
    </w:p>
    <w:p>
      <w:pPr>
        <w:widowControl w:val="0"/>
        <w:spacing w:line="360" w:lineRule="auto"/>
        <w:ind w:firstLine="480" w:firstLineChars="200"/>
        <w:contextualSpacing/>
        <w:rPr>
          <w:rFonts w:ascii="Times New Roman" w:hAnsi="Times New Roman" w:cs="Times New Roman"/>
          <w:sz w:val="24"/>
          <w:szCs w:val="24"/>
        </w:rPr>
      </w:pPr>
      <w:r>
        <w:rPr>
          <w:rFonts w:ascii="Times New Roman" w:hAnsi="Times New Roman" w:cs="Times New Roman"/>
          <w:kern w:val="0"/>
          <w:sz w:val="24"/>
          <w:szCs w:val="24"/>
        </w:rPr>
        <w:t>（2）要求严格执行本评价提出的环境管理措施。建立并完善环境管理机构，将其纳入生产管理的轨道，并积极主动与当地环保部门配合，做好各污染源的监测、监督工作。</w:t>
      </w:r>
      <w:bookmarkEnd w:id="119"/>
      <w:bookmarkEnd w:id="120"/>
    </w:p>
    <w:p>
      <w:pPr>
        <w:widowControl w:val="0"/>
        <w:spacing w:line="360" w:lineRule="auto"/>
        <w:ind w:firstLine="480" w:firstLineChars="200"/>
        <w:contextualSpacing/>
        <w:rPr>
          <w:rFonts w:ascii="Times New Roman" w:hAnsi="Times New Roman" w:eastAsia="宋体" w:cs="Times New Roman"/>
          <w:kern w:val="0"/>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05296"/>
    <w:multiLevelType w:val="singleLevel"/>
    <w:tmpl w:val="E9C052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4B"/>
    <w:rsid w:val="0001536D"/>
    <w:rsid w:val="000868AF"/>
    <w:rsid w:val="00190CA9"/>
    <w:rsid w:val="00205C4A"/>
    <w:rsid w:val="002616A8"/>
    <w:rsid w:val="002D04AE"/>
    <w:rsid w:val="002E26AC"/>
    <w:rsid w:val="003B065E"/>
    <w:rsid w:val="003C3A9B"/>
    <w:rsid w:val="0044244B"/>
    <w:rsid w:val="004E33C4"/>
    <w:rsid w:val="005B586B"/>
    <w:rsid w:val="005E31F5"/>
    <w:rsid w:val="006B58FE"/>
    <w:rsid w:val="00A97A25"/>
    <w:rsid w:val="00B4151A"/>
    <w:rsid w:val="00C336E1"/>
    <w:rsid w:val="00C531E2"/>
    <w:rsid w:val="00F21A23"/>
    <w:rsid w:val="00F3233F"/>
    <w:rsid w:val="034D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exact"/>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94"/>
    <w:qFormat/>
    <w:uiPriority w:val="0"/>
    <w:pPr>
      <w:keepNext/>
      <w:keepLines/>
      <w:spacing w:line="576" w:lineRule="auto"/>
      <w:outlineLvl w:val="0"/>
    </w:pPr>
    <w:rPr>
      <w:rFonts w:cs="Times New Roman"/>
      <w:b/>
      <w:bCs/>
      <w:kern w:val="44"/>
      <w:sz w:val="44"/>
      <w:szCs w:val="44"/>
    </w:rPr>
  </w:style>
  <w:style w:type="paragraph" w:styleId="6">
    <w:name w:val="heading 2"/>
    <w:basedOn w:val="1"/>
    <w:next w:val="1"/>
    <w:link w:val="133"/>
    <w:qFormat/>
    <w:uiPriority w:val="0"/>
    <w:pPr>
      <w:keepNext/>
      <w:keepLines/>
      <w:spacing w:line="413" w:lineRule="auto"/>
      <w:outlineLvl w:val="1"/>
    </w:pPr>
    <w:rPr>
      <w:rFonts w:ascii="Cambria" w:hAnsi="Cambria" w:cs="Times New Roman"/>
      <w:b/>
      <w:bCs/>
      <w:kern w:val="0"/>
      <w:sz w:val="32"/>
      <w:szCs w:val="32"/>
    </w:rPr>
  </w:style>
  <w:style w:type="paragraph" w:styleId="7">
    <w:name w:val="heading 3"/>
    <w:basedOn w:val="1"/>
    <w:next w:val="1"/>
    <w:link w:val="95"/>
    <w:qFormat/>
    <w:uiPriority w:val="0"/>
    <w:pPr>
      <w:keepNext/>
      <w:keepLines/>
      <w:spacing w:before="260" w:after="260" w:line="416" w:lineRule="auto"/>
      <w:outlineLvl w:val="2"/>
    </w:pPr>
    <w:rPr>
      <w:rFonts w:cs="Times New Roman"/>
      <w:b/>
      <w:bCs/>
      <w:kern w:val="0"/>
      <w:sz w:val="32"/>
      <w:szCs w:val="32"/>
    </w:rPr>
  </w:style>
  <w:style w:type="paragraph" w:styleId="8">
    <w:name w:val="heading 4"/>
    <w:basedOn w:val="1"/>
    <w:next w:val="1"/>
    <w:link w:val="9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110"/>
    <w:semiHidden/>
    <w:unhideWhenUsed/>
    <w:qFormat/>
    <w:locked/>
    <w:uiPriority w:val="0"/>
    <w:pPr>
      <w:keepNext/>
      <w:keepLines/>
      <w:spacing w:before="280" w:after="290" w:line="376" w:lineRule="auto"/>
      <w:outlineLvl w:val="4"/>
    </w:pPr>
    <w:rPr>
      <w:rFonts w:cs="Times New Roman"/>
      <w:b/>
      <w:bCs/>
      <w:sz w:val="28"/>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头"/>
    <w:basedOn w:val="3"/>
    <w:next w:val="1"/>
    <w:link w:val="135"/>
    <w:qFormat/>
    <w:uiPriority w:val="0"/>
    <w:pPr>
      <w:overflowPunct w:val="0"/>
      <w:autoSpaceDE w:val="0"/>
      <w:autoSpaceDN w:val="0"/>
      <w:adjustRightInd w:val="0"/>
      <w:spacing w:before="60" w:after="60" w:line="360" w:lineRule="auto"/>
      <w:ind w:firstLine="539" w:firstLineChars="0"/>
      <w:jc w:val="center"/>
      <w:textAlignment w:val="baseline"/>
    </w:pPr>
    <w:rPr>
      <w:rFonts w:eastAsia="黑体"/>
      <w:sz w:val="28"/>
    </w:rPr>
  </w:style>
  <w:style w:type="paragraph" w:styleId="3">
    <w:name w:val="Body Text First Indent"/>
    <w:basedOn w:val="4"/>
    <w:link w:val="55"/>
    <w:unhideWhenUsed/>
    <w:qFormat/>
    <w:uiPriority w:val="99"/>
    <w:pPr>
      <w:widowControl w:val="0"/>
      <w:snapToGrid/>
      <w:spacing w:after="120" w:line="240" w:lineRule="auto"/>
      <w:ind w:firstLine="420" w:firstLineChars="100"/>
    </w:pPr>
    <w:rPr>
      <w:spacing w:val="0"/>
    </w:rPr>
  </w:style>
  <w:style w:type="paragraph" w:styleId="4">
    <w:name w:val="Body Text"/>
    <w:basedOn w:val="1"/>
    <w:link w:val="54"/>
    <w:unhideWhenUsed/>
    <w:qFormat/>
    <w:uiPriority w:val="99"/>
    <w:pPr>
      <w:snapToGrid w:val="0"/>
      <w:spacing w:line="0" w:lineRule="atLeast"/>
    </w:pPr>
    <w:rPr>
      <w:spacing w:val="-20"/>
    </w:rPr>
  </w:style>
  <w:style w:type="paragraph" w:styleId="10">
    <w:name w:val="Normal Indent"/>
    <w:basedOn w:val="1"/>
    <w:link w:val="99"/>
    <w:unhideWhenUsed/>
    <w:qFormat/>
    <w:uiPriority w:val="0"/>
    <w:pPr>
      <w:topLinePunct/>
      <w:spacing w:line="529" w:lineRule="exact"/>
      <w:ind w:firstLine="420" w:firstLineChars="200"/>
    </w:pPr>
    <w:rPr>
      <w:rFonts w:cs="Times New Roman"/>
      <w:sz w:val="24"/>
    </w:rPr>
  </w:style>
  <w:style w:type="paragraph" w:styleId="11">
    <w:name w:val="caption"/>
    <w:basedOn w:val="1"/>
    <w:next w:val="1"/>
    <w:semiHidden/>
    <w:unhideWhenUsed/>
    <w:qFormat/>
    <w:uiPriority w:val="0"/>
    <w:pPr>
      <w:snapToGrid w:val="0"/>
      <w:spacing w:line="320" w:lineRule="exact"/>
      <w:jc w:val="center"/>
    </w:pPr>
    <w:rPr>
      <w:rFonts w:eastAsia="黑体" w:cs="Times New Roman"/>
      <w:szCs w:val="20"/>
    </w:rPr>
  </w:style>
  <w:style w:type="paragraph" w:styleId="12">
    <w:name w:val="annotation text"/>
    <w:basedOn w:val="1"/>
    <w:link w:val="100"/>
    <w:qFormat/>
    <w:uiPriority w:val="99"/>
    <w:pPr>
      <w:jc w:val="left"/>
    </w:pPr>
    <w:rPr>
      <w:kern w:val="0"/>
      <w:sz w:val="20"/>
    </w:rPr>
  </w:style>
  <w:style w:type="paragraph" w:styleId="13">
    <w:name w:val="Body Text 3"/>
    <w:basedOn w:val="1"/>
    <w:link w:val="137"/>
    <w:qFormat/>
    <w:uiPriority w:val="99"/>
    <w:pPr>
      <w:widowControl w:val="0"/>
      <w:adjustRightInd w:val="0"/>
      <w:snapToGrid w:val="0"/>
      <w:spacing w:before="25" w:beforeLines="25" w:after="120" w:afterLines="25" w:line="360" w:lineRule="auto"/>
      <w:ind w:firstLine="200" w:firstLineChars="200"/>
      <w:jc w:val="left"/>
    </w:pPr>
    <w:rPr>
      <w:rFonts w:ascii="Times New Roman" w:hAnsi="Times New Roman" w:eastAsia="宋体" w:cs="Times New Roman"/>
      <w:kern w:val="0"/>
      <w:sz w:val="16"/>
      <w:szCs w:val="16"/>
    </w:rPr>
  </w:style>
  <w:style w:type="paragraph" w:styleId="14">
    <w:name w:val="Body Text Indent"/>
    <w:basedOn w:val="1"/>
    <w:link w:val="103"/>
    <w:uiPriority w:val="0"/>
    <w:pPr>
      <w:spacing w:before="240" w:line="360" w:lineRule="auto"/>
      <w:ind w:firstLine="560" w:firstLineChars="200"/>
    </w:pPr>
    <w:rPr>
      <w:rFonts w:eastAsia="仿宋_GB2312"/>
      <w:sz w:val="28"/>
    </w:rPr>
  </w:style>
  <w:style w:type="paragraph" w:styleId="15">
    <w:name w:val="Block Text"/>
    <w:basedOn w:val="1"/>
    <w:qFormat/>
    <w:uiPriority w:val="0"/>
    <w:pPr>
      <w:spacing w:after="120"/>
      <w:ind w:left="1440" w:leftChars="700" w:right="700" w:rightChars="700"/>
    </w:pPr>
    <w:rPr>
      <w:rFonts w:ascii="Times New Roman" w:hAnsi="Times New Roman" w:cs="Times New Roman"/>
    </w:rPr>
  </w:style>
  <w:style w:type="paragraph" w:styleId="16">
    <w:name w:val="Plain Text"/>
    <w:basedOn w:val="1"/>
    <w:link w:val="105"/>
    <w:qFormat/>
    <w:uiPriority w:val="99"/>
    <w:pPr>
      <w:spacing w:beforeAutospacing="1" w:afterAutospacing="1"/>
      <w:jc w:val="left"/>
    </w:pPr>
    <w:rPr>
      <w:rFonts w:ascii="宋体" w:hAnsi="Courier New" w:cs="Courier New"/>
      <w:kern w:val="0"/>
      <w:sz w:val="20"/>
      <w:szCs w:val="21"/>
    </w:rPr>
  </w:style>
  <w:style w:type="paragraph" w:styleId="17">
    <w:name w:val="Body Text Indent 2"/>
    <w:basedOn w:val="1"/>
    <w:link w:val="143"/>
    <w:semiHidden/>
    <w:unhideWhenUsed/>
    <w:uiPriority w:val="99"/>
    <w:pPr>
      <w:spacing w:after="120" w:line="480" w:lineRule="auto"/>
      <w:ind w:left="420" w:leftChars="200"/>
    </w:pPr>
  </w:style>
  <w:style w:type="paragraph" w:styleId="18">
    <w:name w:val="Balloon Text"/>
    <w:basedOn w:val="1"/>
    <w:link w:val="107"/>
    <w:qFormat/>
    <w:uiPriority w:val="99"/>
    <w:rPr>
      <w:kern w:val="0"/>
      <w:sz w:val="0"/>
      <w:szCs w:val="0"/>
    </w:rPr>
  </w:style>
  <w:style w:type="paragraph" w:styleId="19">
    <w:name w:val="footer"/>
    <w:basedOn w:val="1"/>
    <w:link w:val="102"/>
    <w:qFormat/>
    <w:uiPriority w:val="99"/>
    <w:pPr>
      <w:tabs>
        <w:tab w:val="center" w:pos="4153"/>
        <w:tab w:val="right" w:pos="8306"/>
      </w:tabs>
      <w:snapToGrid w:val="0"/>
      <w:jc w:val="left"/>
    </w:pPr>
    <w:rPr>
      <w:kern w:val="0"/>
      <w:sz w:val="18"/>
      <w:szCs w:val="18"/>
    </w:rPr>
  </w:style>
  <w:style w:type="paragraph" w:styleId="20">
    <w:name w:val="header"/>
    <w:basedOn w:val="1"/>
    <w:link w:val="10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1">
    <w:name w:val="toc 1"/>
    <w:basedOn w:val="1"/>
    <w:next w:val="1"/>
    <w:qFormat/>
    <w:uiPriority w:val="39"/>
    <w:rPr>
      <w:rFonts w:cs="Times New Roman"/>
    </w:rPr>
  </w:style>
  <w:style w:type="paragraph" w:styleId="22">
    <w:name w:val="Subtitle"/>
    <w:basedOn w:val="1"/>
    <w:next w:val="1"/>
    <w:link w:val="134"/>
    <w:qFormat/>
    <w:uiPriority w:val="0"/>
    <w:pPr>
      <w:jc w:val="center"/>
      <w:outlineLvl w:val="1"/>
    </w:pPr>
    <w:rPr>
      <w:rFonts w:eastAsia="仿宋_GB2312" w:cs="Times New Roman"/>
      <w:bCs/>
      <w:kern w:val="28"/>
      <w:sz w:val="20"/>
      <w:szCs w:val="32"/>
    </w:rPr>
  </w:style>
  <w:style w:type="paragraph" w:styleId="23">
    <w:name w:val="List"/>
    <w:basedOn w:val="1"/>
    <w:uiPriority w:val="0"/>
    <w:pPr>
      <w:spacing w:line="320" w:lineRule="exact"/>
      <w:jc w:val="center"/>
    </w:pPr>
    <w:rPr>
      <w:sz w:val="22"/>
    </w:rPr>
  </w:style>
  <w:style w:type="paragraph" w:styleId="24">
    <w:name w:val="Body Text Indent 3"/>
    <w:basedOn w:val="1"/>
    <w:link w:val="104"/>
    <w:semiHidden/>
    <w:unhideWhenUsed/>
    <w:uiPriority w:val="0"/>
    <w:pPr>
      <w:spacing w:after="120"/>
      <w:ind w:left="420" w:leftChars="200"/>
    </w:pPr>
    <w:rPr>
      <w:sz w:val="16"/>
      <w:szCs w:val="16"/>
    </w:rPr>
  </w:style>
  <w:style w:type="paragraph" w:styleId="25">
    <w:name w:val="toc 2"/>
    <w:basedOn w:val="1"/>
    <w:next w:val="1"/>
    <w:qFormat/>
    <w:uiPriority w:val="39"/>
    <w:pPr>
      <w:ind w:left="420" w:leftChars="200"/>
    </w:pPr>
    <w:rPr>
      <w:rFonts w:cs="Times New Roman"/>
    </w:rPr>
  </w:style>
  <w:style w:type="paragraph" w:styleId="26">
    <w:name w:val="Normal (Web)"/>
    <w:basedOn w:val="1"/>
    <w:uiPriority w:val="0"/>
  </w:style>
  <w:style w:type="paragraph" w:styleId="27">
    <w:name w:val="annotation subject"/>
    <w:basedOn w:val="12"/>
    <w:next w:val="12"/>
    <w:link w:val="106"/>
    <w:semiHidden/>
    <w:qFormat/>
    <w:uiPriority w:val="99"/>
    <w:rPr>
      <w:b/>
      <w:bCs/>
    </w:rPr>
  </w:style>
  <w:style w:type="character" w:styleId="30">
    <w:name w:val="Strong"/>
    <w:basedOn w:val="29"/>
    <w:qFormat/>
    <w:locked/>
    <w:uiPriority w:val="0"/>
    <w:rPr>
      <w:b/>
      <w:bCs/>
    </w:rPr>
  </w:style>
  <w:style w:type="character" w:styleId="31">
    <w:name w:val="page number"/>
    <w:basedOn w:val="29"/>
    <w:uiPriority w:val="0"/>
    <w:rPr>
      <w:rFonts w:cs="Times New Roman"/>
    </w:rPr>
  </w:style>
  <w:style w:type="character" w:styleId="32">
    <w:name w:val="FollowedHyperlink"/>
    <w:basedOn w:val="29"/>
    <w:uiPriority w:val="0"/>
    <w:rPr>
      <w:color w:val="338DE6"/>
      <w:u w:val="none"/>
    </w:rPr>
  </w:style>
  <w:style w:type="character" w:styleId="33">
    <w:name w:val="Emphasis"/>
    <w:basedOn w:val="29"/>
    <w:qFormat/>
    <w:locked/>
    <w:uiPriority w:val="0"/>
    <w:rPr>
      <w:i/>
      <w:iCs/>
    </w:rPr>
  </w:style>
  <w:style w:type="character" w:styleId="34">
    <w:name w:val="HTML Definition"/>
    <w:basedOn w:val="29"/>
    <w:qFormat/>
    <w:uiPriority w:val="0"/>
  </w:style>
  <w:style w:type="character" w:styleId="35">
    <w:name w:val="HTML Variable"/>
    <w:basedOn w:val="29"/>
    <w:qFormat/>
    <w:uiPriority w:val="0"/>
  </w:style>
  <w:style w:type="character" w:styleId="36">
    <w:name w:val="Hyperlink"/>
    <w:basedOn w:val="29"/>
    <w:uiPriority w:val="0"/>
    <w:rPr>
      <w:color w:val="0000FF"/>
      <w:u w:val="single"/>
    </w:rPr>
  </w:style>
  <w:style w:type="character" w:styleId="37">
    <w:name w:val="HTML Code"/>
    <w:basedOn w:val="29"/>
    <w:qFormat/>
    <w:uiPriority w:val="0"/>
    <w:rPr>
      <w:rFonts w:ascii="monospace" w:hAnsi="monospace" w:eastAsia="monospace" w:cs="monospace"/>
      <w:sz w:val="21"/>
      <w:szCs w:val="21"/>
      <w:shd w:val="clear" w:color="auto" w:fill="FFFFFF"/>
    </w:rPr>
  </w:style>
  <w:style w:type="character" w:styleId="38">
    <w:name w:val="annotation reference"/>
    <w:qFormat/>
    <w:uiPriority w:val="99"/>
    <w:rPr>
      <w:rFonts w:cs="Times New Roman"/>
      <w:sz w:val="21"/>
      <w:szCs w:val="21"/>
    </w:rPr>
  </w:style>
  <w:style w:type="character" w:styleId="39">
    <w:name w:val="HTML Cite"/>
    <w:basedOn w:val="29"/>
    <w:uiPriority w:val="0"/>
  </w:style>
  <w:style w:type="character" w:styleId="40">
    <w:name w:val="HTML Keyboard"/>
    <w:basedOn w:val="29"/>
    <w:qFormat/>
    <w:uiPriority w:val="0"/>
    <w:rPr>
      <w:rFonts w:hint="default" w:ascii="monospace" w:hAnsi="monospace" w:eastAsia="monospace" w:cs="monospace"/>
      <w:sz w:val="21"/>
      <w:szCs w:val="21"/>
    </w:rPr>
  </w:style>
  <w:style w:type="character" w:styleId="41">
    <w:name w:val="HTML Sample"/>
    <w:basedOn w:val="29"/>
    <w:qFormat/>
    <w:uiPriority w:val="0"/>
    <w:rPr>
      <w:rFonts w:hint="default" w:ascii="monospace" w:hAnsi="monospace" w:eastAsia="monospace" w:cs="monospace"/>
      <w:sz w:val="21"/>
      <w:szCs w:val="21"/>
      <w:u w:val="single"/>
    </w:rPr>
  </w:style>
  <w:style w:type="paragraph" w:customStyle="1" w:styleId="42">
    <w:name w:val="正文样式"/>
    <w:basedOn w:val="1"/>
    <w:link w:val="136"/>
    <w:qFormat/>
    <w:uiPriority w:val="0"/>
    <w:pPr>
      <w:spacing w:line="360" w:lineRule="auto"/>
      <w:ind w:firstLine="480" w:firstLineChars="200"/>
    </w:pPr>
    <w:rPr>
      <w:rFonts w:ascii="宋体" w:hAnsi="宋体"/>
      <w:kern w:val="0"/>
      <w:sz w:val="24"/>
      <w:szCs w:val="20"/>
    </w:rPr>
  </w:style>
  <w:style w:type="paragraph" w:customStyle="1" w:styleId="43">
    <w:name w:val="表格"/>
    <w:basedOn w:val="1"/>
    <w:link w:val="44"/>
    <w:qFormat/>
    <w:uiPriority w:val="99"/>
    <w:pPr>
      <w:adjustRightInd w:val="0"/>
      <w:jc w:val="center"/>
      <w:textAlignment w:val="baseline"/>
    </w:pPr>
    <w:rPr>
      <w:kern w:val="0"/>
      <w:sz w:val="24"/>
      <w:szCs w:val="20"/>
    </w:rPr>
  </w:style>
  <w:style w:type="character" w:customStyle="1" w:styleId="44">
    <w:name w:val="表格 Char"/>
    <w:link w:val="43"/>
    <w:qFormat/>
    <w:uiPriority w:val="99"/>
    <w:rPr>
      <w:rFonts w:ascii="Calibri" w:hAnsi="Calibri" w:cstheme="minorBidi"/>
      <w:sz w:val="24"/>
    </w:rPr>
  </w:style>
  <w:style w:type="paragraph" w:customStyle="1" w:styleId="45">
    <w:name w:val="【正文】"/>
    <w:basedOn w:val="1"/>
    <w:qFormat/>
    <w:uiPriority w:val="0"/>
    <w:pPr>
      <w:ind w:firstLine="200" w:firstLineChars="200"/>
    </w:pPr>
  </w:style>
  <w:style w:type="paragraph" w:customStyle="1" w:styleId="46">
    <w:name w:val="表 正文"/>
    <w:basedOn w:val="1"/>
    <w:link w:val="47"/>
    <w:qFormat/>
    <w:uiPriority w:val="0"/>
    <w:pPr>
      <w:snapToGrid w:val="0"/>
      <w:spacing w:line="360" w:lineRule="auto"/>
      <w:ind w:firstLine="200" w:firstLineChars="200"/>
    </w:pPr>
    <w:rPr>
      <w:kern w:val="44"/>
    </w:rPr>
  </w:style>
  <w:style w:type="character" w:customStyle="1" w:styleId="47">
    <w:name w:val="表 正文 Char"/>
    <w:link w:val="46"/>
    <w:qFormat/>
    <w:uiPriority w:val="0"/>
    <w:rPr>
      <w:rFonts w:eastAsiaTheme="minorEastAsia" w:cstheme="minorBidi"/>
      <w:kern w:val="44"/>
      <w:sz w:val="24"/>
      <w:szCs w:val="24"/>
    </w:rPr>
  </w:style>
  <w:style w:type="paragraph" w:customStyle="1" w:styleId="48">
    <w:name w:val="列出段落2"/>
    <w:basedOn w:val="1"/>
    <w:qFormat/>
    <w:uiPriority w:val="0"/>
    <w:pPr>
      <w:adjustRightInd w:val="0"/>
      <w:snapToGrid w:val="0"/>
      <w:spacing w:line="300" w:lineRule="auto"/>
      <w:ind w:firstLine="420" w:firstLineChars="200"/>
    </w:pPr>
  </w:style>
  <w:style w:type="paragraph" w:customStyle="1" w:styleId="49">
    <w:name w:val="公式及图片"/>
    <w:basedOn w:val="50"/>
    <w:qFormat/>
    <w:locked/>
    <w:uiPriority w:val="0"/>
    <w:pPr>
      <w:widowControl w:val="0"/>
      <w:ind w:firstLine="0" w:firstLineChars="0"/>
      <w:jc w:val="center"/>
    </w:pPr>
    <w:rPr>
      <w:rFonts w:hAnsi="仿宋_GB2312"/>
      <w:sz w:val="24"/>
    </w:rPr>
  </w:style>
  <w:style w:type="paragraph" w:customStyle="1" w:styleId="50">
    <w:name w:val="环评正文"/>
    <w:next w:val="1"/>
    <w:qFormat/>
    <w:uiPriority w:val="0"/>
    <w:pPr>
      <w:spacing w:line="360" w:lineRule="auto"/>
      <w:ind w:firstLine="200" w:firstLineChars="200"/>
    </w:pPr>
    <w:rPr>
      <w:rFonts w:ascii="仿宋_GB2312" w:eastAsia="仿宋_GB2312" w:hAnsiTheme="minorHAnsi" w:cstheme="minorBidi"/>
      <w:kern w:val="2"/>
      <w:sz w:val="28"/>
      <w:szCs w:val="22"/>
      <w:lang w:val="en-US" w:eastAsia="zh-CN" w:bidi="ar-SA"/>
    </w:rPr>
  </w:style>
  <w:style w:type="paragraph" w:customStyle="1" w:styleId="51">
    <w:name w:val="表格文字"/>
    <w:basedOn w:val="1"/>
    <w:next w:val="1"/>
    <w:qFormat/>
    <w:uiPriority w:val="0"/>
    <w:pPr>
      <w:tabs>
        <w:tab w:val="left" w:pos="360"/>
        <w:tab w:val="left" w:pos="1620"/>
      </w:tabs>
      <w:snapToGrid w:val="0"/>
      <w:spacing w:line="460" w:lineRule="exact"/>
      <w:jc w:val="center"/>
    </w:pPr>
    <w:rPr>
      <w:sz w:val="24"/>
    </w:rPr>
  </w:style>
  <w:style w:type="paragraph" w:customStyle="1" w:styleId="52">
    <w:name w:val="正文缩近"/>
    <w:basedOn w:val="1"/>
    <w:qFormat/>
    <w:uiPriority w:val="0"/>
    <w:pPr>
      <w:spacing w:line="360" w:lineRule="auto"/>
      <w:ind w:firstLine="560" w:firstLineChars="200"/>
    </w:pPr>
    <w:rPr>
      <w:sz w:val="28"/>
      <w:szCs w:val="28"/>
    </w:rPr>
  </w:style>
  <w:style w:type="paragraph" w:customStyle="1" w:styleId="53">
    <w:name w:val="居中正文"/>
    <w:basedOn w:val="3"/>
    <w:qFormat/>
    <w:uiPriority w:val="0"/>
    <w:pPr>
      <w:adjustRightInd w:val="0"/>
      <w:spacing w:line="360" w:lineRule="auto"/>
      <w:ind w:firstLine="0" w:firstLineChars="0"/>
      <w:jc w:val="center"/>
      <w:textAlignment w:val="baseline"/>
    </w:pPr>
    <w:rPr>
      <w:kern w:val="28"/>
      <w:sz w:val="24"/>
    </w:rPr>
  </w:style>
  <w:style w:type="character" w:customStyle="1" w:styleId="54">
    <w:name w:val="正文文本 Char"/>
    <w:basedOn w:val="29"/>
    <w:link w:val="4"/>
    <w:qFormat/>
    <w:uiPriority w:val="99"/>
    <w:rPr>
      <w:rFonts w:ascii="Calibri" w:hAnsi="Calibri" w:cstheme="minorBidi"/>
      <w:spacing w:val="-20"/>
      <w:kern w:val="2"/>
      <w:sz w:val="21"/>
      <w:szCs w:val="24"/>
    </w:rPr>
  </w:style>
  <w:style w:type="character" w:customStyle="1" w:styleId="55">
    <w:name w:val="正文首行缩进 Char"/>
    <w:basedOn w:val="54"/>
    <w:link w:val="3"/>
    <w:qFormat/>
    <w:uiPriority w:val="99"/>
    <w:rPr>
      <w:rFonts w:ascii="Calibri" w:hAnsi="Calibri" w:cstheme="minorBidi"/>
      <w:spacing w:val="-20"/>
      <w:kern w:val="2"/>
      <w:sz w:val="21"/>
      <w:szCs w:val="24"/>
    </w:rPr>
  </w:style>
  <w:style w:type="paragraph" w:customStyle="1" w:styleId="56">
    <w:name w:val="书-二级标题"/>
    <w:basedOn w:val="1"/>
    <w:qFormat/>
    <w:uiPriority w:val="0"/>
    <w:pPr>
      <w:spacing w:before="240" w:after="60"/>
      <w:outlineLvl w:val="1"/>
    </w:pPr>
    <w:rPr>
      <w:rFonts w:eastAsia="黑体"/>
      <w:sz w:val="28"/>
    </w:rPr>
  </w:style>
  <w:style w:type="paragraph" w:customStyle="1" w:styleId="57">
    <w:name w:val="书 正文"/>
    <w:basedOn w:val="1"/>
    <w:qFormat/>
    <w:uiPriority w:val="0"/>
    <w:pPr>
      <w:ind w:firstLine="200" w:firstLineChars="200"/>
    </w:pPr>
    <w:rPr>
      <w:rFonts w:cs="·..."/>
      <w:kern w:val="0"/>
    </w:rPr>
  </w:style>
  <w:style w:type="character" w:customStyle="1" w:styleId="58">
    <w:name w:val="fontstrikethrough"/>
    <w:basedOn w:val="29"/>
    <w:qFormat/>
    <w:uiPriority w:val="0"/>
    <w:rPr>
      <w:strike/>
    </w:rPr>
  </w:style>
  <w:style w:type="character" w:customStyle="1" w:styleId="59">
    <w:name w:val="fontborder"/>
    <w:basedOn w:val="29"/>
    <w:qFormat/>
    <w:uiPriority w:val="0"/>
    <w:rPr>
      <w:bdr w:val="single" w:color="000000" w:sz="6" w:space="0"/>
    </w:rPr>
  </w:style>
  <w:style w:type="paragraph" w:customStyle="1" w:styleId="60">
    <w:name w:val="表一级标题"/>
    <w:basedOn w:val="1"/>
    <w:link w:val="61"/>
    <w:qFormat/>
    <w:uiPriority w:val="0"/>
    <w:pPr>
      <w:snapToGrid w:val="0"/>
      <w:spacing w:line="360" w:lineRule="auto"/>
      <w:jc w:val="left"/>
    </w:pPr>
    <w:rPr>
      <w:rFonts w:eastAsia="黑体"/>
      <w:kern w:val="44"/>
    </w:rPr>
  </w:style>
  <w:style w:type="character" w:customStyle="1" w:styleId="61">
    <w:name w:val="表一级标题 Char"/>
    <w:link w:val="60"/>
    <w:qFormat/>
    <w:uiPriority w:val="0"/>
    <w:rPr>
      <w:rFonts w:eastAsia="黑体" w:cstheme="minorBidi"/>
      <w:kern w:val="44"/>
      <w:sz w:val="24"/>
      <w:szCs w:val="24"/>
    </w:rPr>
  </w:style>
  <w:style w:type="paragraph" w:customStyle="1" w:styleId="62">
    <w:name w:val="书 表头"/>
    <w:basedOn w:val="63"/>
    <w:qFormat/>
    <w:uiPriority w:val="0"/>
    <w:pPr>
      <w:keepNext/>
      <w:adjustRightInd w:val="0"/>
      <w:spacing w:line="240" w:lineRule="auto"/>
      <w:jc w:val="center"/>
    </w:pPr>
    <w:rPr>
      <w:rFonts w:ascii="Times New Roman" w:cs="Arial"/>
      <w:bCs/>
      <w:iCs/>
      <w:snapToGrid w:val="0"/>
      <w:spacing w:val="4"/>
      <w:kern w:val="0"/>
      <w:sz w:val="24"/>
      <w:lang w:eastAsia="en-US"/>
    </w:rPr>
  </w:style>
  <w:style w:type="paragraph" w:customStyle="1" w:styleId="63">
    <w:name w:val="二级标题"/>
    <w:basedOn w:val="1"/>
    <w:semiHidden/>
    <w:qFormat/>
    <w:uiPriority w:val="0"/>
    <w:pPr>
      <w:spacing w:line="520" w:lineRule="exact"/>
    </w:pPr>
    <w:rPr>
      <w:rFonts w:ascii="黑体" w:eastAsia="黑体"/>
      <w:sz w:val="28"/>
    </w:rPr>
  </w:style>
  <w:style w:type="character" w:customStyle="1" w:styleId="64">
    <w:name w:val="表头 Char"/>
    <w:qFormat/>
    <w:uiPriority w:val="0"/>
    <w:rPr>
      <w:rFonts w:ascii="宋体" w:hAnsi="宋体" w:eastAsia="仿宋_GB2312" w:cstheme="minorBidi"/>
      <w:b/>
      <w:color w:val="000000"/>
      <w:sz w:val="28"/>
      <w:szCs w:val="28"/>
    </w:rPr>
  </w:style>
  <w:style w:type="paragraph" w:customStyle="1" w:styleId="65">
    <w:name w:val="表格1"/>
    <w:basedOn w:val="1"/>
    <w:next w:val="1"/>
    <w:qFormat/>
    <w:uiPriority w:val="0"/>
    <w:pPr>
      <w:jc w:val="center"/>
    </w:pPr>
    <w:rPr>
      <w:rFonts w:eastAsia="仿宋_GB2312"/>
      <w:bCs/>
    </w:rPr>
  </w:style>
  <w:style w:type="paragraph" w:customStyle="1" w:styleId="66">
    <w:name w:val="lsw表格文字"/>
    <w:basedOn w:val="1"/>
    <w:qFormat/>
    <w:uiPriority w:val="0"/>
    <w:pPr>
      <w:keepNext/>
      <w:keepLines/>
      <w:autoSpaceDE w:val="0"/>
      <w:autoSpaceDN w:val="0"/>
      <w:adjustRightInd w:val="0"/>
      <w:jc w:val="center"/>
    </w:pPr>
    <w:rPr>
      <w:kern w:val="0"/>
    </w:rPr>
  </w:style>
  <w:style w:type="paragraph" w:customStyle="1" w:styleId="67">
    <w:name w:val="【表中文字】"/>
    <w:basedOn w:val="1"/>
    <w:link w:val="68"/>
    <w:qFormat/>
    <w:uiPriority w:val="0"/>
    <w:pPr>
      <w:jc w:val="center"/>
    </w:pPr>
  </w:style>
  <w:style w:type="character" w:customStyle="1" w:styleId="68">
    <w:name w:val="【表中文字】 Char"/>
    <w:link w:val="67"/>
    <w:qFormat/>
    <w:uiPriority w:val="0"/>
    <w:rPr>
      <w:rFonts w:cstheme="minorBidi"/>
      <w:kern w:val="2"/>
      <w:sz w:val="21"/>
    </w:rPr>
  </w:style>
  <w:style w:type="paragraph" w:customStyle="1" w:styleId="69">
    <w:name w:val="p0"/>
    <w:basedOn w:val="1"/>
    <w:qFormat/>
    <w:uiPriority w:val="0"/>
    <w:rPr>
      <w:rFonts w:eastAsia="等线"/>
      <w:kern w:val="0"/>
    </w:rPr>
  </w:style>
  <w:style w:type="paragraph" w:customStyle="1" w:styleId="70">
    <w:name w:val="xl26"/>
    <w:basedOn w:val="1"/>
    <w:qFormat/>
    <w:uiPriority w:val="0"/>
    <w:pPr>
      <w:spacing w:before="100" w:after="100"/>
      <w:jc w:val="center"/>
    </w:pPr>
    <w:rPr>
      <w:kern w:val="0"/>
    </w:rPr>
  </w:style>
  <w:style w:type="paragraph" w:customStyle="1" w:styleId="71">
    <w:name w:val="【表头】"/>
    <w:basedOn w:val="1"/>
    <w:qFormat/>
    <w:uiPriority w:val="0"/>
    <w:pPr>
      <w:spacing w:line="460" w:lineRule="exact"/>
      <w:jc w:val="center"/>
    </w:pPr>
    <w:rPr>
      <w:rFonts w:ascii="等线" w:hAnsi="等线" w:eastAsia="黑体" w:cs="宋体"/>
      <w:kern w:val="0"/>
    </w:rPr>
  </w:style>
  <w:style w:type="paragraph" w:customStyle="1" w:styleId="72">
    <w:name w:val="正文格式－表格－中"/>
    <w:basedOn w:val="73"/>
    <w:qFormat/>
    <w:uiPriority w:val="0"/>
    <w:pPr>
      <w:jc w:val="center"/>
    </w:pPr>
  </w:style>
  <w:style w:type="paragraph" w:customStyle="1" w:styleId="73">
    <w:name w:val="正文格式－表格－左"/>
    <w:basedOn w:val="74"/>
    <w:next w:val="74"/>
    <w:uiPriority w:val="0"/>
    <w:pPr>
      <w:spacing w:beforeLines="0" w:afterLines="0" w:line="360" w:lineRule="auto"/>
      <w:ind w:firstLine="0" w:firstLineChars="0"/>
    </w:pPr>
  </w:style>
  <w:style w:type="paragraph" w:customStyle="1" w:styleId="74">
    <w:name w:val="正文格式－文字"/>
    <w:basedOn w:val="1"/>
    <w:next w:val="1"/>
    <w:uiPriority w:val="0"/>
    <w:pPr>
      <w:spacing w:beforeLines="50" w:afterLines="50" w:line="300" w:lineRule="auto"/>
      <w:ind w:firstLine="200" w:firstLineChars="200"/>
      <w:jc w:val="left"/>
      <w:textAlignment w:val="center"/>
    </w:pPr>
    <w:rPr>
      <w:kern w:val="0"/>
    </w:rPr>
  </w:style>
  <w:style w:type="character" w:customStyle="1" w:styleId="75">
    <w:name w:val="正文缩进 Char2"/>
    <w:uiPriority w:val="0"/>
    <w:rPr>
      <w:rFonts w:eastAsia="宋体"/>
      <w:kern w:val="2"/>
      <w:sz w:val="21"/>
      <w:lang w:val="en-US" w:eastAsia="zh-CN" w:bidi="ar-SA"/>
    </w:rPr>
  </w:style>
  <w:style w:type="character" w:customStyle="1" w:styleId="76">
    <w:name w:val="font21"/>
    <w:basedOn w:val="29"/>
    <w:uiPriority w:val="0"/>
    <w:rPr>
      <w:rFonts w:hint="default" w:ascii="Times New Roman" w:hAnsi="Times New Roman" w:cs="Times New Roman"/>
      <w:color w:val="000000"/>
      <w:sz w:val="21"/>
      <w:szCs w:val="21"/>
      <w:u w:val="none"/>
    </w:rPr>
  </w:style>
  <w:style w:type="character" w:customStyle="1" w:styleId="77">
    <w:name w:val="font61"/>
    <w:basedOn w:val="29"/>
    <w:uiPriority w:val="0"/>
    <w:rPr>
      <w:rFonts w:hint="default" w:ascii="Times New Roman" w:hAnsi="Times New Roman" w:cs="Times New Roman"/>
      <w:color w:val="000000"/>
      <w:sz w:val="21"/>
      <w:szCs w:val="21"/>
      <w:u w:val="none"/>
    </w:rPr>
  </w:style>
  <w:style w:type="character" w:customStyle="1" w:styleId="78">
    <w:name w:val="font41"/>
    <w:basedOn w:val="29"/>
    <w:uiPriority w:val="0"/>
    <w:rPr>
      <w:rFonts w:hint="eastAsia" w:ascii="宋体" w:hAnsi="宋体" w:eastAsia="宋体" w:cs="宋体"/>
      <w:color w:val="000000"/>
      <w:sz w:val="21"/>
      <w:szCs w:val="21"/>
      <w:u w:val="none"/>
    </w:rPr>
  </w:style>
  <w:style w:type="character" w:customStyle="1" w:styleId="79">
    <w:name w:val="font11"/>
    <w:basedOn w:val="29"/>
    <w:uiPriority w:val="0"/>
    <w:rPr>
      <w:rFonts w:hint="default" w:ascii="Times New Roman" w:hAnsi="Times New Roman" w:cs="Times New Roman"/>
      <w:color w:val="000000"/>
      <w:sz w:val="21"/>
      <w:szCs w:val="21"/>
      <w:u w:val="none"/>
    </w:rPr>
  </w:style>
  <w:style w:type="paragraph" w:customStyle="1" w:styleId="80">
    <w:name w:val="报告正文"/>
    <w:basedOn w:val="1"/>
    <w:link w:val="81"/>
    <w:uiPriority w:val="0"/>
    <w:pPr>
      <w:spacing w:line="520" w:lineRule="exact"/>
      <w:ind w:firstLine="544" w:firstLineChars="200"/>
    </w:pPr>
    <w:rPr>
      <w:spacing w:val="-4"/>
      <w:sz w:val="28"/>
      <w:szCs w:val="28"/>
    </w:rPr>
  </w:style>
  <w:style w:type="character" w:customStyle="1" w:styleId="81">
    <w:name w:val="报告正文 Char"/>
    <w:link w:val="80"/>
    <w:locked/>
    <w:uiPriority w:val="0"/>
    <w:rPr>
      <w:rFonts w:ascii="宋体" w:hAnsi="宋体" w:cstheme="minorBidi"/>
      <w:spacing w:val="-4"/>
      <w:kern w:val="2"/>
      <w:sz w:val="28"/>
      <w:szCs w:val="28"/>
    </w:rPr>
  </w:style>
  <w:style w:type="paragraph" w:customStyle="1" w:styleId="82">
    <w:name w:val="0表标题"/>
    <w:basedOn w:val="1"/>
    <w:next w:val="1"/>
    <w:uiPriority w:val="0"/>
    <w:pPr>
      <w:adjustRightInd w:val="0"/>
      <w:jc w:val="center"/>
    </w:pPr>
    <w:rPr>
      <w:rFonts w:eastAsia="黑体"/>
      <w:b/>
      <w:kern w:val="0"/>
      <w:szCs w:val="16"/>
    </w:rPr>
  </w:style>
  <w:style w:type="character" w:customStyle="1" w:styleId="83">
    <w:name w:val="textbig1"/>
    <w:uiPriority w:val="0"/>
    <w:rPr>
      <w:sz w:val="18"/>
      <w:szCs w:val="18"/>
    </w:rPr>
  </w:style>
  <w:style w:type="character" w:customStyle="1" w:styleId="84">
    <w:name w:val="纯文本 Char1"/>
    <w:uiPriority w:val="0"/>
    <w:rPr>
      <w:rFonts w:ascii="宋体" w:hAnsi="Courier New" w:eastAsia="宋体"/>
      <w:kern w:val="2"/>
      <w:sz w:val="21"/>
      <w:vertAlign w:val="superscript"/>
      <w:lang w:val="en-US" w:eastAsia="zh-CN"/>
    </w:rPr>
  </w:style>
  <w:style w:type="paragraph" w:customStyle="1" w:styleId="85">
    <w:name w:val="文本"/>
    <w:basedOn w:val="1"/>
    <w:uiPriority w:val="0"/>
    <w:pPr>
      <w:adjustRightInd w:val="0"/>
      <w:snapToGrid w:val="0"/>
      <w:spacing w:line="360" w:lineRule="auto"/>
      <w:ind w:firstLine="480" w:firstLineChars="200"/>
      <w:jc w:val="left"/>
    </w:pPr>
  </w:style>
  <w:style w:type="character" w:customStyle="1" w:styleId="86">
    <w:name w:val="表头 Char Char"/>
    <w:uiPriority w:val="0"/>
    <w:rPr>
      <w:rFonts w:ascii="楷体_GB2312" w:eastAsia="楷体_GB2312"/>
      <w:b/>
      <w:snapToGrid w:val="0"/>
      <w:spacing w:val="4"/>
      <w:sz w:val="28"/>
      <w:szCs w:val="28"/>
    </w:rPr>
  </w:style>
  <w:style w:type="paragraph" w:customStyle="1" w:styleId="87">
    <w:name w:val="_Style 23"/>
    <w:basedOn w:val="1"/>
    <w:uiPriority w:val="0"/>
  </w:style>
  <w:style w:type="paragraph" w:customStyle="1" w:styleId="88">
    <w:name w:val="B表内字"/>
    <w:basedOn w:val="1"/>
    <w:uiPriority w:val="0"/>
    <w:pPr>
      <w:jc w:val="center"/>
    </w:pPr>
    <w:rPr>
      <w:rFonts w:cs="宋体"/>
      <w:kern w:val="0"/>
    </w:rPr>
  </w:style>
  <w:style w:type="paragraph" w:customStyle="1" w:styleId="89">
    <w:name w:val="@表内文字居中"/>
    <w:basedOn w:val="1"/>
    <w:uiPriority w:val="0"/>
    <w:pPr>
      <w:pBdr>
        <w:top w:val="none" w:color="auto" w:sz="0" w:space="1"/>
        <w:left w:val="none" w:color="auto" w:sz="0" w:space="4"/>
        <w:bottom w:val="none" w:color="auto" w:sz="0" w:space="1"/>
        <w:right w:val="none" w:color="auto" w:sz="0" w:space="4"/>
      </w:pBdr>
      <w:adjustRightInd w:val="0"/>
      <w:jc w:val="center"/>
    </w:pPr>
  </w:style>
  <w:style w:type="character" w:customStyle="1" w:styleId="90">
    <w:name w:val="表头 Char2"/>
    <w:locked/>
    <w:uiPriority w:val="0"/>
    <w:rPr>
      <w:rFonts w:ascii="宋体" w:hAnsi="宋体"/>
      <w:kern w:val="2"/>
      <w:sz w:val="24"/>
      <w:szCs w:val="24"/>
    </w:rPr>
  </w:style>
  <w:style w:type="paragraph" w:customStyle="1" w:styleId="91">
    <w:name w:val="表格内文字"/>
    <w:basedOn w:val="1"/>
    <w:qFormat/>
    <w:uiPriority w:val="0"/>
    <w:pPr>
      <w:tabs>
        <w:tab w:val="left" w:pos="0"/>
      </w:tabs>
      <w:adjustRightInd w:val="0"/>
      <w:snapToGrid w:val="0"/>
      <w:jc w:val="center"/>
    </w:pPr>
    <w:rPr>
      <w:rFonts w:ascii="宋体" w:hAnsi="宋体"/>
      <w:szCs w:val="21"/>
    </w:rPr>
  </w:style>
  <w:style w:type="character" w:customStyle="1" w:styleId="92">
    <w:name w:val="font31"/>
    <w:uiPriority w:val="0"/>
    <w:rPr>
      <w:rFonts w:ascii="Wingdings 2" w:hAnsi="Wingdings 2" w:eastAsia="Wingdings 2" w:cs="Wingdings 2"/>
      <w:color w:val="000000"/>
      <w:sz w:val="24"/>
      <w:szCs w:val="24"/>
      <w:u w:val="none"/>
    </w:rPr>
  </w:style>
  <w:style w:type="character" w:customStyle="1" w:styleId="93">
    <w:name w:val="font01"/>
    <w:uiPriority w:val="0"/>
    <w:rPr>
      <w:rFonts w:hint="eastAsia" w:ascii="宋体" w:hAnsi="宋体" w:eastAsia="宋体" w:cs="宋体"/>
      <w:color w:val="000000"/>
      <w:sz w:val="22"/>
      <w:szCs w:val="22"/>
      <w:u w:val="none"/>
      <w:vertAlign w:val="subscript"/>
    </w:rPr>
  </w:style>
  <w:style w:type="character" w:customStyle="1" w:styleId="94">
    <w:name w:val="标题 1 Char"/>
    <w:link w:val="5"/>
    <w:qFormat/>
    <w:uiPriority w:val="0"/>
    <w:rPr>
      <w:rFonts w:ascii="Calibri" w:hAnsi="Calibri"/>
      <w:b/>
      <w:bCs/>
      <w:kern w:val="44"/>
      <w:sz w:val="44"/>
      <w:szCs w:val="44"/>
    </w:rPr>
  </w:style>
  <w:style w:type="character" w:customStyle="1" w:styleId="95">
    <w:name w:val="标题 3 Char"/>
    <w:link w:val="7"/>
    <w:qFormat/>
    <w:uiPriority w:val="0"/>
    <w:rPr>
      <w:rFonts w:ascii="Calibri" w:hAnsi="Calibri"/>
      <w:b/>
      <w:bCs/>
      <w:sz w:val="32"/>
      <w:szCs w:val="32"/>
    </w:rPr>
  </w:style>
  <w:style w:type="character" w:customStyle="1" w:styleId="96">
    <w:name w:val="标题 3 Char1"/>
    <w:basedOn w:val="29"/>
    <w:uiPriority w:val="0"/>
    <w:rPr>
      <w:b/>
      <w:bCs/>
      <w:kern w:val="2"/>
      <w:sz w:val="32"/>
      <w:szCs w:val="32"/>
    </w:rPr>
  </w:style>
  <w:style w:type="character" w:customStyle="1" w:styleId="97">
    <w:name w:val="标题 4 Char"/>
    <w:basedOn w:val="29"/>
    <w:link w:val="8"/>
    <w:qFormat/>
    <w:uiPriority w:val="9"/>
    <w:rPr>
      <w:rFonts w:asciiTheme="majorHAnsi" w:hAnsiTheme="majorHAnsi" w:eastAsiaTheme="majorEastAsia" w:cstheme="majorBidi"/>
      <w:b/>
      <w:bCs/>
      <w:kern w:val="2"/>
      <w:sz w:val="28"/>
      <w:szCs w:val="28"/>
    </w:rPr>
  </w:style>
  <w:style w:type="character" w:customStyle="1" w:styleId="98">
    <w:name w:val="标题 4 Char1"/>
    <w:basedOn w:val="29"/>
    <w:uiPriority w:val="0"/>
    <w:rPr>
      <w:rFonts w:ascii="Arial" w:hAnsi="Arial" w:eastAsia="黑体"/>
      <w:b/>
      <w:bCs/>
      <w:kern w:val="2"/>
      <w:sz w:val="28"/>
      <w:szCs w:val="28"/>
    </w:rPr>
  </w:style>
  <w:style w:type="character" w:customStyle="1" w:styleId="99">
    <w:name w:val="正文缩进 Char"/>
    <w:link w:val="10"/>
    <w:uiPriority w:val="0"/>
    <w:rPr>
      <w:rFonts w:ascii="Calibri" w:hAnsi="Calibri"/>
      <w:kern w:val="2"/>
      <w:sz w:val="24"/>
      <w:szCs w:val="24"/>
    </w:rPr>
  </w:style>
  <w:style w:type="character" w:customStyle="1" w:styleId="100">
    <w:name w:val="批注文字 Char"/>
    <w:link w:val="12"/>
    <w:qFormat/>
    <w:uiPriority w:val="99"/>
    <w:rPr>
      <w:rFonts w:ascii="Calibri" w:hAnsi="Calibri" w:cstheme="minorBidi"/>
      <w:szCs w:val="24"/>
    </w:rPr>
  </w:style>
  <w:style w:type="character" w:customStyle="1" w:styleId="101">
    <w:name w:val="页眉 Char"/>
    <w:link w:val="20"/>
    <w:qFormat/>
    <w:uiPriority w:val="99"/>
    <w:rPr>
      <w:rFonts w:ascii="Calibri" w:hAnsi="Calibri" w:cstheme="minorBidi"/>
      <w:sz w:val="18"/>
      <w:szCs w:val="18"/>
    </w:rPr>
  </w:style>
  <w:style w:type="character" w:customStyle="1" w:styleId="102">
    <w:name w:val="页脚 Char"/>
    <w:link w:val="19"/>
    <w:qFormat/>
    <w:uiPriority w:val="99"/>
    <w:rPr>
      <w:rFonts w:ascii="Calibri" w:hAnsi="Calibri" w:cstheme="minorBidi"/>
      <w:sz w:val="18"/>
      <w:szCs w:val="18"/>
    </w:rPr>
  </w:style>
  <w:style w:type="character" w:customStyle="1" w:styleId="103">
    <w:name w:val="正文文本缩进 Char"/>
    <w:basedOn w:val="29"/>
    <w:link w:val="14"/>
    <w:uiPriority w:val="0"/>
    <w:rPr>
      <w:rFonts w:eastAsia="仿宋_GB2312" w:cstheme="minorBidi"/>
      <w:color w:val="000000"/>
      <w:kern w:val="2"/>
      <w:sz w:val="28"/>
      <w:szCs w:val="24"/>
    </w:rPr>
  </w:style>
  <w:style w:type="character" w:customStyle="1" w:styleId="104">
    <w:name w:val="正文文本缩进 3 Char"/>
    <w:basedOn w:val="29"/>
    <w:link w:val="24"/>
    <w:semiHidden/>
    <w:uiPriority w:val="0"/>
    <w:rPr>
      <w:rFonts w:ascii="宋体" w:hAnsi="宋体" w:eastAsiaTheme="minorEastAsia" w:cstheme="minorBidi"/>
      <w:color w:val="000000"/>
      <w:kern w:val="2"/>
      <w:sz w:val="16"/>
      <w:szCs w:val="16"/>
    </w:rPr>
  </w:style>
  <w:style w:type="character" w:customStyle="1" w:styleId="105">
    <w:name w:val="纯文本 Char"/>
    <w:link w:val="16"/>
    <w:qFormat/>
    <w:uiPriority w:val="99"/>
    <w:rPr>
      <w:rFonts w:ascii="宋体" w:hAnsi="Courier New" w:cs="Courier New"/>
      <w:szCs w:val="21"/>
    </w:rPr>
  </w:style>
  <w:style w:type="character" w:customStyle="1" w:styleId="106">
    <w:name w:val="批注主题 Char"/>
    <w:link w:val="27"/>
    <w:semiHidden/>
    <w:qFormat/>
    <w:uiPriority w:val="99"/>
    <w:rPr>
      <w:rFonts w:ascii="Calibri" w:hAnsi="Calibri" w:cstheme="minorBidi"/>
      <w:b/>
      <w:bCs/>
      <w:szCs w:val="24"/>
    </w:rPr>
  </w:style>
  <w:style w:type="character" w:customStyle="1" w:styleId="107">
    <w:name w:val="批注框文本 Char"/>
    <w:link w:val="18"/>
    <w:qFormat/>
    <w:uiPriority w:val="99"/>
    <w:rPr>
      <w:rFonts w:ascii="Calibri" w:hAnsi="Calibri" w:cstheme="minorBidi"/>
      <w:sz w:val="0"/>
      <w:szCs w:val="0"/>
    </w:rPr>
  </w:style>
  <w:style w:type="character" w:styleId="108">
    <w:name w:val="Placeholder Text"/>
    <w:basedOn w:val="29"/>
    <w:unhideWhenUsed/>
    <w:qFormat/>
    <w:uiPriority w:val="99"/>
    <w:rPr>
      <w:color w:val="808080"/>
    </w:rPr>
  </w:style>
  <w:style w:type="paragraph" w:styleId="109">
    <w:name w:val="List Paragraph"/>
    <w:basedOn w:val="1"/>
    <w:qFormat/>
    <w:uiPriority w:val="99"/>
    <w:pPr>
      <w:ind w:firstLine="420" w:firstLineChars="200"/>
    </w:pPr>
  </w:style>
  <w:style w:type="character" w:customStyle="1" w:styleId="110">
    <w:name w:val="标题 5 Char"/>
    <w:link w:val="9"/>
    <w:semiHidden/>
    <w:qFormat/>
    <w:uiPriority w:val="0"/>
    <w:rPr>
      <w:rFonts w:ascii="Calibri" w:hAnsi="Calibri"/>
      <w:b/>
      <w:bCs/>
      <w:kern w:val="2"/>
      <w:sz w:val="28"/>
      <w:szCs w:val="28"/>
    </w:rPr>
  </w:style>
  <w:style w:type="paragraph" w:customStyle="1" w:styleId="111">
    <w:name w:val="Char"/>
    <w:basedOn w:val="1"/>
    <w:qFormat/>
    <w:uiPriority w:val="0"/>
    <w:rPr>
      <w:rFonts w:cs="Times New Roman"/>
    </w:rPr>
  </w:style>
  <w:style w:type="paragraph" w:customStyle="1" w:styleId="112">
    <w:name w:val="Char1"/>
    <w:qFormat/>
    <w:uiPriority w:val="0"/>
    <w:pPr>
      <w:widowControl w:val="0"/>
      <w:overflowPunct w:val="0"/>
      <w:snapToGrid w:val="0"/>
      <w:spacing w:line="360" w:lineRule="auto"/>
      <w:ind w:firstLine="480" w:firstLineChars="200"/>
    </w:pPr>
    <w:rPr>
      <w:rFonts w:ascii="仿宋_GB2312" w:hAnsi="宋体" w:eastAsia="仿宋_GB2312" w:cs="Times New Roman"/>
      <w:snapToGrid w:val="0"/>
      <w:sz w:val="24"/>
      <w:szCs w:val="24"/>
      <w:lang w:val="en-US" w:eastAsia="zh-CN" w:bidi="ar-SA"/>
    </w:rPr>
  </w:style>
  <w:style w:type="paragraph" w:customStyle="1" w:styleId="113">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14">
    <w:name w:val="表内文字"/>
    <w:qFormat/>
    <w:uiPriority w:val="99"/>
    <w:pPr>
      <w:adjustRightInd w:val="0"/>
      <w:snapToGrid w:val="0"/>
      <w:jc w:val="center"/>
    </w:pPr>
    <w:rPr>
      <w:rFonts w:ascii="Times New Roman" w:hAnsi="Times New Roman" w:eastAsia="宋体" w:cs="Times New Roman"/>
      <w:sz w:val="21"/>
      <w:szCs w:val="21"/>
      <w:lang w:val="en-US" w:eastAsia="zh-CN" w:bidi="ar-SA"/>
    </w:rPr>
  </w:style>
  <w:style w:type="paragraph" w:customStyle="1" w:styleId="115">
    <w:name w:val="xxxxx正文"/>
    <w:basedOn w:val="1"/>
    <w:qFormat/>
    <w:uiPriority w:val="0"/>
    <w:pPr>
      <w:topLinePunct/>
    </w:pPr>
    <w:rPr>
      <w:rFonts w:ascii="宋体" w:cs="Times New Roman"/>
      <w:kern w:val="0"/>
      <w:lang w:val="zh-CN"/>
    </w:rPr>
  </w:style>
  <w:style w:type="paragraph" w:customStyle="1" w:styleId="116">
    <w:name w:val="标题2.1"/>
    <w:basedOn w:val="117"/>
    <w:qFormat/>
    <w:uiPriority w:val="0"/>
    <w:pPr>
      <w:spacing w:beforeLines="0"/>
    </w:pPr>
    <w:rPr>
      <w:color w:val="000000"/>
    </w:rPr>
  </w:style>
  <w:style w:type="paragraph" w:customStyle="1" w:styleId="117">
    <w:name w:val="样式 标题2 + 段前: 0.5 行1"/>
    <w:basedOn w:val="1"/>
    <w:qFormat/>
    <w:uiPriority w:val="0"/>
    <w:pPr>
      <w:keepNext/>
      <w:spacing w:beforeLines="50"/>
      <w:outlineLvl w:val="1"/>
    </w:pPr>
    <w:rPr>
      <w:rFonts w:eastAsia="黑体" w:cs="Times New Roman"/>
      <w:kern w:val="0"/>
      <w:sz w:val="28"/>
      <w:szCs w:val="20"/>
    </w:rPr>
  </w:style>
  <w:style w:type="character" w:customStyle="1" w:styleId="118">
    <w:name w:val="页码1"/>
    <w:basedOn w:val="29"/>
    <w:qFormat/>
    <w:uiPriority w:val="0"/>
  </w:style>
  <w:style w:type="paragraph" w:customStyle="1" w:styleId="119">
    <w:name w:val="图题"/>
    <w:basedOn w:val="1"/>
    <w:qFormat/>
    <w:uiPriority w:val="0"/>
    <w:pPr>
      <w:spacing w:before="60" w:after="60" w:line="300" w:lineRule="auto"/>
      <w:jc w:val="center"/>
    </w:pPr>
    <w:rPr>
      <w:rFonts w:eastAsia="黑体" w:cs="Times New Roman"/>
      <w:kern w:val="0"/>
      <w:sz w:val="20"/>
    </w:rPr>
  </w:style>
  <w:style w:type="paragraph" w:customStyle="1" w:styleId="120">
    <w:name w:val="正文 楷体"/>
    <w:basedOn w:val="1"/>
    <w:link w:val="121"/>
    <w:qFormat/>
    <w:uiPriority w:val="0"/>
    <w:pPr>
      <w:spacing w:line="500" w:lineRule="exact"/>
      <w:ind w:firstLine="200" w:firstLineChars="200"/>
    </w:pPr>
    <w:rPr>
      <w:rFonts w:ascii="楷体_GB2312" w:hAnsi="楷体_GB2312" w:eastAsia="楷体_GB2312" w:cs="宋体"/>
      <w:sz w:val="24"/>
    </w:rPr>
  </w:style>
  <w:style w:type="character" w:customStyle="1" w:styleId="121">
    <w:name w:val="正文 楷体 Char"/>
    <w:basedOn w:val="29"/>
    <w:link w:val="120"/>
    <w:qFormat/>
    <w:uiPriority w:val="0"/>
    <w:rPr>
      <w:rFonts w:ascii="楷体_GB2312" w:hAnsi="楷体_GB2312" w:eastAsia="楷体_GB2312" w:cs="宋体"/>
      <w:kern w:val="2"/>
      <w:sz w:val="24"/>
      <w:szCs w:val="24"/>
    </w:rPr>
  </w:style>
  <w:style w:type="paragraph" w:customStyle="1" w:styleId="122">
    <w:name w:val="标题三！！！！！！！"/>
    <w:basedOn w:val="7"/>
    <w:qFormat/>
    <w:uiPriority w:val="0"/>
    <w:pPr>
      <w:keepNext w:val="0"/>
      <w:keepLines w:val="0"/>
      <w:spacing w:before="0" w:after="0" w:line="500" w:lineRule="exact"/>
    </w:pPr>
    <w:rPr>
      <w:rFonts w:ascii="楷体_GB2312" w:hAnsi="楷体_GB2312" w:eastAsia="楷体_GB2312" w:cs="楷体_GB2312"/>
      <w:bCs w:val="0"/>
      <w:kern w:val="2"/>
      <w:sz w:val="28"/>
      <w:szCs w:val="28"/>
    </w:rPr>
  </w:style>
  <w:style w:type="paragraph" w:customStyle="1" w:styleId="123">
    <w:name w:val="标题四A"/>
    <w:basedOn w:val="1"/>
    <w:link w:val="124"/>
    <w:qFormat/>
    <w:uiPriority w:val="0"/>
    <w:pPr>
      <w:spacing w:line="500" w:lineRule="exact"/>
      <w:outlineLvl w:val="3"/>
    </w:pPr>
    <w:rPr>
      <w:rFonts w:ascii="华文仿宋" w:hAnsi="华文仿宋" w:eastAsia="华文仿宋" w:cs="Times New Roman"/>
      <w:b/>
      <w:kern w:val="0"/>
      <w:sz w:val="24"/>
    </w:rPr>
  </w:style>
  <w:style w:type="character" w:customStyle="1" w:styleId="124">
    <w:name w:val="标题四A Char"/>
    <w:basedOn w:val="29"/>
    <w:link w:val="123"/>
    <w:uiPriority w:val="0"/>
    <w:rPr>
      <w:rFonts w:ascii="华文仿宋" w:hAnsi="华文仿宋" w:eastAsia="华文仿宋"/>
      <w:b/>
      <w:sz w:val="24"/>
      <w:szCs w:val="24"/>
    </w:rPr>
  </w:style>
  <w:style w:type="paragraph" w:customStyle="1" w:styleId="125">
    <w:name w:val="正文A"/>
    <w:basedOn w:val="1"/>
    <w:link w:val="126"/>
    <w:qFormat/>
    <w:uiPriority w:val="0"/>
    <w:pPr>
      <w:spacing w:line="500" w:lineRule="exact"/>
      <w:ind w:firstLine="480" w:firstLineChars="200"/>
    </w:pPr>
    <w:rPr>
      <w:rFonts w:ascii="华文仿宋" w:hAnsi="华文仿宋" w:eastAsia="华文仿宋" w:cs="华文仿宋"/>
      <w:sz w:val="24"/>
    </w:rPr>
  </w:style>
  <w:style w:type="character" w:customStyle="1" w:styleId="126">
    <w:name w:val="正文A Char"/>
    <w:basedOn w:val="29"/>
    <w:link w:val="125"/>
    <w:uiPriority w:val="0"/>
    <w:rPr>
      <w:rFonts w:ascii="华文仿宋" w:hAnsi="华文仿宋" w:eastAsia="华文仿宋" w:cs="华文仿宋"/>
      <w:kern w:val="2"/>
      <w:sz w:val="24"/>
      <w:szCs w:val="24"/>
    </w:rPr>
  </w:style>
  <w:style w:type="paragraph" w:customStyle="1" w:styleId="127">
    <w:name w:val="表头！！！！！！！！！！"/>
    <w:basedOn w:val="10"/>
    <w:link w:val="128"/>
    <w:qFormat/>
    <w:uiPriority w:val="0"/>
    <w:pPr>
      <w:topLinePunct w:val="0"/>
      <w:autoSpaceDE w:val="0"/>
      <w:autoSpaceDN w:val="0"/>
      <w:adjustRightInd w:val="0"/>
      <w:spacing w:line="500" w:lineRule="exact"/>
      <w:jc w:val="center"/>
      <w:textAlignment w:val="baseline"/>
    </w:pPr>
    <w:rPr>
      <w:rFonts w:ascii="楷体_GB2312" w:hAnsi="Times New Roman" w:eastAsia="楷体_GB2312"/>
      <w:b/>
      <w:snapToGrid w:val="0"/>
      <w:kern w:val="0"/>
    </w:rPr>
  </w:style>
  <w:style w:type="character" w:customStyle="1" w:styleId="128">
    <w:name w:val="表头！！！！！！！！！！ Char"/>
    <w:basedOn w:val="29"/>
    <w:link w:val="127"/>
    <w:uiPriority w:val="0"/>
    <w:rPr>
      <w:rFonts w:ascii="楷体_GB2312" w:eastAsia="楷体_GB2312"/>
      <w:b/>
      <w:snapToGrid w:val="0"/>
      <w:sz w:val="24"/>
      <w:szCs w:val="24"/>
    </w:rPr>
  </w:style>
  <w:style w:type="character" w:customStyle="1" w:styleId="129">
    <w:name w:val="fontstyle01"/>
    <w:qFormat/>
    <w:uiPriority w:val="0"/>
    <w:rPr>
      <w:rFonts w:hint="eastAsia" w:ascii="宋体" w:hAnsi="宋体" w:eastAsia="宋体"/>
      <w:color w:val="000000"/>
      <w:sz w:val="24"/>
      <w:szCs w:val="24"/>
    </w:rPr>
  </w:style>
  <w:style w:type="paragraph" w:customStyle="1" w:styleId="130">
    <w:name w:val="正文1"/>
    <w:basedOn w:val="1"/>
    <w:qFormat/>
    <w:uiPriority w:val="0"/>
    <w:pPr>
      <w:spacing w:line="560" w:lineRule="exact"/>
      <w:ind w:firstLine="200" w:firstLineChars="200"/>
    </w:pPr>
    <w:rPr>
      <w:rFonts w:ascii="宋体" w:hAnsi="宋体" w:cs="宋体"/>
      <w:sz w:val="28"/>
      <w:szCs w:val="28"/>
    </w:rPr>
  </w:style>
  <w:style w:type="paragraph" w:customStyle="1" w:styleId="131">
    <w:name w:val="Table Paragraph"/>
    <w:basedOn w:val="1"/>
    <w:qFormat/>
    <w:uiPriority w:val="1"/>
    <w:pPr>
      <w:autoSpaceDE w:val="0"/>
      <w:autoSpaceDN w:val="0"/>
      <w:adjustRightInd w:val="0"/>
      <w:jc w:val="left"/>
    </w:pPr>
    <w:rPr>
      <w:rFonts w:ascii="Times New Roman" w:hAnsi="Times New Roman" w:cs="Times New Roman"/>
      <w:kern w:val="0"/>
      <w:sz w:val="24"/>
    </w:rPr>
  </w:style>
  <w:style w:type="paragraph" w:customStyle="1" w:styleId="132">
    <w:name w:val="图表内容"/>
    <w:basedOn w:val="1"/>
    <w:qFormat/>
    <w:uiPriority w:val="0"/>
    <w:pPr>
      <w:jc w:val="center"/>
    </w:pPr>
    <w:rPr>
      <w:kern w:val="0"/>
      <w:szCs w:val="21"/>
    </w:rPr>
  </w:style>
  <w:style w:type="character" w:customStyle="1" w:styleId="133">
    <w:name w:val="标题 2 Char"/>
    <w:link w:val="6"/>
    <w:qFormat/>
    <w:uiPriority w:val="0"/>
    <w:rPr>
      <w:rFonts w:ascii="Cambria" w:hAnsi="Cambria"/>
      <w:b/>
      <w:bCs/>
      <w:sz w:val="32"/>
      <w:szCs w:val="32"/>
    </w:rPr>
  </w:style>
  <w:style w:type="character" w:customStyle="1" w:styleId="134">
    <w:name w:val="副标题 Char"/>
    <w:basedOn w:val="29"/>
    <w:link w:val="22"/>
    <w:uiPriority w:val="0"/>
    <w:rPr>
      <w:rFonts w:ascii="Calibri" w:hAnsi="Calibri" w:eastAsia="仿宋_GB2312"/>
      <w:bCs/>
      <w:kern w:val="28"/>
      <w:szCs w:val="32"/>
    </w:rPr>
  </w:style>
  <w:style w:type="character" w:customStyle="1" w:styleId="135">
    <w:name w:val="表头 Char1"/>
    <w:link w:val="2"/>
    <w:uiPriority w:val="0"/>
    <w:rPr>
      <w:rFonts w:ascii="Calibri" w:hAnsi="Calibri" w:eastAsia="黑体" w:cstheme="minorBidi"/>
      <w:kern w:val="2"/>
      <w:sz w:val="28"/>
      <w:szCs w:val="24"/>
    </w:rPr>
  </w:style>
  <w:style w:type="character" w:customStyle="1" w:styleId="136">
    <w:name w:val="正文样式 Char"/>
    <w:basedOn w:val="29"/>
    <w:link w:val="42"/>
    <w:qFormat/>
    <w:uiPriority w:val="0"/>
    <w:rPr>
      <w:rFonts w:ascii="宋体" w:hAnsi="宋体" w:cstheme="minorBidi"/>
      <w:sz w:val="24"/>
    </w:rPr>
  </w:style>
  <w:style w:type="character" w:customStyle="1" w:styleId="137">
    <w:name w:val="正文文本 3 Char"/>
    <w:basedOn w:val="29"/>
    <w:link w:val="13"/>
    <w:uiPriority w:val="99"/>
    <w:rPr>
      <w:sz w:val="16"/>
      <w:szCs w:val="16"/>
    </w:rPr>
  </w:style>
  <w:style w:type="paragraph" w:customStyle="1" w:styleId="138">
    <w:name w:val="正文我"/>
    <w:qFormat/>
    <w:uiPriority w:val="0"/>
    <w:pPr>
      <w:widowControl w:val="0"/>
      <w:adjustRightInd w:val="0"/>
      <w:snapToGrid w:val="0"/>
      <w:spacing w:line="360" w:lineRule="auto"/>
      <w:ind w:firstLine="480" w:firstLineChars="200"/>
    </w:pPr>
    <w:rPr>
      <w:rFonts w:ascii="宋体" w:hAnsi="Times New Roman" w:eastAsia="仿宋_GB2312" w:cs="Times New Roman"/>
      <w:snapToGrid w:val="0"/>
      <w:color w:val="000000"/>
      <w:kern w:val="2"/>
      <w:sz w:val="24"/>
      <w:szCs w:val="24"/>
      <w:lang w:val="en-US" w:eastAsia="zh-CN" w:bidi="ar-SA"/>
    </w:rPr>
  </w:style>
  <w:style w:type="paragraph" w:customStyle="1" w:styleId="139">
    <w:name w:val="Table Text"/>
    <w:basedOn w:val="1"/>
    <w:semiHidden/>
    <w:qFormat/>
    <w:uiPriority w:val="0"/>
    <w:rPr>
      <w:rFonts w:ascii="宋体" w:hAnsi="宋体" w:eastAsia="宋体" w:cs="宋体"/>
      <w:sz w:val="20"/>
      <w:szCs w:val="20"/>
      <w:lang w:eastAsia="en-US"/>
    </w:rPr>
  </w:style>
  <w:style w:type="character" w:customStyle="1" w:styleId="140">
    <w:name w:val="我 Char"/>
    <w:link w:val="141"/>
    <w:qFormat/>
    <w:locked/>
    <w:uiPriority w:val="0"/>
    <w:rPr>
      <w:rFonts w:ascii="宋体" w:hAnsi="宋体" w:cs="宋体"/>
      <w:sz w:val="24"/>
    </w:rPr>
  </w:style>
  <w:style w:type="paragraph" w:customStyle="1" w:styleId="141">
    <w:name w:val="我"/>
    <w:basedOn w:val="1"/>
    <w:link w:val="140"/>
    <w:qFormat/>
    <w:uiPriority w:val="0"/>
    <w:pPr>
      <w:spacing w:line="360" w:lineRule="auto"/>
      <w:ind w:firstLine="640" w:firstLineChars="200"/>
    </w:pPr>
    <w:rPr>
      <w:rFonts w:ascii="宋体" w:hAnsi="宋体" w:eastAsia="宋体" w:cs="宋体"/>
      <w:kern w:val="0"/>
      <w:sz w:val="24"/>
      <w:szCs w:val="20"/>
    </w:rPr>
  </w:style>
  <w:style w:type="paragraph" w:customStyle="1" w:styleId="142">
    <w:name w:val="报告书正文"/>
    <w:basedOn w:val="1"/>
    <w:next w:val="1"/>
    <w:qFormat/>
    <w:uiPriority w:val="0"/>
    <w:pPr>
      <w:adjustRightInd w:val="0"/>
      <w:snapToGrid w:val="0"/>
      <w:spacing w:line="360" w:lineRule="auto"/>
      <w:ind w:left="113" w:right="113" w:firstLine="200" w:firstLineChars="200"/>
      <w:jc w:val="left"/>
      <w:textAlignment w:val="baseline"/>
    </w:pPr>
    <w:rPr>
      <w:rFonts w:ascii="Times New Roman" w:hAnsi="Times New Roman" w:eastAsia="宋体" w:cs="Times New Roman"/>
      <w:kern w:val="0"/>
      <w:sz w:val="24"/>
      <w:szCs w:val="20"/>
    </w:rPr>
  </w:style>
  <w:style w:type="character" w:customStyle="1" w:styleId="143">
    <w:name w:val="正文文本缩进 2 Char"/>
    <w:basedOn w:val="29"/>
    <w:link w:val="17"/>
    <w:semiHidden/>
    <w:uiPriority w:val="99"/>
    <w:rPr>
      <w:rFonts w:asciiTheme="minorHAnsi" w:hAnsiTheme="minorHAnsi" w:eastAsiaTheme="minorEastAsia" w:cstheme="minorBidi"/>
      <w:kern w:val="2"/>
      <w:sz w:val="21"/>
      <w:szCs w:val="22"/>
    </w:rPr>
  </w:style>
  <w:style w:type="table" w:customStyle="1" w:styleId="1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tailEnd type="triangle" w="med" len="me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F9A1-7E50-4B2F-94A2-E9A47A534F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4943</Words>
  <Characters>28176</Characters>
  <Lines>234</Lines>
  <Paragraphs>66</Paragraphs>
  <TotalTime>34</TotalTime>
  <ScaleCrop>false</ScaleCrop>
  <LinksUpToDate>false</LinksUpToDate>
  <CharactersWithSpaces>33053</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2026-04-15T10:05:00Z</dcterms:created>
  <dc:creator>微软用户</dc:creator>
  <cp:lastModifiedBy>Administrator</cp:lastModifiedBy>
  <dcterms:modified xsi:type="dcterms:W3CDTF">2026-04-16T11:48:58Z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28C64CBEFF7745C1AB8AD056897B35D2</vt:lpwstr>
  </property>
</Properties>
</file>