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39451">
      <w:pPr>
        <w:ind w:firstLine="420" w:firstLineChars="200"/>
      </w:pPr>
      <w:sdt>
        <w:sdtPr>
          <w:rPr>
            <w:rFonts w:ascii="宋体" w:hAnsi="宋体" w:eastAsia="宋体" w:cs="Times New Roman"/>
            <w:kern w:val="2"/>
            <w:sz w:val="21"/>
            <w:szCs w:val="24"/>
            <w:lang w:val="en-US" w:eastAsia="zh-CN" w:bidi="ar-SA"/>
          </w:rPr>
          <w:id w:val="147478965"/>
          <w:showingPlcHdr/>
          <w15:color w:val="DBDBDB"/>
          <w:docPartObj>
            <w:docPartGallery w:val="Table of Contents"/>
            <w:docPartUnique/>
          </w:docPartObj>
        </w:sdtPr>
        <w:sdtEndPr>
          <w:rPr>
            <w:rFonts w:hint="eastAsia" w:ascii="Times New Roman" w:hAnsi="Times New Roman" w:eastAsia="宋体" w:cs="Times New Roman"/>
            <w:b/>
            <w:color w:val="0000FF"/>
            <w:kern w:val="2"/>
            <w:sz w:val="32"/>
            <w:szCs w:val="32"/>
            <w:lang w:val="en-US" w:eastAsia="zh-CN" w:bidi="ar-SA"/>
          </w:rPr>
        </w:sdtEndPr>
        <w:sdtContent>
          <w:bookmarkStart w:id="0" w:name="_Toc22579"/>
          <w:r>
            <w:rPr>
              <w:rFonts w:hint="eastAsia" w:ascii="宋体" w:hAnsi="宋体" w:cs="Times New Roman"/>
              <w:kern w:val="2"/>
              <w:sz w:val="21"/>
              <w:szCs w:val="24"/>
              <w:lang w:val="en-US" w:eastAsia="zh-CN" w:bidi="ar-SA"/>
            </w:rPr>
            <w:t xml:space="preserve">     </w:t>
          </w:r>
        </w:sdtContent>
      </w:sdt>
    </w:p>
    <w:p w14:paraId="078A8EA0">
      <w:pPr>
        <w:pStyle w:val="5"/>
        <w:pageBreakBefore w:val="0"/>
        <w:wordWrap w:val="0"/>
        <w:bidi w:val="0"/>
        <w:jc w:val="center"/>
        <w:rPr>
          <w:rFonts w:hint="eastAsia"/>
          <w:color w:val="auto"/>
        </w:rPr>
      </w:pPr>
      <w:r>
        <w:rPr>
          <w:rFonts w:hint="eastAsia"/>
          <w:color w:val="auto"/>
        </w:rPr>
        <w:t>一、建设项目基本情况</w:t>
      </w:r>
      <w:bookmarkEnd w:id="0"/>
    </w:p>
    <w:tbl>
      <w:tblPr>
        <w:tblStyle w:val="2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78"/>
        <w:gridCol w:w="2124"/>
        <w:gridCol w:w="1864"/>
        <w:gridCol w:w="3088"/>
      </w:tblGrid>
      <w:tr w14:paraId="5C77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78" w:type="dxa"/>
            <w:tcBorders>
              <w:tl2br w:val="nil"/>
              <w:tr2bl w:val="nil"/>
            </w:tcBorders>
            <w:noWrap w:val="0"/>
            <w:tcMar>
              <w:top w:w="16" w:type="dxa"/>
              <w:left w:w="16" w:type="dxa"/>
              <w:right w:w="16" w:type="dxa"/>
            </w:tcMar>
            <w:vAlign w:val="center"/>
          </w:tcPr>
          <w:p w14:paraId="50999154">
            <w:pPr>
              <w:pStyle w:val="37"/>
              <w:pageBreakBefore w:val="0"/>
              <w:wordWrap w:val="0"/>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建设项目名称</w:t>
            </w:r>
          </w:p>
        </w:tc>
        <w:tc>
          <w:tcPr>
            <w:tcW w:w="7076" w:type="dxa"/>
            <w:gridSpan w:val="3"/>
            <w:tcBorders>
              <w:tl2br w:val="nil"/>
              <w:tr2bl w:val="nil"/>
            </w:tcBorders>
            <w:noWrap w:val="0"/>
            <w:vAlign w:val="center"/>
          </w:tcPr>
          <w:p w14:paraId="4FE9AC8D">
            <w:pPr>
              <w:keepNext w:val="0"/>
              <w:keepLines w:val="0"/>
              <w:pageBreakBefore w:val="0"/>
              <w:suppressLineNumbers w:val="0"/>
              <w:wordWrap w:val="0"/>
              <w:bidi w:val="0"/>
              <w:spacing w:before="0" w:beforeAutospacing="0" w:after="0" w:afterAutospacing="0" w:line="240" w:lineRule="auto"/>
              <w:ind w:left="0" w:leftChars="0" w:right="0" w:firstLine="0" w:firstLineChars="0"/>
              <w:jc w:val="center"/>
              <w:rPr>
                <w:rFonts w:hint="default" w:ascii="Times New Roman" w:hAnsi="Times New Roman" w:eastAsia="宋体" w:cs="Times New Roman"/>
                <w:color w:val="auto"/>
                <w:sz w:val="24"/>
                <w:szCs w:val="24"/>
              </w:rPr>
            </w:pPr>
            <w:r>
              <w:rPr>
                <w:rFonts w:hint="eastAsia" w:cs="Times New Roman"/>
                <w:color w:val="auto"/>
                <w:kern w:val="2"/>
                <w:sz w:val="24"/>
                <w:szCs w:val="24"/>
                <w:lang w:val="en-US" w:eastAsia="zh-CN" w:bidi="ar-SA"/>
              </w:rPr>
              <w:t>新疆润垚混凝土有限公司田光地商砼站建设项目</w:t>
            </w:r>
          </w:p>
        </w:tc>
      </w:tr>
      <w:tr w14:paraId="4EF1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78" w:type="dxa"/>
            <w:tcBorders>
              <w:tl2br w:val="nil"/>
              <w:tr2bl w:val="nil"/>
            </w:tcBorders>
            <w:noWrap w:val="0"/>
            <w:tcMar>
              <w:top w:w="16" w:type="dxa"/>
              <w:left w:w="16" w:type="dxa"/>
              <w:right w:w="16" w:type="dxa"/>
            </w:tcMar>
            <w:vAlign w:val="center"/>
          </w:tcPr>
          <w:p w14:paraId="688013A8">
            <w:pPr>
              <w:pStyle w:val="37"/>
              <w:pageBreakBefore w:val="0"/>
              <w:wordWrap w:val="0"/>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国民经济</w:t>
            </w:r>
          </w:p>
          <w:p w14:paraId="35DE0C58">
            <w:pPr>
              <w:pStyle w:val="37"/>
              <w:pageBreakBefore w:val="0"/>
              <w:wordWrap w:val="0"/>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行业类别</w:t>
            </w:r>
          </w:p>
        </w:tc>
        <w:tc>
          <w:tcPr>
            <w:tcW w:w="2124" w:type="dxa"/>
            <w:tcBorders>
              <w:tl2br w:val="nil"/>
              <w:tr2bl w:val="nil"/>
            </w:tcBorders>
            <w:noWrap w:val="0"/>
            <w:vAlign w:val="center"/>
          </w:tcPr>
          <w:p w14:paraId="171B684B">
            <w:pPr>
              <w:pStyle w:val="37"/>
              <w:pageBreakBefore w:val="0"/>
              <w:wordWrap w:val="0"/>
              <w:bidi w:val="0"/>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C3029其他水泥类似制品制造</w:t>
            </w:r>
          </w:p>
        </w:tc>
        <w:tc>
          <w:tcPr>
            <w:tcW w:w="1864" w:type="dxa"/>
            <w:tcBorders>
              <w:tl2br w:val="nil"/>
              <w:tr2bl w:val="nil"/>
            </w:tcBorders>
            <w:noWrap w:val="0"/>
            <w:vAlign w:val="center"/>
          </w:tcPr>
          <w:p w14:paraId="463B9494">
            <w:pPr>
              <w:pStyle w:val="37"/>
              <w:pageBreakBefore w:val="0"/>
              <w:wordWrap w:val="0"/>
              <w:bidi w:val="0"/>
              <w:rPr>
                <w:rFonts w:hint="default" w:ascii="Times New Roman" w:hAnsi="Times New Roman" w:eastAsia="宋体" w:cs="Times New Roman"/>
                <w:color w:val="auto"/>
                <w:sz w:val="24"/>
                <w:szCs w:val="24"/>
              </w:rPr>
            </w:pPr>
            <w:bookmarkStart w:id="1" w:name="_Hlk49843745"/>
            <w:r>
              <w:rPr>
                <w:rFonts w:hint="default" w:ascii="Times New Roman" w:hAnsi="Times New Roman" w:eastAsia="宋体" w:cs="Times New Roman"/>
                <w:color w:val="auto"/>
                <w:sz w:val="24"/>
                <w:szCs w:val="24"/>
              </w:rPr>
              <w:t>建设项目</w:t>
            </w:r>
          </w:p>
          <w:p w14:paraId="294B3A45">
            <w:pPr>
              <w:pStyle w:val="37"/>
              <w:pageBreakBefore w:val="0"/>
              <w:wordWrap w:val="0"/>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行业类别</w:t>
            </w:r>
            <w:bookmarkEnd w:id="1"/>
          </w:p>
        </w:tc>
        <w:tc>
          <w:tcPr>
            <w:tcW w:w="3088" w:type="dxa"/>
            <w:tcBorders>
              <w:tl2br w:val="nil"/>
              <w:tr2bl w:val="nil"/>
            </w:tcBorders>
            <w:noWrap w:val="0"/>
            <w:vAlign w:val="center"/>
          </w:tcPr>
          <w:p w14:paraId="1C5059AE">
            <w:pPr>
              <w:keepNext w:val="0"/>
              <w:keepLines w:val="0"/>
              <w:pageBreakBefore w:val="0"/>
              <w:widowControl w:val="0"/>
              <w:kinsoku/>
              <w:wordWrap w:val="0"/>
              <w:overflowPunct/>
              <w:topLinePunct w:val="0"/>
              <w:autoSpaceDE/>
              <w:autoSpaceDN/>
              <w:bidi w:val="0"/>
              <w:adjustRightInd/>
              <w:snapToGrid/>
              <w:spacing w:line="240" w:lineRule="auto"/>
              <w:ind w:left="120" w:leftChars="50" w:right="0" w:rightChars="0" w:firstLine="0" w:firstLineChars="0"/>
              <w:jc w:val="left"/>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1"/>
              </w:rPr>
              <w:t>二十七、非金属矿物制品业</w:t>
            </w:r>
            <w:r>
              <w:rPr>
                <w:rFonts w:hint="eastAsia" w:cs="Times New Roman"/>
                <w:color w:val="auto"/>
                <w:sz w:val="24"/>
                <w:szCs w:val="21"/>
                <w:lang w:val="en-US" w:eastAsia="zh-CN"/>
              </w:rPr>
              <w:t>30</w:t>
            </w:r>
            <w:r>
              <w:rPr>
                <w:rFonts w:hint="default" w:ascii="Times New Roman" w:hAnsi="Times New Roman" w:eastAsia="宋体" w:cs="Times New Roman"/>
                <w:color w:val="auto"/>
                <w:sz w:val="24"/>
                <w:szCs w:val="21"/>
                <w:lang w:val="en-US" w:eastAsia="zh-CN"/>
              </w:rPr>
              <w:t>-55、石膏、水泥制品及类似制品制造302</w:t>
            </w:r>
          </w:p>
        </w:tc>
      </w:tr>
      <w:tr w14:paraId="152D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278" w:type="dxa"/>
            <w:tcBorders>
              <w:tl2br w:val="nil"/>
              <w:tr2bl w:val="nil"/>
            </w:tcBorders>
            <w:noWrap w:val="0"/>
            <w:tcMar>
              <w:top w:w="16" w:type="dxa"/>
              <w:left w:w="16" w:type="dxa"/>
              <w:right w:w="16" w:type="dxa"/>
            </w:tcMar>
            <w:vAlign w:val="center"/>
          </w:tcPr>
          <w:p w14:paraId="075B0BD9">
            <w:pPr>
              <w:pStyle w:val="37"/>
              <w:pageBreakBefore w:val="0"/>
              <w:wordWrap w:val="0"/>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建设性质</w:t>
            </w:r>
          </w:p>
        </w:tc>
        <w:tc>
          <w:tcPr>
            <w:tcW w:w="2124" w:type="dxa"/>
            <w:tcBorders>
              <w:tl2br w:val="nil"/>
              <w:tr2bl w:val="nil"/>
            </w:tcBorders>
            <w:noWrap w:val="0"/>
            <w:vAlign w:val="center"/>
          </w:tcPr>
          <w:p w14:paraId="2FADA85B">
            <w:pPr>
              <w:pStyle w:val="37"/>
              <w:pageBreakBefore w:val="0"/>
              <w:wordWrap w:val="0"/>
              <w:bidi w:val="0"/>
              <w:jc w:val="left"/>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新建（迁建）</w:t>
            </w:r>
          </w:p>
          <w:p w14:paraId="223B35EB">
            <w:pPr>
              <w:pStyle w:val="37"/>
              <w:pageBreakBefore w:val="0"/>
              <w:wordWrap w:val="0"/>
              <w:bidi w:val="0"/>
              <w:jc w:val="left"/>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改建</w:t>
            </w:r>
          </w:p>
          <w:p w14:paraId="02BDBDE0">
            <w:pPr>
              <w:pStyle w:val="37"/>
              <w:pageBreakBefore w:val="0"/>
              <w:wordWrap w:val="0"/>
              <w:bidi w:val="0"/>
              <w:jc w:val="left"/>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扩建</w:t>
            </w:r>
          </w:p>
          <w:p w14:paraId="143E4893">
            <w:pPr>
              <w:pStyle w:val="37"/>
              <w:pageBreakBefore w:val="0"/>
              <w:wordWrap w:val="0"/>
              <w:bidi w:val="0"/>
              <w:jc w:val="left"/>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技术改造</w:t>
            </w:r>
          </w:p>
        </w:tc>
        <w:tc>
          <w:tcPr>
            <w:tcW w:w="1864" w:type="dxa"/>
            <w:tcBorders>
              <w:tl2br w:val="nil"/>
              <w:tr2bl w:val="nil"/>
            </w:tcBorders>
            <w:noWrap w:val="0"/>
            <w:vAlign w:val="center"/>
          </w:tcPr>
          <w:p w14:paraId="0921F9FB">
            <w:pPr>
              <w:pStyle w:val="37"/>
              <w:pageBreakBefore w:val="0"/>
              <w:wordWrap w:val="0"/>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w:t>
            </w:r>
          </w:p>
          <w:p w14:paraId="75958D50">
            <w:pPr>
              <w:pStyle w:val="37"/>
              <w:pageBreakBefore w:val="0"/>
              <w:wordWrap w:val="0"/>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申报情形</w:t>
            </w:r>
          </w:p>
        </w:tc>
        <w:tc>
          <w:tcPr>
            <w:tcW w:w="3088" w:type="dxa"/>
            <w:tcBorders>
              <w:tl2br w:val="nil"/>
              <w:tr2bl w:val="nil"/>
            </w:tcBorders>
            <w:noWrap w:val="0"/>
            <w:vAlign w:val="center"/>
          </w:tcPr>
          <w:p w14:paraId="36CFFBE5">
            <w:pPr>
              <w:pStyle w:val="37"/>
              <w:pageBreakBefore w:val="0"/>
              <w:wordWrap w:val="0"/>
              <w:bidi w:val="0"/>
              <w:jc w:val="left"/>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default" w:ascii="Times New Roman" w:hAnsi="Times New Roman" w:eastAsia="宋体" w:cs="Times New Roman"/>
                <w:color w:val="auto"/>
                <w:sz w:val="24"/>
                <w:szCs w:val="24"/>
              </w:rPr>
              <w:t>首次申报项目</w:t>
            </w:r>
          </w:p>
          <w:p w14:paraId="04F49705">
            <w:pPr>
              <w:pStyle w:val="37"/>
              <w:pageBreakBefore w:val="0"/>
              <w:wordWrap w:val="0"/>
              <w:bidi w:val="0"/>
              <w:jc w:val="left"/>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default" w:ascii="Times New Roman" w:hAnsi="Times New Roman" w:eastAsia="宋体" w:cs="Times New Roman"/>
                <w:color w:val="auto"/>
                <w:sz w:val="24"/>
                <w:szCs w:val="24"/>
              </w:rPr>
              <w:t>不予批准后再次申报项目</w:t>
            </w:r>
          </w:p>
          <w:p w14:paraId="072672FF">
            <w:pPr>
              <w:pStyle w:val="37"/>
              <w:pageBreakBefore w:val="0"/>
              <w:wordWrap w:val="0"/>
              <w:bidi w:val="0"/>
              <w:jc w:val="left"/>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超五年重新审核项目     </w:t>
            </w:r>
          </w:p>
          <w:p w14:paraId="1B1503FE">
            <w:pPr>
              <w:pStyle w:val="37"/>
              <w:pageBreakBefore w:val="0"/>
              <w:wordWrap w:val="0"/>
              <w:bidi w:val="0"/>
              <w:jc w:val="left"/>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default" w:ascii="Times New Roman" w:hAnsi="Times New Roman" w:eastAsia="宋体" w:cs="Times New Roman"/>
                <w:color w:val="auto"/>
                <w:sz w:val="24"/>
                <w:szCs w:val="24"/>
              </w:rPr>
              <w:t>重大变动重新报批项目</w:t>
            </w:r>
          </w:p>
        </w:tc>
      </w:tr>
      <w:tr w14:paraId="4901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278" w:type="dxa"/>
            <w:tcBorders>
              <w:tl2br w:val="nil"/>
              <w:tr2bl w:val="nil"/>
            </w:tcBorders>
            <w:noWrap w:val="0"/>
            <w:tcMar>
              <w:top w:w="16" w:type="dxa"/>
              <w:left w:w="16" w:type="dxa"/>
              <w:right w:w="16" w:type="dxa"/>
            </w:tcMar>
            <w:vAlign w:val="center"/>
          </w:tcPr>
          <w:p w14:paraId="6C7507F9">
            <w:pPr>
              <w:pStyle w:val="37"/>
              <w:pageBreakBefore w:val="0"/>
              <w:wordWrap w:val="0"/>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项目审批（核准/</w:t>
            </w:r>
          </w:p>
          <w:p w14:paraId="43119441">
            <w:pPr>
              <w:pStyle w:val="37"/>
              <w:pageBreakBefore w:val="0"/>
              <w:wordWrap w:val="0"/>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备案）部门（选填）</w:t>
            </w:r>
          </w:p>
        </w:tc>
        <w:tc>
          <w:tcPr>
            <w:tcW w:w="2124" w:type="dxa"/>
            <w:tcBorders>
              <w:tl2br w:val="nil"/>
              <w:tr2bl w:val="nil"/>
            </w:tcBorders>
            <w:noWrap w:val="0"/>
            <w:vAlign w:val="center"/>
          </w:tcPr>
          <w:p w14:paraId="5A3A11A3">
            <w:pPr>
              <w:pStyle w:val="37"/>
              <w:pageBreakBefore w:val="0"/>
              <w:wordWrap w:val="0"/>
              <w:bidi w:val="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托克逊县发展和改革委员会</w:t>
            </w:r>
          </w:p>
        </w:tc>
        <w:tc>
          <w:tcPr>
            <w:tcW w:w="1864" w:type="dxa"/>
            <w:tcBorders>
              <w:tl2br w:val="nil"/>
              <w:tr2bl w:val="nil"/>
            </w:tcBorders>
            <w:noWrap w:val="0"/>
            <w:vAlign w:val="center"/>
          </w:tcPr>
          <w:p w14:paraId="35D1D1C8">
            <w:pPr>
              <w:pStyle w:val="37"/>
              <w:pageBreakBefore w:val="0"/>
              <w:wordWrap w:val="0"/>
              <w:bidi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w:t>
            </w:r>
          </w:p>
          <w:p w14:paraId="4384F945">
            <w:pPr>
              <w:pStyle w:val="37"/>
              <w:pageBreakBefore w:val="0"/>
              <w:wordWrap w:val="0"/>
              <w:bidi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备案）文号（选填）</w:t>
            </w:r>
          </w:p>
        </w:tc>
        <w:tc>
          <w:tcPr>
            <w:tcW w:w="3088" w:type="dxa"/>
            <w:tcBorders>
              <w:tl2br w:val="nil"/>
              <w:tr2bl w:val="nil"/>
            </w:tcBorders>
            <w:noWrap w:val="0"/>
            <w:vAlign w:val="center"/>
          </w:tcPr>
          <w:p w14:paraId="708FDD2F">
            <w:pPr>
              <w:pStyle w:val="37"/>
              <w:pageBreakBefore w:val="0"/>
              <w:wordWrap w:val="0"/>
              <w:bidi w:val="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14:paraId="7F41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2278" w:type="dxa"/>
            <w:tcBorders>
              <w:tl2br w:val="nil"/>
              <w:tr2bl w:val="nil"/>
            </w:tcBorders>
            <w:noWrap w:val="0"/>
            <w:vAlign w:val="center"/>
          </w:tcPr>
          <w:p w14:paraId="440DA4D0">
            <w:pPr>
              <w:pStyle w:val="37"/>
              <w:pageBreakBefore w:val="0"/>
              <w:wordWrap w:val="0"/>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专项评价设置情况</w:t>
            </w:r>
          </w:p>
        </w:tc>
        <w:tc>
          <w:tcPr>
            <w:tcW w:w="7076" w:type="dxa"/>
            <w:gridSpan w:val="3"/>
            <w:tcBorders>
              <w:tl2br w:val="nil"/>
              <w:tr2bl w:val="nil"/>
            </w:tcBorders>
            <w:noWrap w:val="0"/>
            <w:vAlign w:val="center"/>
          </w:tcPr>
          <w:p w14:paraId="2BCAF8F8">
            <w:pPr>
              <w:pStyle w:val="37"/>
              <w:pageBreakBefore w:val="0"/>
              <w:wordWrap w:val="0"/>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无</w:t>
            </w:r>
          </w:p>
        </w:tc>
      </w:tr>
      <w:tr w14:paraId="7937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78" w:type="dxa"/>
            <w:tcBorders>
              <w:tl2br w:val="nil"/>
              <w:tr2bl w:val="nil"/>
            </w:tcBorders>
            <w:noWrap w:val="0"/>
            <w:vAlign w:val="center"/>
          </w:tcPr>
          <w:p w14:paraId="5CFDC437">
            <w:pPr>
              <w:pStyle w:val="37"/>
              <w:pageBreakBefore w:val="0"/>
              <w:wordWrap w:val="0"/>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规划情况</w:t>
            </w:r>
          </w:p>
        </w:tc>
        <w:tc>
          <w:tcPr>
            <w:tcW w:w="7076" w:type="dxa"/>
            <w:gridSpan w:val="3"/>
            <w:tcBorders>
              <w:tl2br w:val="nil"/>
              <w:tr2bl w:val="nil"/>
            </w:tcBorders>
            <w:noWrap w:val="0"/>
            <w:vAlign w:val="center"/>
          </w:tcPr>
          <w:p w14:paraId="6F3DF0B7">
            <w:pPr>
              <w:pStyle w:val="37"/>
              <w:pageBreakBefore w:val="0"/>
              <w:wordWrap w:val="0"/>
              <w:bidi w:val="0"/>
              <w:spacing w:line="360" w:lineRule="auto"/>
              <w:jc w:val="center"/>
              <w:rPr>
                <w:rFonts w:hint="default" w:ascii="Times New Roman" w:hAnsi="Times New Roman" w:eastAsia="宋体" w:cs="Times New Roman"/>
                <w:color w:val="auto"/>
                <w:lang w:val="en-US" w:eastAsia="zh-CN"/>
              </w:rPr>
            </w:pPr>
            <w:r>
              <w:rPr>
                <w:rFonts w:hint="eastAsia" w:cs="Times New Roman"/>
                <w:color w:val="auto"/>
                <w:lang w:val="en-US" w:eastAsia="zh-CN"/>
              </w:rPr>
              <w:t>无</w:t>
            </w:r>
          </w:p>
        </w:tc>
      </w:tr>
      <w:tr w14:paraId="04FE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78" w:type="dxa"/>
            <w:tcBorders>
              <w:tl2br w:val="nil"/>
              <w:tr2bl w:val="nil"/>
            </w:tcBorders>
            <w:noWrap w:val="0"/>
            <w:vAlign w:val="center"/>
          </w:tcPr>
          <w:p w14:paraId="2B17A3FB">
            <w:pPr>
              <w:pStyle w:val="37"/>
              <w:pageBreakBefore w:val="0"/>
              <w:wordWrap w:val="0"/>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规划环境影响</w:t>
            </w:r>
          </w:p>
          <w:p w14:paraId="263D21DE">
            <w:pPr>
              <w:pStyle w:val="37"/>
              <w:pageBreakBefore w:val="0"/>
              <w:wordWrap w:val="0"/>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评价情况</w:t>
            </w:r>
          </w:p>
        </w:tc>
        <w:tc>
          <w:tcPr>
            <w:tcW w:w="7076" w:type="dxa"/>
            <w:gridSpan w:val="3"/>
            <w:tcBorders>
              <w:tl2br w:val="nil"/>
              <w:tr2bl w:val="nil"/>
            </w:tcBorders>
            <w:noWrap w:val="0"/>
            <w:vAlign w:val="center"/>
          </w:tcPr>
          <w:p w14:paraId="25439BA7">
            <w:pPr>
              <w:pageBreakBefore w:val="0"/>
              <w:widowControl/>
              <w:wordWrap w:val="0"/>
              <w:bidi w:val="0"/>
              <w:spacing w:line="360" w:lineRule="auto"/>
              <w:ind w:left="0" w:leftChars="0" w:firstLine="0" w:firstLineChars="0"/>
              <w:jc w:val="center"/>
              <w:rPr>
                <w:rFonts w:hint="default" w:ascii="Times New Roman" w:hAnsi="Times New Roman" w:eastAsia="宋体" w:cs="Times New Roman"/>
                <w:color w:val="auto"/>
                <w:lang w:val="en-US" w:eastAsia="zh-CN"/>
              </w:rPr>
            </w:pPr>
            <w:r>
              <w:rPr>
                <w:rFonts w:hint="eastAsia" w:cs="Times New Roman"/>
                <w:color w:val="auto"/>
                <w:lang w:val="en-US" w:eastAsia="zh-CN"/>
              </w:rPr>
              <w:t>无</w:t>
            </w:r>
          </w:p>
        </w:tc>
      </w:tr>
      <w:tr w14:paraId="4D4F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2278" w:type="dxa"/>
            <w:tcBorders>
              <w:tl2br w:val="nil"/>
              <w:tr2bl w:val="nil"/>
            </w:tcBorders>
            <w:noWrap w:val="0"/>
            <w:vAlign w:val="center"/>
          </w:tcPr>
          <w:p w14:paraId="5287552A">
            <w:pPr>
              <w:pStyle w:val="37"/>
              <w:pageBreakBefore w:val="0"/>
              <w:wordWrap w:val="0"/>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规划及规划环境影响评价符合性分析</w:t>
            </w:r>
          </w:p>
        </w:tc>
        <w:tc>
          <w:tcPr>
            <w:tcW w:w="7076" w:type="dxa"/>
            <w:gridSpan w:val="3"/>
            <w:tcBorders>
              <w:tl2br w:val="nil"/>
              <w:tr2bl w:val="nil"/>
            </w:tcBorders>
            <w:noWrap w:val="0"/>
            <w:vAlign w:val="center"/>
          </w:tcPr>
          <w:p w14:paraId="09975099">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无</w:t>
            </w:r>
          </w:p>
        </w:tc>
      </w:tr>
    </w:tbl>
    <w:p w14:paraId="42D141E7">
      <w:pPr>
        <w:pageBreakBefore w:val="0"/>
        <w:wordWrap w:val="0"/>
        <w:bidi w:val="0"/>
        <w:rPr>
          <w:color w:val="0000FF"/>
        </w:rPr>
        <w:sectPr>
          <w:headerReference r:id="rId5" w:type="default"/>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595E4B83">
      <w:pPr>
        <w:pStyle w:val="5"/>
        <w:pageBreakBefore w:val="0"/>
        <w:wordWrap w:val="0"/>
        <w:bidi w:val="0"/>
        <w:jc w:val="center"/>
        <w:rPr>
          <w:color w:val="auto"/>
          <w:highlight w:val="none"/>
        </w:rPr>
      </w:pPr>
      <w:bookmarkStart w:id="2" w:name="_Toc6940"/>
      <w:r>
        <w:rPr>
          <w:rFonts w:hint="eastAsia"/>
          <w:color w:val="auto"/>
          <w:highlight w:val="none"/>
        </w:rPr>
        <w:t>二、建设项目工程分析</w:t>
      </w:r>
      <w:bookmarkEnd w:id="2"/>
    </w:p>
    <w:tbl>
      <w:tblPr>
        <w:tblStyle w:val="28"/>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8189"/>
      </w:tblGrid>
      <w:tr w14:paraId="6DFF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872" w:type="dxa"/>
            <w:tcBorders>
              <w:tl2br w:val="nil"/>
              <w:tr2bl w:val="nil"/>
            </w:tcBorders>
            <w:noWrap w:val="0"/>
            <w:vAlign w:val="center"/>
          </w:tcPr>
          <w:p w14:paraId="4B151C61">
            <w:pPr>
              <w:pStyle w:val="37"/>
              <w:pageBreakBefore w:val="0"/>
              <w:wordWrap w:val="0"/>
              <w:bidi w:val="0"/>
              <w:rPr>
                <w:color w:val="auto"/>
                <w:highlight w:val="none"/>
              </w:rPr>
            </w:pPr>
            <w:r>
              <w:rPr>
                <w:rFonts w:hint="eastAsia"/>
                <w:color w:val="auto"/>
                <w:highlight w:val="none"/>
              </w:rPr>
              <w:t>建设内容</w:t>
            </w:r>
          </w:p>
        </w:tc>
        <w:tc>
          <w:tcPr>
            <w:tcW w:w="8189" w:type="dxa"/>
            <w:tcBorders>
              <w:tl2br w:val="nil"/>
              <w:tr2bl w:val="nil"/>
            </w:tcBorders>
            <w:noWrap w:val="0"/>
            <w:vAlign w:val="top"/>
          </w:tcPr>
          <w:p w14:paraId="1C38466B">
            <w:pPr>
              <w:pageBreakBefore w:val="0"/>
              <w:numPr>
                <w:ilvl w:val="0"/>
                <w:numId w:val="2"/>
              </w:numPr>
              <w:wordWrap w:val="0"/>
              <w:bidi w:val="0"/>
              <w:ind w:left="0" w:leftChars="0" w:firstLine="0" w:firstLineChars="0"/>
              <w:rPr>
                <w:rFonts w:hint="eastAsia" w:eastAsia="宋体"/>
                <w:b/>
                <w:bCs/>
                <w:color w:val="auto"/>
                <w:highlight w:val="none"/>
                <w:lang w:eastAsia="zh-CN"/>
              </w:rPr>
            </w:pPr>
            <w:r>
              <w:rPr>
                <w:rFonts w:hint="eastAsia"/>
                <w:b/>
                <w:bCs/>
                <w:color w:val="auto"/>
                <w:highlight w:val="none"/>
                <w:lang w:eastAsia="zh-CN"/>
              </w:rPr>
              <w:t>项目概况</w:t>
            </w:r>
          </w:p>
          <w:p w14:paraId="1B53C104">
            <w:pPr>
              <w:keepNext w:val="0"/>
              <w:keepLines w:val="0"/>
              <w:pageBreakBefore w:val="0"/>
              <w:suppressLineNumbers w:val="0"/>
              <w:wordWrap w:val="0"/>
              <w:bidi w:val="0"/>
              <w:spacing w:before="0" w:beforeAutospacing="0" w:after="0" w:afterAutospacing="0" w:line="360" w:lineRule="auto"/>
              <w:ind w:left="0" w:right="0" w:firstLine="480" w:firstLineChars="200"/>
              <w:rPr>
                <w:rFonts w:hint="eastAsia" w:ascii="Times New Roman" w:hAnsi="Times New Roman" w:eastAsia="宋体" w:cs="Times New Roman"/>
                <w:color w:val="auto"/>
                <w:highlight w:val="none"/>
                <w:lang w:val="en-US" w:eastAsia="zh-CN"/>
              </w:rPr>
            </w:pPr>
            <w:r>
              <w:rPr>
                <w:rFonts w:hint="eastAsia"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1）项目名称：</w:t>
            </w:r>
            <w:r>
              <w:rPr>
                <w:rFonts w:hint="eastAsia" w:cs="Times New Roman"/>
                <w:color w:val="auto"/>
                <w:highlight w:val="none"/>
                <w:lang w:val="en-US" w:eastAsia="zh-CN"/>
              </w:rPr>
              <w:t>新疆润垚混凝土有限公司田光地商砼站建设项目</w:t>
            </w:r>
          </w:p>
          <w:p w14:paraId="0CB638CC">
            <w:pPr>
              <w:keepNext w:val="0"/>
              <w:keepLines w:val="0"/>
              <w:pageBreakBefore w:val="0"/>
              <w:suppressLineNumbers w:val="0"/>
              <w:wordWrap w:val="0"/>
              <w:bidi w:val="0"/>
              <w:spacing w:before="0" w:beforeAutospacing="0" w:after="0" w:afterAutospacing="0" w:line="360" w:lineRule="auto"/>
              <w:ind w:left="0" w:right="0" w:firstLine="480" w:firstLineChars="200"/>
              <w:rPr>
                <w:rFonts w:hint="eastAsia" w:cs="Times New Roman"/>
                <w:color w:val="auto"/>
                <w:highlight w:val="none"/>
                <w:lang w:val="en-US" w:eastAsia="zh-CN"/>
              </w:rPr>
            </w:pPr>
            <w:r>
              <w:rPr>
                <w:rFonts w:hint="eastAsia" w:ascii="Times New Roman" w:hAnsi="Times New Roman" w:eastAsia="宋体" w:cs="Times New Roman"/>
                <w:color w:val="auto"/>
                <w:highlight w:val="none"/>
                <w:lang w:val="en-US" w:eastAsia="zh-CN"/>
              </w:rPr>
              <w:t>（2）建设单位：</w:t>
            </w:r>
            <w:r>
              <w:rPr>
                <w:rFonts w:hint="eastAsia" w:cs="Times New Roman"/>
                <w:color w:val="auto"/>
                <w:highlight w:val="none"/>
                <w:lang w:val="en-US" w:eastAsia="zh-CN"/>
              </w:rPr>
              <w:t>新疆润垚混凝土有限公司</w:t>
            </w:r>
          </w:p>
          <w:p w14:paraId="49C623F9">
            <w:pPr>
              <w:keepNext w:val="0"/>
              <w:keepLines w:val="0"/>
              <w:pageBreakBefore w:val="0"/>
              <w:suppressLineNumbers w:val="0"/>
              <w:wordWrap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FF"/>
                <w:highlight w:val="none"/>
                <w:lang w:val="en-US" w:eastAsia="zh-CN"/>
              </w:rPr>
            </w:pPr>
            <w:r>
              <w:rPr>
                <w:rFonts w:hint="eastAsia" w:ascii="Times New Roman" w:hAnsi="Times New Roman" w:eastAsia="宋体" w:cs="Times New Roman"/>
                <w:color w:val="auto"/>
                <w:highlight w:val="none"/>
                <w:lang w:val="en-US" w:eastAsia="zh-CN"/>
              </w:rPr>
              <w:t>（3）建设性质：新建</w:t>
            </w:r>
          </w:p>
          <w:p w14:paraId="74EBAFFA">
            <w:pPr>
              <w:pageBreakBefore w:val="0"/>
              <w:wordWrap w:val="0"/>
              <w:bidi w:val="0"/>
              <w:ind w:left="0" w:leftChars="0" w:firstLine="0" w:firstLineChars="0"/>
              <w:rPr>
                <w:rFonts w:hint="default"/>
                <w:b/>
                <w:bCs/>
                <w:color w:val="auto"/>
                <w:highlight w:val="none"/>
                <w:lang w:val="en-US" w:eastAsia="zh-CN"/>
              </w:rPr>
            </w:pPr>
            <w:r>
              <w:rPr>
                <w:rFonts w:hint="eastAsia"/>
                <w:b/>
                <w:bCs/>
                <w:color w:val="000000" w:themeColor="text1"/>
                <w:highlight w:val="none"/>
                <w:lang w:val="en-US" w:eastAsia="zh-CN"/>
                <w14:textFill>
                  <w14:solidFill>
                    <w14:schemeClr w14:val="tx1"/>
                  </w14:solidFill>
                </w14:textFill>
              </w:rPr>
              <w:t>2.项目</w:t>
            </w:r>
            <w:r>
              <w:rPr>
                <w:rFonts w:hint="default"/>
                <w:b/>
                <w:bCs/>
                <w:color w:val="000000" w:themeColor="text1"/>
                <w:highlight w:val="none"/>
                <w:lang w:val="en-US" w:eastAsia="zh-CN"/>
                <w14:textFill>
                  <w14:solidFill>
                    <w14:schemeClr w14:val="tx1"/>
                  </w14:solidFill>
                </w14:textFill>
              </w:rPr>
              <w:t>建设</w:t>
            </w:r>
            <w:r>
              <w:rPr>
                <w:rFonts w:hint="eastAsia"/>
                <w:b/>
                <w:bCs/>
                <w:color w:val="auto"/>
                <w:highlight w:val="none"/>
                <w:lang w:val="en-US" w:eastAsia="zh-CN"/>
              </w:rPr>
              <w:t>内容</w:t>
            </w:r>
          </w:p>
          <w:p w14:paraId="2A48530C">
            <w:pPr>
              <w:pageBreakBefore w:val="0"/>
              <w:wordWrap w:val="0"/>
              <w:bidi w:val="0"/>
              <w:ind w:left="0" w:leftChars="0" w:firstLine="0" w:firstLineChars="0"/>
              <w:rPr>
                <w:rFonts w:hint="default" w:eastAsia="宋体"/>
                <w:b/>
                <w:bCs/>
                <w:color w:val="auto"/>
                <w:highlight w:val="none"/>
                <w:lang w:val="en-US" w:eastAsia="zh-CN"/>
              </w:rPr>
            </w:pPr>
            <w:r>
              <w:rPr>
                <w:rFonts w:hint="eastAsia"/>
                <w:b/>
                <w:bCs/>
                <w:color w:val="auto"/>
                <w:highlight w:val="none"/>
                <w:lang w:val="en-US" w:eastAsia="zh-CN"/>
              </w:rPr>
              <w:t>2.1建设内容与规模</w:t>
            </w:r>
          </w:p>
          <w:p w14:paraId="66353693">
            <w:pPr>
              <w:pageBreakBefore w:val="0"/>
              <w:wordWrap w:val="0"/>
              <w:bidi w:val="0"/>
              <w:ind w:left="0" w:leftChars="0" w:firstLine="480" w:firstLineChars="200"/>
              <w:rPr>
                <w:rFonts w:hint="default"/>
                <w:color w:val="auto"/>
                <w:highlight w:val="none"/>
                <w:lang w:val="en-US" w:eastAsia="zh-CN"/>
              </w:rPr>
            </w:pPr>
            <w:r>
              <w:rPr>
                <w:rFonts w:hint="eastAsia"/>
                <w:color w:val="auto"/>
                <w:highlight w:val="none"/>
                <w:lang w:val="en-US" w:eastAsia="zh-CN"/>
              </w:rPr>
              <w:t>本项目建设内容包括商品混凝土生产线2条，以及办公用房、实验室、地磅房、食堂、值班室等附属工程。本项目总用地面积为22205m</w:t>
            </w:r>
            <w:r>
              <w:rPr>
                <w:rFonts w:hint="eastAsia"/>
                <w:color w:val="auto"/>
                <w:highlight w:val="none"/>
                <w:vertAlign w:val="superscript"/>
                <w:lang w:val="en-US" w:eastAsia="zh-CN"/>
              </w:rPr>
              <w:t>2</w:t>
            </w:r>
            <w:r>
              <w:rPr>
                <w:rFonts w:hint="eastAsia"/>
                <w:color w:val="auto"/>
                <w:highlight w:val="none"/>
                <w:lang w:val="en-US" w:eastAsia="zh-CN"/>
              </w:rPr>
              <w:t>。项目建成后年产各种类型和标号商品混凝土25万立方米， 项目具体工程见下表2-1。</w:t>
            </w:r>
          </w:p>
          <w:p w14:paraId="09882920">
            <w:pPr>
              <w:pStyle w:val="36"/>
              <w:pageBreakBefore w:val="0"/>
              <w:wordWrap w:val="0"/>
              <w:bidi w:val="0"/>
              <w:rPr>
                <w:rFonts w:hint="eastAsia"/>
                <w:b/>
                <w:bCs/>
                <w:color w:val="auto"/>
                <w:highlight w:val="none"/>
                <w:lang w:val="en-US" w:eastAsia="zh-CN"/>
              </w:rPr>
            </w:pPr>
            <w:r>
              <w:rPr>
                <w:rFonts w:hint="eastAsia"/>
                <w:b/>
                <w:bCs/>
                <w:color w:val="auto"/>
                <w:highlight w:val="none"/>
                <w:lang w:val="en-US" w:eastAsia="zh-CN"/>
              </w:rPr>
              <w:t>表2-1   建设内容一览表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90"/>
              <w:gridCol w:w="545"/>
              <w:gridCol w:w="935"/>
              <w:gridCol w:w="895"/>
              <w:gridCol w:w="4539"/>
              <w:gridCol w:w="556"/>
            </w:tblGrid>
            <w:tr w14:paraId="728F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50" w:type="pct"/>
                  <w:gridSpan w:val="2"/>
                  <w:noWrap w:val="0"/>
                  <w:vAlign w:val="center"/>
                </w:tcPr>
                <w:p w14:paraId="7EDD901A">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eastAsia="宋体"/>
                      <w:b/>
                      <w:bCs/>
                      <w:color w:val="auto"/>
                      <w:highlight w:val="none"/>
                      <w:lang w:val="en-US" w:eastAsia="zh-CN"/>
                    </w:rPr>
                  </w:pPr>
                  <w:r>
                    <w:rPr>
                      <w:rFonts w:hint="eastAsia"/>
                      <w:b/>
                      <w:bCs/>
                      <w:color w:val="auto"/>
                      <w:highlight w:val="none"/>
                      <w:lang w:val="en-US" w:eastAsia="zh-CN"/>
                    </w:rPr>
                    <w:t>工程类别</w:t>
                  </w:r>
                </w:p>
              </w:tc>
              <w:tc>
                <w:tcPr>
                  <w:tcW w:w="587" w:type="pct"/>
                  <w:noWrap w:val="0"/>
                  <w:vAlign w:val="center"/>
                </w:tcPr>
                <w:p w14:paraId="15111655">
                  <w:pPr>
                    <w:pStyle w:val="36"/>
                    <w:keepNext w:val="0"/>
                    <w:keepLines w:val="0"/>
                    <w:pageBreakBefore w:val="0"/>
                    <w:kinsoku/>
                    <w:wordWrap w:val="0"/>
                    <w:overflowPunct/>
                    <w:topLinePunct w:val="0"/>
                    <w:autoSpaceDE/>
                    <w:autoSpaceDN/>
                    <w:bidi w:val="0"/>
                    <w:adjustRightInd/>
                    <w:snapToGrid/>
                    <w:spacing w:line="240" w:lineRule="auto"/>
                    <w:textAlignment w:val="auto"/>
                    <w:rPr>
                      <w:b/>
                      <w:bCs/>
                      <w:color w:val="auto"/>
                      <w:highlight w:val="none"/>
                    </w:rPr>
                  </w:pPr>
                  <w:r>
                    <w:rPr>
                      <w:rFonts w:hint="eastAsia"/>
                      <w:b/>
                      <w:bCs/>
                      <w:color w:val="auto"/>
                      <w:highlight w:val="none"/>
                    </w:rPr>
                    <w:t>项目</w:t>
                  </w:r>
                </w:p>
              </w:tc>
              <w:tc>
                <w:tcPr>
                  <w:tcW w:w="3412" w:type="pct"/>
                  <w:gridSpan w:val="2"/>
                  <w:noWrap w:val="0"/>
                  <w:vAlign w:val="center"/>
                </w:tcPr>
                <w:p w14:paraId="15FD9B8A">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eastAsia="宋体"/>
                      <w:b/>
                      <w:bCs/>
                      <w:color w:val="auto"/>
                      <w:highlight w:val="none"/>
                      <w:lang w:val="en-US" w:eastAsia="zh-CN"/>
                    </w:rPr>
                  </w:pPr>
                  <w:r>
                    <w:rPr>
                      <w:rFonts w:hint="eastAsia"/>
                      <w:b/>
                      <w:bCs/>
                      <w:color w:val="auto"/>
                      <w:highlight w:val="none"/>
                      <w:lang w:val="en-US" w:eastAsia="zh-CN"/>
                    </w:rPr>
                    <w:t>项目规模</w:t>
                  </w:r>
                </w:p>
              </w:tc>
              <w:tc>
                <w:tcPr>
                  <w:tcW w:w="349" w:type="pct"/>
                  <w:noWrap w:val="0"/>
                  <w:vAlign w:val="center"/>
                </w:tcPr>
                <w:p w14:paraId="19E0DF59">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b/>
                      <w:bCs/>
                      <w:color w:val="auto"/>
                      <w:highlight w:val="none"/>
                    </w:rPr>
                  </w:pPr>
                  <w:r>
                    <w:rPr>
                      <w:rFonts w:hint="eastAsia"/>
                      <w:b/>
                      <w:bCs/>
                      <w:color w:val="auto"/>
                      <w:highlight w:val="none"/>
                    </w:rPr>
                    <w:t>备注</w:t>
                  </w:r>
                </w:p>
              </w:tc>
            </w:tr>
            <w:tr w14:paraId="3154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308" w:type="pct"/>
                  <w:vMerge w:val="restart"/>
                  <w:noWrap w:val="0"/>
                  <w:vAlign w:val="center"/>
                </w:tcPr>
                <w:p w14:paraId="2A662407">
                  <w:pPr>
                    <w:pStyle w:val="36"/>
                    <w:keepNext w:val="0"/>
                    <w:keepLines w:val="0"/>
                    <w:pageBreakBefore w:val="0"/>
                    <w:kinsoku/>
                    <w:wordWrap w:val="0"/>
                    <w:overflowPunct/>
                    <w:topLinePunct w:val="0"/>
                    <w:autoSpaceDE/>
                    <w:autoSpaceDN/>
                    <w:bidi w:val="0"/>
                    <w:adjustRightInd/>
                    <w:snapToGrid/>
                    <w:spacing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主体工程</w:t>
                  </w:r>
                </w:p>
              </w:tc>
              <w:tc>
                <w:tcPr>
                  <w:tcW w:w="342" w:type="pct"/>
                  <w:vMerge w:val="restart"/>
                  <w:noWrap w:val="0"/>
                  <w:vAlign w:val="center"/>
                </w:tcPr>
                <w:p w14:paraId="69CF60A2">
                  <w:pPr>
                    <w:pStyle w:val="36"/>
                    <w:keepNext w:val="0"/>
                    <w:keepLines w:val="0"/>
                    <w:pageBreakBefore w:val="0"/>
                    <w:kinsoku/>
                    <w:wordWrap w:val="0"/>
                    <w:overflowPunct/>
                    <w:topLinePunct w:val="0"/>
                    <w:autoSpaceDE/>
                    <w:autoSpaceDN/>
                    <w:bidi w:val="0"/>
                    <w:adjustRightInd/>
                    <w:snapToGrid/>
                    <w:spacing w:line="240" w:lineRule="auto"/>
                    <w:jc w:val="center"/>
                    <w:textAlignment w:val="auto"/>
                    <w:rPr>
                      <w:rFonts w:hint="eastAsia"/>
                      <w:color w:val="auto"/>
                      <w:highlight w:val="none"/>
                      <w:lang w:val="en-US" w:eastAsia="zh-CN"/>
                    </w:rPr>
                  </w:pPr>
                  <w:r>
                    <w:rPr>
                      <w:rFonts w:hint="eastAsia"/>
                      <w:color w:val="auto"/>
                      <w:highlight w:val="none"/>
                      <w:lang w:val="en-US" w:eastAsia="zh-CN"/>
                    </w:rPr>
                    <w:t>混凝土搅拌站</w:t>
                  </w:r>
                </w:p>
              </w:tc>
              <w:tc>
                <w:tcPr>
                  <w:tcW w:w="587" w:type="pct"/>
                  <w:noWrap w:val="0"/>
                  <w:vAlign w:val="center"/>
                </w:tcPr>
                <w:p w14:paraId="31394DB1">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搅拌区</w:t>
                  </w:r>
                </w:p>
              </w:tc>
              <w:tc>
                <w:tcPr>
                  <w:tcW w:w="3412" w:type="pct"/>
                  <w:gridSpan w:val="2"/>
                  <w:noWrap w:val="0"/>
                  <w:vAlign w:val="center"/>
                </w:tcPr>
                <w:p w14:paraId="5BD566D3">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布置混凝土生产线2条</w:t>
                  </w: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配套</w:t>
                  </w:r>
                  <w:r>
                    <w:rPr>
                      <w:rFonts w:hint="default" w:ascii="Times New Roman" w:hAnsi="Times New Roman" w:eastAsia="宋体" w:cs="Times New Roman"/>
                      <w:color w:val="auto"/>
                      <w:kern w:val="2"/>
                      <w:sz w:val="21"/>
                      <w:szCs w:val="21"/>
                      <w:highlight w:val="none"/>
                      <w:lang w:val="en-US" w:eastAsia="zh-CN" w:bidi="ar-SA"/>
                    </w:rPr>
                    <w:t>水泥筒仓4座，粉煤灰仓4座，</w:t>
                  </w:r>
                  <w:r>
                    <w:rPr>
                      <w:rFonts w:hint="eastAsia" w:ascii="Times New Roman" w:hAnsi="Times New Roman" w:eastAsia="宋体" w:cs="Times New Roman"/>
                      <w:color w:val="auto"/>
                      <w:kern w:val="2"/>
                      <w:sz w:val="21"/>
                      <w:szCs w:val="21"/>
                      <w:highlight w:val="none"/>
                      <w:lang w:val="en-US" w:eastAsia="zh-CN" w:bidi="ar-SA"/>
                    </w:rPr>
                    <w:t>骨料仓、</w:t>
                  </w:r>
                  <w:r>
                    <w:rPr>
                      <w:rFonts w:hint="default" w:ascii="Times New Roman" w:hAnsi="Times New Roman" w:eastAsia="宋体" w:cs="Times New Roman"/>
                      <w:color w:val="auto"/>
                      <w:kern w:val="2"/>
                      <w:sz w:val="21"/>
                      <w:szCs w:val="21"/>
                      <w:highlight w:val="none"/>
                      <w:lang w:val="en-US" w:eastAsia="zh-CN" w:bidi="ar-SA"/>
                    </w:rPr>
                    <w:t>原料输送装置</w:t>
                  </w:r>
                  <w:r>
                    <w:rPr>
                      <w:rFonts w:hint="eastAsia" w:ascii="Times New Roman" w:hAnsi="Times New Roman" w:eastAsia="宋体" w:cs="Times New Roman"/>
                      <w:color w:val="auto"/>
                      <w:kern w:val="2"/>
                      <w:sz w:val="21"/>
                      <w:szCs w:val="21"/>
                      <w:highlight w:val="none"/>
                      <w:lang w:val="en-US" w:eastAsia="zh-CN" w:bidi="ar-SA"/>
                    </w:rPr>
                    <w:t>；</w:t>
                  </w:r>
                </w:p>
              </w:tc>
              <w:tc>
                <w:tcPr>
                  <w:tcW w:w="349" w:type="pct"/>
                  <w:noWrap w:val="0"/>
                  <w:vAlign w:val="center"/>
                </w:tcPr>
                <w:p w14:paraId="027EBF7F">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新建</w:t>
                  </w:r>
                </w:p>
              </w:tc>
            </w:tr>
            <w:tr w14:paraId="3388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7" w:hRule="atLeast"/>
              </w:trPr>
              <w:tc>
                <w:tcPr>
                  <w:tcW w:w="308" w:type="pct"/>
                  <w:vMerge w:val="continue"/>
                  <w:noWrap w:val="0"/>
                  <w:vAlign w:val="center"/>
                </w:tcPr>
                <w:p w14:paraId="3BC67695">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p>
              </w:tc>
              <w:tc>
                <w:tcPr>
                  <w:tcW w:w="342" w:type="pct"/>
                  <w:vMerge w:val="continue"/>
                  <w:noWrap w:val="0"/>
                  <w:vAlign w:val="center"/>
                </w:tcPr>
                <w:p w14:paraId="723243E3">
                  <w:pPr>
                    <w:pStyle w:val="36"/>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color w:val="auto"/>
                      <w:highlight w:val="none"/>
                      <w:lang w:val="en-US" w:eastAsia="zh-CN"/>
                    </w:rPr>
                  </w:pPr>
                </w:p>
              </w:tc>
              <w:tc>
                <w:tcPr>
                  <w:tcW w:w="587" w:type="pct"/>
                  <w:noWrap w:val="0"/>
                  <w:vAlign w:val="center"/>
                </w:tcPr>
                <w:p w14:paraId="32D9FCFB">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b w:val="0"/>
                      <w:bCs w:val="0"/>
                      <w:color w:val="auto"/>
                      <w:highlight w:val="none"/>
                      <w:lang w:val="en-US" w:eastAsia="zh-CN"/>
                    </w:rPr>
                  </w:pPr>
                  <w:r>
                    <w:rPr>
                      <w:rFonts w:hint="eastAsia"/>
                      <w:b w:val="0"/>
                      <w:bCs w:val="0"/>
                      <w:color w:val="auto"/>
                      <w:highlight w:val="none"/>
                      <w:lang w:val="en-US" w:eastAsia="zh-CN"/>
                    </w:rPr>
                    <w:t>搅拌楼</w:t>
                  </w:r>
                </w:p>
              </w:tc>
              <w:tc>
                <w:tcPr>
                  <w:tcW w:w="3412" w:type="pct"/>
                  <w:gridSpan w:val="2"/>
                  <w:noWrap w:val="0"/>
                  <w:vAlign w:val="center"/>
                </w:tcPr>
                <w:p w14:paraId="0B655C6A">
                  <w:pPr>
                    <w:pageBreakBefore w:val="0"/>
                    <w:widowControl/>
                    <w:wordWrap w:val="0"/>
                    <w:bidi w:val="0"/>
                    <w:spacing w:line="240" w:lineRule="auto"/>
                    <w:ind w:left="0" w:leftChars="0" w:firstLine="0" w:firstLineChars="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混凝土搅拌楼2座，配套安装集气罩+袋式除尘器2套</w:t>
                  </w:r>
                  <w:r>
                    <w:rPr>
                      <w:rFonts w:hint="eastAsia" w:ascii="Times New Roman" w:hAnsi="Times New Roman" w:eastAsia="宋体" w:cs="Times New Roman"/>
                      <w:color w:val="auto"/>
                      <w:kern w:val="2"/>
                      <w:sz w:val="21"/>
                      <w:szCs w:val="21"/>
                      <w:highlight w:val="none"/>
                      <w:lang w:val="en-US" w:eastAsia="zh-CN" w:bidi="ar-SA"/>
                    </w:rPr>
                    <w:t>，物料搅拌粉尘经搅拌机自带的布袋除尘器处理后</w:t>
                  </w:r>
                  <w:r>
                    <w:rPr>
                      <w:rFonts w:hint="eastAsia" w:cs="Times New Roman"/>
                      <w:color w:val="auto"/>
                      <w:kern w:val="2"/>
                      <w:sz w:val="21"/>
                      <w:szCs w:val="21"/>
                      <w:highlight w:val="none"/>
                      <w:lang w:val="en-US" w:eastAsia="zh-CN" w:bidi="ar-SA"/>
                    </w:rPr>
                    <w:t>各</w:t>
                  </w:r>
                  <w:r>
                    <w:rPr>
                      <w:rFonts w:hint="eastAsia" w:ascii="Times New Roman" w:hAnsi="Times New Roman" w:eastAsia="宋体" w:cs="Times New Roman"/>
                      <w:color w:val="auto"/>
                      <w:kern w:val="2"/>
                      <w:sz w:val="21"/>
                      <w:szCs w:val="21"/>
                      <w:highlight w:val="none"/>
                      <w:lang w:val="en-US" w:eastAsia="zh-CN" w:bidi="ar-SA"/>
                    </w:rPr>
                    <w:t>通过一根15m高的排气筒（DA001</w:t>
                  </w:r>
                  <w:r>
                    <w:rPr>
                      <w:rFonts w:hint="eastAsia" w:cs="Times New Roman"/>
                      <w:color w:val="auto"/>
                      <w:kern w:val="2"/>
                      <w:sz w:val="21"/>
                      <w:szCs w:val="21"/>
                      <w:highlight w:val="none"/>
                      <w:lang w:val="en-US" w:eastAsia="zh-CN" w:bidi="ar-SA"/>
                    </w:rPr>
                    <w:t>、DA002</w:t>
                  </w:r>
                  <w:r>
                    <w:rPr>
                      <w:rFonts w:hint="eastAsia" w:ascii="Times New Roman" w:hAnsi="Times New Roman" w:eastAsia="宋体" w:cs="Times New Roman"/>
                      <w:color w:val="auto"/>
                      <w:kern w:val="2"/>
                      <w:sz w:val="21"/>
                      <w:szCs w:val="21"/>
                      <w:highlight w:val="none"/>
                      <w:lang w:val="en-US" w:eastAsia="zh-CN" w:bidi="ar-SA"/>
                    </w:rPr>
                    <w:t>）排放；</w:t>
                  </w:r>
                </w:p>
              </w:tc>
              <w:tc>
                <w:tcPr>
                  <w:tcW w:w="349" w:type="pct"/>
                  <w:noWrap w:val="0"/>
                  <w:vAlign w:val="center"/>
                </w:tcPr>
                <w:p w14:paraId="28F9A05B">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新建</w:t>
                  </w:r>
                </w:p>
              </w:tc>
            </w:tr>
            <w:tr w14:paraId="1983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08" w:type="pct"/>
                  <w:vMerge w:val="continue"/>
                  <w:noWrap w:val="0"/>
                  <w:vAlign w:val="center"/>
                </w:tcPr>
                <w:p w14:paraId="303F66E8">
                  <w:pPr>
                    <w:pStyle w:val="36"/>
                    <w:keepNext w:val="0"/>
                    <w:keepLines w:val="0"/>
                    <w:pageBreakBefore w:val="0"/>
                    <w:kinsoku/>
                    <w:wordWrap w:val="0"/>
                    <w:overflowPunct/>
                    <w:topLinePunct w:val="0"/>
                    <w:autoSpaceDE/>
                    <w:autoSpaceDN/>
                    <w:bidi w:val="0"/>
                    <w:adjustRightInd/>
                    <w:snapToGrid/>
                    <w:spacing w:line="240" w:lineRule="auto"/>
                    <w:jc w:val="center"/>
                    <w:textAlignment w:val="auto"/>
                    <w:rPr>
                      <w:rFonts w:hint="default" w:eastAsia="宋体"/>
                      <w:color w:val="auto"/>
                      <w:highlight w:val="none"/>
                      <w:lang w:val="en-US" w:eastAsia="zh-CN"/>
                    </w:rPr>
                  </w:pPr>
                </w:p>
              </w:tc>
              <w:tc>
                <w:tcPr>
                  <w:tcW w:w="342" w:type="pct"/>
                  <w:vMerge w:val="continue"/>
                  <w:noWrap w:val="0"/>
                  <w:vAlign w:val="center"/>
                </w:tcPr>
                <w:p w14:paraId="0468FC03">
                  <w:pPr>
                    <w:pStyle w:val="36"/>
                    <w:keepNext w:val="0"/>
                    <w:keepLines w:val="0"/>
                    <w:pageBreakBefore w:val="0"/>
                    <w:kinsoku/>
                    <w:wordWrap w:val="0"/>
                    <w:overflowPunct/>
                    <w:topLinePunct w:val="0"/>
                    <w:autoSpaceDE/>
                    <w:autoSpaceDN/>
                    <w:bidi w:val="0"/>
                    <w:adjustRightInd/>
                    <w:snapToGrid/>
                    <w:spacing w:line="240" w:lineRule="auto"/>
                    <w:jc w:val="center"/>
                    <w:textAlignment w:val="auto"/>
                    <w:rPr>
                      <w:rFonts w:hint="default" w:eastAsia="宋体"/>
                      <w:color w:val="auto"/>
                      <w:highlight w:val="none"/>
                      <w:lang w:val="en-US" w:eastAsia="zh-CN"/>
                    </w:rPr>
                  </w:pPr>
                </w:p>
              </w:tc>
              <w:tc>
                <w:tcPr>
                  <w:tcW w:w="587" w:type="pct"/>
                  <w:noWrap w:val="0"/>
                  <w:vAlign w:val="center"/>
                </w:tcPr>
                <w:p w14:paraId="0A6A96F4">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水泥筒仓</w:t>
                  </w:r>
                </w:p>
              </w:tc>
              <w:tc>
                <w:tcPr>
                  <w:tcW w:w="3412" w:type="pct"/>
                  <w:gridSpan w:val="2"/>
                  <w:noWrap w:val="0"/>
                  <w:vAlign w:val="center"/>
                </w:tcPr>
                <w:p w14:paraId="217A9DB2">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eastAsia="宋体"/>
                      <w:color w:val="auto"/>
                      <w:highlight w:val="none"/>
                      <w:vertAlign w:val="baseline"/>
                      <w:lang w:val="en-US" w:eastAsia="zh-CN"/>
                    </w:rPr>
                  </w:pPr>
                  <w:r>
                    <w:rPr>
                      <w:rFonts w:hint="eastAsia"/>
                      <w:color w:val="auto"/>
                      <w:highlight w:val="none"/>
                      <w:lang w:val="en-US" w:eastAsia="zh-CN"/>
                    </w:rPr>
                    <w:t>水泥从周边地区水泥厂由装水泥罐车运输至散装水泥仓，水泥储存仓为4个钢板圆筒仓，直径为φ4500mm，储存量200t×4。</w:t>
                  </w:r>
                  <w:r>
                    <w:rPr>
                      <w:rFonts w:hint="eastAsia"/>
                      <w:color w:val="auto"/>
                      <w:highlight w:val="none"/>
                      <w:vertAlign w:val="baseline"/>
                      <w:lang w:val="en-US" w:eastAsia="zh-CN"/>
                    </w:rPr>
                    <w:t>顶部配套袋式除尘器，底部设置螺旋输送机，与搅拌楼相连；直接外购成品</w:t>
                  </w:r>
                </w:p>
              </w:tc>
              <w:tc>
                <w:tcPr>
                  <w:tcW w:w="349" w:type="pct"/>
                  <w:noWrap w:val="0"/>
                  <w:vAlign w:val="center"/>
                </w:tcPr>
                <w:p w14:paraId="6A6AEFDD">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新建</w:t>
                  </w:r>
                </w:p>
              </w:tc>
            </w:tr>
            <w:tr w14:paraId="6F9E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08" w:type="pct"/>
                  <w:vMerge w:val="continue"/>
                  <w:noWrap w:val="0"/>
                  <w:vAlign w:val="center"/>
                </w:tcPr>
                <w:p w14:paraId="14DEF06D">
                  <w:pPr>
                    <w:pStyle w:val="36"/>
                    <w:keepNext w:val="0"/>
                    <w:keepLines w:val="0"/>
                    <w:pageBreakBefore w:val="0"/>
                    <w:kinsoku/>
                    <w:wordWrap w:val="0"/>
                    <w:overflowPunct/>
                    <w:topLinePunct w:val="0"/>
                    <w:autoSpaceDE/>
                    <w:autoSpaceDN/>
                    <w:bidi w:val="0"/>
                    <w:adjustRightInd/>
                    <w:snapToGrid/>
                    <w:spacing w:line="240" w:lineRule="auto"/>
                    <w:jc w:val="center"/>
                    <w:textAlignment w:val="auto"/>
                    <w:rPr>
                      <w:rFonts w:hint="eastAsia"/>
                      <w:color w:val="auto"/>
                      <w:highlight w:val="none"/>
                      <w:lang w:val="en-US" w:eastAsia="zh-CN"/>
                    </w:rPr>
                  </w:pPr>
                </w:p>
              </w:tc>
              <w:tc>
                <w:tcPr>
                  <w:tcW w:w="342" w:type="pct"/>
                  <w:vMerge w:val="continue"/>
                  <w:noWrap w:val="0"/>
                  <w:vAlign w:val="center"/>
                </w:tcPr>
                <w:p w14:paraId="3FA5CAFF">
                  <w:pPr>
                    <w:pStyle w:val="36"/>
                    <w:keepNext w:val="0"/>
                    <w:keepLines w:val="0"/>
                    <w:pageBreakBefore w:val="0"/>
                    <w:kinsoku/>
                    <w:wordWrap w:val="0"/>
                    <w:overflowPunct/>
                    <w:topLinePunct w:val="0"/>
                    <w:autoSpaceDE/>
                    <w:autoSpaceDN/>
                    <w:bidi w:val="0"/>
                    <w:adjustRightInd/>
                    <w:snapToGrid/>
                    <w:spacing w:line="240" w:lineRule="auto"/>
                    <w:jc w:val="center"/>
                    <w:textAlignment w:val="auto"/>
                    <w:rPr>
                      <w:rFonts w:hint="eastAsia"/>
                      <w:color w:val="auto"/>
                      <w:highlight w:val="none"/>
                      <w:lang w:val="en-US" w:eastAsia="zh-CN"/>
                    </w:rPr>
                  </w:pPr>
                </w:p>
              </w:tc>
              <w:tc>
                <w:tcPr>
                  <w:tcW w:w="587" w:type="pct"/>
                  <w:noWrap w:val="0"/>
                  <w:vAlign w:val="center"/>
                </w:tcPr>
                <w:p w14:paraId="1056B39E">
                  <w:pPr>
                    <w:pStyle w:val="36"/>
                    <w:keepNext w:val="0"/>
                    <w:keepLines w:val="0"/>
                    <w:pageBreakBefore w:val="0"/>
                    <w:kinsoku/>
                    <w:wordWrap w:val="0"/>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粉煤灰筒仓</w:t>
                  </w:r>
                </w:p>
              </w:tc>
              <w:tc>
                <w:tcPr>
                  <w:tcW w:w="3412" w:type="pct"/>
                  <w:gridSpan w:val="2"/>
                  <w:noWrap w:val="0"/>
                  <w:vAlign w:val="center"/>
                </w:tcPr>
                <w:p w14:paraId="7D301707">
                  <w:pPr>
                    <w:pStyle w:val="36"/>
                    <w:keepNext w:val="0"/>
                    <w:keepLines w:val="0"/>
                    <w:pageBreakBefore w:val="0"/>
                    <w:kinsoku/>
                    <w:wordWrap w:val="0"/>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粉煤灰由散装水泥专用汽车运输进厂至粉煤灰中间仓，粉煤灰中间储存为4个钢板圆筒仓，直径φ4500mm，储存量150t×4。</w:t>
                  </w:r>
                  <w:r>
                    <w:rPr>
                      <w:rFonts w:hint="eastAsia"/>
                      <w:color w:val="auto"/>
                      <w:highlight w:val="none"/>
                      <w:vertAlign w:val="baseline"/>
                      <w:lang w:val="en-US" w:eastAsia="zh-CN"/>
                    </w:rPr>
                    <w:t>顶部配套袋式除尘器，底部设置螺旋输送机，与搅拌楼相连；直接外购成品</w:t>
                  </w:r>
                </w:p>
              </w:tc>
              <w:tc>
                <w:tcPr>
                  <w:tcW w:w="349" w:type="pct"/>
                  <w:noWrap w:val="0"/>
                  <w:vAlign w:val="center"/>
                </w:tcPr>
                <w:p w14:paraId="32321D26">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新建</w:t>
                  </w:r>
                </w:p>
              </w:tc>
            </w:tr>
            <w:tr w14:paraId="060F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308" w:type="pct"/>
                  <w:vMerge w:val="continue"/>
                  <w:noWrap w:val="0"/>
                  <w:vAlign w:val="center"/>
                </w:tcPr>
                <w:p w14:paraId="3B5A2FF9">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0000FF"/>
                      <w:highlight w:val="none"/>
                      <w:lang w:eastAsia="zh-CN"/>
                    </w:rPr>
                  </w:pPr>
                </w:p>
              </w:tc>
              <w:tc>
                <w:tcPr>
                  <w:tcW w:w="342" w:type="pct"/>
                  <w:vMerge w:val="continue"/>
                  <w:noWrap w:val="0"/>
                  <w:vAlign w:val="center"/>
                </w:tcPr>
                <w:p w14:paraId="125C8790">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0000FF"/>
                      <w:highlight w:val="none"/>
                      <w:lang w:eastAsia="zh-CN"/>
                    </w:rPr>
                  </w:pPr>
                </w:p>
              </w:tc>
              <w:tc>
                <w:tcPr>
                  <w:tcW w:w="587" w:type="pct"/>
                  <w:noWrap w:val="0"/>
                  <w:vAlign w:val="center"/>
                </w:tcPr>
                <w:p w14:paraId="71E2A644">
                  <w:pPr>
                    <w:pStyle w:val="36"/>
                    <w:keepNext w:val="0"/>
                    <w:keepLines w:val="0"/>
                    <w:pageBreakBefore w:val="0"/>
                    <w:kinsoku/>
                    <w:wordWrap w:val="0"/>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外加剂罐</w:t>
                  </w:r>
                </w:p>
              </w:tc>
              <w:tc>
                <w:tcPr>
                  <w:tcW w:w="3412" w:type="pct"/>
                  <w:gridSpan w:val="2"/>
                  <w:noWrap w:val="0"/>
                  <w:vAlign w:val="center"/>
                </w:tcPr>
                <w:p w14:paraId="429870A6">
                  <w:pPr>
                    <w:pStyle w:val="36"/>
                    <w:keepNext w:val="0"/>
                    <w:keepLines w:val="0"/>
                    <w:pageBreakBefore w:val="0"/>
                    <w:kinsoku/>
                    <w:wordWrap w:val="0"/>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固体外加剂均为袋装入厂，利用库房储存，人工破袋后输送至外加剂储存仓。液体外加剂（高效减水剂等）按配比要求将粉剂加水搅拌溶解之后，通过塑料液体泵分别送往液体外加剂秤</w:t>
                  </w:r>
                  <w:r>
                    <w:rPr>
                      <w:rFonts w:hint="default"/>
                      <w:color w:val="auto"/>
                      <w:highlight w:val="none"/>
                      <w:lang w:val="en-US" w:eastAsia="zh-CN"/>
                    </w:rPr>
                    <w:t>外加剂出料采用液体泵由管道与搅拌机组相连</w:t>
                  </w:r>
                  <w:r>
                    <w:rPr>
                      <w:rFonts w:hint="eastAsia"/>
                      <w:color w:val="auto"/>
                      <w:highlight w:val="none"/>
                      <w:lang w:val="en-US" w:eastAsia="zh-CN"/>
                    </w:rPr>
                    <w:t>；</w:t>
                  </w:r>
                </w:p>
              </w:tc>
              <w:tc>
                <w:tcPr>
                  <w:tcW w:w="349" w:type="pct"/>
                  <w:noWrap w:val="0"/>
                  <w:vAlign w:val="center"/>
                </w:tcPr>
                <w:p w14:paraId="27A4024B">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新建</w:t>
                  </w:r>
                </w:p>
              </w:tc>
            </w:tr>
            <w:tr w14:paraId="04B4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50" w:type="pct"/>
                  <w:gridSpan w:val="2"/>
                  <w:vMerge w:val="restart"/>
                  <w:noWrap w:val="0"/>
                  <w:vAlign w:val="center"/>
                </w:tcPr>
                <w:p w14:paraId="25755084">
                  <w:pPr>
                    <w:pStyle w:val="36"/>
                    <w:keepNext w:val="0"/>
                    <w:keepLines w:val="0"/>
                    <w:pageBreakBefore w:val="0"/>
                    <w:kinsoku/>
                    <w:wordWrap w:val="0"/>
                    <w:overflowPunct/>
                    <w:topLinePunct w:val="0"/>
                    <w:autoSpaceDE/>
                    <w:autoSpaceDN/>
                    <w:bidi w:val="0"/>
                    <w:adjustRightInd/>
                    <w:snapToGrid/>
                    <w:spacing w:line="240" w:lineRule="auto"/>
                    <w:jc w:val="center"/>
                    <w:textAlignment w:val="auto"/>
                    <w:rPr>
                      <w:rFonts w:hint="eastAsia"/>
                      <w:color w:val="auto"/>
                      <w:highlight w:val="none"/>
                      <w:lang w:eastAsia="zh-CN"/>
                    </w:rPr>
                  </w:pPr>
                  <w:r>
                    <w:rPr>
                      <w:rFonts w:hint="eastAsia"/>
                      <w:color w:val="auto"/>
                      <w:highlight w:val="none"/>
                      <w:lang w:eastAsia="zh-CN"/>
                    </w:rPr>
                    <w:t>配套工程</w:t>
                  </w:r>
                </w:p>
              </w:tc>
              <w:tc>
                <w:tcPr>
                  <w:tcW w:w="587" w:type="pct"/>
                  <w:noWrap w:val="0"/>
                  <w:vAlign w:val="center"/>
                </w:tcPr>
                <w:p w14:paraId="03E0BB6D">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原料堆场</w:t>
                  </w:r>
                </w:p>
              </w:tc>
              <w:tc>
                <w:tcPr>
                  <w:tcW w:w="3412" w:type="pct"/>
                  <w:gridSpan w:val="2"/>
                  <w:noWrap w:val="0"/>
                  <w:vAlign w:val="center"/>
                </w:tcPr>
                <w:p w14:paraId="02E9BB26">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s="Times New Roman" w:eastAsiaTheme="minorEastAsia"/>
                      <w:color w:val="auto"/>
                      <w:sz w:val="21"/>
                      <w:szCs w:val="21"/>
                      <w:highlight w:val="none"/>
                      <w:lang w:val="en-US" w:eastAsia="zh-CN"/>
                    </w:rPr>
                    <w:t>砂子</w:t>
                  </w:r>
                  <w:r>
                    <w:rPr>
                      <w:rFonts w:hint="eastAsia"/>
                      <w:color w:val="auto"/>
                      <w:highlight w:val="none"/>
                      <w:lang w:val="en-US" w:eastAsia="zh-CN"/>
                    </w:rPr>
                    <w:t>小石料场</w:t>
                  </w:r>
                  <w:r>
                    <w:rPr>
                      <w:rFonts w:hint="eastAsia"/>
                      <w:color w:val="auto"/>
                      <w:highlight w:val="none"/>
                      <w:vertAlign w:val="baseline"/>
                      <w:lang w:val="en-US" w:eastAsia="zh-CN"/>
                    </w:rPr>
                    <w:t>采用全封闭措施，</w:t>
                  </w:r>
                  <w:r>
                    <w:rPr>
                      <w:rFonts w:hint="eastAsia"/>
                      <w:color w:val="auto"/>
                      <w:highlight w:val="none"/>
                      <w:lang w:val="en-US" w:eastAsia="zh-CN"/>
                    </w:rPr>
                    <w:t>大石料场占地采用防风抑尘网措施，并定期洒水降尘；</w:t>
                  </w:r>
                </w:p>
              </w:tc>
              <w:tc>
                <w:tcPr>
                  <w:tcW w:w="349" w:type="pct"/>
                  <w:noWrap w:val="0"/>
                  <w:vAlign w:val="center"/>
                </w:tcPr>
                <w:p w14:paraId="7EA47EDC">
                  <w:pPr>
                    <w:pStyle w:val="36"/>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新建</w:t>
                  </w:r>
                </w:p>
              </w:tc>
            </w:tr>
            <w:tr w14:paraId="29A1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2" w:hRule="atLeast"/>
              </w:trPr>
              <w:tc>
                <w:tcPr>
                  <w:tcW w:w="650" w:type="pct"/>
                  <w:gridSpan w:val="2"/>
                  <w:vMerge w:val="continue"/>
                  <w:noWrap w:val="0"/>
                  <w:vAlign w:val="center"/>
                </w:tcPr>
                <w:p w14:paraId="70E7E256">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eastAsia="zh-CN"/>
                    </w:rPr>
                  </w:pPr>
                </w:p>
              </w:tc>
              <w:tc>
                <w:tcPr>
                  <w:tcW w:w="587" w:type="pct"/>
                  <w:noWrap w:val="0"/>
                  <w:vAlign w:val="center"/>
                </w:tcPr>
                <w:p w14:paraId="423198AF">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输送</w:t>
                  </w:r>
                </w:p>
              </w:tc>
              <w:tc>
                <w:tcPr>
                  <w:tcW w:w="3412" w:type="pct"/>
                  <w:gridSpan w:val="2"/>
                  <w:noWrap w:val="0"/>
                  <w:vAlign w:val="center"/>
                </w:tcPr>
                <w:p w14:paraId="52C4C3F8">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default" w:ascii="Times New Roman" w:hAnsi="Times New Roman" w:eastAsia="宋体" w:cs="Times New Roman"/>
                      <w:color w:val="auto"/>
                      <w:highlight w:val="none"/>
                      <w:lang w:val="en-US" w:eastAsia="zh-CN"/>
                    </w:rPr>
                    <w:t>采用全封闭式皮带输送系统</w:t>
                  </w:r>
                  <w:r>
                    <w:rPr>
                      <w:rFonts w:hint="eastAsia" w:cs="Times New Roman"/>
                      <w:color w:val="auto"/>
                      <w:highlight w:val="none"/>
                      <w:lang w:val="en-US" w:eastAsia="zh-CN"/>
                    </w:rPr>
                    <w:t>；</w:t>
                  </w:r>
                </w:p>
              </w:tc>
              <w:tc>
                <w:tcPr>
                  <w:tcW w:w="349" w:type="pct"/>
                  <w:noWrap w:val="0"/>
                  <w:vAlign w:val="center"/>
                </w:tcPr>
                <w:p w14:paraId="72605750">
                  <w:pPr>
                    <w:pStyle w:val="36"/>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新建</w:t>
                  </w:r>
                </w:p>
              </w:tc>
            </w:tr>
            <w:tr w14:paraId="12D1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5" w:hRule="atLeast"/>
              </w:trPr>
              <w:tc>
                <w:tcPr>
                  <w:tcW w:w="650" w:type="pct"/>
                  <w:gridSpan w:val="2"/>
                  <w:vMerge w:val="continue"/>
                  <w:noWrap w:val="0"/>
                  <w:vAlign w:val="center"/>
                </w:tcPr>
                <w:p w14:paraId="571D247E">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0000FF"/>
                      <w:highlight w:val="none"/>
                      <w:lang w:val="en-US" w:eastAsia="zh-CN"/>
                    </w:rPr>
                  </w:pPr>
                </w:p>
              </w:tc>
              <w:tc>
                <w:tcPr>
                  <w:tcW w:w="587" w:type="pct"/>
                  <w:noWrap w:val="0"/>
                  <w:vAlign w:val="center"/>
                </w:tcPr>
                <w:p w14:paraId="1DBF541E">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沉淀池</w:t>
                  </w:r>
                </w:p>
              </w:tc>
              <w:tc>
                <w:tcPr>
                  <w:tcW w:w="3412" w:type="pct"/>
                  <w:gridSpan w:val="2"/>
                  <w:noWrap w:val="0"/>
                  <w:vAlign w:val="center"/>
                </w:tcPr>
                <w:p w14:paraId="64569449">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80m</w:t>
                  </w:r>
                  <w:r>
                    <w:rPr>
                      <w:rFonts w:hint="eastAsia"/>
                      <w:color w:val="auto"/>
                      <w:highlight w:val="none"/>
                      <w:vertAlign w:val="superscript"/>
                      <w:lang w:val="en-US" w:eastAsia="zh-CN"/>
                    </w:rPr>
                    <w:t>3</w:t>
                  </w:r>
                  <w:r>
                    <w:rPr>
                      <w:rFonts w:hint="eastAsia"/>
                      <w:color w:val="auto"/>
                      <w:highlight w:val="none"/>
                      <w:lang w:val="en-US" w:eastAsia="zh-CN"/>
                    </w:rPr>
                    <w:t>沉淀池2个；</w:t>
                  </w:r>
                </w:p>
              </w:tc>
              <w:tc>
                <w:tcPr>
                  <w:tcW w:w="349" w:type="pct"/>
                  <w:noWrap w:val="0"/>
                  <w:vAlign w:val="center"/>
                </w:tcPr>
                <w:p w14:paraId="435B8E34">
                  <w:pPr>
                    <w:pStyle w:val="36"/>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新建</w:t>
                  </w:r>
                </w:p>
              </w:tc>
            </w:tr>
            <w:tr w14:paraId="62CA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4" w:hRule="atLeast"/>
              </w:trPr>
              <w:tc>
                <w:tcPr>
                  <w:tcW w:w="650" w:type="pct"/>
                  <w:gridSpan w:val="2"/>
                  <w:vMerge w:val="continue"/>
                  <w:noWrap w:val="0"/>
                  <w:vAlign w:val="center"/>
                </w:tcPr>
                <w:p w14:paraId="7201422F">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0000FF"/>
                      <w:highlight w:val="none"/>
                      <w:lang w:val="en-US" w:eastAsia="zh-CN"/>
                    </w:rPr>
                  </w:pPr>
                </w:p>
              </w:tc>
              <w:tc>
                <w:tcPr>
                  <w:tcW w:w="587" w:type="pct"/>
                  <w:noWrap w:val="0"/>
                  <w:vAlign w:val="center"/>
                </w:tcPr>
                <w:p w14:paraId="081A3077">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办公及生活区</w:t>
                  </w:r>
                </w:p>
              </w:tc>
              <w:tc>
                <w:tcPr>
                  <w:tcW w:w="3412" w:type="pct"/>
                  <w:gridSpan w:val="2"/>
                  <w:noWrap w:val="0"/>
                  <w:vAlign w:val="center"/>
                </w:tcPr>
                <w:p w14:paraId="2E2A13D7">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vertAlign w:val="baseline"/>
                      <w:lang w:val="en-US" w:eastAsia="zh-CN"/>
                    </w:rPr>
                  </w:pPr>
                  <w:r>
                    <w:rPr>
                      <w:rFonts w:hint="eastAsia"/>
                      <w:color w:val="auto"/>
                      <w:highlight w:val="none"/>
                      <w:lang w:val="en-US" w:eastAsia="zh-CN"/>
                    </w:rPr>
                    <w:t>依托新疆亿丰矿业开发有限责任公司办公及生活区</w:t>
                  </w:r>
                </w:p>
              </w:tc>
              <w:tc>
                <w:tcPr>
                  <w:tcW w:w="349" w:type="pct"/>
                  <w:noWrap w:val="0"/>
                  <w:vAlign w:val="center"/>
                </w:tcPr>
                <w:p w14:paraId="3D1BC8E7">
                  <w:pPr>
                    <w:pStyle w:val="36"/>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依托</w:t>
                  </w:r>
                </w:p>
              </w:tc>
            </w:tr>
            <w:tr w14:paraId="2FAC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50" w:type="pct"/>
                  <w:gridSpan w:val="2"/>
                  <w:vMerge w:val="restart"/>
                  <w:noWrap w:val="0"/>
                  <w:vAlign w:val="center"/>
                </w:tcPr>
                <w:p w14:paraId="70441079">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公用工程</w:t>
                  </w:r>
                </w:p>
              </w:tc>
              <w:tc>
                <w:tcPr>
                  <w:tcW w:w="587" w:type="pct"/>
                  <w:noWrap w:val="0"/>
                  <w:vAlign w:val="center"/>
                </w:tcPr>
                <w:p w14:paraId="10A0BEC7">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供水</w:t>
                  </w:r>
                </w:p>
              </w:tc>
              <w:tc>
                <w:tcPr>
                  <w:tcW w:w="3412" w:type="pct"/>
                  <w:gridSpan w:val="2"/>
                  <w:noWrap w:val="0"/>
                  <w:vAlign w:val="center"/>
                </w:tcPr>
                <w:p w14:paraId="753FB896">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lang w:val="en-US" w:eastAsia="zh-CN"/>
                    </w:rPr>
                    <w:t>本项目供水来自市政供水管网</w:t>
                  </w:r>
                </w:p>
              </w:tc>
              <w:tc>
                <w:tcPr>
                  <w:tcW w:w="349" w:type="pct"/>
                  <w:noWrap w:val="0"/>
                  <w:vAlign w:val="center"/>
                </w:tcPr>
                <w:p w14:paraId="5D931ECF">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w:t>
                  </w:r>
                </w:p>
              </w:tc>
            </w:tr>
            <w:tr w14:paraId="0FE2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50" w:type="pct"/>
                  <w:gridSpan w:val="2"/>
                  <w:vMerge w:val="continue"/>
                  <w:noWrap w:val="0"/>
                  <w:vAlign w:val="center"/>
                </w:tcPr>
                <w:p w14:paraId="76D686DD">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0000FF"/>
                      <w:highlight w:val="none"/>
                      <w:lang w:val="en-US" w:eastAsia="zh-CN"/>
                    </w:rPr>
                  </w:pPr>
                </w:p>
              </w:tc>
              <w:tc>
                <w:tcPr>
                  <w:tcW w:w="587" w:type="pct"/>
                  <w:noWrap w:val="0"/>
                  <w:vAlign w:val="center"/>
                </w:tcPr>
                <w:p w14:paraId="31F2960D">
                  <w:pPr>
                    <w:pStyle w:val="36"/>
                    <w:keepNext w:val="0"/>
                    <w:keepLines w:val="0"/>
                    <w:pageBreakBefore w:val="0"/>
                    <w:kinsoku/>
                    <w:wordWrap w:val="0"/>
                    <w:overflowPunct/>
                    <w:topLinePunct w:val="0"/>
                    <w:autoSpaceDE/>
                    <w:autoSpaceDN/>
                    <w:bidi w:val="0"/>
                    <w:adjustRightInd/>
                    <w:snapToGrid/>
                    <w:spacing w:line="240" w:lineRule="auto"/>
                    <w:jc w:val="center"/>
                    <w:textAlignment w:val="auto"/>
                    <w:rPr>
                      <w:rFonts w:hint="default"/>
                      <w:color w:val="auto"/>
                      <w:highlight w:val="none"/>
                      <w:lang w:val="en-US" w:eastAsia="zh-CN"/>
                    </w:rPr>
                  </w:pPr>
                  <w:r>
                    <w:rPr>
                      <w:rFonts w:hint="eastAsia"/>
                      <w:color w:val="auto"/>
                      <w:highlight w:val="none"/>
                      <w:lang w:val="en-US" w:eastAsia="zh-CN"/>
                    </w:rPr>
                    <w:t>供暖</w:t>
                  </w:r>
                </w:p>
              </w:tc>
              <w:tc>
                <w:tcPr>
                  <w:tcW w:w="3412" w:type="pct"/>
                  <w:gridSpan w:val="2"/>
                  <w:noWrap w:val="0"/>
                  <w:vAlign w:val="center"/>
                </w:tcPr>
                <w:p w14:paraId="46A0645F">
                  <w:pPr>
                    <w:pStyle w:val="36"/>
                    <w:keepNext w:val="0"/>
                    <w:keepLines w:val="0"/>
                    <w:pageBreakBefore w:val="0"/>
                    <w:kinsoku/>
                    <w:wordWrap w:val="0"/>
                    <w:overflowPunct/>
                    <w:topLinePunct w:val="0"/>
                    <w:autoSpaceDE/>
                    <w:autoSpaceDN/>
                    <w:bidi w:val="0"/>
                    <w:adjustRightInd/>
                    <w:snapToGrid/>
                    <w:spacing w:line="240" w:lineRule="auto"/>
                    <w:jc w:val="center"/>
                    <w:textAlignment w:val="auto"/>
                    <w:rPr>
                      <w:rFonts w:hint="default"/>
                      <w:color w:val="auto"/>
                      <w:highlight w:val="none"/>
                      <w:lang w:val="en-US" w:eastAsia="zh-CN"/>
                    </w:rPr>
                  </w:pPr>
                  <w:r>
                    <w:rPr>
                      <w:rFonts w:hint="eastAsia"/>
                      <w:color w:val="auto"/>
                      <w:highlight w:val="none"/>
                      <w:lang w:val="en-US" w:eastAsia="zh-CN"/>
                    </w:rPr>
                    <w:t>本项目冬季不生产，值班人员供暖由电暖器供给；</w:t>
                  </w:r>
                </w:p>
              </w:tc>
              <w:tc>
                <w:tcPr>
                  <w:tcW w:w="349" w:type="pct"/>
                  <w:noWrap w:val="0"/>
                  <w:vAlign w:val="center"/>
                </w:tcPr>
                <w:p w14:paraId="1BD3A189">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w:t>
                  </w:r>
                </w:p>
              </w:tc>
            </w:tr>
            <w:tr w14:paraId="3D7D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50" w:type="pct"/>
                  <w:gridSpan w:val="2"/>
                  <w:vMerge w:val="continue"/>
                  <w:noWrap w:val="0"/>
                  <w:vAlign w:val="center"/>
                </w:tcPr>
                <w:p w14:paraId="43BA89F4">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0000FF"/>
                      <w:highlight w:val="none"/>
                      <w:lang w:val="en-US" w:eastAsia="zh-CN"/>
                    </w:rPr>
                  </w:pPr>
                </w:p>
              </w:tc>
              <w:tc>
                <w:tcPr>
                  <w:tcW w:w="587" w:type="pct"/>
                  <w:noWrap w:val="0"/>
                  <w:vAlign w:val="center"/>
                </w:tcPr>
                <w:p w14:paraId="426CAF96">
                  <w:pPr>
                    <w:pStyle w:val="36"/>
                    <w:keepNext w:val="0"/>
                    <w:keepLines w:val="0"/>
                    <w:pageBreakBefore w:val="0"/>
                    <w:kinsoku/>
                    <w:wordWrap w:val="0"/>
                    <w:overflowPunct/>
                    <w:topLinePunct w:val="0"/>
                    <w:autoSpaceDE/>
                    <w:autoSpaceDN/>
                    <w:bidi w:val="0"/>
                    <w:adjustRightInd/>
                    <w:snapToGrid/>
                    <w:spacing w:line="240" w:lineRule="auto"/>
                    <w:jc w:val="center"/>
                    <w:textAlignment w:val="auto"/>
                    <w:rPr>
                      <w:rFonts w:hint="default"/>
                      <w:color w:val="auto"/>
                      <w:highlight w:val="none"/>
                      <w:lang w:val="en-US" w:eastAsia="zh-CN"/>
                    </w:rPr>
                  </w:pPr>
                  <w:r>
                    <w:rPr>
                      <w:rFonts w:hint="eastAsia"/>
                      <w:color w:val="auto"/>
                      <w:highlight w:val="none"/>
                      <w:lang w:val="en-US" w:eastAsia="zh-CN"/>
                    </w:rPr>
                    <w:t>供电</w:t>
                  </w:r>
                </w:p>
              </w:tc>
              <w:tc>
                <w:tcPr>
                  <w:tcW w:w="3412" w:type="pct"/>
                  <w:gridSpan w:val="2"/>
                  <w:noWrap w:val="0"/>
                  <w:vAlign w:val="center"/>
                </w:tcPr>
                <w:p w14:paraId="6B2422B0">
                  <w:pPr>
                    <w:pStyle w:val="36"/>
                    <w:keepNext w:val="0"/>
                    <w:keepLines w:val="0"/>
                    <w:pageBreakBefore w:val="0"/>
                    <w:kinsoku/>
                    <w:wordWrap w:val="0"/>
                    <w:overflowPunct/>
                    <w:topLinePunct w:val="0"/>
                    <w:autoSpaceDE/>
                    <w:autoSpaceDN/>
                    <w:bidi w:val="0"/>
                    <w:adjustRightInd/>
                    <w:snapToGrid/>
                    <w:spacing w:line="240" w:lineRule="auto"/>
                    <w:jc w:val="center"/>
                    <w:textAlignment w:val="auto"/>
                    <w:rPr>
                      <w:rFonts w:hint="eastAsia"/>
                      <w:color w:val="auto"/>
                      <w:highlight w:val="none"/>
                      <w:lang w:val="en-US" w:eastAsia="zh-CN"/>
                    </w:rPr>
                  </w:pPr>
                  <w:r>
                    <w:rPr>
                      <w:rFonts w:hint="eastAsia" w:cs="Times New Roman"/>
                      <w:color w:val="auto"/>
                      <w:highlight w:val="none"/>
                      <w:lang w:val="en-US" w:eastAsia="zh-CN"/>
                    </w:rPr>
                    <w:t>附近国家电网</w:t>
                  </w:r>
                  <w:r>
                    <w:rPr>
                      <w:rFonts w:hint="eastAsia" w:ascii="Times New Roman" w:hAnsi="Times New Roman" w:eastAsia="宋体" w:cs="Times New Roman"/>
                      <w:color w:val="auto"/>
                      <w:highlight w:val="none"/>
                      <w:lang w:val="en-US" w:eastAsia="zh-CN"/>
                    </w:rPr>
                    <w:t>。</w:t>
                  </w:r>
                </w:p>
              </w:tc>
              <w:tc>
                <w:tcPr>
                  <w:tcW w:w="349" w:type="pct"/>
                  <w:noWrap w:val="0"/>
                  <w:vAlign w:val="center"/>
                </w:tcPr>
                <w:p w14:paraId="33C6958F">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w:t>
                  </w:r>
                </w:p>
              </w:tc>
            </w:tr>
            <w:tr w14:paraId="1958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650" w:type="pct"/>
                  <w:gridSpan w:val="2"/>
                  <w:vMerge w:val="restart"/>
                  <w:noWrap w:val="0"/>
                  <w:vAlign w:val="center"/>
                </w:tcPr>
                <w:p w14:paraId="28864FEF">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环保工程</w:t>
                  </w:r>
                </w:p>
              </w:tc>
              <w:tc>
                <w:tcPr>
                  <w:tcW w:w="587" w:type="pct"/>
                  <w:vMerge w:val="restart"/>
                  <w:noWrap w:val="0"/>
                  <w:vAlign w:val="center"/>
                </w:tcPr>
                <w:p w14:paraId="3E612033">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废气</w:t>
                  </w:r>
                </w:p>
              </w:tc>
              <w:tc>
                <w:tcPr>
                  <w:tcW w:w="562" w:type="pct"/>
                  <w:noWrap w:val="0"/>
                  <w:vAlign w:val="center"/>
                </w:tcPr>
                <w:p w14:paraId="02880803">
                  <w:pPr>
                    <w:pStyle w:val="36"/>
                    <w:keepNext w:val="0"/>
                    <w:keepLines w:val="0"/>
                    <w:pageBreakBefore w:val="0"/>
                    <w:kinsoku/>
                    <w:wordWrap w:val="0"/>
                    <w:overflowPunct/>
                    <w:topLinePunct w:val="0"/>
                    <w:autoSpaceDE/>
                    <w:autoSpaceDN/>
                    <w:bidi w:val="0"/>
                    <w:adjustRightInd/>
                    <w:snapToGrid/>
                    <w:spacing w:line="240" w:lineRule="auto"/>
                    <w:jc w:val="center"/>
                    <w:textAlignment w:val="auto"/>
                    <w:rPr>
                      <w:rFonts w:hint="eastAsia"/>
                      <w:color w:val="auto"/>
                      <w:highlight w:val="none"/>
                      <w:lang w:val="en-US" w:eastAsia="zh-CN"/>
                    </w:rPr>
                  </w:pPr>
                  <w:r>
                    <w:rPr>
                      <w:rFonts w:hint="eastAsia"/>
                      <w:color w:val="auto"/>
                      <w:highlight w:val="none"/>
                      <w:lang w:val="en-US" w:eastAsia="zh-CN"/>
                    </w:rPr>
                    <w:t>有组织</w:t>
                  </w:r>
                </w:p>
              </w:tc>
              <w:tc>
                <w:tcPr>
                  <w:tcW w:w="2850" w:type="pct"/>
                  <w:noWrap w:val="0"/>
                  <w:vAlign w:val="center"/>
                </w:tcPr>
                <w:p w14:paraId="68D6489B">
                  <w:pPr>
                    <w:pStyle w:val="36"/>
                    <w:keepNext w:val="0"/>
                    <w:keepLines w:val="0"/>
                    <w:pageBreakBefore w:val="0"/>
                    <w:kinsoku/>
                    <w:wordWrap w:val="0"/>
                    <w:overflowPunct/>
                    <w:topLinePunct w:val="0"/>
                    <w:autoSpaceDE/>
                    <w:autoSpaceDN/>
                    <w:bidi w:val="0"/>
                    <w:adjustRightInd/>
                    <w:snapToGrid/>
                    <w:spacing w:line="240" w:lineRule="auto"/>
                    <w:jc w:val="center"/>
                    <w:textAlignment w:val="auto"/>
                    <w:rPr>
                      <w:rFonts w:hint="default"/>
                      <w:color w:val="auto"/>
                      <w:lang w:val="en-US" w:eastAsia="zh-CN"/>
                    </w:rPr>
                  </w:pPr>
                  <w:r>
                    <w:rPr>
                      <w:rFonts w:hint="eastAsia" w:ascii="Times New Roman" w:hAnsi="Times New Roman" w:eastAsia="宋体" w:cs="Times New Roman"/>
                      <w:color w:val="auto"/>
                      <w:highlight w:val="none"/>
                      <w:lang w:val="en-US" w:eastAsia="zh-CN"/>
                    </w:rPr>
                    <w:t>搅拌</w:t>
                  </w:r>
                  <w:r>
                    <w:rPr>
                      <w:rFonts w:hint="eastAsia" w:cs="Times New Roman"/>
                      <w:color w:val="auto"/>
                      <w:highlight w:val="none"/>
                      <w:lang w:val="en-US" w:eastAsia="zh-CN"/>
                    </w:rPr>
                    <w:t>机</w:t>
                  </w:r>
                  <w:r>
                    <w:rPr>
                      <w:rFonts w:hint="eastAsia" w:ascii="Times New Roman" w:hAnsi="Times New Roman" w:eastAsia="宋体" w:cs="Times New Roman"/>
                      <w:color w:val="auto"/>
                      <w:highlight w:val="none"/>
                      <w:lang w:val="en-US" w:eastAsia="zh-CN"/>
                    </w:rPr>
                    <w:t>配套安装</w:t>
                  </w:r>
                  <w:r>
                    <w:rPr>
                      <w:rFonts w:hint="eastAsia" w:cs="Times New Roman"/>
                      <w:color w:val="auto"/>
                      <w:highlight w:val="none"/>
                      <w:lang w:val="en-US" w:eastAsia="zh-CN"/>
                    </w:rPr>
                    <w:t>集气罩+</w:t>
                  </w:r>
                  <w:r>
                    <w:rPr>
                      <w:rFonts w:hint="eastAsia" w:ascii="Times New Roman" w:hAnsi="Times New Roman" w:eastAsia="宋体" w:cs="Times New Roman"/>
                      <w:color w:val="auto"/>
                      <w:highlight w:val="none"/>
                      <w:lang w:val="en-US" w:eastAsia="zh-CN"/>
                    </w:rPr>
                    <w:t>袋式除尘器</w:t>
                  </w:r>
                  <w:r>
                    <w:rPr>
                      <w:rFonts w:hint="eastAsia" w:cs="Times New Roman"/>
                      <w:color w:val="auto"/>
                      <w:highlight w:val="none"/>
                      <w:lang w:val="en-US" w:eastAsia="zh-CN"/>
                    </w:rPr>
                    <w:t>处理，</w:t>
                  </w:r>
                  <w:r>
                    <w:rPr>
                      <w:rFonts w:hint="eastAsia" w:ascii="Times New Roman" w:hAnsi="Times New Roman" w:eastAsia="宋体" w:cs="Times New Roman"/>
                      <w:color w:val="auto"/>
                      <w:highlight w:val="none"/>
                      <w:lang w:val="en-US" w:eastAsia="zh-CN"/>
                    </w:rPr>
                    <w:t>处理后经15米排气筒排放；</w:t>
                  </w:r>
                </w:p>
              </w:tc>
              <w:tc>
                <w:tcPr>
                  <w:tcW w:w="349" w:type="pct"/>
                  <w:noWrap w:val="0"/>
                  <w:vAlign w:val="center"/>
                </w:tcPr>
                <w:p w14:paraId="6D3CB495">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0000FF"/>
                      <w:highlight w:val="none"/>
                      <w:lang w:val="en-US" w:eastAsia="zh-CN"/>
                    </w:rPr>
                  </w:pPr>
                  <w:r>
                    <w:rPr>
                      <w:rFonts w:hint="eastAsia"/>
                      <w:color w:val="0000FF"/>
                      <w:highlight w:val="none"/>
                      <w:lang w:val="en-US" w:eastAsia="zh-CN"/>
                    </w:rPr>
                    <w:t>/</w:t>
                  </w:r>
                </w:p>
              </w:tc>
            </w:tr>
            <w:tr w14:paraId="3149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50" w:type="pct"/>
                  <w:gridSpan w:val="2"/>
                  <w:vMerge w:val="continue"/>
                  <w:noWrap w:val="0"/>
                  <w:vAlign w:val="center"/>
                </w:tcPr>
                <w:p w14:paraId="42FA7893">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0000FF"/>
                      <w:highlight w:val="none"/>
                      <w:lang w:val="en-US" w:eastAsia="zh-CN"/>
                    </w:rPr>
                  </w:pPr>
                  <w:r>
                    <w:rPr>
                      <w:rFonts w:hint="eastAsia"/>
                      <w:color w:val="0000FF"/>
                      <w:highlight w:val="none"/>
                      <w:lang w:val="en-US" w:eastAsia="zh-CN"/>
                    </w:rPr>
                    <w:t>、</w:t>
                  </w:r>
                </w:p>
              </w:tc>
              <w:tc>
                <w:tcPr>
                  <w:tcW w:w="587" w:type="pct"/>
                  <w:vMerge w:val="continue"/>
                  <w:noWrap w:val="0"/>
                  <w:vAlign w:val="center"/>
                </w:tcPr>
                <w:p w14:paraId="13B03363">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p>
              </w:tc>
              <w:tc>
                <w:tcPr>
                  <w:tcW w:w="562" w:type="pct"/>
                  <w:vMerge w:val="restart"/>
                  <w:noWrap w:val="0"/>
                  <w:vAlign w:val="center"/>
                </w:tcPr>
                <w:p w14:paraId="26F4EFD3">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无组织</w:t>
                  </w:r>
                </w:p>
              </w:tc>
              <w:tc>
                <w:tcPr>
                  <w:tcW w:w="2850" w:type="pct"/>
                  <w:noWrap w:val="0"/>
                  <w:vAlign w:val="center"/>
                </w:tcPr>
                <w:p w14:paraId="435E8A12">
                  <w:pPr>
                    <w:pStyle w:val="36"/>
                    <w:keepNext w:val="0"/>
                    <w:keepLines w:val="0"/>
                    <w:pageBreakBefore w:val="0"/>
                    <w:kinsoku/>
                    <w:wordWrap w:val="0"/>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水泥筒仓及粉煤灰仓粉尘经过袋式除尘器处理后无组织逸散；</w:t>
                  </w:r>
                </w:p>
              </w:tc>
              <w:tc>
                <w:tcPr>
                  <w:tcW w:w="349" w:type="pct"/>
                  <w:noWrap w:val="0"/>
                  <w:vAlign w:val="center"/>
                </w:tcPr>
                <w:p w14:paraId="5AA63C2C">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0000FF"/>
                      <w:highlight w:val="none"/>
                      <w:lang w:val="en-US" w:eastAsia="zh-CN"/>
                    </w:rPr>
                  </w:pPr>
                  <w:r>
                    <w:rPr>
                      <w:rFonts w:hint="eastAsia"/>
                      <w:color w:val="0000FF"/>
                      <w:highlight w:val="none"/>
                      <w:lang w:val="en-US" w:eastAsia="zh-CN"/>
                    </w:rPr>
                    <w:t>/</w:t>
                  </w:r>
                </w:p>
              </w:tc>
            </w:tr>
            <w:tr w14:paraId="0E1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50" w:type="pct"/>
                  <w:gridSpan w:val="2"/>
                  <w:vMerge w:val="continue"/>
                  <w:noWrap w:val="0"/>
                  <w:vAlign w:val="center"/>
                </w:tcPr>
                <w:p w14:paraId="04F797EA">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0000FF"/>
                      <w:highlight w:val="none"/>
                      <w:lang w:val="en-US" w:eastAsia="zh-CN"/>
                    </w:rPr>
                  </w:pPr>
                </w:p>
              </w:tc>
              <w:tc>
                <w:tcPr>
                  <w:tcW w:w="587" w:type="pct"/>
                  <w:vMerge w:val="continue"/>
                  <w:noWrap w:val="0"/>
                  <w:vAlign w:val="center"/>
                </w:tcPr>
                <w:p w14:paraId="75A82DC7">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p>
              </w:tc>
              <w:tc>
                <w:tcPr>
                  <w:tcW w:w="562" w:type="pct"/>
                  <w:vMerge w:val="continue"/>
                  <w:noWrap w:val="0"/>
                  <w:vAlign w:val="center"/>
                </w:tcPr>
                <w:p w14:paraId="4B15A14D">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p>
              </w:tc>
              <w:tc>
                <w:tcPr>
                  <w:tcW w:w="2850" w:type="pct"/>
                  <w:noWrap w:val="0"/>
                  <w:vAlign w:val="center"/>
                </w:tcPr>
                <w:p w14:paraId="773B24BF">
                  <w:pPr>
                    <w:pStyle w:val="36"/>
                    <w:keepNext w:val="0"/>
                    <w:keepLines w:val="0"/>
                    <w:pageBreakBefore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color w:val="auto"/>
                      <w:sz w:val="21"/>
                      <w:szCs w:val="21"/>
                      <w:highlight w:val="none"/>
                      <w:lang w:val="en-US" w:eastAsia="zh-CN"/>
                    </w:rPr>
                  </w:pPr>
                  <w:r>
                    <w:rPr>
                      <w:rFonts w:hint="eastAsia" w:cs="Times New Roman"/>
                      <w:color w:val="auto"/>
                      <w:kern w:val="2"/>
                      <w:sz w:val="21"/>
                      <w:szCs w:val="21"/>
                      <w:highlight w:val="none"/>
                      <w:lang w:val="en-US" w:eastAsia="zh-CN" w:bidi="ar-SA"/>
                    </w:rPr>
                    <w:t>砂料堆场采用全封闭措施，碎石堆场采取防风抑尘网，并定期洒水降尘；</w:t>
                  </w:r>
                </w:p>
              </w:tc>
              <w:tc>
                <w:tcPr>
                  <w:tcW w:w="349" w:type="pct"/>
                  <w:noWrap w:val="0"/>
                  <w:vAlign w:val="center"/>
                </w:tcPr>
                <w:p w14:paraId="67B1B767">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0000FF"/>
                      <w:highlight w:val="none"/>
                      <w:lang w:val="en-US" w:eastAsia="zh-CN"/>
                    </w:rPr>
                  </w:pPr>
                  <w:r>
                    <w:rPr>
                      <w:rFonts w:hint="eastAsia"/>
                      <w:color w:val="0000FF"/>
                      <w:highlight w:val="none"/>
                      <w:lang w:val="en-US" w:eastAsia="zh-CN"/>
                    </w:rPr>
                    <w:t>/</w:t>
                  </w:r>
                </w:p>
              </w:tc>
            </w:tr>
            <w:tr w14:paraId="3A99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50" w:type="pct"/>
                  <w:gridSpan w:val="2"/>
                  <w:vMerge w:val="continue"/>
                  <w:noWrap w:val="0"/>
                  <w:vAlign w:val="center"/>
                </w:tcPr>
                <w:p w14:paraId="39A0F8CD">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0000FF"/>
                      <w:highlight w:val="none"/>
                      <w:lang w:val="en-US" w:eastAsia="zh-CN"/>
                    </w:rPr>
                  </w:pPr>
                </w:p>
              </w:tc>
              <w:tc>
                <w:tcPr>
                  <w:tcW w:w="587" w:type="pct"/>
                  <w:vMerge w:val="continue"/>
                  <w:noWrap w:val="0"/>
                  <w:vAlign w:val="center"/>
                </w:tcPr>
                <w:p w14:paraId="582BF1DB">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p>
              </w:tc>
              <w:tc>
                <w:tcPr>
                  <w:tcW w:w="562" w:type="pct"/>
                  <w:vMerge w:val="continue"/>
                  <w:noWrap w:val="0"/>
                  <w:vAlign w:val="center"/>
                </w:tcPr>
                <w:p w14:paraId="705DA25B">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p>
              </w:tc>
              <w:tc>
                <w:tcPr>
                  <w:tcW w:w="2850" w:type="pct"/>
                  <w:noWrap w:val="0"/>
                  <w:vAlign w:val="center"/>
                </w:tcPr>
                <w:p w14:paraId="5F876FCB">
                  <w:pPr>
                    <w:pStyle w:val="36"/>
                    <w:keepNext w:val="0"/>
                    <w:keepLines w:val="0"/>
                    <w:pageBreakBefore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运输扬尘，苫布覆盖、洒水降尘；</w:t>
                  </w:r>
                </w:p>
              </w:tc>
              <w:tc>
                <w:tcPr>
                  <w:tcW w:w="349" w:type="pct"/>
                  <w:noWrap w:val="0"/>
                  <w:vAlign w:val="center"/>
                </w:tcPr>
                <w:p w14:paraId="4AE8B128">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0000FF"/>
                      <w:highlight w:val="none"/>
                      <w:lang w:val="en-US" w:eastAsia="zh-CN"/>
                    </w:rPr>
                  </w:pPr>
                  <w:r>
                    <w:rPr>
                      <w:rFonts w:hint="eastAsia"/>
                      <w:color w:val="0000FF"/>
                      <w:highlight w:val="none"/>
                      <w:lang w:val="en-US" w:eastAsia="zh-CN"/>
                    </w:rPr>
                    <w:t>/</w:t>
                  </w:r>
                </w:p>
              </w:tc>
            </w:tr>
            <w:tr w14:paraId="6D18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650" w:type="pct"/>
                  <w:gridSpan w:val="2"/>
                  <w:vMerge w:val="continue"/>
                  <w:noWrap w:val="0"/>
                  <w:vAlign w:val="center"/>
                </w:tcPr>
                <w:p w14:paraId="353A69FD">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0000FF"/>
                      <w:highlight w:val="none"/>
                      <w:lang w:val="en-US" w:eastAsia="zh-CN"/>
                    </w:rPr>
                  </w:pPr>
                </w:p>
              </w:tc>
              <w:tc>
                <w:tcPr>
                  <w:tcW w:w="587" w:type="pct"/>
                  <w:vMerge w:val="restart"/>
                  <w:noWrap w:val="0"/>
                  <w:vAlign w:val="center"/>
                </w:tcPr>
                <w:p w14:paraId="4B08764B">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废水</w:t>
                  </w:r>
                </w:p>
              </w:tc>
              <w:tc>
                <w:tcPr>
                  <w:tcW w:w="562" w:type="pct"/>
                  <w:noWrap w:val="0"/>
                  <w:vAlign w:val="center"/>
                </w:tcPr>
                <w:p w14:paraId="18E4A896">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生活污水</w:t>
                  </w:r>
                </w:p>
              </w:tc>
              <w:tc>
                <w:tcPr>
                  <w:tcW w:w="2850" w:type="pct"/>
                  <w:noWrap w:val="0"/>
                  <w:vAlign w:val="center"/>
                </w:tcPr>
                <w:p w14:paraId="75C67A91">
                  <w:pPr>
                    <w:pStyle w:val="36"/>
                    <w:keepNext w:val="0"/>
                    <w:keepLines w:val="0"/>
                    <w:pageBreakBefore w:val="0"/>
                    <w:kinsoku/>
                    <w:wordWrap w:val="0"/>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新疆亿丰矿业开发有限责任公司污水设施收集处理</w:t>
                  </w:r>
                </w:p>
              </w:tc>
              <w:tc>
                <w:tcPr>
                  <w:tcW w:w="349" w:type="pct"/>
                  <w:noWrap w:val="0"/>
                  <w:vAlign w:val="center"/>
                </w:tcPr>
                <w:p w14:paraId="76AAED06">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s="Times New Roman"/>
                      <w:color w:val="auto"/>
                      <w:kern w:val="2"/>
                      <w:sz w:val="21"/>
                      <w:szCs w:val="21"/>
                      <w:highlight w:val="none"/>
                      <w:lang w:val="en-US" w:eastAsia="zh-CN" w:bidi="ar-SA"/>
                    </w:rPr>
                    <w:t>依托</w:t>
                  </w:r>
                </w:p>
              </w:tc>
            </w:tr>
            <w:tr w14:paraId="230D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6" w:hRule="atLeast"/>
              </w:trPr>
              <w:tc>
                <w:tcPr>
                  <w:tcW w:w="650" w:type="pct"/>
                  <w:gridSpan w:val="2"/>
                  <w:vMerge w:val="continue"/>
                  <w:noWrap w:val="0"/>
                  <w:vAlign w:val="center"/>
                </w:tcPr>
                <w:p w14:paraId="5BF04901">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0000FF"/>
                      <w:highlight w:val="none"/>
                      <w:lang w:val="en-US" w:eastAsia="zh-CN"/>
                    </w:rPr>
                  </w:pPr>
                </w:p>
              </w:tc>
              <w:tc>
                <w:tcPr>
                  <w:tcW w:w="587" w:type="pct"/>
                  <w:vMerge w:val="continue"/>
                  <w:noWrap w:val="0"/>
                  <w:vAlign w:val="center"/>
                </w:tcPr>
                <w:p w14:paraId="7F180C63">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p>
              </w:tc>
              <w:tc>
                <w:tcPr>
                  <w:tcW w:w="562" w:type="pct"/>
                  <w:noWrap w:val="0"/>
                  <w:vAlign w:val="center"/>
                </w:tcPr>
                <w:p w14:paraId="4597C36B">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生产废水</w:t>
                  </w:r>
                </w:p>
              </w:tc>
              <w:tc>
                <w:tcPr>
                  <w:tcW w:w="2850" w:type="pct"/>
                  <w:noWrap w:val="0"/>
                  <w:vAlign w:val="center"/>
                </w:tcPr>
                <w:p w14:paraId="58EC1AC8">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生产废水主要为车辆、搅拌罐冲洗水、废水经沉淀池处理后回用；</w:t>
                  </w:r>
                </w:p>
              </w:tc>
              <w:tc>
                <w:tcPr>
                  <w:tcW w:w="349" w:type="pct"/>
                  <w:noWrap w:val="0"/>
                  <w:vAlign w:val="center"/>
                </w:tcPr>
                <w:p w14:paraId="607234FC">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新建</w:t>
                  </w:r>
                </w:p>
              </w:tc>
            </w:tr>
            <w:tr w14:paraId="54D5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50" w:type="pct"/>
                  <w:gridSpan w:val="2"/>
                  <w:vMerge w:val="continue"/>
                  <w:noWrap w:val="0"/>
                  <w:vAlign w:val="center"/>
                </w:tcPr>
                <w:p w14:paraId="5D0313D7">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0000FF"/>
                      <w:highlight w:val="none"/>
                      <w:lang w:val="en-US" w:eastAsia="zh-CN"/>
                    </w:rPr>
                  </w:pPr>
                </w:p>
              </w:tc>
              <w:tc>
                <w:tcPr>
                  <w:tcW w:w="587" w:type="pct"/>
                  <w:noWrap w:val="0"/>
                  <w:vAlign w:val="center"/>
                </w:tcPr>
                <w:p w14:paraId="44680479">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噪声</w:t>
                  </w:r>
                </w:p>
              </w:tc>
              <w:tc>
                <w:tcPr>
                  <w:tcW w:w="3412" w:type="pct"/>
                  <w:gridSpan w:val="2"/>
                  <w:noWrap w:val="0"/>
                  <w:vAlign w:val="center"/>
                </w:tcPr>
                <w:p w14:paraId="081D80D0">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设备产生的机械噪声，通过基础减振、隔声减振的措施降低噪声污染；</w:t>
                  </w:r>
                </w:p>
              </w:tc>
              <w:tc>
                <w:tcPr>
                  <w:tcW w:w="349" w:type="pct"/>
                  <w:noWrap w:val="0"/>
                  <w:vAlign w:val="center"/>
                </w:tcPr>
                <w:p w14:paraId="6F1DB511">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w:t>
                  </w:r>
                </w:p>
              </w:tc>
            </w:tr>
            <w:tr w14:paraId="5D1D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3" w:hRule="atLeast"/>
              </w:trPr>
              <w:tc>
                <w:tcPr>
                  <w:tcW w:w="650" w:type="pct"/>
                  <w:gridSpan w:val="2"/>
                  <w:vMerge w:val="continue"/>
                  <w:noWrap w:val="0"/>
                  <w:vAlign w:val="center"/>
                </w:tcPr>
                <w:p w14:paraId="1FB52180">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0000FF"/>
                      <w:highlight w:val="none"/>
                      <w:lang w:val="en-US" w:eastAsia="zh-CN"/>
                    </w:rPr>
                  </w:pPr>
                </w:p>
              </w:tc>
              <w:tc>
                <w:tcPr>
                  <w:tcW w:w="587" w:type="pct"/>
                  <w:vMerge w:val="restart"/>
                  <w:noWrap w:val="0"/>
                  <w:vAlign w:val="center"/>
                </w:tcPr>
                <w:p w14:paraId="5C410FF6">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固废</w:t>
                  </w:r>
                </w:p>
              </w:tc>
              <w:tc>
                <w:tcPr>
                  <w:tcW w:w="562" w:type="pct"/>
                  <w:noWrap w:val="0"/>
                  <w:vAlign w:val="center"/>
                </w:tcPr>
                <w:p w14:paraId="7937A655">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生活垃圾</w:t>
                  </w:r>
                </w:p>
              </w:tc>
              <w:tc>
                <w:tcPr>
                  <w:tcW w:w="2850" w:type="pct"/>
                  <w:noWrap w:val="0"/>
                  <w:vAlign w:val="center"/>
                </w:tcPr>
                <w:p w14:paraId="43B3D811">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default"/>
                      <w:color w:val="auto"/>
                      <w:highlight w:val="none"/>
                    </w:rPr>
                    <w:t>生</w:t>
                  </w:r>
                  <w:r>
                    <w:rPr>
                      <w:rFonts w:hint="default"/>
                      <w:color w:val="auto"/>
                      <w:highlight w:val="none"/>
                      <w:lang w:val="en-US" w:eastAsia="zh-CN"/>
                    </w:rPr>
                    <w:t>活垃圾集中收集、定期</w:t>
                  </w:r>
                  <w:r>
                    <w:rPr>
                      <w:rFonts w:hint="eastAsia"/>
                      <w:color w:val="auto"/>
                      <w:highlight w:val="none"/>
                      <w:lang w:val="en-US" w:eastAsia="zh-CN"/>
                    </w:rPr>
                    <w:t>清运；</w:t>
                  </w:r>
                </w:p>
              </w:tc>
              <w:tc>
                <w:tcPr>
                  <w:tcW w:w="349" w:type="pct"/>
                  <w:vMerge w:val="restart"/>
                  <w:noWrap w:val="0"/>
                  <w:vAlign w:val="center"/>
                </w:tcPr>
                <w:p w14:paraId="049E660C">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w:t>
                  </w:r>
                </w:p>
              </w:tc>
            </w:tr>
            <w:tr w14:paraId="6694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1" w:hRule="atLeast"/>
              </w:trPr>
              <w:tc>
                <w:tcPr>
                  <w:tcW w:w="650" w:type="pct"/>
                  <w:gridSpan w:val="2"/>
                  <w:vMerge w:val="continue"/>
                  <w:noWrap w:val="0"/>
                  <w:vAlign w:val="center"/>
                </w:tcPr>
                <w:p w14:paraId="54B3CDA0">
                  <w:pPr>
                    <w:pStyle w:val="36"/>
                    <w:keepNext w:val="0"/>
                    <w:keepLines w:val="0"/>
                    <w:pageBreakBefore w:val="0"/>
                    <w:kinsoku/>
                    <w:wordWrap w:val="0"/>
                    <w:overflowPunct/>
                    <w:topLinePunct w:val="0"/>
                    <w:autoSpaceDE/>
                    <w:autoSpaceDN/>
                    <w:bidi w:val="0"/>
                    <w:adjustRightInd/>
                    <w:snapToGrid/>
                    <w:spacing w:line="240" w:lineRule="auto"/>
                    <w:textAlignment w:val="auto"/>
                    <w:rPr>
                      <w:color w:val="0000FF"/>
                      <w:highlight w:val="none"/>
                    </w:rPr>
                  </w:pPr>
                </w:p>
              </w:tc>
              <w:tc>
                <w:tcPr>
                  <w:tcW w:w="587" w:type="pct"/>
                  <w:vMerge w:val="continue"/>
                  <w:noWrap w:val="0"/>
                  <w:vAlign w:val="center"/>
                </w:tcPr>
                <w:p w14:paraId="143012E6">
                  <w:pPr>
                    <w:pStyle w:val="36"/>
                    <w:keepNext w:val="0"/>
                    <w:keepLines w:val="0"/>
                    <w:pageBreakBefore w:val="0"/>
                    <w:kinsoku/>
                    <w:wordWrap w:val="0"/>
                    <w:overflowPunct/>
                    <w:topLinePunct w:val="0"/>
                    <w:autoSpaceDE/>
                    <w:autoSpaceDN/>
                    <w:bidi w:val="0"/>
                    <w:adjustRightInd/>
                    <w:snapToGrid/>
                    <w:spacing w:line="240" w:lineRule="auto"/>
                    <w:textAlignment w:val="auto"/>
                    <w:rPr>
                      <w:color w:val="auto"/>
                      <w:highlight w:val="none"/>
                    </w:rPr>
                  </w:pPr>
                </w:p>
              </w:tc>
              <w:tc>
                <w:tcPr>
                  <w:tcW w:w="562" w:type="pct"/>
                  <w:noWrap w:val="0"/>
                  <w:vAlign w:val="center"/>
                </w:tcPr>
                <w:p w14:paraId="479285A5">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eastAsia="宋体"/>
                      <w:color w:val="auto"/>
                      <w:highlight w:val="none"/>
                      <w:lang w:eastAsia="zh-CN"/>
                    </w:rPr>
                  </w:pPr>
                  <w:r>
                    <w:rPr>
                      <w:rFonts w:hint="eastAsia"/>
                      <w:color w:val="auto"/>
                      <w:highlight w:val="none"/>
                      <w:lang w:eastAsia="zh-CN"/>
                    </w:rPr>
                    <w:t>生产固废</w:t>
                  </w:r>
                </w:p>
              </w:tc>
              <w:tc>
                <w:tcPr>
                  <w:tcW w:w="2850" w:type="pct"/>
                  <w:noWrap w:val="0"/>
                  <w:vAlign w:val="center"/>
                </w:tcPr>
                <w:p w14:paraId="71F1EECF">
                  <w:pPr>
                    <w:pStyle w:val="36"/>
                    <w:keepNext w:val="0"/>
                    <w:keepLines w:val="0"/>
                    <w:pageBreakBefore w:val="0"/>
                    <w:kinsoku/>
                    <w:wordWrap w:val="0"/>
                    <w:overflowPunct/>
                    <w:topLinePunct w:val="0"/>
                    <w:autoSpaceDE/>
                    <w:autoSpaceDN/>
                    <w:bidi w:val="0"/>
                    <w:adjustRightInd/>
                    <w:snapToGrid/>
                    <w:spacing w:line="240" w:lineRule="auto"/>
                    <w:jc w:val="center"/>
                    <w:textAlignment w:val="auto"/>
                    <w:rPr>
                      <w:rFonts w:hint="default"/>
                      <w:color w:val="auto"/>
                      <w:highlight w:val="none"/>
                      <w:lang w:val="en-US"/>
                    </w:rPr>
                  </w:pPr>
                  <w:r>
                    <w:rPr>
                      <w:rFonts w:hint="eastAsia"/>
                      <w:color w:val="auto"/>
                      <w:highlight w:val="none"/>
                      <w:lang w:val="en-US" w:eastAsia="zh-CN"/>
                    </w:rPr>
                    <w:t>除尘器收尘、沉淀池泥沙回用于生产线，设备养护产生的废机油属于危废，暂存于厂内危废贮存点，定期交由有资质的单位处置；</w:t>
                  </w:r>
                </w:p>
              </w:tc>
              <w:tc>
                <w:tcPr>
                  <w:tcW w:w="349" w:type="pct"/>
                  <w:vMerge w:val="continue"/>
                  <w:noWrap w:val="0"/>
                  <w:vAlign w:val="center"/>
                </w:tcPr>
                <w:p w14:paraId="289D9053">
                  <w:pPr>
                    <w:pStyle w:val="36"/>
                    <w:keepNext w:val="0"/>
                    <w:keepLines w:val="0"/>
                    <w:pageBreakBefore w:val="0"/>
                    <w:kinsoku/>
                    <w:wordWrap w:val="0"/>
                    <w:overflowPunct/>
                    <w:topLinePunct w:val="0"/>
                    <w:autoSpaceDE/>
                    <w:autoSpaceDN/>
                    <w:bidi w:val="0"/>
                    <w:adjustRightInd/>
                    <w:snapToGrid/>
                    <w:spacing w:line="240" w:lineRule="auto"/>
                    <w:textAlignment w:val="auto"/>
                    <w:rPr>
                      <w:color w:val="auto"/>
                      <w:highlight w:val="none"/>
                    </w:rPr>
                  </w:pPr>
                </w:p>
              </w:tc>
            </w:tr>
            <w:tr w14:paraId="022A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50" w:type="pct"/>
                  <w:gridSpan w:val="2"/>
                  <w:vMerge w:val="continue"/>
                  <w:noWrap w:val="0"/>
                  <w:vAlign w:val="center"/>
                </w:tcPr>
                <w:p w14:paraId="7FFA2BFC">
                  <w:pPr>
                    <w:pStyle w:val="36"/>
                    <w:keepNext w:val="0"/>
                    <w:keepLines w:val="0"/>
                    <w:pageBreakBefore w:val="0"/>
                    <w:kinsoku/>
                    <w:wordWrap w:val="0"/>
                    <w:overflowPunct/>
                    <w:topLinePunct w:val="0"/>
                    <w:autoSpaceDE/>
                    <w:autoSpaceDN/>
                    <w:bidi w:val="0"/>
                    <w:adjustRightInd/>
                    <w:snapToGrid/>
                    <w:spacing w:line="240" w:lineRule="auto"/>
                    <w:textAlignment w:val="auto"/>
                    <w:rPr>
                      <w:rFonts w:hint="eastAsia"/>
                      <w:color w:val="0000FF"/>
                      <w:highlight w:val="none"/>
                      <w:lang w:val="en-US" w:eastAsia="zh-CN"/>
                    </w:rPr>
                  </w:pPr>
                </w:p>
              </w:tc>
              <w:tc>
                <w:tcPr>
                  <w:tcW w:w="587" w:type="pct"/>
                  <w:noWrap w:val="0"/>
                  <w:vAlign w:val="center"/>
                </w:tcPr>
                <w:p w14:paraId="7963C501">
                  <w:pPr>
                    <w:pStyle w:val="36"/>
                    <w:keepNext w:val="0"/>
                    <w:keepLines w:val="0"/>
                    <w:pageBreakBefore w:val="0"/>
                    <w:kinsoku/>
                    <w:wordWrap w:val="0"/>
                    <w:overflowPunct/>
                    <w:topLinePunct w:val="0"/>
                    <w:autoSpaceDE/>
                    <w:autoSpaceDN/>
                    <w:bidi w:val="0"/>
                    <w:adjustRightInd/>
                    <w:snapToGrid/>
                    <w:spacing w:line="240" w:lineRule="auto"/>
                    <w:jc w:val="center"/>
                    <w:textAlignment w:val="auto"/>
                    <w:rPr>
                      <w:rFonts w:hint="eastAsia"/>
                      <w:color w:val="auto"/>
                      <w:highlight w:val="none"/>
                      <w:lang w:val="en-US" w:eastAsia="zh-CN"/>
                    </w:rPr>
                  </w:pPr>
                  <w:r>
                    <w:rPr>
                      <w:rFonts w:hint="eastAsia"/>
                      <w:color w:val="auto"/>
                      <w:highlight w:val="none"/>
                      <w:lang w:val="en-US" w:eastAsia="zh-CN"/>
                    </w:rPr>
                    <w:t>防渗</w:t>
                  </w:r>
                </w:p>
              </w:tc>
              <w:tc>
                <w:tcPr>
                  <w:tcW w:w="3412" w:type="pct"/>
                  <w:gridSpan w:val="2"/>
                  <w:noWrap w:val="0"/>
                  <w:vAlign w:val="center"/>
                </w:tcPr>
                <w:p w14:paraId="7E0BCFDF">
                  <w:pPr>
                    <w:pStyle w:val="36"/>
                    <w:keepNext w:val="0"/>
                    <w:keepLines w:val="0"/>
                    <w:pageBreakBefore w:val="0"/>
                    <w:kinsoku/>
                    <w:wordWrap w:val="0"/>
                    <w:overflowPunct/>
                    <w:topLinePunct w:val="0"/>
                    <w:autoSpaceDE/>
                    <w:autoSpaceDN/>
                    <w:bidi w:val="0"/>
                    <w:adjustRightInd/>
                    <w:snapToGrid/>
                    <w:spacing w:line="240" w:lineRule="auto"/>
                    <w:jc w:val="center"/>
                    <w:textAlignment w:val="auto"/>
                    <w:rPr>
                      <w:rFonts w:hint="default"/>
                      <w:color w:val="auto"/>
                      <w:highlight w:val="none"/>
                      <w:lang w:val="en-US" w:eastAsia="zh-CN"/>
                    </w:rPr>
                  </w:pPr>
                  <w:r>
                    <w:rPr>
                      <w:rFonts w:hint="eastAsia"/>
                      <w:color w:val="auto"/>
                      <w:highlight w:val="none"/>
                      <w:lang w:val="en-US" w:eastAsia="zh-CN"/>
                    </w:rPr>
                    <w:t>危废贮存点重点防渗，沉淀池一般防渗、其余地方简单防渗；</w:t>
                  </w:r>
                </w:p>
              </w:tc>
              <w:tc>
                <w:tcPr>
                  <w:tcW w:w="349" w:type="pct"/>
                  <w:noWrap w:val="0"/>
                  <w:vAlign w:val="center"/>
                </w:tcPr>
                <w:p w14:paraId="114B629A">
                  <w:pPr>
                    <w:pStyle w:val="36"/>
                    <w:keepNext w:val="0"/>
                    <w:keepLines w:val="0"/>
                    <w:pageBreakBefore w:val="0"/>
                    <w:kinsoku/>
                    <w:wordWrap w:val="0"/>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w:t>
                  </w:r>
                </w:p>
              </w:tc>
            </w:tr>
          </w:tbl>
          <w:p w14:paraId="6F702C2A">
            <w:pPr>
              <w:pageBreakBefore w:val="0"/>
              <w:wordWrap w:val="0"/>
              <w:bidi w:val="0"/>
              <w:rPr>
                <w:rFonts w:hint="default"/>
                <w:color w:val="0000FF"/>
                <w:highlight w:val="none"/>
                <w:lang w:val="en-US" w:eastAsia="zh-CN"/>
              </w:rPr>
            </w:pPr>
          </w:p>
        </w:tc>
      </w:tr>
      <w:tr w14:paraId="0EAE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872" w:type="dxa"/>
            <w:tcBorders>
              <w:tl2br w:val="nil"/>
              <w:tr2bl w:val="nil"/>
            </w:tcBorders>
            <w:noWrap w:val="0"/>
            <w:vAlign w:val="center"/>
          </w:tcPr>
          <w:p w14:paraId="7FA0A636">
            <w:pPr>
              <w:pStyle w:val="37"/>
              <w:pageBreakBefore w:val="0"/>
              <w:wordWrap w:val="0"/>
              <w:bidi w:val="0"/>
              <w:jc w:val="center"/>
              <w:rPr>
                <w:color w:val="auto"/>
              </w:rPr>
            </w:pPr>
            <w:r>
              <w:rPr>
                <w:rFonts w:hint="eastAsia"/>
                <w:color w:val="auto"/>
              </w:rPr>
              <w:t>与项目有关的原有环境污染问题</w:t>
            </w:r>
          </w:p>
        </w:tc>
        <w:tc>
          <w:tcPr>
            <w:tcW w:w="8189" w:type="dxa"/>
            <w:tcBorders>
              <w:tl2br w:val="nil"/>
              <w:tr2bl w:val="nil"/>
            </w:tcBorders>
            <w:noWrap w:val="0"/>
            <w:vAlign w:val="center"/>
          </w:tcPr>
          <w:p w14:paraId="055139AB">
            <w:pPr>
              <w:pageBreakBefore w:val="0"/>
              <w:wordWrap w:val="0"/>
              <w:bidi w:val="0"/>
              <w:ind w:left="0" w:leftChars="0" w:firstLine="0" w:firstLineChars="0"/>
              <w:jc w:val="center"/>
              <w:rPr>
                <w:rFonts w:hint="default"/>
                <w:color w:val="auto"/>
                <w:lang w:val="en-US" w:eastAsia="zh-CN"/>
              </w:rPr>
            </w:pPr>
            <w:r>
              <w:rPr>
                <w:rFonts w:hint="eastAsia"/>
                <w:color w:val="auto"/>
                <w:lang w:val="en-US" w:eastAsia="zh-CN"/>
              </w:rPr>
              <w:t>无</w:t>
            </w:r>
          </w:p>
        </w:tc>
      </w:tr>
    </w:tbl>
    <w:p w14:paraId="51F5B357">
      <w:pPr>
        <w:pageBreakBefore w:val="0"/>
        <w:wordWrap w:val="0"/>
        <w:bidi w:val="0"/>
        <w:rPr>
          <w:rFonts w:hint="eastAsia"/>
          <w:color w:val="0000FF"/>
        </w:rPr>
      </w:pPr>
      <w:r>
        <w:rPr>
          <w:rFonts w:hint="eastAsia"/>
          <w:color w:val="0000FF"/>
        </w:rPr>
        <w:br w:type="page"/>
      </w:r>
    </w:p>
    <w:p w14:paraId="19553EE8">
      <w:pPr>
        <w:pStyle w:val="5"/>
        <w:pageBreakBefore w:val="0"/>
        <w:wordWrap w:val="0"/>
        <w:bidi w:val="0"/>
        <w:jc w:val="center"/>
        <w:rPr>
          <w:color w:val="auto"/>
          <w:sz w:val="36"/>
          <w:szCs w:val="36"/>
        </w:rPr>
      </w:pPr>
      <w:bookmarkStart w:id="3" w:name="_Toc6880"/>
      <w:r>
        <w:rPr>
          <w:rFonts w:hint="eastAsia"/>
          <w:color w:val="auto"/>
          <w:sz w:val="36"/>
          <w:szCs w:val="36"/>
        </w:rPr>
        <w:t>三、区域环境质量现状、环境保护目标及评价标准</w:t>
      </w:r>
      <w:bookmarkEnd w:id="3"/>
    </w:p>
    <w:tbl>
      <w:tblPr>
        <w:tblStyle w:val="2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8585"/>
      </w:tblGrid>
      <w:tr w14:paraId="6D86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69" w:type="dxa"/>
            <w:tcBorders>
              <w:tl2br w:val="nil"/>
              <w:tr2bl w:val="nil"/>
            </w:tcBorders>
            <w:noWrap w:val="0"/>
            <w:vAlign w:val="center"/>
          </w:tcPr>
          <w:p w14:paraId="664AAAD2">
            <w:pPr>
              <w:pStyle w:val="37"/>
              <w:pageBreakBefore w:val="0"/>
              <w:wordWrap w:val="0"/>
              <w:bidi w:val="0"/>
              <w:rPr>
                <w:rFonts w:hint="eastAsia"/>
                <w:color w:val="auto"/>
              </w:rPr>
            </w:pPr>
            <w:r>
              <w:rPr>
                <w:rFonts w:hint="eastAsia"/>
                <w:color w:val="auto"/>
              </w:rPr>
              <w:t>环境</w:t>
            </w:r>
          </w:p>
          <w:p w14:paraId="463762CD">
            <w:pPr>
              <w:pStyle w:val="37"/>
              <w:pageBreakBefore w:val="0"/>
              <w:wordWrap w:val="0"/>
              <w:bidi w:val="0"/>
              <w:rPr>
                <w:rFonts w:hint="eastAsia"/>
                <w:color w:val="auto"/>
              </w:rPr>
            </w:pPr>
            <w:r>
              <w:rPr>
                <w:rFonts w:hint="eastAsia"/>
                <w:color w:val="auto"/>
              </w:rPr>
              <w:t>保护</w:t>
            </w:r>
          </w:p>
          <w:p w14:paraId="62D02C85">
            <w:pPr>
              <w:pStyle w:val="37"/>
              <w:pageBreakBefore w:val="0"/>
              <w:wordWrap w:val="0"/>
              <w:bidi w:val="0"/>
              <w:rPr>
                <w:rFonts w:hint="eastAsia"/>
                <w:color w:val="0000FF"/>
              </w:rPr>
            </w:pPr>
            <w:r>
              <w:rPr>
                <w:rFonts w:hint="eastAsia"/>
                <w:color w:val="auto"/>
              </w:rPr>
              <w:t>目标</w:t>
            </w:r>
          </w:p>
        </w:tc>
        <w:tc>
          <w:tcPr>
            <w:tcW w:w="8585" w:type="dxa"/>
            <w:tcBorders>
              <w:tl2br w:val="nil"/>
              <w:tr2bl w:val="nil"/>
            </w:tcBorders>
            <w:noWrap w:val="0"/>
            <w:vAlign w:val="center"/>
          </w:tcPr>
          <w:p w14:paraId="3738DF8F">
            <w:pPr>
              <w:spacing w:line="440" w:lineRule="exact"/>
              <w:ind w:left="48" w:leftChars="20" w:right="48" w:rightChars="20" w:firstLine="480" w:firstLineChars="200"/>
              <w:rPr>
                <w:rFonts w:hint="eastAsia"/>
                <w:lang w:val="en-US" w:eastAsia="zh-CN"/>
              </w:rPr>
            </w:pPr>
            <w:r>
              <w:rPr>
                <w:rFonts w:ascii="Times New Roman" w:hAnsi="Times New Roman" w:eastAsia="宋体" w:cs="Times New Roman"/>
                <w:bCs/>
                <w:color w:val="auto"/>
                <w:sz w:val="24"/>
                <w:szCs w:val="24"/>
              </w:rPr>
              <w:t>项目区域无重点保护文物及珍稀动植物资源、水源地、自然保护区等敏感点，</w:t>
            </w:r>
            <w:r>
              <w:rPr>
                <w:rFonts w:hint="eastAsia" w:ascii="Times New Roman" w:hAnsi="Times New Roman" w:eastAsia="宋体" w:cs="Times New Roman"/>
                <w:bCs/>
                <w:color w:val="auto"/>
                <w:sz w:val="24"/>
                <w:szCs w:val="24"/>
                <w:lang w:val="en-US" w:eastAsia="zh-CN"/>
              </w:rPr>
              <w:t>厂界外延500m范围内无地下水集中式饮用水水源和热水、矿泉水、温泉等特殊地下水资源，</w:t>
            </w:r>
            <w:r>
              <w:rPr>
                <w:rFonts w:ascii="Times New Roman" w:hAnsi="Times New Roman" w:eastAsia="宋体" w:cs="Times New Roman"/>
                <w:bCs/>
                <w:color w:val="auto"/>
                <w:sz w:val="24"/>
                <w:szCs w:val="24"/>
              </w:rPr>
              <w:t>根据项目工程特点、评价区域环境特征，确定本项目主要环境保护目标。</w:t>
            </w:r>
          </w:p>
        </w:tc>
      </w:tr>
      <w:tr w14:paraId="1885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69" w:type="dxa"/>
            <w:tcBorders>
              <w:tl2br w:val="nil"/>
              <w:tr2bl w:val="nil"/>
            </w:tcBorders>
            <w:noWrap w:val="0"/>
            <w:tcMar>
              <w:left w:w="28" w:type="dxa"/>
              <w:right w:w="28" w:type="dxa"/>
            </w:tcMar>
            <w:vAlign w:val="center"/>
          </w:tcPr>
          <w:p w14:paraId="2932E3D6">
            <w:pPr>
              <w:pStyle w:val="37"/>
              <w:pageBreakBefore w:val="0"/>
              <w:wordWrap w:val="0"/>
              <w:bidi w:val="0"/>
              <w:rPr>
                <w:rFonts w:hint="eastAsia"/>
                <w:color w:val="auto"/>
              </w:rPr>
            </w:pPr>
            <w:r>
              <w:rPr>
                <w:rFonts w:hint="eastAsia"/>
                <w:color w:val="auto"/>
              </w:rPr>
              <w:t>污染</w:t>
            </w:r>
          </w:p>
          <w:p w14:paraId="2E33A53A">
            <w:pPr>
              <w:pStyle w:val="37"/>
              <w:pageBreakBefore w:val="0"/>
              <w:wordWrap w:val="0"/>
              <w:bidi w:val="0"/>
              <w:rPr>
                <w:rFonts w:hint="eastAsia"/>
                <w:color w:val="auto"/>
              </w:rPr>
            </w:pPr>
            <w:r>
              <w:rPr>
                <w:rFonts w:hint="eastAsia"/>
                <w:color w:val="auto"/>
              </w:rPr>
              <w:t>物排</w:t>
            </w:r>
          </w:p>
          <w:p w14:paraId="3B47A49B">
            <w:pPr>
              <w:pStyle w:val="37"/>
              <w:pageBreakBefore w:val="0"/>
              <w:wordWrap w:val="0"/>
              <w:bidi w:val="0"/>
              <w:rPr>
                <w:rFonts w:hint="eastAsia"/>
                <w:color w:val="auto"/>
              </w:rPr>
            </w:pPr>
            <w:r>
              <w:rPr>
                <w:rFonts w:hint="eastAsia"/>
                <w:color w:val="auto"/>
              </w:rPr>
              <w:t>放控</w:t>
            </w:r>
          </w:p>
          <w:p w14:paraId="3FD8451A">
            <w:pPr>
              <w:pStyle w:val="37"/>
              <w:pageBreakBefore w:val="0"/>
              <w:wordWrap w:val="0"/>
              <w:bidi w:val="0"/>
              <w:rPr>
                <w:rFonts w:hint="eastAsia"/>
                <w:color w:val="auto"/>
              </w:rPr>
            </w:pPr>
            <w:r>
              <w:rPr>
                <w:rFonts w:hint="eastAsia"/>
                <w:color w:val="auto"/>
              </w:rPr>
              <w:t>制标</w:t>
            </w:r>
          </w:p>
          <w:p w14:paraId="7A47A89F">
            <w:pPr>
              <w:pStyle w:val="37"/>
              <w:pageBreakBefore w:val="0"/>
              <w:wordWrap w:val="0"/>
              <w:bidi w:val="0"/>
              <w:rPr>
                <w:color w:val="0000FF"/>
              </w:rPr>
            </w:pPr>
            <w:r>
              <w:rPr>
                <w:rFonts w:hint="eastAsia"/>
                <w:color w:val="auto"/>
              </w:rPr>
              <w:t>准</w:t>
            </w:r>
          </w:p>
        </w:tc>
        <w:tc>
          <w:tcPr>
            <w:tcW w:w="8585" w:type="dxa"/>
            <w:tcBorders>
              <w:tl2br w:val="nil"/>
              <w:tr2bl w:val="nil"/>
            </w:tcBorders>
            <w:noWrap w:val="0"/>
            <w:vAlign w:val="center"/>
          </w:tcPr>
          <w:p w14:paraId="20EDE527">
            <w:pPr>
              <w:pageBreakBefore w:val="0"/>
              <w:wordWrap w:val="0"/>
              <w:bidi w:val="0"/>
              <w:ind w:left="0" w:leftChars="0" w:firstLine="0" w:firstLineChars="0"/>
              <w:rPr>
                <w:rFonts w:hint="eastAsia"/>
                <w:b/>
                <w:bCs/>
                <w:color w:val="auto"/>
              </w:rPr>
            </w:pPr>
            <w:r>
              <w:rPr>
                <w:rFonts w:hint="eastAsia"/>
                <w:b/>
                <w:bCs/>
                <w:color w:val="auto"/>
                <w:lang w:val="en-US" w:eastAsia="zh-CN"/>
              </w:rPr>
              <w:t>1.</w:t>
            </w:r>
            <w:r>
              <w:rPr>
                <w:rFonts w:hint="eastAsia"/>
                <w:b/>
                <w:bCs/>
                <w:color w:val="auto"/>
              </w:rPr>
              <w:t>大气污染物排放标准</w:t>
            </w:r>
          </w:p>
          <w:p w14:paraId="47C61A14">
            <w:pPr>
              <w:keepNext w:val="0"/>
              <w:keepLines w:val="0"/>
              <w:pageBreakBefore w:val="0"/>
              <w:widowControl/>
              <w:suppressLineNumbers w:val="0"/>
              <w:wordWrap w:val="0"/>
              <w:bidi w:val="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（1）施工期大气污染物排放标准执行《大气污染物综合排放标准》（GB16297-1996）中无组织排放监控浓度限值。</w:t>
            </w:r>
          </w:p>
          <w:p w14:paraId="0F404D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表3-</w:t>
            </w:r>
            <w:r>
              <w:rPr>
                <w:rFonts w:hint="eastAsia" w:ascii="Times New Roman" w:hAnsi="Times New Roman" w:eastAsia="宋体" w:cs="Times New Roman"/>
                <w:b/>
                <w:color w:val="auto"/>
                <w:sz w:val="24"/>
                <w:highlight w:val="none"/>
                <w:lang w:val="en-US" w:eastAsia="zh-CN"/>
              </w:rPr>
              <w:t>3</w:t>
            </w:r>
            <w:r>
              <w:rPr>
                <w:rFonts w:ascii="Times New Roman" w:hAnsi="Times New Roman" w:eastAsia="宋体" w:cs="Times New Roman"/>
                <w:b/>
                <w:color w:val="auto"/>
                <w:sz w:val="24"/>
                <w:highlight w:val="none"/>
              </w:rPr>
              <w:t xml:space="preserve">    大气污染物排放标准</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057"/>
              <w:gridCol w:w="535"/>
              <w:gridCol w:w="890"/>
              <w:gridCol w:w="3915"/>
            </w:tblGrid>
            <w:tr w14:paraId="6257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5" w:type="pct"/>
                  <w:vAlign w:val="center"/>
                </w:tcPr>
                <w:p w14:paraId="051FB0D0">
                  <w:pPr>
                    <w:pStyle w:val="36"/>
                    <w:pageBreakBefore w:val="0"/>
                    <w:wordWrap w:val="0"/>
                    <w:bidi w:val="0"/>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污染物</w:t>
                  </w:r>
                </w:p>
              </w:tc>
              <w:tc>
                <w:tcPr>
                  <w:tcW w:w="1550" w:type="pct"/>
                  <w:gridSpan w:val="2"/>
                  <w:vAlign w:val="center"/>
                </w:tcPr>
                <w:p w14:paraId="224ACCE6">
                  <w:pPr>
                    <w:pStyle w:val="36"/>
                    <w:pageBreakBefore w:val="0"/>
                    <w:wordWrap w:val="0"/>
                    <w:bidi w:val="0"/>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标准限值</w:t>
                  </w:r>
                </w:p>
              </w:tc>
              <w:tc>
                <w:tcPr>
                  <w:tcW w:w="532" w:type="pct"/>
                  <w:vAlign w:val="center"/>
                </w:tcPr>
                <w:p w14:paraId="50AE1954">
                  <w:pPr>
                    <w:pStyle w:val="36"/>
                    <w:pageBreakBefore w:val="0"/>
                    <w:wordWrap w:val="0"/>
                    <w:bidi w:val="0"/>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单位</w:t>
                  </w:r>
                </w:p>
              </w:tc>
              <w:tc>
                <w:tcPr>
                  <w:tcW w:w="2341" w:type="pct"/>
                  <w:vAlign w:val="center"/>
                </w:tcPr>
                <w:p w14:paraId="1EC524DE">
                  <w:pPr>
                    <w:pStyle w:val="36"/>
                    <w:pageBreakBefore w:val="0"/>
                    <w:wordWrap w:val="0"/>
                    <w:bidi w:val="0"/>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标准来源</w:t>
                  </w:r>
                </w:p>
              </w:tc>
            </w:tr>
            <w:tr w14:paraId="5F9C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5" w:type="pct"/>
                  <w:vAlign w:val="center"/>
                </w:tcPr>
                <w:p w14:paraId="6A3CEEEB">
                  <w:pPr>
                    <w:pStyle w:val="36"/>
                    <w:pageBreakBefore w:val="0"/>
                    <w:wordWrap w:val="0"/>
                    <w:bidi w:val="0"/>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颗粒物</w:t>
                  </w:r>
                </w:p>
              </w:tc>
              <w:tc>
                <w:tcPr>
                  <w:tcW w:w="1230" w:type="pct"/>
                  <w:vAlign w:val="center"/>
                </w:tcPr>
                <w:p w14:paraId="54EA03FB">
                  <w:pPr>
                    <w:pStyle w:val="36"/>
                    <w:pageBreakBefore w:val="0"/>
                    <w:wordWrap w:val="0"/>
                    <w:bidi w:val="0"/>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周界外浓度最高点</w:t>
                  </w:r>
                </w:p>
              </w:tc>
              <w:tc>
                <w:tcPr>
                  <w:tcW w:w="319" w:type="pct"/>
                  <w:vAlign w:val="center"/>
                </w:tcPr>
                <w:p w14:paraId="65086184">
                  <w:pPr>
                    <w:pStyle w:val="36"/>
                    <w:pageBreakBefore w:val="0"/>
                    <w:wordWrap w:val="0"/>
                    <w:bidi w:val="0"/>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1.0</w:t>
                  </w:r>
                </w:p>
              </w:tc>
              <w:tc>
                <w:tcPr>
                  <w:tcW w:w="532" w:type="pct"/>
                  <w:vAlign w:val="center"/>
                </w:tcPr>
                <w:p w14:paraId="7602E58D">
                  <w:pPr>
                    <w:pStyle w:val="36"/>
                    <w:pageBreakBefore w:val="0"/>
                    <w:wordWrap w:val="0"/>
                    <w:bidi w:val="0"/>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mg/m</w:t>
                  </w:r>
                  <w:r>
                    <w:rPr>
                      <w:rFonts w:hint="default" w:ascii="Times New Roman" w:hAnsi="Times New Roman" w:eastAsia="宋体" w:cs="Times New Roman"/>
                      <w:b w:val="0"/>
                      <w:bCs w:val="0"/>
                      <w:color w:val="auto"/>
                      <w:vertAlign w:val="superscript"/>
                    </w:rPr>
                    <w:t>3</w:t>
                  </w:r>
                </w:p>
              </w:tc>
              <w:tc>
                <w:tcPr>
                  <w:tcW w:w="2341" w:type="pct"/>
                  <w:vAlign w:val="center"/>
                </w:tcPr>
                <w:p w14:paraId="04804637">
                  <w:pPr>
                    <w:pStyle w:val="36"/>
                    <w:pageBreakBefore w:val="0"/>
                    <w:wordWrap w:val="0"/>
                    <w:bidi w:val="0"/>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《大气污染物综合排放标准》(GB16297-1996</w:t>
                  </w:r>
                  <w:r>
                    <w:rPr>
                      <w:rFonts w:hint="eastAsia" w:cs="Times New Roman"/>
                      <w:b w:val="0"/>
                      <w:bCs w:val="0"/>
                      <w:color w:val="auto"/>
                      <w:lang w:eastAsia="zh-CN"/>
                    </w:rPr>
                    <w:t>）</w:t>
                  </w:r>
                  <w:r>
                    <w:rPr>
                      <w:rFonts w:hint="default" w:ascii="Times New Roman" w:hAnsi="Times New Roman" w:eastAsia="宋体" w:cs="Times New Roman"/>
                      <w:b w:val="0"/>
                      <w:bCs w:val="0"/>
                      <w:color w:val="auto"/>
                    </w:rPr>
                    <w:t>无组织排放监控限值</w:t>
                  </w:r>
                </w:p>
              </w:tc>
            </w:tr>
          </w:tbl>
          <w:p w14:paraId="3536E24B">
            <w:pPr>
              <w:keepNext w:val="0"/>
              <w:keepLines w:val="0"/>
              <w:pageBreakBefore w:val="0"/>
              <w:suppressLineNumbers w:val="0"/>
              <w:wordWrap w:val="0"/>
              <w:bidi w:val="0"/>
              <w:spacing w:before="0" w:beforeAutospacing="0" w:after="0" w:afterAutospacing="0" w:line="360" w:lineRule="auto"/>
              <w:ind w:left="0" w:leftChars="0" w:right="0" w:firstLine="480" w:firstLineChars="200"/>
              <w:rPr>
                <w:rFonts w:hint="default" w:ascii="Times New Roman" w:hAnsi="Times New Roman" w:eastAsia="宋体" w:cs="Times New Roman"/>
                <w:b/>
                <w:bCs/>
                <w:color w:val="auto"/>
                <w:szCs w:val="20"/>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eastAsia="zh-CN"/>
              </w:rPr>
              <w:t>）运营期</w:t>
            </w:r>
            <w:r>
              <w:rPr>
                <w:rFonts w:hint="default" w:ascii="Times New Roman" w:hAnsi="Times New Roman" w:eastAsia="宋体" w:cs="Times New Roman"/>
                <w:color w:val="auto"/>
                <w:sz w:val="24"/>
                <w:szCs w:val="24"/>
              </w:rPr>
              <w:t>有组织</w:t>
            </w:r>
            <w:r>
              <w:rPr>
                <w:rFonts w:hint="default" w:ascii="Times New Roman" w:hAnsi="Times New Roman" w:cs="Times New Roman"/>
                <w:color w:val="auto"/>
                <w:sz w:val="24"/>
                <w:szCs w:val="24"/>
                <w:lang w:val="en-US" w:eastAsia="zh-CN"/>
              </w:rPr>
              <w:t>颗粒物</w:t>
            </w:r>
            <w:r>
              <w:rPr>
                <w:rFonts w:hint="default" w:ascii="Times New Roman" w:hAnsi="Times New Roman" w:eastAsia="宋体" w:cs="Times New Roman"/>
                <w:color w:val="auto"/>
                <w:sz w:val="24"/>
                <w:szCs w:val="24"/>
              </w:rPr>
              <w:t>排放执行《水泥工业大气污染物排放标准》（GB4915-2013）表1中限值，无组织</w:t>
            </w:r>
            <w:r>
              <w:rPr>
                <w:rFonts w:hint="default" w:ascii="Times New Roman" w:hAnsi="Times New Roman" w:cs="Times New Roman"/>
                <w:color w:val="auto"/>
                <w:sz w:val="24"/>
                <w:szCs w:val="24"/>
                <w:lang w:val="en-US" w:eastAsia="zh-CN"/>
              </w:rPr>
              <w:t>颗粒物</w:t>
            </w:r>
            <w:r>
              <w:rPr>
                <w:rFonts w:hint="default" w:ascii="Times New Roman" w:hAnsi="Times New Roman" w:eastAsia="宋体" w:cs="Times New Roman"/>
                <w:color w:val="auto"/>
                <w:sz w:val="24"/>
                <w:szCs w:val="24"/>
              </w:rPr>
              <w:t>排放执行《水泥工业大气污染物排放标准》（GB4915-2013）表3中的限值</w:t>
            </w:r>
            <w:r>
              <w:rPr>
                <w:rFonts w:hint="default" w:ascii="Times New Roman" w:hAnsi="Times New Roman" w:cs="Times New Roman"/>
                <w:color w:val="auto"/>
                <w:sz w:val="24"/>
                <w:lang w:eastAsia="zh-CN"/>
              </w:rPr>
              <w:t>。</w:t>
            </w:r>
          </w:p>
          <w:p w14:paraId="35BD8C71">
            <w:pPr>
              <w:pStyle w:val="36"/>
              <w:pageBreakBefore w:val="0"/>
              <w:wordWrap w:val="0"/>
              <w:bidi w:val="0"/>
              <w:rPr>
                <w:rFonts w:hint="default" w:ascii="Times New Roman" w:hAnsi="Times New Roman" w:eastAsia="宋体" w:cs="Times New Roman"/>
                <w:b/>
                <w:bCs/>
                <w:color w:val="auto"/>
                <w:lang w:val="en-US" w:eastAsia="zh-CN"/>
              </w:rPr>
            </w:pPr>
            <w:r>
              <w:rPr>
                <w:rFonts w:hint="default" w:ascii="Times New Roman" w:hAnsi="Times New Roman" w:cs="Times New Roman"/>
                <w:b/>
                <w:bCs/>
                <w:color w:val="auto"/>
              </w:rPr>
              <w:t>表</w:t>
            </w:r>
            <w:r>
              <w:rPr>
                <w:rFonts w:hint="default" w:ascii="Times New Roman" w:hAnsi="Times New Roman" w:cs="Times New Roman"/>
                <w:b/>
                <w:bCs/>
                <w:color w:val="auto"/>
                <w:lang w:val="en-US" w:eastAsia="zh-CN"/>
              </w:rPr>
              <w:t>3-</w:t>
            </w:r>
            <w:r>
              <w:rPr>
                <w:rFonts w:hint="eastAsia" w:cs="Times New Roman"/>
                <w:b/>
                <w:bCs/>
                <w:color w:val="auto"/>
                <w:lang w:val="en-US" w:eastAsia="zh-CN"/>
              </w:rPr>
              <w:t>4</w:t>
            </w:r>
            <w:r>
              <w:rPr>
                <w:rFonts w:hint="default" w:ascii="Times New Roman" w:hAnsi="Times New Roman" w:cs="Times New Roman"/>
                <w:b/>
                <w:bCs/>
                <w:color w:val="auto"/>
              </w:rPr>
              <w:t xml:space="preserve"> </w:t>
            </w:r>
            <w:r>
              <w:rPr>
                <w:rFonts w:hint="default" w:ascii="Times New Roman" w:hAnsi="Times New Roman" w:cs="Times New Roman"/>
                <w:b/>
                <w:bCs/>
                <w:color w:val="auto"/>
                <w:lang w:val="en-US" w:eastAsia="zh-CN"/>
              </w:rPr>
              <w:t xml:space="preserve"> </w:t>
            </w:r>
            <w:r>
              <w:rPr>
                <w:rFonts w:hint="default" w:ascii="Times New Roman" w:hAnsi="Times New Roman" w:cs="Times New Roman"/>
                <w:b/>
                <w:bCs/>
                <w:color w:val="auto"/>
              </w:rPr>
              <w:t xml:space="preserve"> </w:t>
            </w:r>
            <w:r>
              <w:rPr>
                <w:rFonts w:hint="default" w:ascii="Times New Roman" w:hAnsi="Times New Roman" w:cs="Times New Roman"/>
                <w:b/>
                <w:bCs/>
                <w:color w:val="auto"/>
                <w:lang w:val="en-US" w:eastAsia="zh-CN"/>
              </w:rPr>
              <w:t>废气污染物执行标准</w:t>
            </w:r>
          </w:p>
          <w:tbl>
            <w:tblPr>
              <w:tblStyle w:val="28"/>
              <w:tblW w:w="8364"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67"/>
              <w:gridCol w:w="2040"/>
              <w:gridCol w:w="2620"/>
              <w:gridCol w:w="2737"/>
            </w:tblGrid>
            <w:tr w14:paraId="30F75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2" w:hRule="atLeast"/>
              </w:trPr>
              <w:tc>
                <w:tcPr>
                  <w:tcW w:w="967" w:type="dxa"/>
                  <w:vMerge w:val="restart"/>
                  <w:tcBorders>
                    <w:tl2br w:val="nil"/>
                    <w:tr2bl w:val="nil"/>
                  </w:tcBorders>
                  <w:noWrap w:val="0"/>
                  <w:vAlign w:val="center"/>
                </w:tcPr>
                <w:p w14:paraId="3D0C4DE0">
                  <w:pPr>
                    <w:pStyle w:val="36"/>
                    <w:pageBreakBefore w:val="0"/>
                    <w:wordWrap w:val="0"/>
                    <w:bidi w:val="0"/>
                    <w:rPr>
                      <w:rFonts w:hint="default"/>
                      <w:b/>
                      <w:bCs/>
                      <w:color w:val="auto"/>
                    </w:rPr>
                  </w:pPr>
                  <w:r>
                    <w:rPr>
                      <w:rFonts w:hint="default"/>
                      <w:b/>
                      <w:bCs/>
                      <w:color w:val="auto"/>
                    </w:rPr>
                    <w:t>污染物</w:t>
                  </w:r>
                </w:p>
              </w:tc>
              <w:tc>
                <w:tcPr>
                  <w:tcW w:w="2040" w:type="dxa"/>
                  <w:tcBorders>
                    <w:tl2br w:val="nil"/>
                    <w:tr2bl w:val="nil"/>
                  </w:tcBorders>
                  <w:noWrap w:val="0"/>
                  <w:vAlign w:val="center"/>
                </w:tcPr>
                <w:p w14:paraId="2DBEDC76">
                  <w:pPr>
                    <w:pStyle w:val="36"/>
                    <w:pageBreakBefore w:val="0"/>
                    <w:wordWrap w:val="0"/>
                    <w:bidi w:val="0"/>
                    <w:rPr>
                      <w:rFonts w:hint="default"/>
                      <w:b/>
                      <w:bCs/>
                      <w:color w:val="auto"/>
                    </w:rPr>
                  </w:pPr>
                  <w:r>
                    <w:rPr>
                      <w:rFonts w:hint="default"/>
                      <w:b/>
                      <w:bCs/>
                      <w:color w:val="auto"/>
                    </w:rPr>
                    <w:t>有组织排放</w:t>
                  </w:r>
                </w:p>
              </w:tc>
              <w:tc>
                <w:tcPr>
                  <w:tcW w:w="2620" w:type="dxa"/>
                  <w:tcBorders>
                    <w:tl2br w:val="nil"/>
                    <w:tr2bl w:val="nil"/>
                  </w:tcBorders>
                  <w:noWrap w:val="0"/>
                  <w:vAlign w:val="center"/>
                </w:tcPr>
                <w:p w14:paraId="66DEDD33">
                  <w:pPr>
                    <w:pStyle w:val="36"/>
                    <w:pageBreakBefore w:val="0"/>
                    <w:wordWrap w:val="0"/>
                    <w:bidi w:val="0"/>
                    <w:rPr>
                      <w:rFonts w:hint="default"/>
                      <w:b/>
                      <w:bCs/>
                      <w:color w:val="auto"/>
                    </w:rPr>
                  </w:pPr>
                  <w:r>
                    <w:rPr>
                      <w:rFonts w:hint="default"/>
                      <w:b/>
                      <w:bCs/>
                      <w:color w:val="auto"/>
                    </w:rPr>
                    <w:t>无组织排放监控浓度限值</w:t>
                  </w:r>
                </w:p>
              </w:tc>
              <w:tc>
                <w:tcPr>
                  <w:tcW w:w="2737" w:type="dxa"/>
                  <w:vMerge w:val="restart"/>
                  <w:tcBorders>
                    <w:tl2br w:val="nil"/>
                    <w:tr2bl w:val="nil"/>
                  </w:tcBorders>
                  <w:noWrap w:val="0"/>
                  <w:vAlign w:val="center"/>
                </w:tcPr>
                <w:p w14:paraId="2EF2C526">
                  <w:pPr>
                    <w:pStyle w:val="36"/>
                    <w:pageBreakBefore w:val="0"/>
                    <w:wordWrap w:val="0"/>
                    <w:bidi w:val="0"/>
                    <w:rPr>
                      <w:rFonts w:hint="default" w:eastAsia="宋体"/>
                      <w:b/>
                      <w:bCs/>
                      <w:color w:val="auto"/>
                      <w:lang w:val="en-US" w:eastAsia="zh-CN"/>
                    </w:rPr>
                  </w:pPr>
                  <w:r>
                    <w:rPr>
                      <w:rFonts w:hint="eastAsia"/>
                      <w:b/>
                      <w:bCs/>
                      <w:color w:val="auto"/>
                      <w:lang w:val="en-US" w:eastAsia="zh-CN"/>
                    </w:rPr>
                    <w:t>执行标准</w:t>
                  </w:r>
                </w:p>
              </w:tc>
            </w:tr>
            <w:tr w14:paraId="2F4A2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0" w:hRule="atLeast"/>
              </w:trPr>
              <w:tc>
                <w:tcPr>
                  <w:tcW w:w="967" w:type="dxa"/>
                  <w:vMerge w:val="continue"/>
                  <w:tcBorders>
                    <w:tl2br w:val="nil"/>
                    <w:tr2bl w:val="nil"/>
                  </w:tcBorders>
                  <w:noWrap w:val="0"/>
                  <w:vAlign w:val="center"/>
                </w:tcPr>
                <w:p w14:paraId="47F65FB4">
                  <w:pPr>
                    <w:pStyle w:val="36"/>
                    <w:pageBreakBefore w:val="0"/>
                    <w:wordWrap w:val="0"/>
                    <w:bidi w:val="0"/>
                    <w:rPr>
                      <w:rFonts w:hint="default"/>
                      <w:b/>
                      <w:bCs/>
                      <w:color w:val="auto"/>
                    </w:rPr>
                  </w:pPr>
                </w:p>
              </w:tc>
              <w:tc>
                <w:tcPr>
                  <w:tcW w:w="2040" w:type="dxa"/>
                  <w:tcBorders>
                    <w:tl2br w:val="nil"/>
                    <w:tr2bl w:val="nil"/>
                  </w:tcBorders>
                  <w:noWrap w:val="0"/>
                  <w:vAlign w:val="center"/>
                </w:tcPr>
                <w:p w14:paraId="5C35ECC7">
                  <w:pPr>
                    <w:pStyle w:val="36"/>
                    <w:pageBreakBefore w:val="0"/>
                    <w:wordWrap w:val="0"/>
                    <w:bidi w:val="0"/>
                    <w:rPr>
                      <w:rFonts w:hint="default"/>
                      <w:b/>
                      <w:bCs/>
                      <w:color w:val="auto"/>
                    </w:rPr>
                  </w:pPr>
                  <w:r>
                    <w:rPr>
                      <w:rFonts w:hint="default"/>
                      <w:b/>
                      <w:bCs/>
                      <w:color w:val="auto"/>
                    </w:rPr>
                    <w:t>浓度限值（mg/</w:t>
                  </w:r>
                  <w:r>
                    <w:rPr>
                      <w:rFonts w:hint="eastAsia"/>
                      <w:b/>
                      <w:bCs/>
                      <w:color w:val="auto"/>
                      <w:lang w:eastAsia="zh-CN"/>
                    </w:rPr>
                    <w:t>m³</w:t>
                  </w:r>
                  <w:r>
                    <w:rPr>
                      <w:rFonts w:hint="default"/>
                      <w:b/>
                      <w:bCs/>
                      <w:color w:val="auto"/>
                    </w:rPr>
                    <w:t>）</w:t>
                  </w:r>
                </w:p>
              </w:tc>
              <w:tc>
                <w:tcPr>
                  <w:tcW w:w="2620" w:type="dxa"/>
                  <w:tcBorders>
                    <w:tl2br w:val="nil"/>
                    <w:tr2bl w:val="nil"/>
                  </w:tcBorders>
                  <w:noWrap w:val="0"/>
                  <w:vAlign w:val="center"/>
                </w:tcPr>
                <w:p w14:paraId="1E859ED9">
                  <w:pPr>
                    <w:pStyle w:val="36"/>
                    <w:pageBreakBefore w:val="0"/>
                    <w:wordWrap w:val="0"/>
                    <w:bidi w:val="0"/>
                    <w:rPr>
                      <w:rFonts w:hint="default"/>
                      <w:b/>
                      <w:bCs/>
                      <w:color w:val="auto"/>
                    </w:rPr>
                  </w:pPr>
                  <w:r>
                    <w:rPr>
                      <w:rFonts w:hint="default"/>
                      <w:b/>
                      <w:bCs/>
                      <w:color w:val="auto"/>
                    </w:rPr>
                    <w:t>浓度限值（mg/</w:t>
                  </w:r>
                  <w:r>
                    <w:rPr>
                      <w:rFonts w:hint="eastAsia"/>
                      <w:b/>
                      <w:bCs/>
                      <w:color w:val="auto"/>
                      <w:lang w:eastAsia="zh-CN"/>
                    </w:rPr>
                    <w:t>m³</w:t>
                  </w:r>
                  <w:r>
                    <w:rPr>
                      <w:rFonts w:hint="default"/>
                      <w:b/>
                      <w:bCs/>
                      <w:color w:val="auto"/>
                    </w:rPr>
                    <w:t>）</w:t>
                  </w:r>
                </w:p>
              </w:tc>
              <w:tc>
                <w:tcPr>
                  <w:tcW w:w="2737" w:type="dxa"/>
                  <w:vMerge w:val="continue"/>
                  <w:tcBorders>
                    <w:tl2br w:val="nil"/>
                    <w:tr2bl w:val="nil"/>
                  </w:tcBorders>
                  <w:noWrap w:val="0"/>
                  <w:vAlign w:val="center"/>
                </w:tcPr>
                <w:p w14:paraId="2654FF59">
                  <w:pPr>
                    <w:pStyle w:val="36"/>
                    <w:pageBreakBefore w:val="0"/>
                    <w:wordWrap w:val="0"/>
                    <w:bidi w:val="0"/>
                    <w:rPr>
                      <w:rFonts w:hint="default"/>
                      <w:b/>
                      <w:bCs/>
                      <w:color w:val="auto"/>
                    </w:rPr>
                  </w:pPr>
                </w:p>
              </w:tc>
            </w:tr>
            <w:tr w14:paraId="5E564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967" w:type="dxa"/>
                  <w:tcBorders>
                    <w:tl2br w:val="nil"/>
                    <w:tr2bl w:val="nil"/>
                  </w:tcBorders>
                  <w:noWrap w:val="0"/>
                  <w:vAlign w:val="center"/>
                </w:tcPr>
                <w:p w14:paraId="45BDCE48">
                  <w:pPr>
                    <w:pStyle w:val="36"/>
                    <w:pageBreakBefore w:val="0"/>
                    <w:wordWrap w:val="0"/>
                    <w:bidi w:val="0"/>
                    <w:rPr>
                      <w:rFonts w:hint="default"/>
                      <w:b w:val="0"/>
                      <w:bCs w:val="0"/>
                      <w:color w:val="auto"/>
                    </w:rPr>
                  </w:pPr>
                  <w:r>
                    <w:rPr>
                      <w:rFonts w:hint="default"/>
                      <w:b w:val="0"/>
                      <w:bCs w:val="0"/>
                      <w:color w:val="auto"/>
                    </w:rPr>
                    <w:t>颗粒物</w:t>
                  </w:r>
                </w:p>
              </w:tc>
              <w:tc>
                <w:tcPr>
                  <w:tcW w:w="2040" w:type="dxa"/>
                  <w:tcBorders>
                    <w:tl2br w:val="nil"/>
                    <w:tr2bl w:val="nil"/>
                  </w:tcBorders>
                  <w:noWrap w:val="0"/>
                  <w:vAlign w:val="center"/>
                </w:tcPr>
                <w:p w14:paraId="3F6E0D28">
                  <w:pPr>
                    <w:pStyle w:val="36"/>
                    <w:pageBreakBefore w:val="0"/>
                    <w:wordWrap w:val="0"/>
                    <w:bidi w:val="0"/>
                    <w:rPr>
                      <w:rFonts w:hint="default"/>
                      <w:b w:val="0"/>
                      <w:bCs w:val="0"/>
                      <w:color w:val="auto"/>
                    </w:rPr>
                  </w:pPr>
                  <w:r>
                    <w:rPr>
                      <w:rFonts w:hint="default"/>
                      <w:b w:val="0"/>
                      <w:bCs w:val="0"/>
                      <w:color w:val="auto"/>
                    </w:rPr>
                    <w:t>20</w:t>
                  </w:r>
                </w:p>
              </w:tc>
              <w:tc>
                <w:tcPr>
                  <w:tcW w:w="2620" w:type="dxa"/>
                  <w:tcBorders>
                    <w:tl2br w:val="nil"/>
                    <w:tr2bl w:val="nil"/>
                  </w:tcBorders>
                  <w:noWrap w:val="0"/>
                  <w:vAlign w:val="center"/>
                </w:tcPr>
                <w:p w14:paraId="11A0E09C">
                  <w:pPr>
                    <w:pStyle w:val="36"/>
                    <w:pageBreakBefore w:val="0"/>
                    <w:wordWrap w:val="0"/>
                    <w:bidi w:val="0"/>
                    <w:rPr>
                      <w:rFonts w:hint="default"/>
                      <w:b w:val="0"/>
                      <w:bCs w:val="0"/>
                      <w:color w:val="auto"/>
                    </w:rPr>
                  </w:pPr>
                  <w:r>
                    <w:rPr>
                      <w:rFonts w:hint="default"/>
                      <w:b w:val="0"/>
                      <w:bCs w:val="0"/>
                      <w:color w:val="auto"/>
                    </w:rPr>
                    <w:t>0.5</w:t>
                  </w:r>
                </w:p>
              </w:tc>
              <w:tc>
                <w:tcPr>
                  <w:tcW w:w="2737" w:type="dxa"/>
                  <w:tcBorders>
                    <w:tl2br w:val="nil"/>
                    <w:tr2bl w:val="nil"/>
                  </w:tcBorders>
                  <w:noWrap w:val="0"/>
                  <w:vAlign w:val="center"/>
                </w:tcPr>
                <w:p w14:paraId="68D9B4DE">
                  <w:pPr>
                    <w:pStyle w:val="36"/>
                    <w:pageBreakBefore w:val="0"/>
                    <w:wordWrap w:val="0"/>
                    <w:bidi w:val="0"/>
                    <w:rPr>
                      <w:rFonts w:hint="default"/>
                      <w:b w:val="0"/>
                      <w:bCs w:val="0"/>
                      <w:color w:val="auto"/>
                    </w:rPr>
                  </w:pPr>
                  <w:r>
                    <w:rPr>
                      <w:rFonts w:hint="default"/>
                      <w:b w:val="0"/>
                      <w:bCs w:val="0"/>
                      <w:color w:val="auto"/>
                    </w:rPr>
                    <w:t>《水</w:t>
                  </w:r>
                  <w:r>
                    <w:rPr>
                      <w:rFonts w:hint="default"/>
                      <w:b w:val="0"/>
                      <w:bCs w:val="0"/>
                      <w:color w:val="auto"/>
                      <w:sz w:val="21"/>
                      <w:szCs w:val="21"/>
                    </w:rPr>
                    <w:t>泥工业大气污染物排放标准》（GB4915-2013）</w:t>
                  </w:r>
                  <w:r>
                    <w:rPr>
                      <w:rFonts w:hint="default" w:ascii="Times New Roman" w:hAnsi="Times New Roman" w:eastAsia="宋体" w:cs="Times New Roman"/>
                      <w:color w:val="auto"/>
                      <w:sz w:val="21"/>
                      <w:szCs w:val="21"/>
                    </w:rPr>
                    <w:t>表1中限值</w:t>
                  </w:r>
                </w:p>
              </w:tc>
            </w:tr>
          </w:tbl>
          <w:p w14:paraId="1673198B">
            <w:pPr>
              <w:pageBreakBefore w:val="0"/>
              <w:wordWrap w:val="0"/>
              <w:bidi w:val="0"/>
              <w:spacing w:line="360" w:lineRule="auto"/>
              <w:ind w:left="0" w:leftChars="0" w:firstLine="0" w:firstLineChars="0"/>
              <w:rPr>
                <w:rFonts w:hint="default"/>
                <w:b/>
                <w:bCs/>
                <w:color w:val="auto"/>
              </w:rPr>
            </w:pPr>
            <w:r>
              <w:rPr>
                <w:rFonts w:hint="eastAsia"/>
                <w:b/>
                <w:bCs/>
                <w:color w:val="auto"/>
                <w:lang w:val="en-US" w:eastAsia="zh-CN"/>
              </w:rPr>
              <w:t>2.</w:t>
            </w:r>
            <w:r>
              <w:rPr>
                <w:rFonts w:hint="default"/>
                <w:b/>
                <w:bCs/>
                <w:color w:val="auto"/>
              </w:rPr>
              <w:t>噪声排放标准</w:t>
            </w:r>
          </w:p>
          <w:p w14:paraId="48EB6425">
            <w:pPr>
              <w:keepNext w:val="0"/>
              <w:keepLines w:val="0"/>
              <w:pageBreakBefore w:val="0"/>
              <w:widowControl/>
              <w:suppressLineNumbers w:val="0"/>
              <w:wordWrap w:val="0"/>
              <w:bidi w:val="0"/>
              <w:spacing w:line="360" w:lineRule="auto"/>
              <w:ind w:left="0" w:leftChars="0" w:firstLine="480" w:firstLineChars="200"/>
              <w:jc w:val="both"/>
              <w:rPr>
                <w:rFonts w:hint="eastAsia"/>
                <w:color w:val="auto"/>
                <w:lang w:val="en-US"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lang w:val="en-US" w:eastAsia="zh-CN"/>
              </w:rPr>
              <w:t>施工期噪声执行《建筑施工场界环境噪声排放标准》（</w:t>
            </w:r>
            <w:r>
              <w:rPr>
                <w:rFonts w:hint="default"/>
                <w:color w:val="auto"/>
                <w:lang w:val="en-US" w:eastAsia="zh-CN"/>
              </w:rPr>
              <w:t>GB12523-2011</w:t>
            </w:r>
            <w:r>
              <w:rPr>
                <w:rFonts w:hint="eastAsia"/>
                <w:color w:val="auto"/>
                <w:lang w:val="en-US" w:eastAsia="zh-CN"/>
              </w:rPr>
              <w:t>）；</w:t>
            </w:r>
          </w:p>
          <w:p w14:paraId="7BB74443">
            <w:pPr>
              <w:pageBreakBefore w:val="0"/>
              <w:wordWrap w:val="0"/>
              <w:bidi w:val="0"/>
              <w:spacing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w:t>
            </w:r>
            <w:r>
              <w:rPr>
                <w:rFonts w:hint="eastAsia" w:ascii="Times New Roman" w:hAnsi="Times New Roman" w:eastAsia="宋体" w:cs="Times New Roman"/>
                <w:color w:val="auto"/>
                <w:lang w:val="en-US" w:eastAsia="zh-CN"/>
              </w:rPr>
              <w:t>2</w:t>
            </w:r>
            <w:r>
              <w:rPr>
                <w:rFonts w:hint="default" w:ascii="Times New Roman" w:hAnsi="Times New Roman" w:eastAsia="宋体" w:cs="Times New Roman"/>
                <w:color w:val="auto"/>
              </w:rPr>
              <w:t>）运营期项目区噪声执行《工业企业厂界环境噪声排放标准</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（GB12348-2008）中的</w:t>
            </w:r>
            <w:r>
              <w:rPr>
                <w:rFonts w:hint="eastAsia" w:ascii="Times New Roman" w:hAnsi="Times New Roman" w:eastAsia="宋体" w:cs="Times New Roman"/>
                <w:color w:val="auto"/>
                <w:lang w:val="en-US" w:eastAsia="zh-CN"/>
              </w:rPr>
              <w:t>2</w:t>
            </w:r>
            <w:r>
              <w:rPr>
                <w:rFonts w:hint="default" w:ascii="Times New Roman" w:hAnsi="Times New Roman" w:eastAsia="宋体" w:cs="Times New Roman"/>
                <w:color w:val="auto"/>
              </w:rPr>
              <w:t>类区标准。</w:t>
            </w:r>
          </w:p>
          <w:tbl>
            <w:tblPr>
              <w:tblStyle w:val="29"/>
              <w:tblpPr w:leftFromText="180" w:rightFromText="180" w:vertAnchor="text" w:horzAnchor="page" w:tblpX="76" w:tblpY="274"/>
              <w:tblOverlap w:val="never"/>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554"/>
              <w:gridCol w:w="2352"/>
              <w:gridCol w:w="2456"/>
            </w:tblGrid>
            <w:tr w14:paraId="4C272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2125" w:type="pct"/>
                  <w:vMerge w:val="restart"/>
                  <w:tcBorders>
                    <w:tl2br w:val="nil"/>
                    <w:tr2bl w:val="nil"/>
                  </w:tcBorders>
                  <w:noWrap w:val="0"/>
                  <w:vAlign w:val="center"/>
                </w:tcPr>
                <w:p w14:paraId="3345E32A">
                  <w:pPr>
                    <w:pStyle w:val="36"/>
                    <w:pageBreakBefore w:val="0"/>
                    <w:wordWrap w:val="0"/>
                    <w:bidi w:val="0"/>
                    <w:rPr>
                      <w:rFonts w:hint="default" w:ascii="Times New Roman" w:hAnsi="Times New Roman" w:eastAsia="宋体" w:cs="Times New Roman"/>
                      <w:color w:val="auto"/>
                    </w:rPr>
                  </w:pPr>
                  <w:r>
                    <w:rPr>
                      <w:rFonts w:hint="default" w:ascii="Times New Roman" w:hAnsi="Times New Roman" w:eastAsia="宋体" w:cs="Times New Roman"/>
                      <w:color w:val="auto"/>
                    </w:rPr>
                    <w:t>厂界外声环境功能区类别</w:t>
                  </w:r>
                </w:p>
              </w:tc>
              <w:tc>
                <w:tcPr>
                  <w:tcW w:w="2874" w:type="pct"/>
                  <w:gridSpan w:val="2"/>
                  <w:tcBorders>
                    <w:tl2br w:val="nil"/>
                    <w:tr2bl w:val="nil"/>
                  </w:tcBorders>
                  <w:noWrap w:val="0"/>
                  <w:vAlign w:val="center"/>
                </w:tcPr>
                <w:p w14:paraId="14E8D055">
                  <w:pPr>
                    <w:pStyle w:val="36"/>
                    <w:pageBreakBefore w:val="0"/>
                    <w:wordWrap w:val="0"/>
                    <w:bidi w:val="0"/>
                    <w:rPr>
                      <w:rFonts w:hint="default" w:ascii="Times New Roman" w:hAnsi="Times New Roman" w:eastAsia="宋体" w:cs="Times New Roman"/>
                      <w:color w:val="auto"/>
                    </w:rPr>
                  </w:pPr>
                  <w:r>
                    <w:rPr>
                      <w:rFonts w:hint="default" w:ascii="Times New Roman" w:hAnsi="Times New Roman" w:eastAsia="宋体" w:cs="Times New Roman"/>
                      <w:color w:val="auto"/>
                    </w:rPr>
                    <w:t>时段</w:t>
                  </w:r>
                </w:p>
              </w:tc>
            </w:tr>
            <w:tr w14:paraId="5B49B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2125" w:type="pct"/>
                  <w:vMerge w:val="continue"/>
                  <w:tcBorders>
                    <w:tl2br w:val="nil"/>
                    <w:tr2bl w:val="nil"/>
                  </w:tcBorders>
                  <w:noWrap w:val="0"/>
                  <w:vAlign w:val="center"/>
                </w:tcPr>
                <w:p w14:paraId="3FD1B94B">
                  <w:pPr>
                    <w:pStyle w:val="36"/>
                    <w:pageBreakBefore w:val="0"/>
                    <w:wordWrap w:val="0"/>
                    <w:bidi w:val="0"/>
                    <w:rPr>
                      <w:rFonts w:hint="default" w:ascii="Times New Roman" w:hAnsi="Times New Roman" w:eastAsia="宋体" w:cs="Times New Roman"/>
                      <w:color w:val="auto"/>
                    </w:rPr>
                  </w:pPr>
                </w:p>
              </w:tc>
              <w:tc>
                <w:tcPr>
                  <w:tcW w:w="1406" w:type="pct"/>
                  <w:tcBorders>
                    <w:tl2br w:val="nil"/>
                    <w:tr2bl w:val="nil"/>
                  </w:tcBorders>
                  <w:noWrap w:val="0"/>
                  <w:vAlign w:val="center"/>
                </w:tcPr>
                <w:p w14:paraId="0F1565F1">
                  <w:pPr>
                    <w:pStyle w:val="36"/>
                    <w:pageBreakBefore w:val="0"/>
                    <w:wordWrap w:val="0"/>
                    <w:bidi w:val="0"/>
                    <w:rPr>
                      <w:rFonts w:hint="default" w:ascii="Times New Roman" w:hAnsi="Times New Roman" w:eastAsia="宋体" w:cs="Times New Roman"/>
                      <w:color w:val="auto"/>
                    </w:rPr>
                  </w:pPr>
                  <w:r>
                    <w:rPr>
                      <w:rFonts w:hint="default" w:ascii="Times New Roman" w:hAnsi="Times New Roman" w:eastAsia="宋体" w:cs="Times New Roman"/>
                      <w:color w:val="auto"/>
                    </w:rPr>
                    <w:t>昼间</w:t>
                  </w:r>
                </w:p>
              </w:tc>
              <w:tc>
                <w:tcPr>
                  <w:tcW w:w="1468" w:type="pct"/>
                  <w:tcBorders>
                    <w:tl2br w:val="nil"/>
                    <w:tr2bl w:val="nil"/>
                  </w:tcBorders>
                  <w:noWrap w:val="0"/>
                  <w:vAlign w:val="center"/>
                </w:tcPr>
                <w:p w14:paraId="5259F175">
                  <w:pPr>
                    <w:pStyle w:val="36"/>
                    <w:pageBreakBefore w:val="0"/>
                    <w:wordWrap w:val="0"/>
                    <w:bidi w:val="0"/>
                    <w:rPr>
                      <w:rFonts w:hint="default" w:ascii="Times New Roman" w:hAnsi="Times New Roman" w:eastAsia="宋体" w:cs="Times New Roman"/>
                      <w:color w:val="auto"/>
                    </w:rPr>
                  </w:pPr>
                  <w:r>
                    <w:rPr>
                      <w:rFonts w:hint="default" w:ascii="Times New Roman" w:hAnsi="Times New Roman" w:eastAsia="宋体" w:cs="Times New Roman"/>
                      <w:color w:val="auto"/>
                    </w:rPr>
                    <w:t>夜间</w:t>
                  </w:r>
                </w:p>
              </w:tc>
            </w:tr>
            <w:tr w14:paraId="60918A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2125" w:type="pct"/>
                  <w:tcBorders>
                    <w:tl2br w:val="nil"/>
                    <w:tr2bl w:val="nil"/>
                  </w:tcBorders>
                  <w:noWrap w:val="0"/>
                  <w:vAlign w:val="center"/>
                </w:tcPr>
                <w:p w14:paraId="69E01E11">
                  <w:pPr>
                    <w:pStyle w:val="36"/>
                    <w:pageBreakBefore w:val="0"/>
                    <w:wordWrap w:val="0"/>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p>
              </w:tc>
              <w:tc>
                <w:tcPr>
                  <w:tcW w:w="1406" w:type="pct"/>
                  <w:tcBorders>
                    <w:tl2br w:val="nil"/>
                    <w:tr2bl w:val="nil"/>
                  </w:tcBorders>
                  <w:noWrap w:val="0"/>
                  <w:vAlign w:val="center"/>
                </w:tcPr>
                <w:p w14:paraId="28D425E9">
                  <w:pPr>
                    <w:pStyle w:val="36"/>
                    <w:pageBreakBefore w:val="0"/>
                    <w:wordWrap w:val="0"/>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60</w:t>
                  </w:r>
                </w:p>
              </w:tc>
              <w:tc>
                <w:tcPr>
                  <w:tcW w:w="1468" w:type="pct"/>
                  <w:tcBorders>
                    <w:tl2br w:val="nil"/>
                    <w:tr2bl w:val="nil"/>
                  </w:tcBorders>
                  <w:noWrap w:val="0"/>
                  <w:vAlign w:val="center"/>
                </w:tcPr>
                <w:p w14:paraId="31C128EB">
                  <w:pPr>
                    <w:pStyle w:val="36"/>
                    <w:pageBreakBefore w:val="0"/>
                    <w:wordWrap w:val="0"/>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50</w:t>
                  </w:r>
                </w:p>
              </w:tc>
            </w:tr>
          </w:tbl>
          <w:p w14:paraId="78A22641">
            <w:pPr>
              <w:pStyle w:val="36"/>
              <w:pageBreakBefore w:val="0"/>
              <w:wordWrap w:val="0"/>
              <w:bidi w:val="0"/>
              <w:rPr>
                <w:rFonts w:hint="eastAsia" w:eastAsia="宋体"/>
                <w:b/>
                <w:bCs/>
                <w:color w:val="auto"/>
                <w:lang w:eastAsia="zh-CN"/>
              </w:rPr>
            </w:pPr>
            <w:r>
              <w:rPr>
                <w:rFonts w:hint="default"/>
                <w:b/>
                <w:bCs/>
                <w:color w:val="auto"/>
              </w:rPr>
              <w:t>表</w:t>
            </w:r>
            <w:r>
              <w:rPr>
                <w:rFonts w:hint="eastAsia"/>
                <w:b/>
                <w:bCs/>
                <w:color w:val="auto"/>
                <w:lang w:val="en-US" w:eastAsia="zh-CN"/>
              </w:rPr>
              <w:t xml:space="preserve">3-4 </w:t>
            </w:r>
            <w:r>
              <w:rPr>
                <w:rFonts w:hint="default"/>
                <w:b/>
                <w:bCs/>
                <w:color w:val="auto"/>
              </w:rPr>
              <w:t xml:space="preserve">  工业企业厂界环境噪声排放限值   单位：</w:t>
            </w:r>
          </w:p>
          <w:p w14:paraId="0EC2CC8A">
            <w:pPr>
              <w:pageBreakBefore w:val="0"/>
              <w:wordWrap w:val="0"/>
              <w:bidi w:val="0"/>
              <w:spacing w:line="360" w:lineRule="auto"/>
              <w:ind w:left="0" w:leftChars="0" w:firstLine="0" w:firstLineChars="0"/>
              <w:rPr>
                <w:rFonts w:hint="eastAsia"/>
                <w:b/>
                <w:bCs/>
                <w:color w:val="auto"/>
              </w:rPr>
            </w:pPr>
            <w:r>
              <w:rPr>
                <w:rFonts w:hint="eastAsia"/>
                <w:b/>
                <w:bCs/>
                <w:color w:val="auto"/>
                <w:lang w:val="en-US" w:eastAsia="zh-CN"/>
              </w:rPr>
              <w:t>3.</w:t>
            </w:r>
            <w:r>
              <w:rPr>
                <w:rFonts w:hint="eastAsia"/>
                <w:b/>
                <w:bCs/>
                <w:color w:val="auto"/>
              </w:rPr>
              <w:t>水污染物排放标准</w:t>
            </w:r>
          </w:p>
          <w:p w14:paraId="712C9B66">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color w:val="auto"/>
                <w:lang w:val="en-US" w:eastAsia="zh-CN"/>
              </w:rPr>
            </w:pPr>
            <w:r>
              <w:rPr>
                <w:rFonts w:hint="eastAsia"/>
                <w:color w:val="auto"/>
              </w:rPr>
              <w:t>运营期间，</w:t>
            </w:r>
            <w:r>
              <w:rPr>
                <w:rFonts w:hint="eastAsia"/>
                <w:color w:val="auto"/>
                <w:lang w:val="en-US" w:eastAsia="zh-CN"/>
              </w:rPr>
              <w:t>职工生活办公依托新疆亿丰矿业开发有限责任公司办公及生活区，生活污水依托新疆亿丰矿业开发有限责任公司污水设施收集处理。</w:t>
            </w:r>
          </w:p>
          <w:p w14:paraId="5C974943">
            <w:pPr>
              <w:pageBreakBefore w:val="0"/>
              <w:wordWrap w:val="0"/>
              <w:bidi w:val="0"/>
              <w:spacing w:line="360" w:lineRule="auto"/>
              <w:ind w:left="0" w:leftChars="0" w:firstLine="0" w:firstLineChars="0"/>
              <w:rPr>
                <w:rFonts w:hint="default"/>
                <w:b/>
                <w:bCs/>
                <w:color w:val="auto"/>
              </w:rPr>
            </w:pPr>
            <w:r>
              <w:rPr>
                <w:rFonts w:hint="eastAsia"/>
                <w:b/>
                <w:bCs/>
                <w:color w:val="auto"/>
                <w:lang w:eastAsia="zh-CN"/>
              </w:rPr>
              <w:t>4.</w:t>
            </w:r>
            <w:r>
              <w:rPr>
                <w:rFonts w:hint="default"/>
                <w:b/>
                <w:bCs/>
                <w:color w:val="auto"/>
              </w:rPr>
              <w:t>固体废物执行标准或规定</w:t>
            </w:r>
          </w:p>
          <w:p w14:paraId="76077E0D">
            <w:pPr>
              <w:pageBreakBefore w:val="0"/>
              <w:wordWrap w:val="0"/>
              <w:bidi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rPr>
              <w:t>一般固体废物执行</w:t>
            </w:r>
            <w:r>
              <w:rPr>
                <w:rFonts w:hint="default" w:ascii="Times New Roman" w:hAnsi="Times New Roman" w:cs="Times New Roman"/>
                <w:color w:val="auto"/>
                <w:lang w:eastAsia="zh-CN"/>
              </w:rPr>
              <w:t>《</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"http://www.mee.gov.cn/ywgz/fgbz/bz/bzwb/gthw/gtfwwrkzbz/202012/W020201218695845325455.pdf" </w:instrText>
            </w:r>
            <w:r>
              <w:rPr>
                <w:rFonts w:hint="default" w:ascii="Times New Roman" w:hAnsi="Times New Roman" w:cs="Times New Roman"/>
                <w:color w:val="auto"/>
              </w:rPr>
              <w:fldChar w:fldCharType="separate"/>
            </w:r>
            <w:r>
              <w:rPr>
                <w:rFonts w:hint="default" w:ascii="Times New Roman" w:hAnsi="Times New Roman" w:cs="Times New Roman"/>
                <w:color w:val="auto"/>
              </w:rPr>
              <w:t>一般工业固体废物贮存和填埋污染控制标准</w:t>
            </w:r>
            <w:r>
              <w:rPr>
                <w:rFonts w:hint="default" w:ascii="Times New Roman" w:hAnsi="Times New Roman" w:cs="Times New Roman"/>
                <w:color w:val="auto"/>
                <w:lang w:eastAsia="zh-CN"/>
              </w:rPr>
              <w:t>》</w:t>
            </w:r>
            <w:r>
              <w:rPr>
                <w:rFonts w:hint="default" w:ascii="Times New Roman" w:hAnsi="Times New Roman" w:cs="Times New Roman"/>
                <w:color w:val="auto"/>
              </w:rPr>
              <w:t>（GB 18599-2020）</w:t>
            </w:r>
            <w:r>
              <w:rPr>
                <w:rFonts w:hint="default" w:ascii="Times New Roman" w:hAnsi="Times New Roman" w:cs="Times New Roman"/>
                <w:color w:val="auto"/>
              </w:rPr>
              <w:fldChar w:fldCharType="end"/>
            </w:r>
            <w:r>
              <w:rPr>
                <w:rFonts w:hint="default" w:ascii="Times New Roman" w:hAnsi="Times New Roman" w:cs="Times New Roman"/>
                <w:color w:val="auto"/>
              </w:rPr>
              <w:t>的相关标准；</w:t>
            </w:r>
            <w:r>
              <w:rPr>
                <w:rFonts w:hint="default" w:ascii="Times New Roman" w:hAnsi="Times New Roman" w:eastAsia="宋体" w:cs="Times New Roman"/>
                <w:color w:val="auto"/>
                <w:sz w:val="24"/>
                <w:szCs w:val="24"/>
              </w:rPr>
              <w:t>危险废物贮存执行《危险废物贮存污染控制标准》（GB18597-2023）。</w:t>
            </w:r>
          </w:p>
          <w:p w14:paraId="15134A75">
            <w:pPr>
              <w:pStyle w:val="2"/>
              <w:rPr>
                <w:rFonts w:hint="default"/>
                <w:lang w:val="en-US" w:eastAsia="zh-CN"/>
              </w:rPr>
            </w:pPr>
          </w:p>
        </w:tc>
      </w:tr>
      <w:tr w14:paraId="63C4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769" w:type="dxa"/>
            <w:tcBorders>
              <w:tl2br w:val="nil"/>
              <w:tr2bl w:val="nil"/>
            </w:tcBorders>
            <w:noWrap w:val="0"/>
            <w:vAlign w:val="center"/>
          </w:tcPr>
          <w:p w14:paraId="46DADAC0">
            <w:pPr>
              <w:pStyle w:val="37"/>
              <w:pageBreakBefore w:val="0"/>
              <w:wordWrap w:val="0"/>
              <w:bidi w:val="0"/>
              <w:rPr>
                <w:rFonts w:hint="eastAsia"/>
                <w:color w:val="auto"/>
              </w:rPr>
            </w:pPr>
            <w:r>
              <w:rPr>
                <w:rFonts w:hint="eastAsia"/>
                <w:color w:val="auto"/>
              </w:rPr>
              <w:t>总量</w:t>
            </w:r>
          </w:p>
          <w:p w14:paraId="5B638902">
            <w:pPr>
              <w:pStyle w:val="37"/>
              <w:pageBreakBefore w:val="0"/>
              <w:wordWrap w:val="0"/>
              <w:bidi w:val="0"/>
              <w:rPr>
                <w:rFonts w:hint="eastAsia"/>
                <w:color w:val="auto"/>
              </w:rPr>
            </w:pPr>
            <w:r>
              <w:rPr>
                <w:rFonts w:hint="eastAsia"/>
                <w:color w:val="auto"/>
              </w:rPr>
              <w:t>控制</w:t>
            </w:r>
          </w:p>
          <w:p w14:paraId="460DD8B9">
            <w:pPr>
              <w:pStyle w:val="37"/>
              <w:pageBreakBefore w:val="0"/>
              <w:wordWrap w:val="0"/>
              <w:bidi w:val="0"/>
              <w:rPr>
                <w:color w:val="auto"/>
              </w:rPr>
            </w:pPr>
            <w:r>
              <w:rPr>
                <w:rFonts w:hint="eastAsia"/>
                <w:color w:val="auto"/>
              </w:rPr>
              <w:t>指标</w:t>
            </w:r>
          </w:p>
        </w:tc>
        <w:tc>
          <w:tcPr>
            <w:tcW w:w="8585" w:type="dxa"/>
            <w:tcBorders>
              <w:tl2br w:val="nil"/>
              <w:tr2bl w:val="nil"/>
            </w:tcBorders>
            <w:noWrap w:val="0"/>
            <w:vAlign w:val="center"/>
          </w:tcPr>
          <w:p w14:paraId="06420184">
            <w:pPr>
              <w:pageBreakBefore w:val="0"/>
              <w:wordWrap w:val="0"/>
              <w:bidi w:val="0"/>
              <w:rPr>
                <w:rFonts w:hint="default"/>
                <w:color w:val="auto"/>
              </w:rPr>
            </w:pPr>
          </w:p>
          <w:p w14:paraId="16E3F4EC">
            <w:pPr>
              <w:pageBreakBefore w:val="0"/>
              <w:wordWrap w:val="0"/>
              <w:bidi w:val="0"/>
              <w:rPr>
                <w:rFonts w:hint="default"/>
                <w:color w:val="auto"/>
              </w:rPr>
            </w:pPr>
          </w:p>
          <w:p w14:paraId="14E25DCC">
            <w:pPr>
              <w:pageBreakBefore w:val="0"/>
              <w:wordWrap w:val="0"/>
              <w:bidi w:val="0"/>
              <w:rPr>
                <w:rFonts w:hint="default"/>
                <w:color w:val="auto"/>
              </w:rPr>
            </w:pPr>
          </w:p>
          <w:p w14:paraId="6B33C58E">
            <w:pPr>
              <w:pageBreakBefore w:val="0"/>
              <w:wordWrap w:val="0"/>
              <w:bidi w:val="0"/>
              <w:rPr>
                <w:rFonts w:hint="default"/>
                <w:color w:val="auto"/>
              </w:rPr>
            </w:pPr>
          </w:p>
          <w:p w14:paraId="27FDC1FC">
            <w:pPr>
              <w:pageBreakBefore w:val="0"/>
              <w:wordWrap w:val="0"/>
              <w:bidi w:val="0"/>
              <w:rPr>
                <w:rFonts w:hint="default"/>
                <w:color w:val="auto"/>
              </w:rPr>
            </w:pPr>
          </w:p>
          <w:p w14:paraId="5BEE173D">
            <w:pPr>
              <w:pageBreakBefore w:val="0"/>
              <w:wordWrap w:val="0"/>
              <w:bidi w:val="0"/>
              <w:rPr>
                <w:rFonts w:hint="default"/>
                <w:color w:val="auto"/>
              </w:rPr>
            </w:pPr>
          </w:p>
          <w:p w14:paraId="6322BFC9">
            <w:pPr>
              <w:pageBreakBefore w:val="0"/>
              <w:wordWrap w:val="0"/>
              <w:bidi w:val="0"/>
              <w:rPr>
                <w:rFonts w:hint="default"/>
                <w:color w:val="auto"/>
              </w:rPr>
            </w:pPr>
          </w:p>
          <w:p w14:paraId="004976E8">
            <w:pPr>
              <w:pageBreakBefore w:val="0"/>
              <w:wordWrap w:val="0"/>
              <w:bidi w:val="0"/>
              <w:rPr>
                <w:rFonts w:hint="default"/>
                <w:color w:val="auto"/>
              </w:rPr>
            </w:pPr>
          </w:p>
          <w:p w14:paraId="0D9DB211">
            <w:pPr>
              <w:pageBreakBefore w:val="0"/>
              <w:wordWrap w:val="0"/>
              <w:bidi w:val="0"/>
              <w:rPr>
                <w:rFonts w:hint="default" w:ascii="Times New Roman" w:hAnsi="Times New Roman" w:eastAsia="宋体" w:cs="Times New Roman"/>
                <w:color w:val="auto"/>
                <w:szCs w:val="24"/>
                <w:lang w:val="en-US" w:eastAsia="zh-CN"/>
              </w:rPr>
            </w:pPr>
            <w:r>
              <w:rPr>
                <w:rFonts w:hint="default"/>
                <w:color w:val="auto"/>
              </w:rPr>
              <w:t>根据国家规定的总量控制污染物种类，结合本项目的排污特点、所在区域的环境质量现状等因素综合考虑，</w:t>
            </w:r>
            <w:r>
              <w:rPr>
                <w:rFonts w:hint="eastAsia"/>
                <w:color w:val="auto"/>
                <w:lang w:val="en-US" w:eastAsia="zh-CN"/>
              </w:rPr>
              <w:t>建议</w:t>
            </w:r>
            <w:r>
              <w:rPr>
                <w:rFonts w:hint="default"/>
                <w:color w:val="auto"/>
                <w:lang w:val="en-US" w:eastAsia="zh-CN"/>
              </w:rPr>
              <w:t>本项目</w:t>
            </w:r>
            <w:r>
              <w:rPr>
                <w:rFonts w:hint="eastAsia"/>
                <w:color w:val="auto"/>
                <w:lang w:val="en-US" w:eastAsia="zh-CN"/>
              </w:rPr>
              <w:t>不</w:t>
            </w:r>
            <w:r>
              <w:rPr>
                <w:rFonts w:hint="default"/>
                <w:color w:val="auto"/>
                <w:lang w:val="en-US" w:eastAsia="zh-CN"/>
              </w:rPr>
              <w:t>设置总量控制指标</w:t>
            </w:r>
            <w:r>
              <w:rPr>
                <w:rFonts w:hint="eastAsia"/>
                <w:color w:val="auto"/>
                <w:lang w:val="en-US" w:eastAsia="zh-CN"/>
              </w:rPr>
              <w:t>。</w:t>
            </w:r>
          </w:p>
          <w:p w14:paraId="0FB64B13">
            <w:pPr>
              <w:pageBreakBefore w:val="0"/>
              <w:wordWrap w:val="0"/>
              <w:bidi w:val="0"/>
              <w:rPr>
                <w:color w:val="auto"/>
              </w:rPr>
            </w:pPr>
          </w:p>
          <w:p w14:paraId="4150C906">
            <w:pPr>
              <w:pStyle w:val="2"/>
              <w:rPr>
                <w:color w:val="auto"/>
              </w:rPr>
            </w:pPr>
          </w:p>
          <w:p w14:paraId="27161933">
            <w:pPr>
              <w:rPr>
                <w:color w:val="auto"/>
              </w:rPr>
            </w:pPr>
          </w:p>
          <w:p w14:paraId="1014D0BB">
            <w:pPr>
              <w:pStyle w:val="2"/>
              <w:rPr>
                <w:color w:val="auto"/>
              </w:rPr>
            </w:pPr>
          </w:p>
          <w:p w14:paraId="7AD7AE60">
            <w:pPr>
              <w:rPr>
                <w:color w:val="auto"/>
              </w:rPr>
            </w:pPr>
          </w:p>
          <w:p w14:paraId="2ACD2240">
            <w:pPr>
              <w:pStyle w:val="2"/>
              <w:rPr>
                <w:color w:val="auto"/>
              </w:rPr>
            </w:pPr>
          </w:p>
          <w:p w14:paraId="74FD5ADE"/>
        </w:tc>
      </w:tr>
    </w:tbl>
    <w:p w14:paraId="2CDF0B0E">
      <w:pPr>
        <w:pageBreakBefore w:val="0"/>
        <w:wordWrap w:val="0"/>
        <w:bidi w:val="0"/>
        <w:rPr>
          <w:color w:val="0000FF"/>
        </w:rPr>
      </w:pPr>
      <w:r>
        <w:rPr>
          <w:color w:val="0000FF"/>
        </w:rPr>
        <w:br w:type="page"/>
      </w:r>
    </w:p>
    <w:p w14:paraId="0082381C">
      <w:pPr>
        <w:pStyle w:val="5"/>
        <w:pageBreakBefore w:val="0"/>
        <w:wordWrap w:val="0"/>
        <w:bidi w:val="0"/>
        <w:jc w:val="center"/>
        <w:rPr>
          <w:rFonts w:hint="eastAsia"/>
          <w:color w:val="auto"/>
        </w:rPr>
      </w:pPr>
      <w:bookmarkStart w:id="4" w:name="_Toc2829"/>
      <w:r>
        <w:rPr>
          <w:rFonts w:hint="eastAsia"/>
          <w:color w:val="auto"/>
        </w:rPr>
        <w:t>四、主要环境影响和保护措施</w:t>
      </w:r>
      <w:bookmarkEnd w:id="4"/>
    </w:p>
    <w:tbl>
      <w:tblPr>
        <w:tblStyle w:val="28"/>
        <w:tblW w:w="10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9365"/>
      </w:tblGrid>
      <w:tr w14:paraId="7EC8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noWrap w:val="0"/>
            <w:tcMar>
              <w:left w:w="28" w:type="dxa"/>
              <w:right w:w="28" w:type="dxa"/>
            </w:tcMar>
            <w:vAlign w:val="center"/>
          </w:tcPr>
          <w:p w14:paraId="7848E83A">
            <w:pPr>
              <w:pStyle w:val="37"/>
              <w:pageBreakBefore w:val="0"/>
              <w:wordWrap w:val="0"/>
              <w:bidi w:val="0"/>
              <w:rPr>
                <w:rFonts w:hint="default" w:ascii="Times New Roman" w:hAnsi="Times New Roman" w:cs="Times New Roman"/>
                <w:color w:val="auto"/>
              </w:rPr>
            </w:pPr>
            <w:r>
              <w:rPr>
                <w:rFonts w:hint="default" w:ascii="Times New Roman" w:hAnsi="Times New Roman" w:cs="Times New Roman"/>
                <w:color w:val="auto"/>
              </w:rPr>
              <w:t>施工</w:t>
            </w:r>
          </w:p>
          <w:p w14:paraId="21E1212D">
            <w:pPr>
              <w:pStyle w:val="37"/>
              <w:pageBreakBefore w:val="0"/>
              <w:wordWrap w:val="0"/>
              <w:bidi w:val="0"/>
              <w:rPr>
                <w:rFonts w:hint="default" w:ascii="Times New Roman" w:hAnsi="Times New Roman" w:cs="Times New Roman"/>
                <w:color w:val="auto"/>
              </w:rPr>
            </w:pPr>
            <w:r>
              <w:rPr>
                <w:rFonts w:hint="default" w:ascii="Times New Roman" w:hAnsi="Times New Roman" w:cs="Times New Roman"/>
                <w:color w:val="auto"/>
              </w:rPr>
              <w:t>期环</w:t>
            </w:r>
          </w:p>
          <w:p w14:paraId="0BFC5CA5">
            <w:pPr>
              <w:pStyle w:val="37"/>
              <w:pageBreakBefore w:val="0"/>
              <w:wordWrap w:val="0"/>
              <w:bidi w:val="0"/>
              <w:rPr>
                <w:rFonts w:hint="default" w:ascii="Times New Roman" w:hAnsi="Times New Roman" w:cs="Times New Roman"/>
                <w:color w:val="auto"/>
              </w:rPr>
            </w:pPr>
            <w:r>
              <w:rPr>
                <w:rFonts w:hint="default" w:ascii="Times New Roman" w:hAnsi="Times New Roman" w:cs="Times New Roman"/>
                <w:color w:val="auto"/>
              </w:rPr>
              <w:t>境保</w:t>
            </w:r>
          </w:p>
          <w:p w14:paraId="04BF30DD">
            <w:pPr>
              <w:pStyle w:val="37"/>
              <w:pageBreakBefore w:val="0"/>
              <w:wordWrap w:val="0"/>
              <w:bidi w:val="0"/>
              <w:rPr>
                <w:rFonts w:hint="default" w:ascii="Times New Roman" w:hAnsi="Times New Roman" w:cs="Times New Roman"/>
                <w:color w:val="auto"/>
              </w:rPr>
            </w:pPr>
            <w:r>
              <w:rPr>
                <w:rFonts w:hint="default" w:ascii="Times New Roman" w:hAnsi="Times New Roman" w:cs="Times New Roman"/>
                <w:color w:val="auto"/>
              </w:rPr>
              <w:t>护措</w:t>
            </w:r>
          </w:p>
          <w:p w14:paraId="64335E75">
            <w:pPr>
              <w:pStyle w:val="37"/>
              <w:pageBreakBefore w:val="0"/>
              <w:wordWrap w:val="0"/>
              <w:bidi w:val="0"/>
              <w:rPr>
                <w:rFonts w:hint="default" w:ascii="Times New Roman" w:hAnsi="Times New Roman" w:cs="Times New Roman"/>
                <w:color w:val="0000FF"/>
              </w:rPr>
            </w:pPr>
            <w:r>
              <w:rPr>
                <w:rFonts w:hint="default" w:ascii="Times New Roman" w:hAnsi="Times New Roman" w:cs="Times New Roman"/>
                <w:color w:val="auto"/>
              </w:rPr>
              <w:t>施</w:t>
            </w:r>
          </w:p>
        </w:tc>
        <w:tc>
          <w:tcPr>
            <w:tcW w:w="9365" w:type="dxa"/>
            <w:tcBorders>
              <w:tl2br w:val="nil"/>
              <w:tr2bl w:val="nil"/>
            </w:tcBorders>
            <w:noWrap w:val="0"/>
            <w:vAlign w:val="center"/>
          </w:tcPr>
          <w:p w14:paraId="638DA345">
            <w:pPr>
              <w:pStyle w:val="6"/>
              <w:keepNext/>
              <w:keepLines/>
              <w:pageBreakBefore w:val="0"/>
              <w:widowControl w:val="0"/>
              <w:numPr>
                <w:ilvl w:val="0"/>
                <w:numId w:val="3"/>
              </w:numPr>
              <w:kinsoku/>
              <w:wordWrap w:val="0"/>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施工期大气环境影响和保护措施</w:t>
            </w:r>
          </w:p>
          <w:p w14:paraId="32761B76">
            <w:pPr>
              <w:keepNext w:val="0"/>
              <w:keepLines w:val="0"/>
              <w:pageBreakBefore w:val="0"/>
              <w:widowControl w:val="0"/>
              <w:kinsoku/>
              <w:wordWrap w:val="0"/>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为降低扬尘对施工场地附近的环境空气质量造成的影响，项目</w:t>
            </w:r>
            <w:r>
              <w:rPr>
                <w:rFonts w:hint="default" w:ascii="Times New Roman" w:hAnsi="Times New Roman" w:cs="Times New Roman"/>
                <w:color w:val="auto"/>
                <w:sz w:val="24"/>
                <w:szCs w:val="24"/>
                <w:lang w:val="en-US" w:eastAsia="zh-CN"/>
              </w:rPr>
              <w:t>区需</w:t>
            </w:r>
            <w:r>
              <w:rPr>
                <w:rFonts w:hint="default" w:ascii="Times New Roman" w:hAnsi="Times New Roman" w:cs="Times New Roman"/>
                <w:color w:val="auto"/>
                <w:sz w:val="24"/>
                <w:szCs w:val="24"/>
                <w:lang w:eastAsia="zh-CN"/>
              </w:rPr>
              <w:t>划定施工作业区、设置围墙、棚式贮存物料、场地洒水、硬化道路、车辆减速慢行等措施。具体如下：</w:t>
            </w:r>
          </w:p>
          <w:p w14:paraId="3EF9AFE1">
            <w:pPr>
              <w:keepNext w:val="0"/>
              <w:keepLines w:val="0"/>
              <w:pageBreakBefore w:val="0"/>
              <w:widowControl w:val="0"/>
              <w:kinsoku/>
              <w:wordWrap w:val="0"/>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eastAsia="zh-CN"/>
              </w:rPr>
              <w:t>施工现场堆放使用水泥、石灰、砂石、涂料、铺装材料等易产生扬尘的建筑材料应入库贮存装卸，搬运时轻拿轻放，避免包装破裂产生扬尘；</w:t>
            </w:r>
          </w:p>
          <w:p w14:paraId="2CCD0A20">
            <w:pPr>
              <w:keepNext w:val="0"/>
              <w:keepLines w:val="0"/>
              <w:pageBreakBefore w:val="0"/>
              <w:widowControl w:val="0"/>
              <w:kinsoku/>
              <w:wordWrap w:val="0"/>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eastAsia="zh-CN"/>
              </w:rPr>
              <w:t>对现场存放的土方洒水，保持其表面潮湿，以避免扬尘；</w:t>
            </w:r>
          </w:p>
          <w:p w14:paraId="56173E06">
            <w:pPr>
              <w:keepNext w:val="0"/>
              <w:keepLines w:val="0"/>
              <w:pageBreakBefore w:val="0"/>
              <w:widowControl w:val="0"/>
              <w:kinsoku/>
              <w:wordWrap w:val="0"/>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eastAsia="zh-CN"/>
              </w:rPr>
              <w:t xml:space="preserve">施工内部工地裸露地面应覆盖防尘布或防尘网、定时水雾喷洒降低施工场地扬尘、配置文明施工等措施防止扬尘造成影响； </w:t>
            </w:r>
          </w:p>
          <w:p w14:paraId="50AB058E">
            <w:pPr>
              <w:keepNext w:val="0"/>
              <w:keepLines w:val="0"/>
              <w:pageBreakBefore w:val="0"/>
              <w:widowControl w:val="0"/>
              <w:kinsoku/>
              <w:wordWrap w:val="0"/>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lang w:eastAsia="zh-CN"/>
              </w:rPr>
              <w:t>土方工程作业时，遇到四级或四级以上大风天气，应停止土方作业，同时作业处覆以防尘网；</w:t>
            </w:r>
          </w:p>
          <w:p w14:paraId="728757AA">
            <w:pPr>
              <w:keepNext w:val="0"/>
              <w:keepLines w:val="0"/>
              <w:pageBreakBefore w:val="0"/>
              <w:widowControl w:val="0"/>
              <w:kinsoku/>
              <w:wordWrap w:val="0"/>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lang w:eastAsia="zh-CN"/>
              </w:rPr>
              <w:t>施工过程中产生的弃料及其他建筑垃圾，应及时清运；完善排水设施，防止进出车辆泥土粘带；</w:t>
            </w:r>
          </w:p>
          <w:p w14:paraId="0F7149B4">
            <w:pPr>
              <w:keepNext w:val="0"/>
              <w:keepLines w:val="0"/>
              <w:pageBreakBefore w:val="0"/>
              <w:widowControl w:val="0"/>
              <w:kinsoku/>
              <w:wordWrap w:val="0"/>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eastAsia="zh-CN"/>
              </w:rPr>
              <w:t>物料运输应使用帆布覆盖，防止运输过程中的飞扬</w:t>
            </w:r>
            <w:r>
              <w:rPr>
                <w:rFonts w:hint="eastAsia" w:cs="Times New Roman"/>
                <w:color w:val="auto"/>
                <w:sz w:val="24"/>
                <w:szCs w:val="24"/>
                <w:lang w:eastAsia="zh-CN"/>
              </w:rPr>
              <w:t>和</w:t>
            </w:r>
            <w:r>
              <w:rPr>
                <w:rFonts w:hint="default" w:ascii="Times New Roman" w:hAnsi="Times New Roman" w:cs="Times New Roman"/>
                <w:color w:val="auto"/>
                <w:sz w:val="24"/>
                <w:szCs w:val="24"/>
                <w:lang w:eastAsia="zh-CN"/>
              </w:rPr>
              <w:t>洒落；</w:t>
            </w:r>
          </w:p>
          <w:p w14:paraId="366647A9">
            <w:pPr>
              <w:keepNext w:val="0"/>
              <w:keepLines w:val="0"/>
              <w:pageBreakBefore w:val="0"/>
              <w:widowControl w:val="0"/>
              <w:kinsoku/>
              <w:wordWrap w:val="0"/>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lang w:eastAsia="zh-CN"/>
              </w:rPr>
              <w:t>运输车辆不得超载，被运物料不得含水太多，造成沿途泥浆滴漏，从而影响道路整洁，建筑固废必须及时清运并按照指定的运输线路行驶，送往指定的倾倒地点；</w:t>
            </w:r>
          </w:p>
          <w:p w14:paraId="034EB256">
            <w:pPr>
              <w:pStyle w:val="12"/>
              <w:keepNext w:val="0"/>
              <w:keepLines w:val="0"/>
              <w:pageBreakBefore w:val="0"/>
              <w:widowControl w:val="0"/>
              <w:kinsoku/>
              <w:wordWrap w:val="0"/>
              <w:overflowPunct/>
              <w:topLinePunct w:val="0"/>
              <w:autoSpaceDE/>
              <w:autoSpaceDN/>
              <w:bidi w:val="0"/>
              <w:snapToGrid/>
              <w:spacing w:line="360" w:lineRule="auto"/>
              <w:ind w:firstLine="48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在采取上述措施，可最大限度减轻施工期对环境空气质量的影响。</w:t>
            </w:r>
          </w:p>
          <w:p w14:paraId="53C8F074">
            <w:pPr>
              <w:pStyle w:val="6"/>
              <w:keepNext w:val="0"/>
              <w:keepLines w:val="0"/>
              <w:pageBreakBefore w:val="0"/>
              <w:widowControl w:val="0"/>
              <w:numPr>
                <w:ilvl w:val="0"/>
                <w:numId w:val="3"/>
              </w:numPr>
              <w:kinsoku/>
              <w:wordWrap w:val="0"/>
              <w:overflowPunct/>
              <w:topLinePunct w:val="0"/>
              <w:autoSpaceDE/>
              <w:autoSpaceDN/>
              <w:bidi w:val="0"/>
              <w:snapToGrid/>
              <w:spacing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施工期废水环境影响保护措施</w:t>
            </w:r>
          </w:p>
          <w:p w14:paraId="455611A0">
            <w:pPr>
              <w:pStyle w:val="48"/>
              <w:keepNext w:val="0"/>
              <w:keepLines w:val="0"/>
              <w:pageBreakBefore w:val="0"/>
              <w:widowControl w:val="0"/>
              <w:kinsoku/>
              <w:wordWrap w:val="0"/>
              <w:overflowPunct/>
              <w:topLinePunct w:val="0"/>
              <w:autoSpaceDE/>
              <w:autoSpaceDN/>
              <w:bidi w:val="0"/>
              <w:snapToGrid/>
              <w:spacing w:line="360" w:lineRule="auto"/>
              <w:ind w:firstLine="472"/>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本项目施工期施工人员均不在施工区食宿，故不产生生活污水；项目产生的废水主要包括施工废水。</w:t>
            </w:r>
          </w:p>
          <w:p w14:paraId="427129FA">
            <w:pPr>
              <w:keepNext w:val="0"/>
              <w:keepLines w:val="0"/>
              <w:pageBreakBefore w:val="0"/>
              <w:widowControl w:val="0"/>
              <w:kinsoku/>
              <w:wordWrap w:val="0"/>
              <w:overflowPunct/>
              <w:topLinePunct w:val="0"/>
              <w:autoSpaceDE/>
              <w:autoSpaceDN/>
              <w:bidi w:val="0"/>
              <w:snapToGrid/>
              <w:spacing w:line="360" w:lineRule="auto"/>
              <w:ind w:firstLine="480"/>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施工废水主要是混凝土养护、车辆设备及场地清洗废水等。根据类比同类规模施工，项目施工期产生的废水量较小，废水中主要污染物为悬浮物，其次还有少量的油类，其中悬浮物浓度值在300～4000mg/L之间。环评要求施工单位设置临时</w:t>
            </w:r>
            <w:r>
              <w:rPr>
                <w:rFonts w:hint="default" w:ascii="Times New Roman" w:hAnsi="Times New Roman" w:cs="Times New Roman"/>
                <w:color w:val="auto"/>
                <w:sz w:val="24"/>
                <w:szCs w:val="24"/>
                <w:lang w:val="en-US" w:eastAsia="zh-CN"/>
              </w:rPr>
              <w:t>隔油</w:t>
            </w:r>
            <w:r>
              <w:rPr>
                <w:rFonts w:hint="default" w:ascii="Times New Roman" w:hAnsi="Times New Roman" w:cs="Times New Roman"/>
                <w:color w:val="auto"/>
                <w:sz w:val="24"/>
                <w:szCs w:val="24"/>
                <w:lang w:eastAsia="zh-CN"/>
              </w:rPr>
              <w:t>沉淀池，将生产废水沉淀处理后回用于施工过程，部分施工废水通过自然蒸发消耗。同时施工过程中要做到严格管理，节约用水，杜绝</w:t>
            </w:r>
            <w:r>
              <w:rPr>
                <w:rFonts w:hint="eastAsia" w:cs="Times New Roman"/>
                <w:color w:val="auto"/>
                <w:sz w:val="24"/>
                <w:szCs w:val="24"/>
                <w:lang w:eastAsia="zh-CN"/>
              </w:rPr>
              <w:t>泄漏</w:t>
            </w:r>
            <w:r>
              <w:rPr>
                <w:rFonts w:hint="default" w:ascii="Times New Roman" w:hAnsi="Times New Roman" w:cs="Times New Roman"/>
                <w:color w:val="auto"/>
                <w:sz w:val="24"/>
                <w:szCs w:val="24"/>
                <w:lang w:eastAsia="zh-CN"/>
              </w:rPr>
              <w:t>，保证施工废水不外排，对周围水环境影响很小。</w:t>
            </w:r>
          </w:p>
          <w:p w14:paraId="22A30C5F">
            <w:pPr>
              <w:pStyle w:val="6"/>
              <w:keepNext w:val="0"/>
              <w:keepLines w:val="0"/>
              <w:pageBreakBefore w:val="0"/>
              <w:widowControl w:val="0"/>
              <w:numPr>
                <w:ilvl w:val="0"/>
                <w:numId w:val="3"/>
              </w:numPr>
              <w:kinsoku/>
              <w:wordWrap w:val="0"/>
              <w:overflowPunct/>
              <w:topLinePunct w:val="0"/>
              <w:autoSpaceDE/>
              <w:autoSpaceDN/>
              <w:bidi w:val="0"/>
              <w:snapToGrid/>
              <w:spacing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施工期噪声污染保护措施</w:t>
            </w:r>
          </w:p>
          <w:p w14:paraId="4728BDBB">
            <w:pPr>
              <w:keepNext w:val="0"/>
              <w:keepLines w:val="0"/>
              <w:pageBreakBefore w:val="0"/>
              <w:widowControl w:val="0"/>
              <w:kinsoku/>
              <w:wordWrap w:val="0"/>
              <w:overflowPunct/>
              <w:topLinePunct w:val="0"/>
              <w:autoSpaceDE/>
              <w:autoSpaceDN/>
              <w:bidi w:val="0"/>
              <w:snapToGrid/>
              <w:spacing w:line="360" w:lineRule="auto"/>
              <w:ind w:firstLine="480"/>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由于施工过程中噪声源位置和使用方式的不确定性，不同噪声机械共同使用会</w:t>
            </w:r>
            <w:r>
              <w:rPr>
                <w:rFonts w:hint="eastAsia" w:cs="Times New Roman"/>
                <w:color w:val="auto"/>
                <w:sz w:val="24"/>
                <w:szCs w:val="24"/>
                <w:lang w:eastAsia="zh-CN"/>
              </w:rPr>
              <w:t>扩大</w:t>
            </w:r>
            <w:r>
              <w:rPr>
                <w:rFonts w:hint="default" w:ascii="Times New Roman" w:hAnsi="Times New Roman" w:cs="Times New Roman"/>
                <w:color w:val="auto"/>
                <w:sz w:val="24"/>
                <w:szCs w:val="24"/>
                <w:lang w:eastAsia="zh-CN"/>
              </w:rPr>
              <w:t>噪声影响，工程施工期间一部分敏感点会受到施工噪声干扰影响。如果晚间照常施工将会造成严重的噪声影响。</w:t>
            </w:r>
          </w:p>
          <w:p w14:paraId="2E03009B">
            <w:pPr>
              <w:keepNext w:val="0"/>
              <w:keepLines w:val="0"/>
              <w:pageBreakBefore w:val="0"/>
              <w:widowControl w:val="0"/>
              <w:kinsoku/>
              <w:wordWrap w:val="0"/>
              <w:overflowPunct/>
              <w:topLinePunct w:val="0"/>
              <w:autoSpaceDE/>
              <w:autoSpaceDN/>
              <w:bidi w:val="0"/>
              <w:snapToGrid/>
              <w:spacing w:line="360" w:lineRule="auto"/>
              <w:ind w:firstLine="480"/>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施工期运输设施及材料的交通噪声，其影响随着工程进度及不同的施工设施投入而有所不同。在施工初期，运输车辆的行驶是分散的，噪声影响具有流动性和不稳定性的特点。但影响的程度主要取决于施工机械与敏感点的距离，且施工噪声影响是短期的和暂时的，随着施工期结束，施工噪声影响也就随之消失。</w:t>
            </w:r>
          </w:p>
          <w:p w14:paraId="0C38B1C9">
            <w:pPr>
              <w:pStyle w:val="6"/>
              <w:keepNext w:val="0"/>
              <w:keepLines w:val="0"/>
              <w:pageBreakBefore w:val="0"/>
              <w:widowControl w:val="0"/>
              <w:numPr>
                <w:ilvl w:val="0"/>
                <w:numId w:val="3"/>
              </w:numPr>
              <w:kinsoku/>
              <w:wordWrap w:val="0"/>
              <w:overflowPunct/>
              <w:topLinePunct w:val="0"/>
              <w:autoSpaceDE/>
              <w:autoSpaceDN/>
              <w:bidi w:val="0"/>
              <w:snapToGrid/>
              <w:spacing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施工期固体废物污染保护措施</w:t>
            </w:r>
          </w:p>
          <w:p w14:paraId="60217E51">
            <w:pPr>
              <w:pStyle w:val="48"/>
              <w:keepNext w:val="0"/>
              <w:keepLines w:val="0"/>
              <w:pageBreakBefore w:val="0"/>
              <w:widowControl w:val="0"/>
              <w:kinsoku/>
              <w:wordWrap w:val="0"/>
              <w:overflowPunct/>
              <w:topLinePunct w:val="0"/>
              <w:autoSpaceDE/>
              <w:autoSpaceDN/>
              <w:bidi w:val="0"/>
              <w:snapToGrid/>
              <w:spacing w:line="360" w:lineRule="auto"/>
              <w:ind w:firstLine="472"/>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施工期的固体废物主要是建筑垃圾、生活垃圾。</w:t>
            </w:r>
          </w:p>
          <w:p w14:paraId="7316DFAE">
            <w:pPr>
              <w:pStyle w:val="48"/>
              <w:keepNext w:val="0"/>
              <w:keepLines w:val="0"/>
              <w:pageBreakBefore w:val="0"/>
              <w:widowControl w:val="0"/>
              <w:kinsoku/>
              <w:wordWrap w:val="0"/>
              <w:overflowPunct/>
              <w:topLinePunct w:val="0"/>
              <w:autoSpaceDE/>
              <w:autoSpaceDN/>
              <w:bidi w:val="0"/>
              <w:snapToGrid/>
              <w:spacing w:line="360" w:lineRule="auto"/>
              <w:ind w:firstLine="472"/>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（1）建筑垃圾及弃方</w:t>
            </w:r>
          </w:p>
          <w:p w14:paraId="5DB5B082">
            <w:pPr>
              <w:pStyle w:val="48"/>
              <w:keepNext w:val="0"/>
              <w:keepLines w:val="0"/>
              <w:pageBreakBefore w:val="0"/>
              <w:widowControl w:val="0"/>
              <w:kinsoku/>
              <w:wordWrap w:val="0"/>
              <w:overflowPunct/>
              <w:topLinePunct w:val="0"/>
              <w:autoSpaceDE/>
              <w:autoSpaceDN/>
              <w:bidi w:val="0"/>
              <w:snapToGrid/>
              <w:spacing w:line="360" w:lineRule="auto"/>
              <w:ind w:firstLine="472"/>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施工期开挖土方大部分用于地基回填，其余用于垫高低洼地，无弃土外运。</w:t>
            </w:r>
          </w:p>
          <w:p w14:paraId="5B521B57">
            <w:pPr>
              <w:pStyle w:val="48"/>
              <w:keepNext w:val="0"/>
              <w:keepLines w:val="0"/>
              <w:pageBreakBefore w:val="0"/>
              <w:widowControl w:val="0"/>
              <w:kinsoku/>
              <w:wordWrap w:val="0"/>
              <w:overflowPunct/>
              <w:topLinePunct w:val="0"/>
              <w:autoSpaceDE/>
              <w:autoSpaceDN/>
              <w:bidi w:val="0"/>
              <w:snapToGrid/>
              <w:spacing w:line="360" w:lineRule="auto"/>
              <w:ind w:firstLine="472"/>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施工过程中产生的废弃的建筑材料，评价要求对施工建筑垃圾进行分类收集，对于废钢筋等可回收部分回收利用，剩余的废砖等建筑垃圾及时清理外运至</w:t>
            </w:r>
            <w:r>
              <w:rPr>
                <w:rFonts w:hint="default" w:ascii="Times New Roman" w:hAnsi="Times New Roman" w:cs="Times New Roman"/>
                <w:color w:val="auto"/>
                <w:sz w:val="24"/>
                <w:szCs w:val="24"/>
                <w:lang w:val="en-US" w:eastAsia="zh-CN"/>
              </w:rPr>
              <w:t>附近建筑垃圾处理</w:t>
            </w:r>
            <w:r>
              <w:rPr>
                <w:rFonts w:hint="eastAsia" w:cs="Times New Roman"/>
                <w:color w:val="auto"/>
                <w:sz w:val="24"/>
                <w:szCs w:val="24"/>
                <w:lang w:val="en-US" w:eastAsia="zh-CN"/>
              </w:rPr>
              <w:t>厂处</w:t>
            </w:r>
            <w:r>
              <w:rPr>
                <w:rFonts w:hint="default" w:ascii="Times New Roman" w:hAnsi="Times New Roman" w:cs="Times New Roman"/>
                <w:color w:val="auto"/>
                <w:sz w:val="24"/>
                <w:szCs w:val="24"/>
                <w:lang w:val="en-US" w:eastAsia="zh-CN"/>
              </w:rPr>
              <w:t>理</w:t>
            </w:r>
            <w:r>
              <w:rPr>
                <w:rFonts w:hint="default" w:ascii="Times New Roman" w:hAnsi="Times New Roman" w:cs="Times New Roman"/>
                <w:color w:val="auto"/>
                <w:sz w:val="24"/>
                <w:szCs w:val="24"/>
                <w:lang w:eastAsia="zh-CN"/>
              </w:rPr>
              <w:t>，对于场地内的表层土壤，要求在场地内临时贮存，最终作为场地绿化用途加以利用，表土临时贮存场覆盖土工布防尘、防流失。</w:t>
            </w:r>
          </w:p>
          <w:p w14:paraId="5F0D0135">
            <w:pPr>
              <w:pStyle w:val="48"/>
              <w:keepNext w:val="0"/>
              <w:keepLines w:val="0"/>
              <w:pageBreakBefore w:val="0"/>
              <w:widowControl w:val="0"/>
              <w:kinsoku/>
              <w:wordWrap w:val="0"/>
              <w:overflowPunct/>
              <w:topLinePunct w:val="0"/>
              <w:autoSpaceDE/>
              <w:autoSpaceDN/>
              <w:bidi w:val="0"/>
              <w:snapToGrid/>
              <w:spacing w:line="360" w:lineRule="auto"/>
              <w:ind w:firstLine="472"/>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（2）施工期生活垃圾</w:t>
            </w:r>
          </w:p>
          <w:p w14:paraId="6382B50A">
            <w:pPr>
              <w:pStyle w:val="14"/>
              <w:keepNext w:val="0"/>
              <w:keepLines w:val="0"/>
              <w:pageBreakBefore w:val="0"/>
              <w:widowControl w:val="0"/>
              <w:kinsoku/>
              <w:wordWrap w:val="0"/>
              <w:overflowPunct/>
              <w:topLinePunct w:val="0"/>
              <w:autoSpaceDE/>
              <w:autoSpaceDN/>
              <w:bidi w:val="0"/>
              <w:snapToGrid/>
              <w:spacing w:line="360" w:lineRule="auto"/>
              <w:ind w:firstLine="480"/>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施工期间施工人员不在项目区食宿，产生的生活垃圾</w:t>
            </w:r>
            <w:r>
              <w:rPr>
                <w:rFonts w:hint="default" w:ascii="Times New Roman" w:hAnsi="Times New Roman" w:cs="Times New Roman"/>
                <w:color w:val="auto"/>
                <w:sz w:val="24"/>
                <w:szCs w:val="24"/>
                <w:lang w:val="en-US" w:eastAsia="zh-CN"/>
              </w:rPr>
              <w:t>较少，</w:t>
            </w:r>
            <w:r>
              <w:rPr>
                <w:rFonts w:hint="eastAsia" w:cs="Times New Roman"/>
                <w:color w:val="auto"/>
                <w:sz w:val="24"/>
                <w:szCs w:val="24"/>
                <w:lang w:val="en-US" w:eastAsia="zh-CN"/>
              </w:rPr>
              <w:t>统一收集后</w:t>
            </w:r>
            <w:r>
              <w:rPr>
                <w:rFonts w:hint="default" w:ascii="Times New Roman" w:hAnsi="Times New Roman" w:cs="Times New Roman"/>
                <w:color w:val="auto"/>
                <w:sz w:val="24"/>
                <w:szCs w:val="24"/>
                <w:lang w:eastAsia="zh-CN"/>
              </w:rPr>
              <w:t>由</w:t>
            </w:r>
            <w:r>
              <w:rPr>
                <w:rFonts w:hint="eastAsia" w:cs="Times New Roman"/>
                <w:color w:val="auto"/>
                <w:sz w:val="24"/>
                <w:szCs w:val="24"/>
                <w:lang w:val="en-US" w:eastAsia="zh-CN"/>
              </w:rPr>
              <w:t>大河沿镇</w:t>
            </w:r>
            <w:r>
              <w:rPr>
                <w:rFonts w:hint="default" w:ascii="Times New Roman" w:hAnsi="Times New Roman" w:cs="Times New Roman"/>
                <w:color w:val="auto"/>
                <w:sz w:val="24"/>
                <w:szCs w:val="24"/>
                <w:lang w:eastAsia="zh-CN"/>
              </w:rPr>
              <w:t>环卫部门统一清运处理，对环境影响不大。</w:t>
            </w:r>
          </w:p>
          <w:p w14:paraId="16B79748">
            <w:pPr>
              <w:pageBreakBefore w:val="0"/>
              <w:wordWrap w:val="0"/>
              <w:bidi w:val="0"/>
              <w:rPr>
                <w:rFonts w:hint="default" w:ascii="Times New Roman" w:hAnsi="Times New Roman" w:cs="Times New Roman"/>
                <w:color w:val="0000FF"/>
                <w:lang w:val="en-US" w:eastAsia="zh-CN"/>
              </w:rPr>
            </w:pPr>
            <w:r>
              <w:rPr>
                <w:rFonts w:hint="default" w:ascii="Times New Roman" w:hAnsi="Times New Roman" w:cs="Times New Roman"/>
                <w:color w:val="auto"/>
                <w:sz w:val="24"/>
                <w:szCs w:val="24"/>
                <w:lang w:val="en-US" w:eastAsia="zh-CN"/>
              </w:rPr>
              <w:t>在采取上述措施，可最大限度减轻施工期对环境质量的影响。</w:t>
            </w:r>
          </w:p>
        </w:tc>
      </w:tr>
      <w:tr w14:paraId="5CFF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noWrap w:val="0"/>
            <w:tcMar>
              <w:left w:w="28" w:type="dxa"/>
              <w:right w:w="28" w:type="dxa"/>
            </w:tcMar>
            <w:vAlign w:val="center"/>
          </w:tcPr>
          <w:p w14:paraId="159A7041">
            <w:pPr>
              <w:pStyle w:val="37"/>
              <w:pageBreakBefore w:val="0"/>
              <w:wordWrap w:val="0"/>
              <w:bidi w:val="0"/>
              <w:rPr>
                <w:rFonts w:hint="default" w:ascii="Times New Roman" w:hAnsi="Times New Roman" w:cs="Times New Roman"/>
                <w:color w:val="auto"/>
              </w:rPr>
            </w:pPr>
            <w:r>
              <w:rPr>
                <w:rFonts w:hint="default" w:ascii="Times New Roman" w:hAnsi="Times New Roman" w:cs="Times New Roman"/>
                <w:color w:val="auto"/>
              </w:rPr>
              <w:t>运营</w:t>
            </w:r>
          </w:p>
          <w:p w14:paraId="4896AA0F">
            <w:pPr>
              <w:pStyle w:val="37"/>
              <w:pageBreakBefore w:val="0"/>
              <w:wordWrap w:val="0"/>
              <w:bidi w:val="0"/>
              <w:rPr>
                <w:rFonts w:hint="default" w:ascii="Times New Roman" w:hAnsi="Times New Roman" w:cs="Times New Roman"/>
                <w:color w:val="auto"/>
              </w:rPr>
            </w:pPr>
            <w:r>
              <w:rPr>
                <w:rFonts w:hint="default" w:ascii="Times New Roman" w:hAnsi="Times New Roman" w:cs="Times New Roman"/>
                <w:color w:val="auto"/>
              </w:rPr>
              <w:t>期环</w:t>
            </w:r>
          </w:p>
          <w:p w14:paraId="5BB3942A">
            <w:pPr>
              <w:pStyle w:val="37"/>
              <w:pageBreakBefore w:val="0"/>
              <w:wordWrap w:val="0"/>
              <w:bidi w:val="0"/>
              <w:rPr>
                <w:rFonts w:hint="default" w:ascii="Times New Roman" w:hAnsi="Times New Roman" w:cs="Times New Roman"/>
                <w:color w:val="auto"/>
              </w:rPr>
            </w:pPr>
            <w:r>
              <w:rPr>
                <w:rFonts w:hint="default" w:ascii="Times New Roman" w:hAnsi="Times New Roman" w:cs="Times New Roman"/>
                <w:color w:val="auto"/>
              </w:rPr>
              <w:t>境影</w:t>
            </w:r>
          </w:p>
          <w:p w14:paraId="2235A8D4">
            <w:pPr>
              <w:pStyle w:val="37"/>
              <w:pageBreakBefore w:val="0"/>
              <w:wordWrap w:val="0"/>
              <w:bidi w:val="0"/>
              <w:rPr>
                <w:rFonts w:hint="default" w:ascii="Times New Roman" w:hAnsi="Times New Roman" w:cs="Times New Roman"/>
                <w:color w:val="auto"/>
              </w:rPr>
            </w:pPr>
            <w:r>
              <w:rPr>
                <w:rFonts w:hint="default" w:ascii="Times New Roman" w:hAnsi="Times New Roman" w:cs="Times New Roman"/>
                <w:color w:val="auto"/>
              </w:rPr>
              <w:t>响和</w:t>
            </w:r>
          </w:p>
          <w:p w14:paraId="766FC670">
            <w:pPr>
              <w:pStyle w:val="37"/>
              <w:pageBreakBefore w:val="0"/>
              <w:wordWrap w:val="0"/>
              <w:bidi w:val="0"/>
              <w:rPr>
                <w:rFonts w:hint="default" w:ascii="Times New Roman" w:hAnsi="Times New Roman" w:cs="Times New Roman"/>
                <w:color w:val="auto"/>
              </w:rPr>
            </w:pPr>
            <w:r>
              <w:rPr>
                <w:rFonts w:hint="default" w:ascii="Times New Roman" w:hAnsi="Times New Roman" w:cs="Times New Roman"/>
                <w:color w:val="auto"/>
              </w:rPr>
              <w:t>保护</w:t>
            </w:r>
          </w:p>
          <w:p w14:paraId="1E335F45">
            <w:pPr>
              <w:pStyle w:val="37"/>
              <w:pageBreakBefore w:val="0"/>
              <w:wordWrap w:val="0"/>
              <w:bidi w:val="0"/>
              <w:rPr>
                <w:rFonts w:hint="default" w:ascii="Times New Roman" w:hAnsi="Times New Roman" w:cs="Times New Roman"/>
                <w:color w:val="0000FF"/>
              </w:rPr>
            </w:pPr>
            <w:r>
              <w:rPr>
                <w:rFonts w:hint="default" w:ascii="Times New Roman" w:hAnsi="Times New Roman" w:cs="Times New Roman"/>
                <w:color w:val="auto"/>
              </w:rPr>
              <w:t>措施</w:t>
            </w:r>
          </w:p>
        </w:tc>
        <w:tc>
          <w:tcPr>
            <w:tcW w:w="9365" w:type="dxa"/>
            <w:tcBorders>
              <w:tl2br w:val="nil"/>
              <w:tr2bl w:val="nil"/>
            </w:tcBorders>
            <w:noWrap w:val="0"/>
            <w:vAlign w:val="center"/>
          </w:tcPr>
          <w:p w14:paraId="6F9C2827">
            <w:pPr>
              <w:keepNext w:val="0"/>
              <w:keepLines w:val="0"/>
              <w:pageBreakBefore w:val="0"/>
              <w:numPr>
                <w:ilvl w:val="0"/>
                <w:numId w:val="0"/>
              </w:numPr>
              <w:suppressLineNumbers w:val="0"/>
              <w:wordWrap w:val="0"/>
              <w:bidi w:val="0"/>
              <w:spacing w:before="0" w:beforeAutospacing="0" w:after="0" w:afterAutospacing="0" w:line="360" w:lineRule="auto"/>
              <w:ind w:right="0" w:rightChars="0"/>
              <w:jc w:val="both"/>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w:t>
            </w:r>
            <w:r>
              <w:rPr>
                <w:rFonts w:hint="eastAsia" w:cs="Times New Roman"/>
                <w:b/>
                <w:bCs/>
                <w:color w:val="auto"/>
                <w:lang w:val="en-US" w:eastAsia="zh-CN"/>
              </w:rPr>
              <w:t>废气</w:t>
            </w:r>
          </w:p>
          <w:p w14:paraId="0E8A1573">
            <w:pPr>
              <w:keepNext w:val="0"/>
              <w:keepLines w:val="0"/>
              <w:pageBreakBefore w:val="0"/>
              <w:suppressLineNumbers w:val="0"/>
              <w:wordWrap w:val="0"/>
              <w:bidi w:val="0"/>
              <w:spacing w:before="0" w:beforeAutospacing="0" w:after="0" w:afterAutospacing="0" w:line="360" w:lineRule="auto"/>
              <w:ind w:left="0" w:leftChars="0" w:right="0" w:firstLine="480" w:firstLineChars="200"/>
              <w:jc w:val="both"/>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本项目营运期</w:t>
            </w:r>
            <w:r>
              <w:rPr>
                <w:rFonts w:hint="eastAsia" w:cs="Times New Roman"/>
                <w:color w:val="auto"/>
                <w:kern w:val="0"/>
                <w:sz w:val="24"/>
                <w:szCs w:val="24"/>
                <w:lang w:val="en-US" w:eastAsia="zh-CN" w:bidi="ar"/>
              </w:rPr>
              <w:t>混凝土生产线2条，</w:t>
            </w:r>
            <w:r>
              <w:rPr>
                <w:rFonts w:hint="default" w:ascii="Times New Roman" w:hAnsi="Times New Roman" w:eastAsia="宋体" w:cs="Times New Roman"/>
                <w:color w:val="auto"/>
                <w:kern w:val="0"/>
                <w:sz w:val="24"/>
                <w:szCs w:val="24"/>
                <w:lang w:val="en-US" w:eastAsia="zh-CN" w:bidi="ar"/>
              </w:rPr>
              <w:t>大气污染物主要为粉尘。粉尘的主要来源为筒仓仓顶呼吸孔粉尘，原料装卸、堆存粉尘，上料口粉尘，搅拌粉尘，车辆运输产生的粉尘</w:t>
            </w:r>
            <w:r>
              <w:rPr>
                <w:rFonts w:hint="eastAsia" w:cs="Times New Roman"/>
                <w:color w:val="auto"/>
                <w:kern w:val="0"/>
                <w:sz w:val="24"/>
                <w:szCs w:val="24"/>
                <w:lang w:val="en-US" w:eastAsia="zh-CN" w:bidi="ar"/>
              </w:rPr>
              <w:t>均为无组织排放</w:t>
            </w:r>
            <w:r>
              <w:rPr>
                <w:rFonts w:hint="default" w:ascii="Times New Roman" w:hAnsi="Times New Roman" w:eastAsia="宋体" w:cs="Times New Roman"/>
                <w:color w:val="auto"/>
                <w:kern w:val="0"/>
                <w:sz w:val="24"/>
                <w:szCs w:val="24"/>
                <w:lang w:val="en-US" w:eastAsia="zh-CN" w:bidi="ar"/>
              </w:rPr>
              <w:t>。</w:t>
            </w:r>
          </w:p>
          <w:p w14:paraId="3839EA04">
            <w:pPr>
              <w:pageBreakBefore w:val="0"/>
              <w:wordWrap w:val="0"/>
              <w:bidi w:val="0"/>
              <w:ind w:left="0" w:leftChars="0" w:firstLine="482" w:firstLineChars="200"/>
              <w:rPr>
                <w:rFonts w:hint="eastAsia" w:cs="Times New Roman"/>
                <w:b/>
                <w:bCs/>
                <w:color w:val="auto"/>
                <w:lang w:val="en-US" w:eastAsia="zh-CN"/>
              </w:rPr>
            </w:pPr>
            <w:r>
              <w:rPr>
                <w:rFonts w:hint="eastAsia" w:cs="Times New Roman"/>
                <w:b/>
                <w:bCs/>
                <w:color w:val="auto"/>
                <w:lang w:val="en-US" w:eastAsia="zh-CN"/>
              </w:rPr>
              <w:t>1.1源强核算</w:t>
            </w:r>
          </w:p>
          <w:p w14:paraId="3B8C8308">
            <w:pPr>
              <w:pageBreakBefore w:val="0"/>
              <w:wordWrap w:val="0"/>
              <w:bidi w:val="0"/>
              <w:ind w:left="0" w:leftChars="0" w:firstLine="480" w:firstLineChars="200"/>
              <w:rPr>
                <w:rFonts w:hint="default" w:ascii="Times New Roman" w:hAnsi="Times New Roman" w:cs="Times New Roman"/>
                <w:b w:val="0"/>
                <w:bCs w:val="0"/>
                <w:color w:val="auto"/>
                <w:lang w:val="en-US" w:eastAsia="zh-CN"/>
              </w:rPr>
            </w:pPr>
            <w:r>
              <w:rPr>
                <w:rFonts w:hint="eastAsia" w:cs="Times New Roman"/>
                <w:b w:val="0"/>
                <w:bCs w:val="0"/>
                <w:color w:val="auto"/>
                <w:lang w:val="en-US" w:eastAsia="zh-CN"/>
              </w:rPr>
              <w:t>（1）</w:t>
            </w:r>
            <w:r>
              <w:rPr>
                <w:rFonts w:hint="default" w:ascii="Times New Roman" w:hAnsi="Times New Roman" w:cs="Times New Roman"/>
                <w:b w:val="0"/>
                <w:bCs w:val="0"/>
                <w:color w:val="auto"/>
                <w:lang w:val="en-US" w:eastAsia="zh-CN"/>
              </w:rPr>
              <w:t>搅拌粉尘</w:t>
            </w:r>
          </w:p>
          <w:p w14:paraId="5333876B">
            <w:pPr>
              <w:pageBreakBefore w:val="0"/>
              <w:widowControl/>
              <w:wordWrap w:val="0"/>
              <w:bidi w:val="0"/>
              <w:spacing w:line="360" w:lineRule="auto"/>
              <w:ind w:firstLine="480" w:firstLineChars="200"/>
              <w:jc w:val="left"/>
              <w:rPr>
                <w:rFonts w:hint="eastAsia"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本项目</w:t>
            </w:r>
            <w:r>
              <w:rPr>
                <w:rFonts w:hint="eastAsia" w:cs="Times New Roman"/>
                <w:color w:val="auto"/>
                <w:kern w:val="0"/>
                <w:sz w:val="24"/>
                <w:lang w:val="en-US" w:eastAsia="zh-CN"/>
              </w:rPr>
              <w:t>年生产时间为</w:t>
            </w:r>
            <w:r>
              <w:rPr>
                <w:rFonts w:hint="eastAsia" w:cs="Times New Roman"/>
                <w:color w:val="auto"/>
                <w:kern w:val="0"/>
                <w:sz w:val="24"/>
                <w:highlight w:val="none"/>
                <w:lang w:val="en-US" w:eastAsia="zh-CN"/>
              </w:rPr>
              <w:t>275</w:t>
            </w:r>
            <w:r>
              <w:rPr>
                <w:rFonts w:hint="eastAsia" w:cs="Times New Roman"/>
                <w:color w:val="auto"/>
                <w:kern w:val="0"/>
                <w:sz w:val="24"/>
                <w:lang w:val="en-US" w:eastAsia="zh-CN"/>
              </w:rPr>
              <w:t>天，每天工作8小时，</w:t>
            </w:r>
            <w:r>
              <w:rPr>
                <w:rFonts w:hint="eastAsia" w:ascii="Times New Roman" w:hAnsi="Times New Roman" w:eastAsia="宋体" w:cs="Times New Roman"/>
                <w:color w:val="auto"/>
                <w:kern w:val="0"/>
                <w:sz w:val="24"/>
              </w:rPr>
              <w:t>年产</w:t>
            </w:r>
            <w:r>
              <w:rPr>
                <w:rFonts w:hint="eastAsia" w:cs="Times New Roman"/>
                <w:color w:val="auto"/>
                <w:kern w:val="0"/>
                <w:sz w:val="24"/>
                <w:lang w:eastAsia="zh-CN"/>
              </w:rPr>
              <w:t>25万立方米</w:t>
            </w:r>
            <w:r>
              <w:rPr>
                <w:rFonts w:hint="eastAsia" w:ascii="Times New Roman" w:hAnsi="Times New Roman" w:eastAsia="宋体" w:cs="Times New Roman"/>
                <w:color w:val="auto"/>
                <w:kern w:val="0"/>
                <w:sz w:val="24"/>
              </w:rPr>
              <w:t>混凝土，每立方米混凝土按2.4t计</w:t>
            </w:r>
            <w:r>
              <w:rPr>
                <w:rFonts w:hint="eastAsia" w:cs="Times New Roman"/>
                <w:color w:val="auto"/>
                <w:kern w:val="0"/>
                <w:sz w:val="24"/>
                <w:lang w:val="en-US" w:eastAsia="zh-CN"/>
              </w:rPr>
              <w:t>算，年产混凝土量为60</w:t>
            </w:r>
            <w:r>
              <w:rPr>
                <w:rFonts w:hint="eastAsia" w:cs="Times New Roman"/>
                <w:color w:val="auto"/>
                <w:kern w:val="0"/>
                <w:sz w:val="24"/>
                <w:lang w:eastAsia="zh-CN"/>
              </w:rPr>
              <w:t>万</w:t>
            </w:r>
            <w:r>
              <w:rPr>
                <w:rFonts w:hint="eastAsia" w:ascii="Times New Roman" w:hAnsi="Times New Roman" w:eastAsia="宋体" w:cs="Times New Roman"/>
                <w:color w:val="auto"/>
                <w:kern w:val="0"/>
                <w:sz w:val="24"/>
              </w:rPr>
              <w:t>t/a</w:t>
            </w:r>
            <w:r>
              <w:rPr>
                <w:rFonts w:hint="eastAsia" w:cs="Times New Roman"/>
                <w:color w:val="auto"/>
                <w:kern w:val="0"/>
                <w:sz w:val="24"/>
                <w:lang w:val="en-US" w:eastAsia="zh-CN"/>
              </w:rPr>
              <w:t>，</w:t>
            </w:r>
            <w:r>
              <w:rPr>
                <w:rFonts w:hint="eastAsia" w:ascii="Times New Roman" w:hAnsi="Times New Roman" w:eastAsia="宋体" w:cs="Times New Roman"/>
                <w:color w:val="auto"/>
                <w:kern w:val="0"/>
                <w:sz w:val="24"/>
                <w:szCs w:val="24"/>
              </w:rPr>
              <w:t>生</w:t>
            </w:r>
            <w:r>
              <w:rPr>
                <w:rFonts w:hint="eastAsia" w:ascii="Times New Roman" w:hAnsi="Times New Roman" w:eastAsia="宋体" w:cs="Times New Roman"/>
                <w:color w:val="auto"/>
                <w:kern w:val="0"/>
                <w:sz w:val="24"/>
              </w:rPr>
              <w:t>产设备为</w:t>
            </w:r>
            <w:r>
              <w:rPr>
                <w:rFonts w:hint="eastAsia" w:cs="Times New Roman"/>
                <w:color w:val="auto"/>
                <w:kern w:val="0"/>
                <w:sz w:val="24"/>
                <w:lang w:val="en-US" w:eastAsia="zh-CN"/>
              </w:rPr>
              <w:t>先进</w:t>
            </w:r>
            <w:r>
              <w:rPr>
                <w:rFonts w:hint="eastAsia" w:ascii="Times New Roman" w:hAnsi="Times New Roman" w:eastAsia="宋体" w:cs="Times New Roman"/>
                <w:color w:val="auto"/>
                <w:kern w:val="0"/>
                <w:sz w:val="24"/>
              </w:rPr>
              <w:t>的成套搅拌设备，搅拌设备位于密闭搅拌楼中，搅拌机</w:t>
            </w:r>
            <w:r>
              <w:rPr>
                <w:rFonts w:hint="eastAsia" w:cs="Times New Roman"/>
                <w:color w:val="auto"/>
                <w:kern w:val="0"/>
                <w:sz w:val="24"/>
                <w:lang w:val="en-US" w:eastAsia="zh-CN"/>
              </w:rPr>
              <w:t>内</w:t>
            </w:r>
            <w:r>
              <w:rPr>
                <w:rFonts w:hint="eastAsia" w:ascii="Times New Roman" w:hAnsi="Times New Roman" w:eastAsia="宋体" w:cs="Times New Roman"/>
                <w:color w:val="auto"/>
                <w:kern w:val="0"/>
                <w:sz w:val="24"/>
              </w:rPr>
              <w:t>自带</w:t>
            </w:r>
            <w:r>
              <w:rPr>
                <w:rFonts w:hint="eastAsia" w:cs="Times New Roman"/>
                <w:color w:val="auto"/>
                <w:kern w:val="0"/>
                <w:sz w:val="24"/>
                <w:lang w:eastAsia="zh-CN"/>
              </w:rPr>
              <w:t>布袋除尘器</w:t>
            </w:r>
            <w:r>
              <w:rPr>
                <w:rFonts w:hint="eastAsia" w:ascii="Times New Roman" w:hAnsi="Times New Roman" w:eastAsia="宋体" w:cs="Times New Roman"/>
                <w:color w:val="auto"/>
                <w:kern w:val="0"/>
                <w:sz w:val="24"/>
              </w:rPr>
              <w:t>，</w:t>
            </w:r>
            <w:r>
              <w:rPr>
                <w:rFonts w:hint="eastAsia" w:cs="Times New Roman"/>
                <w:color w:val="auto"/>
                <w:kern w:val="0"/>
                <w:sz w:val="24"/>
                <w:lang w:val="en-US" w:eastAsia="zh-CN"/>
              </w:rPr>
              <w:t>内部</w:t>
            </w:r>
            <w:r>
              <w:rPr>
                <w:rFonts w:hint="eastAsia" w:ascii="Times New Roman" w:hAnsi="Times New Roman" w:eastAsia="宋体" w:cs="Times New Roman"/>
                <w:color w:val="auto"/>
                <w:kern w:val="0"/>
                <w:sz w:val="24"/>
              </w:rPr>
              <w:t>形成封闭的除尘系统进行除尘。物料搅拌过程产生的粉尘经</w:t>
            </w:r>
            <w:r>
              <w:rPr>
                <w:rFonts w:hint="eastAsia" w:cs="Times New Roman"/>
                <w:color w:val="auto"/>
                <w:kern w:val="0"/>
                <w:sz w:val="24"/>
                <w:lang w:eastAsia="zh-CN"/>
              </w:rPr>
              <w:t>集气罩收集后由</w:t>
            </w:r>
            <w:r>
              <w:rPr>
                <w:rFonts w:hint="eastAsia" w:ascii="Times New Roman" w:hAnsi="Times New Roman" w:eastAsia="宋体" w:cs="Times New Roman"/>
                <w:color w:val="auto"/>
                <w:kern w:val="0"/>
                <w:sz w:val="24"/>
              </w:rPr>
              <w:t>搅拌机自带的</w:t>
            </w:r>
            <w:r>
              <w:rPr>
                <w:rFonts w:hint="eastAsia" w:cs="Times New Roman"/>
                <w:color w:val="auto"/>
                <w:kern w:val="0"/>
                <w:sz w:val="24"/>
                <w:lang w:eastAsia="zh-CN"/>
              </w:rPr>
              <w:t>布袋除尘器</w:t>
            </w:r>
            <w:r>
              <w:rPr>
                <w:rFonts w:hint="eastAsia" w:ascii="Times New Roman" w:hAnsi="Times New Roman" w:eastAsia="宋体" w:cs="Times New Roman"/>
                <w:color w:val="auto"/>
                <w:kern w:val="0"/>
                <w:sz w:val="24"/>
              </w:rPr>
              <w:t>处理</w:t>
            </w:r>
            <w:r>
              <w:rPr>
                <w:rFonts w:hint="eastAsia" w:cs="Times New Roman"/>
                <w:color w:val="auto"/>
                <w:kern w:val="0"/>
                <w:sz w:val="24"/>
                <w:lang w:eastAsia="zh-CN"/>
              </w:rPr>
              <w:t>，处理</w:t>
            </w:r>
            <w:r>
              <w:rPr>
                <w:rFonts w:hint="eastAsia" w:ascii="Times New Roman" w:hAnsi="Times New Roman" w:eastAsia="宋体" w:cs="Times New Roman"/>
                <w:color w:val="auto"/>
                <w:kern w:val="0"/>
                <w:sz w:val="24"/>
              </w:rPr>
              <w:t>后</w:t>
            </w:r>
            <w:r>
              <w:rPr>
                <w:rFonts w:hint="eastAsia" w:cs="Times New Roman"/>
                <w:color w:val="auto"/>
                <w:kern w:val="0"/>
                <w:sz w:val="24"/>
                <w:lang w:val="en-US" w:eastAsia="zh-CN"/>
              </w:rPr>
              <w:t>通过15m高的排气筒排放（收集效率为95%，处理效率为99.7%），混凝土搅拌粉尘排气筒DA001、DA002）</w:t>
            </w:r>
            <w:r>
              <w:rPr>
                <w:rFonts w:hint="eastAsia" w:ascii="Times New Roman" w:hAnsi="Times New Roman" w:eastAsia="宋体" w:cs="Times New Roman"/>
                <w:color w:val="auto"/>
                <w:kern w:val="0"/>
                <w:sz w:val="24"/>
              </w:rPr>
              <w:t>。</w:t>
            </w:r>
          </w:p>
          <w:p w14:paraId="64512340">
            <w:pPr>
              <w:keepNext w:val="0"/>
              <w:keepLines w:val="0"/>
              <w:pageBreakBefore w:val="0"/>
              <w:widowControl/>
              <w:suppressLineNumbers w:val="0"/>
              <w:kinsoku/>
              <w:wordWrap w:val="0"/>
              <w:overflowPunct/>
              <w:topLinePunct w:val="0"/>
              <w:autoSpaceDE/>
              <w:autoSpaceDN/>
              <w:bidi w:val="0"/>
              <w:adjustRightInd/>
              <w:snapToGrid/>
              <w:jc w:val="left"/>
              <w:textAlignment w:val="auto"/>
              <w:rPr>
                <w:rFonts w:hint="default" w:ascii="Times New Roman" w:hAnsi="Times New Roman" w:cs="Times New Roman"/>
                <w:b/>
                <w:bCs/>
                <w:color w:val="auto"/>
                <w:lang w:val="en-US" w:eastAsia="zh-CN"/>
              </w:rPr>
            </w:pPr>
            <w:r>
              <w:rPr>
                <w:rFonts w:hint="eastAsia" w:cs="Times New Roman"/>
                <w:b w:val="0"/>
                <w:bCs w:val="0"/>
                <w:color w:val="auto"/>
                <w:kern w:val="0"/>
                <w:sz w:val="24"/>
                <w:szCs w:val="24"/>
                <w:lang w:val="en-US" w:eastAsia="zh-CN" w:bidi="ar"/>
              </w:rPr>
              <w:t>（2）</w:t>
            </w:r>
            <w:r>
              <w:rPr>
                <w:rFonts w:hint="eastAsia" w:cs="Times New Roman"/>
                <w:b w:val="0"/>
                <w:bCs w:val="0"/>
                <w:color w:val="auto"/>
                <w:lang w:val="en-US" w:eastAsia="zh-CN"/>
              </w:rPr>
              <w:t>筒仓粉尘</w:t>
            </w:r>
          </w:p>
          <w:p w14:paraId="7C03A7A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rPr>
              <w:t>本项目设有</w:t>
            </w:r>
            <w:r>
              <w:rPr>
                <w:rFonts w:hint="eastAsia" w:cs="Times New Roman"/>
                <w:color w:val="auto"/>
                <w:kern w:val="0"/>
                <w:sz w:val="24"/>
                <w:lang w:val="en-US" w:eastAsia="zh-CN"/>
              </w:rPr>
              <w:t>8</w:t>
            </w:r>
            <w:r>
              <w:rPr>
                <w:rFonts w:hint="default" w:ascii="Times New Roman" w:hAnsi="Times New Roman" w:eastAsia="宋体" w:cs="Times New Roman"/>
                <w:color w:val="auto"/>
                <w:kern w:val="0"/>
                <w:sz w:val="24"/>
              </w:rPr>
              <w:t>个筒仓</w:t>
            </w:r>
            <w:r>
              <w:rPr>
                <w:rFonts w:hint="eastAsia"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每个仓</w:t>
            </w:r>
            <w:r>
              <w:rPr>
                <w:rFonts w:hint="eastAsia" w:ascii="Times New Roman" w:hAnsi="Times New Roman" w:eastAsia="宋体" w:cs="Times New Roman"/>
                <w:color w:val="auto"/>
                <w:kern w:val="0"/>
                <w:sz w:val="24"/>
                <w:lang w:val="en-US" w:eastAsia="zh-CN"/>
              </w:rPr>
              <w:t>顶</w:t>
            </w:r>
            <w:r>
              <w:rPr>
                <w:rFonts w:hint="eastAsia" w:cs="Times New Roman"/>
                <w:color w:val="auto"/>
                <w:kern w:val="0"/>
                <w:sz w:val="24"/>
                <w:lang w:val="en-US" w:eastAsia="zh-CN"/>
              </w:rPr>
              <w:t>均自带1套仓顶布袋除尘器</w:t>
            </w:r>
            <w:r>
              <w:rPr>
                <w:rFonts w:hint="default" w:ascii="Times New Roman" w:hAnsi="Times New Roman" w:eastAsia="宋体" w:cs="Times New Roman"/>
                <w:color w:val="auto"/>
                <w:kern w:val="0"/>
                <w:sz w:val="24"/>
              </w:rPr>
              <w:t>进行过滤除尘，</w:t>
            </w:r>
            <w:r>
              <w:rPr>
                <w:rFonts w:hint="eastAsia" w:cs="Times New Roman"/>
                <w:color w:val="auto"/>
                <w:kern w:val="0"/>
                <w:sz w:val="24"/>
                <w:lang w:val="en-US" w:eastAsia="zh-CN"/>
              </w:rPr>
              <w:t>筒仓颗粒物属于间歇式排放，在筒仓进料时筒仓顶部会有废气排出，且排放时间较短，其次筒仓高度较高，不具备排气筒安装条件，因此，筒仓粉尘</w:t>
            </w:r>
            <w:r>
              <w:rPr>
                <w:rFonts w:hint="default" w:ascii="Times New Roman" w:hAnsi="Times New Roman" w:eastAsia="宋体" w:cs="Times New Roman"/>
                <w:color w:val="auto"/>
                <w:kern w:val="0"/>
                <w:sz w:val="24"/>
              </w:rPr>
              <w:t>经</w:t>
            </w:r>
            <w:r>
              <w:rPr>
                <w:rFonts w:hint="eastAsia" w:cs="Times New Roman"/>
                <w:color w:val="auto"/>
                <w:kern w:val="0"/>
                <w:sz w:val="24"/>
                <w:lang w:eastAsia="zh-CN"/>
              </w:rPr>
              <w:t>布袋除尘器</w:t>
            </w:r>
            <w:r>
              <w:rPr>
                <w:rFonts w:hint="default" w:ascii="Times New Roman" w:hAnsi="Times New Roman" w:eastAsia="宋体" w:cs="Times New Roman"/>
                <w:color w:val="auto"/>
                <w:kern w:val="0"/>
                <w:sz w:val="24"/>
              </w:rPr>
              <w:t>处理后</w:t>
            </w:r>
            <w:r>
              <w:rPr>
                <w:rFonts w:hint="eastAsia" w:cs="Times New Roman"/>
                <w:color w:val="auto"/>
                <w:kern w:val="0"/>
                <w:sz w:val="24"/>
                <w:lang w:val="en-US" w:eastAsia="zh-CN"/>
              </w:rPr>
              <w:t>以无组织形式</w:t>
            </w:r>
            <w:r>
              <w:rPr>
                <w:rFonts w:hint="default" w:ascii="Times New Roman" w:hAnsi="Times New Roman" w:eastAsia="宋体" w:cs="Times New Roman"/>
                <w:color w:val="auto"/>
                <w:kern w:val="0"/>
                <w:sz w:val="24"/>
              </w:rPr>
              <w:t>排放</w:t>
            </w:r>
            <w:r>
              <w:rPr>
                <w:rFonts w:hint="eastAsia" w:ascii="Times New Roman" w:hAnsi="Times New Roman" w:eastAsia="宋体" w:cs="Times New Roman"/>
                <w:color w:val="auto"/>
                <w:kern w:val="0"/>
                <w:sz w:val="24"/>
                <w:lang w:eastAsia="zh-CN"/>
              </w:rPr>
              <w:t>。</w:t>
            </w:r>
          </w:p>
          <w:p w14:paraId="56E9A007">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right="0" w:rightChars="0"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eastAsia"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lang w:val="en-US" w:eastAsia="zh-CN"/>
              </w:rPr>
              <w:t>砂石料堆场</w:t>
            </w:r>
          </w:p>
          <w:p w14:paraId="79980CFD">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Calibri" w:hAnsi="Calibri" w:eastAsia="宋体" w:cs="Calibri"/>
                <w:color w:val="auto"/>
                <w:kern w:val="0"/>
                <w:sz w:val="24"/>
                <w:szCs w:val="24"/>
                <w:lang w:val="en-US" w:eastAsia="zh-CN"/>
              </w:rPr>
              <w:t>①</w:t>
            </w:r>
            <w:r>
              <w:rPr>
                <w:rFonts w:hint="eastAsia" w:ascii="Calibri" w:hAnsi="Calibri" w:cs="Calibri"/>
                <w:color w:val="auto"/>
                <w:kern w:val="0"/>
                <w:sz w:val="24"/>
                <w:szCs w:val="24"/>
                <w:lang w:val="en-US" w:eastAsia="zh-CN"/>
              </w:rPr>
              <w:t>砂石料</w:t>
            </w:r>
            <w:r>
              <w:rPr>
                <w:rFonts w:hint="eastAsia" w:cs="Times New Roman"/>
                <w:color w:val="auto"/>
                <w:kern w:val="0"/>
                <w:sz w:val="24"/>
                <w:szCs w:val="24"/>
                <w:lang w:val="en-US" w:eastAsia="zh-CN"/>
              </w:rPr>
              <w:t>装卸堆存粉尘产生量</w:t>
            </w:r>
          </w:p>
          <w:p w14:paraId="0D6AFF0F">
            <w:pPr>
              <w:keepNext w:val="0"/>
              <w:keepLines w:val="0"/>
              <w:pageBreakBefore w:val="0"/>
              <w:kinsoku/>
              <w:wordWrap w:val="0"/>
              <w:overflowPunct/>
              <w:topLinePunct w:val="0"/>
              <w:bidi w:val="0"/>
              <w:adjustRightInd/>
              <w:snapToGrid/>
              <w:spacing w:line="360" w:lineRule="auto"/>
              <w:ind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eastAsia="宋体" w:cs="Times New Roman"/>
                <w:color w:val="auto"/>
                <w:kern w:val="0"/>
                <w:sz w:val="24"/>
                <w:szCs w:val="24"/>
                <w:lang w:val="en-US" w:eastAsia="zh-CN"/>
              </w:rPr>
              <w:t>本项目砂料和</w:t>
            </w:r>
            <w:r>
              <w:rPr>
                <w:rFonts w:hint="eastAsia" w:cs="Times New Roman"/>
                <w:color w:val="auto"/>
                <w:kern w:val="0"/>
                <w:sz w:val="24"/>
                <w:szCs w:val="24"/>
                <w:lang w:val="en-US" w:eastAsia="zh-CN"/>
              </w:rPr>
              <w:t>碎石</w:t>
            </w:r>
            <w:r>
              <w:rPr>
                <w:rFonts w:hint="default" w:ascii="Times New Roman" w:hAnsi="Times New Roman" w:eastAsia="宋体" w:cs="Times New Roman"/>
                <w:color w:val="auto"/>
                <w:kern w:val="0"/>
                <w:sz w:val="24"/>
                <w:szCs w:val="24"/>
                <w:lang w:val="en-US" w:eastAsia="zh-CN"/>
              </w:rPr>
              <w:t>堆场共计占地面积2150</w:t>
            </w:r>
            <w:r>
              <w:rPr>
                <w:rFonts w:hint="eastAsia" w:cs="Times New Roman"/>
                <w:color w:val="auto"/>
                <w:sz w:val="24"/>
                <w:szCs w:val="24"/>
                <w:highlight w:val="none"/>
                <w:vertAlign w:val="baseline"/>
                <w:lang w:val="en-US" w:eastAsia="zh-CN"/>
              </w:rPr>
              <w:t>m</w:t>
            </w:r>
            <w:r>
              <w:rPr>
                <w:rFonts w:hint="eastAsia" w:cs="Times New Roman"/>
                <w:color w:val="auto"/>
                <w:sz w:val="24"/>
                <w:szCs w:val="24"/>
                <w:highlight w:val="none"/>
                <w:vertAlign w:val="superscript"/>
                <w:lang w:val="en-US" w:eastAsia="zh-CN"/>
              </w:rPr>
              <w:t>2</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kern w:val="0"/>
                <w:sz w:val="24"/>
                <w:szCs w:val="24"/>
                <w:lang w:val="en-US" w:eastAsia="zh-CN"/>
              </w:rPr>
              <w:t>砂料和</w:t>
            </w:r>
            <w:r>
              <w:rPr>
                <w:rFonts w:hint="eastAsia" w:cs="Times New Roman"/>
                <w:color w:val="auto"/>
                <w:kern w:val="0"/>
                <w:sz w:val="24"/>
                <w:szCs w:val="24"/>
                <w:lang w:val="en-US" w:eastAsia="zh-CN"/>
              </w:rPr>
              <w:t>碎石</w:t>
            </w:r>
            <w:r>
              <w:rPr>
                <w:rFonts w:hint="default" w:ascii="Times New Roman" w:hAnsi="Times New Roman" w:cs="Times New Roman"/>
                <w:b w:val="0"/>
                <w:bCs w:val="0"/>
                <w:color w:val="auto"/>
                <w:sz w:val="24"/>
                <w:szCs w:val="24"/>
                <w:lang w:val="en-US" w:eastAsia="zh-CN"/>
              </w:rPr>
              <w:t>堆场扬尘产生量为</w:t>
            </w:r>
            <w:r>
              <w:rPr>
                <w:rFonts w:hint="eastAsia" w:cs="Times New Roman"/>
                <w:b w:val="0"/>
                <w:bCs w:val="0"/>
                <w:color w:val="auto"/>
                <w:sz w:val="24"/>
                <w:szCs w:val="24"/>
                <w:lang w:val="en-US" w:eastAsia="zh-CN"/>
              </w:rPr>
              <w:t>161.11</w:t>
            </w:r>
            <w:r>
              <w:rPr>
                <w:rFonts w:hint="default" w:ascii="Times New Roman" w:hAnsi="Times New Roman" w:cs="Times New Roman"/>
                <w:b w:val="0"/>
                <w:bCs w:val="0"/>
                <w:color w:val="auto"/>
                <w:sz w:val="24"/>
                <w:szCs w:val="24"/>
                <w:highlight w:val="none"/>
                <w:lang w:val="en-US" w:eastAsia="zh-CN"/>
              </w:rPr>
              <w:t>t/a</w:t>
            </w:r>
            <w:r>
              <w:rPr>
                <w:rFonts w:hint="eastAsia" w:cs="Times New Roman"/>
                <w:b w:val="0"/>
                <w:bCs w:val="0"/>
                <w:color w:val="auto"/>
                <w:sz w:val="24"/>
                <w:szCs w:val="24"/>
                <w:highlight w:val="none"/>
                <w:lang w:val="en-US" w:eastAsia="zh-CN"/>
              </w:rPr>
              <w:t>，产生速率73.23kg/h</w:t>
            </w:r>
            <w:r>
              <w:rPr>
                <w:rFonts w:hint="default" w:ascii="Times New Roman" w:hAnsi="Times New Roman" w:cs="Times New Roman"/>
                <w:b w:val="0"/>
                <w:bCs w:val="0"/>
                <w:color w:val="auto"/>
                <w:sz w:val="24"/>
                <w:szCs w:val="24"/>
                <w:lang w:val="en-US" w:eastAsia="zh-CN"/>
              </w:rPr>
              <w:t>。</w:t>
            </w:r>
          </w:p>
          <w:p w14:paraId="333891BD">
            <w:pPr>
              <w:keepNext w:val="0"/>
              <w:keepLines w:val="0"/>
              <w:pageBreakBefore w:val="0"/>
              <w:kinsoku/>
              <w:wordWrap w:val="0"/>
              <w:overflowPunct/>
              <w:topLinePunct w:val="0"/>
              <w:bidi w:val="0"/>
              <w:adjustRightInd/>
              <w:snapToGrid/>
              <w:spacing w:line="360" w:lineRule="auto"/>
              <w:ind w:firstLine="482" w:firstLineChars="200"/>
              <w:textAlignment w:val="auto"/>
              <w:rPr>
                <w:rFonts w:hint="default" w:ascii="Times New Roman" w:hAnsi="Times New Roman" w:cs="Times New Roman"/>
                <w:b/>
                <w:bCs/>
                <w:color w:val="auto"/>
                <w:sz w:val="24"/>
                <w:szCs w:val="24"/>
                <w:lang w:val="en-US" w:eastAsia="zh-CN"/>
              </w:rPr>
            </w:pPr>
            <w:r>
              <w:rPr>
                <w:rFonts w:hint="default" w:ascii="Calibri" w:hAnsi="Calibri" w:cs="Calibri"/>
                <w:b/>
                <w:bCs/>
                <w:color w:val="auto"/>
                <w:sz w:val="24"/>
                <w:szCs w:val="24"/>
                <w:lang w:val="en-US" w:eastAsia="zh-CN"/>
              </w:rPr>
              <w:t>②</w:t>
            </w:r>
            <w:r>
              <w:rPr>
                <w:rFonts w:hint="eastAsia" w:cs="Times New Roman"/>
                <w:b/>
                <w:bCs/>
                <w:color w:val="auto"/>
                <w:sz w:val="24"/>
                <w:szCs w:val="24"/>
                <w:lang w:val="en-US" w:eastAsia="zh-CN"/>
              </w:rPr>
              <w:t>砂石料</w:t>
            </w:r>
            <w:r>
              <w:rPr>
                <w:rFonts w:hint="default" w:ascii="Times New Roman" w:hAnsi="Times New Roman" w:cs="Times New Roman"/>
                <w:b/>
                <w:bCs/>
                <w:color w:val="auto"/>
                <w:sz w:val="24"/>
                <w:szCs w:val="24"/>
                <w:lang w:val="en-US" w:eastAsia="zh-CN"/>
              </w:rPr>
              <w:t>装卸、堆存粉尘排放量</w:t>
            </w:r>
          </w:p>
          <w:p w14:paraId="201DDFE4">
            <w:pPr>
              <w:keepNext w:val="0"/>
              <w:keepLines w:val="0"/>
              <w:pageBreakBefore w:val="0"/>
              <w:kinsoku/>
              <w:wordWrap w:val="0"/>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auto"/>
                <w:kern w:val="0"/>
                <w:sz w:val="24"/>
                <w:szCs w:val="24"/>
                <w:lang w:val="en-US" w:eastAsia="zh-CN"/>
              </w:rPr>
            </w:pPr>
            <w:r>
              <w:rPr>
                <w:rFonts w:hint="default" w:ascii="Times New Roman" w:hAnsi="Times New Roman" w:cs="Times New Roman"/>
                <w:b w:val="0"/>
                <w:bCs w:val="0"/>
                <w:color w:val="auto"/>
                <w:sz w:val="24"/>
                <w:szCs w:val="24"/>
                <w:lang w:val="en-US" w:eastAsia="zh-CN"/>
              </w:rPr>
              <w:t>项目砂石料堆场</w:t>
            </w:r>
            <w:r>
              <w:rPr>
                <w:rFonts w:hint="default" w:ascii="Times New Roman" w:hAnsi="Times New Roman" w:cs="Times New Roman"/>
                <w:b w:val="0"/>
                <w:bCs w:val="0"/>
                <w:color w:val="auto"/>
                <w:sz w:val="24"/>
                <w:szCs w:val="24"/>
                <w:highlight w:val="none"/>
                <w:lang w:eastAsia="zh-CN"/>
              </w:rPr>
              <w:t>扬尘</w:t>
            </w:r>
            <w:r>
              <w:rPr>
                <w:rFonts w:hint="eastAsia" w:cs="Times New Roman"/>
                <w:b w:val="0"/>
                <w:bCs w:val="0"/>
                <w:color w:val="auto"/>
                <w:sz w:val="24"/>
                <w:szCs w:val="24"/>
                <w:highlight w:val="none"/>
                <w:lang w:val="en-US" w:eastAsia="zh-CN"/>
              </w:rPr>
              <w:t>无组织</w:t>
            </w:r>
            <w:r>
              <w:rPr>
                <w:rFonts w:hint="default" w:ascii="Times New Roman" w:hAnsi="Times New Roman" w:cs="Times New Roman"/>
                <w:b w:val="0"/>
                <w:bCs w:val="0"/>
                <w:color w:val="auto"/>
                <w:sz w:val="24"/>
                <w:szCs w:val="24"/>
                <w:highlight w:val="none"/>
                <w:lang w:val="en-US" w:eastAsia="zh-CN"/>
              </w:rPr>
              <w:t>排放量为</w:t>
            </w:r>
            <w:r>
              <w:rPr>
                <w:rFonts w:hint="eastAsia" w:cs="Times New Roman"/>
                <w:b w:val="0"/>
                <w:bCs w:val="0"/>
                <w:color w:val="auto"/>
                <w:sz w:val="24"/>
                <w:szCs w:val="24"/>
                <w:highlight w:val="none"/>
                <w:lang w:val="en-US" w:eastAsia="zh-CN"/>
              </w:rPr>
              <w:t>0.42</w:t>
            </w:r>
            <w:r>
              <w:rPr>
                <w:rFonts w:hint="default" w:ascii="Times New Roman" w:hAnsi="Times New Roman" w:cs="Times New Roman"/>
                <w:b w:val="0"/>
                <w:bCs w:val="0"/>
                <w:color w:val="auto"/>
                <w:sz w:val="24"/>
                <w:szCs w:val="24"/>
                <w:highlight w:val="none"/>
                <w:lang w:val="en-US" w:eastAsia="zh-CN"/>
              </w:rPr>
              <w:t>t/a，</w:t>
            </w:r>
            <w:r>
              <w:rPr>
                <w:rFonts w:hint="eastAsia" w:ascii="Times New Roman" w:hAnsi="Times New Roman" w:eastAsia="宋体" w:cs="Times New Roman"/>
                <w:b w:val="0"/>
                <w:bCs w:val="0"/>
                <w:color w:val="auto"/>
                <w:kern w:val="0"/>
                <w:sz w:val="24"/>
                <w:szCs w:val="24"/>
                <w:lang w:val="en-US" w:eastAsia="zh-CN" w:bidi="ar-SA"/>
              </w:rPr>
              <w:t>排放速率</w:t>
            </w:r>
            <w:r>
              <w:rPr>
                <w:rFonts w:hint="eastAsia" w:cs="Times New Roman"/>
                <w:b w:val="0"/>
                <w:bCs w:val="0"/>
                <w:color w:val="auto"/>
                <w:sz w:val="24"/>
                <w:szCs w:val="24"/>
                <w:highlight w:val="none"/>
                <w:lang w:val="en-US" w:eastAsia="zh-CN"/>
              </w:rPr>
              <w:t>0.19kg/h</w:t>
            </w:r>
            <w:r>
              <w:rPr>
                <w:rFonts w:hint="default" w:ascii="Times New Roman" w:hAnsi="Times New Roman" w:cs="Times New Roman"/>
                <w:b w:val="0"/>
                <w:bCs w:val="0"/>
                <w:color w:val="auto"/>
                <w:sz w:val="24"/>
                <w:szCs w:val="24"/>
                <w:highlight w:val="none"/>
                <w:lang w:val="en-US" w:eastAsia="zh-CN"/>
              </w:rPr>
              <w:t>。</w:t>
            </w:r>
          </w:p>
          <w:p w14:paraId="7726D5E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200" w:right="0" w:rightChars="0"/>
              <w:jc w:val="left"/>
              <w:textAlignment w:val="auto"/>
              <w:rPr>
                <w:rFonts w:hint="default" w:ascii="Times New Roman" w:hAnsi="Times New Roman" w:eastAsia="宋体" w:cs="Times New Roman"/>
                <w:b w:val="0"/>
                <w:bCs w:val="0"/>
                <w:color w:val="auto"/>
                <w:sz w:val="24"/>
                <w:szCs w:val="24"/>
                <w:lang w:val="en-US" w:eastAsia="zh-CN"/>
              </w:rPr>
            </w:pPr>
            <w:r>
              <w:rPr>
                <w:rFonts w:hint="eastAsia" w:cs="Times New Roman"/>
                <w:b w:val="0"/>
                <w:bCs w:val="0"/>
                <w:color w:val="auto"/>
                <w:sz w:val="24"/>
                <w:szCs w:val="24"/>
                <w:lang w:val="en-US" w:eastAsia="zh-CN"/>
              </w:rPr>
              <w:t>（4）</w:t>
            </w:r>
            <w:r>
              <w:rPr>
                <w:rFonts w:hint="default" w:ascii="Times New Roman" w:hAnsi="Times New Roman" w:eastAsia="宋体" w:cs="Times New Roman"/>
                <w:b w:val="0"/>
                <w:bCs w:val="0"/>
                <w:color w:val="auto"/>
                <w:sz w:val="24"/>
                <w:szCs w:val="24"/>
                <w:lang w:val="en-US" w:eastAsia="zh-CN"/>
              </w:rPr>
              <w:t>运输</w:t>
            </w:r>
            <w:r>
              <w:rPr>
                <w:rFonts w:hint="eastAsia" w:cs="Times New Roman"/>
                <w:b w:val="0"/>
                <w:bCs w:val="0"/>
                <w:color w:val="auto"/>
                <w:sz w:val="24"/>
                <w:szCs w:val="24"/>
                <w:lang w:val="en-US" w:eastAsia="zh-CN"/>
              </w:rPr>
              <w:t>扬尘</w:t>
            </w:r>
          </w:p>
          <w:p w14:paraId="39081E27">
            <w:pPr>
              <w:pStyle w:val="15"/>
              <w:keepNext w:val="0"/>
              <w:keepLines w:val="0"/>
              <w:pageBreakBefore w:val="0"/>
              <w:widowControl w:val="0"/>
              <w:kinsoku/>
              <w:wordWrap w:val="0"/>
              <w:overflowPunct/>
              <w:topLinePunct w:val="0"/>
              <w:autoSpaceDE/>
              <w:autoSpaceDN/>
              <w:bidi w:val="0"/>
              <w:adjustRightInd/>
              <w:snapToGrid/>
              <w:spacing w:before="0" w:after="0" w:line="360" w:lineRule="auto"/>
              <w:ind w:right="0" w:firstLine="480" w:firstLineChars="200"/>
              <w:textAlignment w:val="auto"/>
              <w:rPr>
                <w:rFonts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汽车运输时由于碾压产生的扬尘对道路两侧一定范围内会造成污染。扬尘量的大小与车流量、道路状况、气候条件、汽车行驶速度等均有关系。</w:t>
            </w:r>
            <w:r>
              <w:rPr>
                <w:rFonts w:ascii="Times New Roman" w:hAnsi="Times New Roman" w:eastAsia="宋体" w:cs="Times New Roman"/>
                <w:color w:val="auto"/>
                <w:kern w:val="0"/>
                <w:sz w:val="24"/>
                <w:szCs w:val="24"/>
                <w:lang w:val="en-US" w:eastAsia="zh-CN" w:bidi="ar-SA"/>
              </w:rPr>
              <w:t>为了最大限度减小原材料及成品运输对外环境带来的不利影响，评价要求采取以下措施：</w:t>
            </w:r>
          </w:p>
          <w:p w14:paraId="459C3234">
            <w:pPr>
              <w:pStyle w:val="25"/>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Times New Roman"/>
                <w:color w:val="auto"/>
                <w:kern w:val="0"/>
                <w:sz w:val="24"/>
                <w:szCs w:val="24"/>
                <w:lang w:val="en-US" w:eastAsia="zh-CN" w:bidi="ar-SA"/>
              </w:rPr>
            </w:pPr>
            <w:r>
              <w:rPr>
                <w:rFonts w:ascii="Times New Roman" w:hAnsi="Times New Roman" w:eastAsia="宋体" w:cs="Times New Roman"/>
                <w:color w:val="auto"/>
                <w:kern w:val="0"/>
                <w:sz w:val="24"/>
                <w:szCs w:val="24"/>
                <w:lang w:val="en-US" w:eastAsia="zh-CN" w:bidi="ar-SA"/>
              </w:rPr>
              <w:t>a</w:t>
            </w:r>
            <w:r>
              <w:rPr>
                <w:rFonts w:hint="eastAsia" w:ascii="Times New Roman" w:hAnsi="Times New Roman" w:eastAsia="宋体" w:cs="Times New Roman"/>
                <w:color w:val="auto"/>
                <w:kern w:val="0"/>
                <w:sz w:val="24"/>
                <w:szCs w:val="24"/>
                <w:lang w:val="en-US" w:eastAsia="zh-CN" w:bidi="ar-SA"/>
              </w:rPr>
              <w:t>.</w:t>
            </w:r>
            <w:r>
              <w:rPr>
                <w:rFonts w:hint="eastAsia" w:ascii="Times New Roman" w:hAnsi="Times New Roman" w:cs="Times New Roman"/>
                <w:color w:val="auto"/>
                <w:kern w:val="0"/>
                <w:sz w:val="24"/>
                <w:szCs w:val="24"/>
                <w:lang w:val="en-US" w:eastAsia="zh-CN" w:bidi="ar-SA"/>
              </w:rPr>
              <w:t>每天</w:t>
            </w:r>
            <w:r>
              <w:rPr>
                <w:rFonts w:ascii="Times New Roman" w:hAnsi="Times New Roman" w:eastAsia="宋体" w:cs="Times New Roman"/>
                <w:color w:val="auto"/>
                <w:kern w:val="0"/>
                <w:sz w:val="24"/>
                <w:szCs w:val="24"/>
                <w:lang w:val="en-US" w:eastAsia="zh-CN" w:bidi="ar-SA"/>
              </w:rPr>
              <w:t>对厂区地面</w:t>
            </w:r>
            <w:r>
              <w:rPr>
                <w:rFonts w:hint="eastAsia" w:ascii="Times New Roman" w:hAnsi="Times New Roman" w:eastAsia="宋体" w:cs="Times New Roman"/>
                <w:color w:val="auto"/>
                <w:kern w:val="0"/>
                <w:sz w:val="24"/>
                <w:szCs w:val="24"/>
                <w:lang w:val="en-US" w:eastAsia="zh-CN" w:bidi="ar-SA"/>
              </w:rPr>
              <w:t>及运输道路</w:t>
            </w:r>
            <w:r>
              <w:rPr>
                <w:rFonts w:ascii="Times New Roman" w:hAnsi="Times New Roman" w:eastAsia="宋体" w:cs="Times New Roman"/>
                <w:color w:val="auto"/>
                <w:kern w:val="0"/>
                <w:sz w:val="24"/>
                <w:szCs w:val="24"/>
                <w:lang w:val="en-US" w:eastAsia="zh-CN" w:bidi="ar-SA"/>
              </w:rPr>
              <w:t>进行洒水降尘、清扫</w:t>
            </w:r>
            <w:r>
              <w:rPr>
                <w:rFonts w:hint="eastAsia" w:ascii="Times New Roman" w:hAnsi="Times New Roman" w:cs="Times New Roman"/>
                <w:color w:val="auto"/>
                <w:kern w:val="0"/>
                <w:sz w:val="24"/>
                <w:szCs w:val="24"/>
                <w:lang w:val="en-US" w:eastAsia="zh-CN" w:bidi="ar-SA"/>
              </w:rPr>
              <w:t>，保持运输道路的湿度</w:t>
            </w:r>
            <w:r>
              <w:rPr>
                <w:rFonts w:ascii="Times New Roman" w:hAnsi="Times New Roman" w:eastAsia="宋体" w:cs="Times New Roman"/>
                <w:color w:val="auto"/>
                <w:kern w:val="0"/>
                <w:sz w:val="24"/>
                <w:szCs w:val="24"/>
                <w:lang w:val="en-US" w:eastAsia="zh-CN" w:bidi="ar-SA"/>
              </w:rPr>
              <w:t>；</w:t>
            </w:r>
          </w:p>
          <w:p w14:paraId="16AAF352">
            <w:pPr>
              <w:pStyle w:val="25"/>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Times New Roman"/>
                <w:color w:val="auto"/>
                <w:kern w:val="0"/>
                <w:sz w:val="24"/>
                <w:szCs w:val="24"/>
                <w:lang w:val="en-US" w:eastAsia="zh-CN" w:bidi="ar-SA"/>
              </w:rPr>
            </w:pPr>
            <w:r>
              <w:rPr>
                <w:rFonts w:ascii="Times New Roman" w:hAnsi="Times New Roman" w:eastAsia="宋体" w:cs="Times New Roman"/>
                <w:color w:val="auto"/>
                <w:kern w:val="0"/>
                <w:sz w:val="24"/>
                <w:szCs w:val="24"/>
                <w:lang w:val="en-US" w:eastAsia="zh-CN" w:bidi="ar-SA"/>
              </w:rPr>
              <w:t>b</w:t>
            </w:r>
            <w:r>
              <w:rPr>
                <w:rFonts w:hint="eastAsia" w:ascii="Times New Roman" w:hAnsi="Times New Roman" w:eastAsia="宋体" w:cs="Times New Roman"/>
                <w:color w:val="auto"/>
                <w:kern w:val="0"/>
                <w:sz w:val="24"/>
                <w:szCs w:val="24"/>
                <w:lang w:val="en-US" w:eastAsia="zh-CN" w:bidi="ar-SA"/>
              </w:rPr>
              <w:t>.</w:t>
            </w:r>
            <w:r>
              <w:rPr>
                <w:rFonts w:hint="eastAsia" w:ascii="Times New Roman" w:hAnsi="Times New Roman" w:cs="Times New Roman"/>
                <w:color w:val="auto"/>
                <w:kern w:val="0"/>
                <w:sz w:val="24"/>
                <w:szCs w:val="24"/>
                <w:lang w:val="en-US" w:eastAsia="zh-CN" w:bidi="ar-SA"/>
              </w:rPr>
              <w:t>严格管理进出场车辆的车速，车辆</w:t>
            </w:r>
            <w:r>
              <w:rPr>
                <w:rFonts w:ascii="Times New Roman" w:hAnsi="Times New Roman" w:eastAsia="宋体" w:cs="Times New Roman"/>
                <w:color w:val="auto"/>
                <w:kern w:val="0"/>
                <w:sz w:val="24"/>
                <w:szCs w:val="24"/>
                <w:lang w:val="en-US" w:eastAsia="zh-CN" w:bidi="ar-SA"/>
              </w:rPr>
              <w:t>进出要</w:t>
            </w:r>
            <w:r>
              <w:rPr>
                <w:rFonts w:hint="eastAsia" w:ascii="Times New Roman" w:hAnsi="Times New Roman" w:cs="Times New Roman"/>
                <w:color w:val="auto"/>
                <w:kern w:val="0"/>
                <w:sz w:val="24"/>
                <w:szCs w:val="24"/>
                <w:lang w:val="en-US" w:eastAsia="zh-CN" w:bidi="ar-SA"/>
              </w:rPr>
              <w:t>低</w:t>
            </w:r>
            <w:r>
              <w:rPr>
                <w:rFonts w:ascii="Times New Roman" w:hAnsi="Times New Roman" w:eastAsia="宋体" w:cs="Times New Roman"/>
                <w:color w:val="auto"/>
                <w:kern w:val="0"/>
                <w:sz w:val="24"/>
                <w:szCs w:val="24"/>
                <w:lang w:val="en-US" w:eastAsia="zh-CN" w:bidi="ar-SA"/>
              </w:rPr>
              <w:t>速慢行；</w:t>
            </w:r>
          </w:p>
          <w:p w14:paraId="56F17FF0">
            <w:pPr>
              <w:pStyle w:val="25"/>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Times New Roman"/>
                <w:color w:val="auto"/>
                <w:kern w:val="0"/>
                <w:sz w:val="24"/>
                <w:szCs w:val="24"/>
                <w:lang w:val="en-US" w:eastAsia="zh-CN" w:bidi="ar-SA"/>
              </w:rPr>
            </w:pPr>
            <w:r>
              <w:rPr>
                <w:rFonts w:ascii="Times New Roman" w:hAnsi="Times New Roman" w:eastAsia="宋体" w:cs="Times New Roman"/>
                <w:color w:val="auto"/>
                <w:kern w:val="0"/>
                <w:sz w:val="24"/>
                <w:szCs w:val="24"/>
                <w:lang w:val="en-US" w:eastAsia="zh-CN" w:bidi="ar-SA"/>
              </w:rPr>
              <w:t>c</w:t>
            </w:r>
            <w:r>
              <w:rPr>
                <w:rFonts w:hint="eastAsia" w:ascii="Times New Roman" w:hAnsi="Times New Roman" w:eastAsia="宋体" w:cs="Times New Roman"/>
                <w:color w:val="auto"/>
                <w:kern w:val="0"/>
                <w:sz w:val="24"/>
                <w:szCs w:val="24"/>
                <w:lang w:val="en-US" w:eastAsia="zh-CN" w:bidi="ar-SA"/>
              </w:rPr>
              <w:t>.</w:t>
            </w:r>
            <w:r>
              <w:rPr>
                <w:rFonts w:ascii="Times New Roman" w:hAnsi="Times New Roman" w:eastAsia="宋体" w:cs="Times New Roman"/>
                <w:color w:val="auto"/>
                <w:kern w:val="0"/>
                <w:sz w:val="24"/>
                <w:szCs w:val="24"/>
                <w:lang w:val="en-US" w:eastAsia="zh-CN" w:bidi="ar-SA"/>
              </w:rPr>
              <w:t>砂石运输车辆</w:t>
            </w:r>
            <w:r>
              <w:rPr>
                <w:rFonts w:hint="eastAsia" w:ascii="Times New Roman" w:hAnsi="Times New Roman" w:cs="Times New Roman"/>
                <w:color w:val="auto"/>
                <w:kern w:val="0"/>
                <w:sz w:val="24"/>
                <w:szCs w:val="24"/>
                <w:lang w:val="en-US" w:eastAsia="zh-CN" w:bidi="ar-SA"/>
              </w:rPr>
              <w:t>进出必须</w:t>
            </w:r>
            <w:r>
              <w:rPr>
                <w:rFonts w:ascii="Times New Roman" w:hAnsi="Times New Roman" w:eastAsia="宋体" w:cs="Times New Roman"/>
                <w:color w:val="auto"/>
                <w:kern w:val="0"/>
                <w:sz w:val="24"/>
                <w:szCs w:val="24"/>
                <w:lang w:val="en-US" w:eastAsia="zh-CN" w:bidi="ar-SA"/>
              </w:rPr>
              <w:t>封闭遮盖，粉料采用密闭罐车运输，</w:t>
            </w:r>
            <w:r>
              <w:rPr>
                <w:rFonts w:hint="eastAsia" w:ascii="Times New Roman" w:hAnsi="Times New Roman" w:cs="Times New Roman"/>
                <w:color w:val="auto"/>
                <w:kern w:val="0"/>
                <w:sz w:val="24"/>
                <w:szCs w:val="24"/>
                <w:lang w:val="en-US" w:eastAsia="zh-CN" w:bidi="ar-SA"/>
              </w:rPr>
              <w:t>减少</w:t>
            </w:r>
            <w:r>
              <w:rPr>
                <w:rFonts w:ascii="Times New Roman" w:hAnsi="Times New Roman" w:eastAsia="宋体" w:cs="Times New Roman"/>
                <w:color w:val="auto"/>
                <w:kern w:val="0"/>
                <w:sz w:val="24"/>
                <w:szCs w:val="24"/>
                <w:lang w:val="en-US" w:eastAsia="zh-CN" w:bidi="ar-SA"/>
              </w:rPr>
              <w:t>原料的散落。</w:t>
            </w:r>
          </w:p>
          <w:p w14:paraId="34629260">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Times New Roman"/>
                <w:color w:val="auto"/>
                <w:kern w:val="0"/>
                <w:sz w:val="24"/>
                <w:szCs w:val="24"/>
                <w:lang w:val="en-US" w:eastAsia="zh-CN" w:bidi="ar-SA"/>
              </w:rPr>
            </w:pPr>
            <w:r>
              <w:rPr>
                <w:rFonts w:ascii="Times New Roman" w:hAnsi="Times New Roman" w:eastAsia="宋体" w:cs="Times New Roman"/>
                <w:color w:val="auto"/>
                <w:kern w:val="0"/>
                <w:sz w:val="24"/>
                <w:szCs w:val="24"/>
                <w:lang w:val="en-US" w:eastAsia="zh-CN" w:bidi="ar-SA"/>
              </w:rPr>
              <w:t>经采取以上措施后可</w:t>
            </w:r>
            <w:r>
              <w:rPr>
                <w:rFonts w:hint="eastAsia" w:cs="Times New Roman"/>
                <w:color w:val="auto"/>
                <w:kern w:val="0"/>
                <w:sz w:val="24"/>
                <w:szCs w:val="24"/>
                <w:lang w:val="en-US" w:eastAsia="zh-CN" w:bidi="ar-SA"/>
              </w:rPr>
              <w:t>减少</w:t>
            </w:r>
            <w:r>
              <w:rPr>
                <w:rFonts w:ascii="Times New Roman" w:hAnsi="Times New Roman" w:eastAsia="宋体" w:cs="Times New Roman"/>
                <w:color w:val="auto"/>
                <w:kern w:val="0"/>
                <w:sz w:val="24"/>
                <w:szCs w:val="24"/>
                <w:lang w:val="en-US" w:eastAsia="zh-CN" w:bidi="ar-SA"/>
              </w:rPr>
              <w:t>运输道路扬尘，扬尘量减少</w:t>
            </w:r>
            <w:r>
              <w:rPr>
                <w:rFonts w:hint="eastAsia" w:cs="Times New Roman"/>
                <w:color w:val="auto"/>
                <w:kern w:val="0"/>
                <w:sz w:val="24"/>
                <w:szCs w:val="24"/>
                <w:lang w:val="en-US" w:eastAsia="zh-CN" w:bidi="ar-SA"/>
              </w:rPr>
              <w:t>80</w:t>
            </w:r>
            <w:r>
              <w:rPr>
                <w:rFonts w:ascii="Times New Roman" w:hAnsi="Times New Roman" w:eastAsia="宋体" w:cs="Times New Roman"/>
                <w:color w:val="auto"/>
                <w:kern w:val="0"/>
                <w:sz w:val="24"/>
                <w:szCs w:val="24"/>
                <w:lang w:val="en-US" w:eastAsia="zh-CN" w:bidi="ar-SA"/>
              </w:rPr>
              <w:t>%左右，即道路扬尘排放量约为</w:t>
            </w:r>
            <w:r>
              <w:rPr>
                <w:rFonts w:hint="eastAsia" w:cs="Times New Roman"/>
                <w:color w:val="auto"/>
                <w:kern w:val="0"/>
                <w:sz w:val="24"/>
                <w:szCs w:val="24"/>
                <w:lang w:val="en-US" w:eastAsia="zh-CN" w:bidi="ar-SA"/>
              </w:rPr>
              <w:t>0.22</w:t>
            </w:r>
            <w:r>
              <w:rPr>
                <w:rFonts w:ascii="Times New Roman" w:hAnsi="Times New Roman" w:eastAsia="宋体" w:cs="Times New Roman"/>
                <w:color w:val="auto"/>
                <w:kern w:val="0"/>
                <w:sz w:val="24"/>
                <w:szCs w:val="24"/>
                <w:lang w:val="en-US" w:eastAsia="zh-CN" w:bidi="ar-SA"/>
              </w:rPr>
              <w:t>t/a</w:t>
            </w:r>
            <w:r>
              <w:rPr>
                <w:rFonts w:hint="eastAsia" w:ascii="Times New Roman" w:hAnsi="Times New Roman" w:eastAsia="宋体" w:cs="Times New Roman"/>
                <w:color w:val="auto"/>
                <w:kern w:val="0"/>
                <w:sz w:val="24"/>
                <w:szCs w:val="24"/>
                <w:lang w:val="en-US" w:eastAsia="zh-CN" w:bidi="ar-SA"/>
              </w:rPr>
              <w:t>，排放速率</w:t>
            </w:r>
            <w:r>
              <w:rPr>
                <w:rFonts w:hint="eastAsia" w:cs="Times New Roman"/>
                <w:color w:val="auto"/>
                <w:kern w:val="0"/>
                <w:sz w:val="24"/>
                <w:szCs w:val="24"/>
                <w:lang w:val="en-US" w:eastAsia="zh-CN" w:bidi="ar-SA"/>
              </w:rPr>
              <w:t>0.081</w:t>
            </w:r>
            <w:r>
              <w:rPr>
                <w:rFonts w:hint="eastAsia" w:ascii="Times New Roman" w:hAnsi="Times New Roman" w:eastAsia="宋体" w:cs="Times New Roman"/>
                <w:color w:val="auto"/>
                <w:kern w:val="0"/>
                <w:sz w:val="24"/>
                <w:szCs w:val="24"/>
                <w:lang w:val="en-US" w:eastAsia="zh-CN" w:bidi="ar-SA"/>
              </w:rPr>
              <w:t>kg/h</w:t>
            </w:r>
            <w:r>
              <w:rPr>
                <w:rFonts w:ascii="Times New Roman" w:hAnsi="Times New Roman" w:eastAsia="宋体" w:cs="Times New Roman"/>
                <w:color w:val="auto"/>
                <w:kern w:val="0"/>
                <w:sz w:val="24"/>
                <w:szCs w:val="24"/>
                <w:lang w:val="en-US" w:eastAsia="zh-CN" w:bidi="ar-SA"/>
              </w:rPr>
              <w:t>。</w:t>
            </w:r>
          </w:p>
          <w:p w14:paraId="1476DA13">
            <w:pPr>
              <w:pageBreakBefore w:val="0"/>
              <w:wordWrap w:val="0"/>
              <w:bidi w:val="0"/>
              <w:ind w:left="0" w:leftChars="0" w:firstLine="482" w:firstLineChars="20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1.2大气污染防治</w:t>
            </w:r>
            <w:r>
              <w:rPr>
                <w:rFonts w:hint="eastAsia" w:cs="Times New Roman"/>
                <w:b/>
                <w:bCs/>
                <w:color w:val="auto"/>
                <w:lang w:val="en-US" w:eastAsia="zh-CN"/>
              </w:rPr>
              <w:t>措施</w:t>
            </w:r>
            <w:r>
              <w:rPr>
                <w:rFonts w:hint="default" w:ascii="Times New Roman" w:hAnsi="Times New Roman" w:cs="Times New Roman"/>
                <w:b/>
                <w:bCs/>
                <w:color w:val="auto"/>
                <w:lang w:val="en-US" w:eastAsia="zh-CN"/>
              </w:rPr>
              <w:t>分析</w:t>
            </w:r>
          </w:p>
          <w:p w14:paraId="55872427">
            <w:pPr>
              <w:pageBreakBefore w:val="0"/>
              <w:wordWrap w:val="0"/>
              <w:bidi w:val="0"/>
              <w:rPr>
                <w:rFonts w:hint="default" w:cs="Times New Roman"/>
                <w:color w:val="auto"/>
                <w:lang w:val="en-US" w:eastAsia="zh-CN"/>
              </w:rPr>
            </w:pPr>
            <w:r>
              <w:rPr>
                <w:rFonts w:hint="eastAsia" w:cs="Times New Roman"/>
                <w:color w:val="auto"/>
                <w:lang w:val="en-US" w:eastAsia="zh-CN"/>
              </w:rPr>
              <w:t>（1）有组织废气可行性分析</w:t>
            </w:r>
          </w:p>
          <w:p w14:paraId="7E91AF7D">
            <w:pPr>
              <w:pageBreakBefore w:val="0"/>
              <w:wordWrap w:val="0"/>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w:t>
            </w:r>
            <w:r>
              <w:rPr>
                <w:rFonts w:hint="eastAsia" w:cs="Times New Roman"/>
                <w:color w:val="auto"/>
                <w:lang w:val="en-US" w:eastAsia="zh-CN"/>
              </w:rPr>
              <w:t>《排污许可证申请与核发技术规范 水泥工业</w:t>
            </w:r>
            <w:bookmarkStart w:id="8" w:name="_GoBack"/>
            <w:r>
              <w:rPr>
                <w:rFonts w:hint="eastAsia" w:cs="Times New Roman"/>
                <w:color w:val="auto"/>
                <w:lang w:val="en-US" w:eastAsia="zh-CN"/>
              </w:rPr>
              <w:t>）</w:t>
            </w:r>
            <w:bookmarkEnd w:id="8"/>
            <w:r>
              <w:rPr>
                <w:rFonts w:hint="eastAsia" w:cs="Times New Roman"/>
                <w:color w:val="auto"/>
                <w:lang w:val="en-US" w:eastAsia="zh-CN"/>
              </w:rPr>
              <w:t>》（HJ847-2017）</w:t>
            </w:r>
            <w:r>
              <w:rPr>
                <w:rFonts w:hint="default" w:ascii="Times New Roman" w:hAnsi="Times New Roman" w:cs="Times New Roman"/>
                <w:color w:val="auto"/>
                <w:lang w:val="en-US" w:eastAsia="zh-CN"/>
              </w:rPr>
              <w:t>及《水泥工业除尘工程技术规范》（HJ 434-2008）可知，水泥工业除尘器应采用袋式除尘或电除尘器。本项目搅拌系统均配套高效袋式除尘器，其技术属于可行性技术，符合环保要求</w:t>
            </w:r>
            <w:r>
              <w:rPr>
                <w:rFonts w:hint="eastAsia" w:cs="Times New Roman"/>
                <w:color w:val="auto"/>
                <w:lang w:val="en-US" w:eastAsia="zh-CN"/>
              </w:rPr>
              <w:t>；颗粒物</w:t>
            </w:r>
            <w:r>
              <w:rPr>
                <w:rFonts w:hint="default" w:ascii="Times New Roman" w:hAnsi="Times New Roman" w:cs="Times New Roman"/>
                <w:color w:val="auto"/>
                <w:sz w:val="24"/>
                <w:highlight w:val="none"/>
                <w:lang w:val="en-US" w:eastAsia="zh-CN"/>
              </w:rPr>
              <w:t>排放浓度</w:t>
            </w:r>
            <w:r>
              <w:rPr>
                <w:rFonts w:hint="default" w:ascii="Times New Roman" w:hAnsi="Times New Roman" w:cs="Times New Roman"/>
                <w:color w:val="auto"/>
                <w:sz w:val="24"/>
                <w:highlight w:val="none"/>
              </w:rPr>
              <w:t>可满足</w:t>
            </w:r>
            <w:r>
              <w:rPr>
                <w:rFonts w:hint="eastAsia"/>
                <w:color w:val="auto"/>
                <w:sz w:val="24"/>
                <w:szCs w:val="24"/>
              </w:rPr>
              <w:t>《水泥工业大气污染物排放标准》（GB4915-2013）</w:t>
            </w:r>
            <w:r>
              <w:rPr>
                <w:rFonts w:hint="eastAsia"/>
                <w:color w:val="auto"/>
                <w:sz w:val="24"/>
                <w:szCs w:val="24"/>
                <w:lang w:eastAsia="zh-CN"/>
              </w:rPr>
              <w:t>中限值要求，</w:t>
            </w:r>
            <w:r>
              <w:rPr>
                <w:rFonts w:hint="default" w:ascii="Times New Roman" w:hAnsi="Times New Roman" w:cs="Times New Roman"/>
                <w:color w:val="auto"/>
                <w:lang w:val="en-US" w:eastAsia="zh-CN"/>
              </w:rPr>
              <w:t>排放的颗粒物对周边环境的影响可接受</w:t>
            </w:r>
            <w:r>
              <w:rPr>
                <w:rFonts w:hint="eastAsia" w:cs="Times New Roman"/>
                <w:color w:val="auto"/>
                <w:lang w:val="en-US" w:eastAsia="zh-CN"/>
              </w:rPr>
              <w:t>，故采取的</w:t>
            </w:r>
            <w:r>
              <w:rPr>
                <w:rFonts w:hint="eastAsia" w:ascii="Times New Roman" w:hAnsi="Times New Roman" w:cs="Times New Roman"/>
                <w:color w:val="auto"/>
                <w:spacing w:val="-5"/>
                <w:sz w:val="24"/>
                <w:szCs w:val="24"/>
                <w:lang w:val="en-US" w:eastAsia="zh-CN"/>
              </w:rPr>
              <w:t>处理措施可行</w:t>
            </w:r>
            <w:r>
              <w:rPr>
                <w:rFonts w:hint="default" w:ascii="Times New Roman" w:hAnsi="Times New Roman" w:cs="Times New Roman"/>
                <w:color w:val="auto"/>
                <w:lang w:val="en-US" w:eastAsia="zh-CN"/>
              </w:rPr>
              <w:t>。</w:t>
            </w:r>
          </w:p>
          <w:p w14:paraId="28831A2D">
            <w:pPr>
              <w:pStyle w:val="12"/>
              <w:pageBreakBefore w:val="0"/>
              <w:numPr>
                <w:ilvl w:val="0"/>
                <w:numId w:val="4"/>
              </w:numPr>
              <w:wordWrap w:val="0"/>
              <w:bidi w:val="0"/>
              <w:ind w:left="-240" w:leftChars="0" w:firstLine="720" w:firstLineChars="0"/>
              <w:rPr>
                <w:rFonts w:hint="eastAsia" w:cs="Times New Roman"/>
                <w:color w:val="auto"/>
                <w:lang w:val="en-US" w:eastAsia="zh-CN"/>
              </w:rPr>
            </w:pPr>
            <w:r>
              <w:rPr>
                <w:rFonts w:hint="eastAsia" w:cs="Times New Roman"/>
                <w:color w:val="auto"/>
                <w:lang w:val="en-US" w:eastAsia="zh-CN"/>
              </w:rPr>
              <w:t>无组织废气可行性分析</w:t>
            </w:r>
          </w:p>
          <w:p w14:paraId="79633F00">
            <w:pPr>
              <w:pStyle w:val="51"/>
              <w:pageBreakBefore w:val="0"/>
              <w:wordWrap w:val="0"/>
              <w:bidi w:val="0"/>
              <w:rPr>
                <w:rFonts w:cs="Times New Roman" w:eastAsiaTheme="minorEastAsia"/>
                <w:color w:val="auto"/>
              </w:rPr>
            </w:pPr>
            <w:r>
              <w:rPr>
                <w:rFonts w:hint="eastAsia" w:cs="Times New Roman" w:eastAsiaTheme="minorEastAsia"/>
                <w:color w:val="auto"/>
              </w:rPr>
              <w:t>本项目无组织废气主要为</w:t>
            </w:r>
            <w:r>
              <w:rPr>
                <w:rFonts w:hint="eastAsia" w:cs="Times New Roman" w:eastAsiaTheme="minorEastAsia"/>
                <w:color w:val="auto"/>
                <w:lang w:val="en-US" w:eastAsia="zh-CN"/>
              </w:rPr>
              <w:t>搅拌机逸散粉尘</w:t>
            </w:r>
            <w:r>
              <w:rPr>
                <w:rFonts w:hint="eastAsia" w:cs="Times New Roman" w:eastAsiaTheme="minorEastAsia"/>
                <w:color w:val="auto"/>
              </w:rPr>
              <w:t>、</w:t>
            </w:r>
            <w:r>
              <w:rPr>
                <w:rFonts w:hint="eastAsia" w:cs="Times New Roman" w:eastAsiaTheme="minorEastAsia"/>
                <w:color w:val="auto"/>
                <w:lang w:val="en-US" w:eastAsia="zh-CN"/>
              </w:rPr>
              <w:t>各类筒仓逸散粉尘</w:t>
            </w:r>
            <w:r>
              <w:rPr>
                <w:rFonts w:hint="eastAsia" w:cs="Times New Roman" w:eastAsiaTheme="minorEastAsia"/>
                <w:color w:val="auto"/>
                <w:lang w:eastAsia="zh-CN"/>
              </w:rPr>
              <w:t>、堆场粉尘、运输扬尘</w:t>
            </w:r>
            <w:r>
              <w:rPr>
                <w:rFonts w:hint="eastAsia" w:cs="Times New Roman" w:eastAsiaTheme="minorEastAsia"/>
                <w:color w:val="auto"/>
              </w:rPr>
              <w:t>过程中产生的粉尘。</w:t>
            </w:r>
          </w:p>
          <w:p w14:paraId="2EF36474">
            <w:pPr>
              <w:pStyle w:val="52"/>
              <w:pageBreakBefore w:val="0"/>
              <w:wordWrap w:val="0"/>
              <w:bidi w:val="0"/>
              <w:rPr>
                <w:rFonts w:hint="default" w:cs="Times New Roman"/>
                <w:color w:val="auto"/>
                <w:lang w:val="en-US" w:eastAsia="zh-CN"/>
              </w:rPr>
            </w:pPr>
            <w:r>
              <w:rPr>
                <w:rFonts w:hint="eastAsia" w:ascii="Times New Roman" w:hAnsi="Times New Roman" w:cs="Times New Roman" w:eastAsiaTheme="minorEastAsia"/>
                <w:color w:val="auto"/>
                <w:kern w:val="2"/>
                <w:sz w:val="24"/>
                <w:szCs w:val="24"/>
                <w:lang w:val="en-US" w:eastAsia="zh-CN" w:bidi="ar-SA"/>
              </w:rPr>
              <w:t>本项目</w:t>
            </w:r>
            <w:r>
              <w:rPr>
                <w:rFonts w:hint="eastAsia" w:cs="Times New Roman" w:eastAsiaTheme="minorEastAsia"/>
                <w:color w:val="auto"/>
                <w:kern w:val="2"/>
                <w:sz w:val="24"/>
                <w:szCs w:val="24"/>
                <w:lang w:val="en-US" w:eastAsia="zh-CN" w:bidi="ar-SA"/>
              </w:rPr>
              <w:t>搅拌机粉尘安装集气罩+袋式除尘器处理后排放，减少无组织</w:t>
            </w:r>
            <w:r>
              <w:rPr>
                <w:rFonts w:hint="eastAsia" w:ascii="Times New Roman" w:hAnsi="Times New Roman" w:cs="Times New Roman" w:eastAsiaTheme="minorEastAsia"/>
                <w:color w:val="auto"/>
                <w:kern w:val="2"/>
                <w:sz w:val="24"/>
                <w:szCs w:val="24"/>
                <w:lang w:val="en-US" w:eastAsia="zh-CN" w:bidi="ar-SA"/>
              </w:rPr>
              <w:t>粉尘逸散。</w:t>
            </w:r>
            <w:r>
              <w:rPr>
                <w:rFonts w:hint="eastAsia" w:cs="Times New Roman" w:eastAsiaTheme="minorEastAsia"/>
                <w:color w:val="auto"/>
                <w:kern w:val="2"/>
                <w:sz w:val="24"/>
                <w:szCs w:val="24"/>
                <w:lang w:val="en-US" w:eastAsia="zh-CN" w:bidi="ar-SA"/>
              </w:rPr>
              <w:t>水泥筒仓、粉煤灰仓均安装除尘器，处理后通过顶部呼吸孔无组织逸散，砂子、小石料场采用半封闭措施，大石堆料场采取防风抑尘网并定期洒水降尘，满足《工业料堆场扬尘整治规范》(DB65/T4064-2017）相关要求，</w:t>
            </w:r>
            <w:r>
              <w:rPr>
                <w:rFonts w:hint="eastAsia" w:ascii="Times New Roman" w:hAnsi="Times New Roman" w:cs="Times New Roman" w:eastAsiaTheme="minorEastAsia"/>
                <w:color w:val="auto"/>
                <w:kern w:val="2"/>
                <w:sz w:val="24"/>
                <w:szCs w:val="24"/>
                <w:lang w:val="en-US" w:eastAsia="zh-CN" w:bidi="ar-SA"/>
              </w:rPr>
              <w:t>物料运输过程中产生的粉尘通过洒水降尘、运输车辆遮盖篷布、厂区遗撒物料及时清理等措施降低无组织粉尘</w:t>
            </w:r>
            <w:r>
              <w:rPr>
                <w:rFonts w:hint="eastAsia" w:cs="Times New Roman" w:eastAsiaTheme="minorEastAsia"/>
                <w:color w:val="auto"/>
                <w:kern w:val="2"/>
                <w:sz w:val="24"/>
                <w:szCs w:val="24"/>
                <w:lang w:val="en-US" w:eastAsia="zh-CN" w:bidi="ar-SA"/>
              </w:rPr>
              <w:t>排放。</w:t>
            </w:r>
            <w:r>
              <w:rPr>
                <w:rFonts w:hint="eastAsia" w:ascii="Times New Roman" w:hAnsi="Times New Roman" w:cs="Times New Roman" w:eastAsiaTheme="minorEastAsia"/>
                <w:color w:val="auto"/>
                <w:kern w:val="2"/>
                <w:sz w:val="24"/>
                <w:szCs w:val="24"/>
                <w:lang w:val="en-US" w:eastAsia="zh-CN" w:bidi="ar-SA"/>
              </w:rPr>
              <w:t>落</w:t>
            </w:r>
            <w:r>
              <w:rPr>
                <w:rFonts w:hint="eastAsia" w:cs="Times New Roman" w:eastAsiaTheme="minorEastAsia"/>
                <w:color w:val="auto"/>
                <w:kern w:val="2"/>
                <w:sz w:val="24"/>
                <w:szCs w:val="24"/>
                <w:lang w:val="en-US" w:eastAsia="zh-CN" w:bidi="ar-SA"/>
              </w:rPr>
              <w:t>实上述措施后，无组织粉尘得到了有效控制，其措施可行。</w:t>
            </w:r>
          </w:p>
          <w:p w14:paraId="50E6AFEA">
            <w:pPr>
              <w:pageBreakBefore w:val="0"/>
              <w:tabs>
                <w:tab w:val="left" w:pos="480"/>
              </w:tabs>
              <w:wordWrap w:val="0"/>
              <w:bidi w:val="0"/>
              <w:ind w:left="0" w:leftChars="0" w:firstLine="0" w:firstLineChars="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2.运营期地表水环境影响及保护措施</w:t>
            </w:r>
          </w:p>
          <w:p w14:paraId="6F519280">
            <w:pPr>
              <w:keepNext w:val="0"/>
              <w:keepLines w:val="0"/>
              <w:pageBreakBefore w:val="0"/>
              <w:widowControl/>
              <w:suppressLineNumbers w:val="0"/>
              <w:wordWrap w:val="0"/>
              <w:bidi w:val="0"/>
              <w:ind w:left="0" w:leftChars="0" w:firstLine="0" w:firstLineChars="0"/>
              <w:jc w:val="left"/>
              <w:rPr>
                <w:rFonts w:hint="default" w:ascii="Times New Roman" w:hAnsi="Times New Roman" w:eastAsia="宋体" w:cs="Times New Roman"/>
                <w:b/>
                <w:bCs/>
                <w:color w:val="auto"/>
                <w:lang w:val="en-US" w:eastAsia="zh-CN"/>
              </w:rPr>
            </w:pPr>
            <w:r>
              <w:rPr>
                <w:rFonts w:hint="default" w:ascii="Times New Roman" w:hAnsi="Times New Roman" w:cs="Times New Roman"/>
                <w:b/>
                <w:bCs/>
                <w:color w:val="auto"/>
                <w:lang w:val="en-US" w:eastAsia="zh-CN"/>
              </w:rPr>
              <w:t>2.1废水源强分析</w:t>
            </w:r>
          </w:p>
          <w:p w14:paraId="0C7445CF">
            <w:pPr>
              <w:keepNext w:val="0"/>
              <w:keepLines w:val="0"/>
              <w:pageBreakBefore w:val="0"/>
              <w:widowControl/>
              <w:suppressLineNumbers w:val="0"/>
              <w:wordWrap w:val="0"/>
              <w:bidi w:val="0"/>
              <w:spacing w:line="360" w:lineRule="auto"/>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rPr>
              <w:t>本项目运营期间产生的</w:t>
            </w:r>
            <w:r>
              <w:rPr>
                <w:rFonts w:hint="eastAsia" w:cs="Times New Roman"/>
                <w:color w:val="auto"/>
                <w:lang w:val="en-US" w:eastAsia="zh-CN"/>
              </w:rPr>
              <w:t>废水</w:t>
            </w:r>
            <w:r>
              <w:rPr>
                <w:rFonts w:hint="default" w:ascii="Times New Roman" w:hAnsi="Times New Roman" w:cs="Times New Roman"/>
                <w:color w:val="auto"/>
              </w:rPr>
              <w:t>主要是职工产生的生活污水</w:t>
            </w:r>
            <w:r>
              <w:rPr>
                <w:rFonts w:hint="eastAsia" w:cs="Times New Roman"/>
                <w:color w:val="auto"/>
                <w:lang w:val="en-US" w:eastAsia="zh-CN"/>
              </w:rPr>
              <w:t>及冲洗工序的废水</w:t>
            </w:r>
            <w:r>
              <w:rPr>
                <w:rFonts w:hint="default" w:ascii="Times New Roman" w:hAnsi="Times New Roman" w:cs="Times New Roman"/>
                <w:color w:val="auto"/>
              </w:rPr>
              <w:t>。</w:t>
            </w:r>
            <w:r>
              <w:rPr>
                <w:rFonts w:hint="default" w:ascii="Times New Roman" w:hAnsi="Times New Roman" w:eastAsia="宋体" w:cs="Times New Roman"/>
                <w:color w:val="auto"/>
                <w:kern w:val="0"/>
                <w:sz w:val="24"/>
                <w:szCs w:val="24"/>
                <w:lang w:val="en-US" w:eastAsia="zh-CN" w:bidi="ar"/>
              </w:rPr>
              <w:t>生产废水经沉淀池沉淀后全部回用于生产，不外排。</w:t>
            </w:r>
          </w:p>
          <w:p w14:paraId="4E37A451">
            <w:pPr>
              <w:keepNext w:val="0"/>
              <w:keepLines w:val="0"/>
              <w:pageBreakBefore w:val="0"/>
              <w:widowControl/>
              <w:suppressLineNumbers w:val="0"/>
              <w:wordWrap w:val="0"/>
              <w:bidi w:val="0"/>
              <w:spacing w:line="360" w:lineRule="auto"/>
              <w:ind w:left="0" w:leftChars="0"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根据</w:t>
            </w:r>
            <w:r>
              <w:rPr>
                <w:rFonts w:hint="eastAsia" w:cs="Times New Roman"/>
                <w:color w:val="auto"/>
                <w:kern w:val="0"/>
                <w:sz w:val="24"/>
                <w:szCs w:val="24"/>
                <w:lang w:val="en-US" w:eastAsia="zh-CN" w:bidi="ar"/>
              </w:rPr>
              <w:t>工程分析</w:t>
            </w:r>
            <w:r>
              <w:rPr>
                <w:rFonts w:hint="default" w:ascii="Times New Roman" w:hAnsi="Times New Roman" w:eastAsia="宋体" w:cs="Times New Roman"/>
                <w:color w:val="auto"/>
                <w:kern w:val="0"/>
                <w:sz w:val="24"/>
                <w:szCs w:val="24"/>
                <w:lang w:val="en-US" w:eastAsia="zh-CN" w:bidi="ar"/>
              </w:rPr>
              <w:t>可知：本项目运营后厂区职工生活污水排放量为</w:t>
            </w:r>
            <w:r>
              <w:rPr>
                <w:rFonts w:hint="eastAsia" w:cs="Times New Roman"/>
                <w:color w:val="auto"/>
                <w:highlight w:val="none"/>
                <w:lang w:val="en-US" w:eastAsia="zh-CN"/>
              </w:rPr>
              <w:t>1.6</w:t>
            </w:r>
            <w:r>
              <w:rPr>
                <w:rFonts w:hint="eastAsia" w:ascii="Times New Roman" w:hAnsi="Times New Roman" w:eastAsia="宋体" w:cs="Times New Roman"/>
                <w:color w:val="auto"/>
                <w:highlight w:val="none"/>
                <w:lang w:val="en-US" w:eastAsia="zh-CN"/>
              </w:rPr>
              <w:t>m</w:t>
            </w:r>
            <w:r>
              <w:rPr>
                <w:rFonts w:hint="eastAsia" w:ascii="Times New Roman" w:hAnsi="Times New Roman" w:eastAsia="宋体" w:cs="Times New Roman"/>
                <w:color w:val="auto"/>
                <w:highlight w:val="none"/>
                <w:vertAlign w:val="superscript"/>
                <w:lang w:val="en-US" w:eastAsia="zh-CN"/>
              </w:rPr>
              <w:t>3</w:t>
            </w:r>
            <w:r>
              <w:rPr>
                <w:rFonts w:hint="eastAsia" w:ascii="Times New Roman" w:hAnsi="Times New Roman" w:eastAsia="宋体" w:cs="Times New Roman"/>
                <w:color w:val="auto"/>
                <w:highlight w:val="none"/>
                <w:lang w:val="en-US" w:eastAsia="zh-CN"/>
              </w:rPr>
              <w:t>/d（</w:t>
            </w:r>
            <w:r>
              <w:rPr>
                <w:rFonts w:hint="eastAsia" w:cs="Times New Roman"/>
                <w:color w:val="auto"/>
                <w:highlight w:val="none"/>
                <w:lang w:val="en-US" w:eastAsia="zh-CN"/>
              </w:rPr>
              <w:t>440</w:t>
            </w:r>
            <w:r>
              <w:rPr>
                <w:rFonts w:hint="eastAsia" w:ascii="Times New Roman" w:hAnsi="Times New Roman" w:eastAsia="宋体" w:cs="Times New Roman"/>
                <w:color w:val="auto"/>
                <w:highlight w:val="none"/>
                <w:lang w:val="en-US" w:eastAsia="zh-CN"/>
              </w:rPr>
              <w:t>m</w:t>
            </w:r>
            <w:r>
              <w:rPr>
                <w:rFonts w:hint="eastAsia" w:ascii="Times New Roman" w:hAnsi="Times New Roman" w:eastAsia="宋体" w:cs="Times New Roman"/>
                <w:color w:val="auto"/>
                <w:highlight w:val="none"/>
                <w:vertAlign w:val="superscript"/>
                <w:lang w:val="en-US" w:eastAsia="zh-CN"/>
              </w:rPr>
              <w:t>3</w:t>
            </w:r>
            <w:r>
              <w:rPr>
                <w:rFonts w:hint="eastAsia" w:ascii="Times New Roman" w:hAnsi="Times New Roman" w:eastAsia="宋体" w:cs="Times New Roman"/>
                <w:color w:val="auto"/>
                <w:highlight w:val="none"/>
                <w:lang w:val="en-US" w:eastAsia="zh-CN"/>
              </w:rPr>
              <w:t>/a）</w:t>
            </w:r>
            <w:r>
              <w:rPr>
                <w:rFonts w:hint="default" w:ascii="Times New Roman" w:hAnsi="Times New Roman" w:eastAsia="宋体" w:cs="Times New Roman"/>
                <w:color w:val="auto"/>
                <w:kern w:val="0"/>
                <w:sz w:val="24"/>
                <w:szCs w:val="24"/>
                <w:lang w:val="en-US" w:eastAsia="zh-CN" w:bidi="ar"/>
              </w:rPr>
              <w:t>。生活污水</w:t>
            </w:r>
            <w:r>
              <w:rPr>
                <w:rFonts w:hint="eastAsia" w:cs="Times New Roman"/>
                <w:color w:val="auto"/>
                <w:sz w:val="24"/>
                <w:szCs w:val="20"/>
                <w:highlight w:val="none"/>
                <w:lang w:val="en-US" w:eastAsia="zh-CN"/>
              </w:rPr>
              <w:t>依托</w:t>
            </w:r>
            <w:r>
              <w:rPr>
                <w:rFonts w:hint="default" w:ascii="Times New Roman" w:hAnsi="Times New Roman" w:eastAsia="宋体" w:cs="Times New Roman"/>
                <w:color w:val="auto"/>
                <w:sz w:val="24"/>
                <w:szCs w:val="20"/>
                <w:highlight w:val="none"/>
                <w:lang w:val="en-US" w:eastAsia="zh-CN"/>
              </w:rPr>
              <w:t>新疆亿丰矿业开发有限责任公司污水设施收集处理</w:t>
            </w:r>
            <w:r>
              <w:rPr>
                <w:rFonts w:hint="default" w:ascii="Times New Roman" w:hAnsi="Times New Roman" w:eastAsia="宋体" w:cs="Times New Roman"/>
                <w:color w:val="auto"/>
                <w:sz w:val="24"/>
                <w:szCs w:val="20"/>
                <w:lang w:val="en-US" w:eastAsia="zh-CN"/>
              </w:rPr>
              <w:t>，</w:t>
            </w:r>
            <w:r>
              <w:rPr>
                <w:rFonts w:hint="default" w:ascii="Times New Roman" w:hAnsi="Times New Roman" w:eastAsia="宋体" w:cs="Times New Roman"/>
                <w:color w:val="auto"/>
                <w:kern w:val="0"/>
                <w:sz w:val="24"/>
                <w:szCs w:val="24"/>
                <w:lang w:val="en-US" w:eastAsia="zh-CN" w:bidi="ar"/>
              </w:rPr>
              <w:t>项目生活污水</w:t>
            </w:r>
            <w:r>
              <w:rPr>
                <w:rFonts w:hint="eastAsia" w:cs="Times New Roman"/>
                <w:color w:val="auto"/>
                <w:kern w:val="0"/>
                <w:sz w:val="24"/>
                <w:szCs w:val="24"/>
                <w:lang w:val="en-US" w:eastAsia="zh-CN" w:bidi="ar"/>
              </w:rPr>
              <w:t>污染物</w:t>
            </w:r>
            <w:r>
              <w:rPr>
                <w:rFonts w:hint="default" w:ascii="Times New Roman" w:hAnsi="Times New Roman" w:eastAsia="宋体" w:cs="Times New Roman"/>
                <w:color w:val="auto"/>
                <w:kern w:val="0"/>
                <w:sz w:val="24"/>
                <w:szCs w:val="24"/>
                <w:lang w:val="en-US" w:eastAsia="zh-CN" w:bidi="ar"/>
              </w:rPr>
              <w:t>的产</w:t>
            </w:r>
            <w:r>
              <w:rPr>
                <w:rFonts w:hint="eastAsia" w:cs="Times New Roman"/>
                <w:color w:val="auto"/>
                <w:kern w:val="0"/>
                <w:sz w:val="24"/>
                <w:szCs w:val="24"/>
                <w:lang w:val="en-US" w:eastAsia="zh-CN" w:bidi="ar"/>
              </w:rPr>
              <w:t>生</w:t>
            </w:r>
            <w:r>
              <w:rPr>
                <w:rFonts w:hint="default" w:ascii="Times New Roman" w:hAnsi="Times New Roman" w:eastAsia="宋体" w:cs="Times New Roman"/>
                <w:color w:val="auto"/>
                <w:kern w:val="0"/>
                <w:sz w:val="24"/>
                <w:szCs w:val="24"/>
                <w:lang w:val="en-US" w:eastAsia="zh-CN" w:bidi="ar"/>
              </w:rPr>
              <w:t>情况详见下表4-</w:t>
            </w:r>
            <w:r>
              <w:rPr>
                <w:rFonts w:hint="eastAsia" w:cs="Times New Roman"/>
                <w:color w:val="auto"/>
                <w:kern w:val="0"/>
                <w:sz w:val="24"/>
                <w:szCs w:val="24"/>
                <w:lang w:val="en-US" w:eastAsia="zh-CN" w:bidi="ar"/>
              </w:rPr>
              <w:t>8</w:t>
            </w:r>
            <w:r>
              <w:rPr>
                <w:rFonts w:hint="default" w:ascii="Times New Roman" w:hAnsi="Times New Roman" w:eastAsia="宋体" w:cs="Times New Roman"/>
                <w:color w:val="auto"/>
                <w:kern w:val="0"/>
                <w:sz w:val="24"/>
                <w:szCs w:val="24"/>
                <w:lang w:val="en-US" w:eastAsia="zh-CN" w:bidi="ar"/>
              </w:rPr>
              <w:t>。</w:t>
            </w:r>
          </w:p>
          <w:p w14:paraId="3EC82B5A">
            <w:pPr>
              <w:pStyle w:val="36"/>
              <w:keepNext w:val="0"/>
              <w:keepLines w:val="0"/>
              <w:pageBreakBefore w:val="0"/>
              <w:suppressLineNumbers w:val="0"/>
              <w:wordWrap w:val="0"/>
              <w:bidi w:val="0"/>
              <w:spacing w:before="0" w:beforeAutospacing="0" w:after="0" w:afterAutospacing="0"/>
              <w:ind w:right="0"/>
              <w:jc w:val="center"/>
              <w:rPr>
                <w:rFonts w:hint="default" w:ascii="Times New Roman" w:hAnsi="Times New Roman" w:cs="Times New Roman"/>
                <w:b/>
                <w:bCs/>
                <w:color w:val="auto"/>
              </w:rPr>
            </w:pPr>
            <w:r>
              <w:rPr>
                <w:rFonts w:hint="default" w:ascii="Times New Roman" w:hAnsi="Times New Roman" w:cs="Times New Roman"/>
                <w:b/>
                <w:bCs/>
                <w:color w:val="auto"/>
              </w:rPr>
              <w:t>表4-</w:t>
            </w:r>
            <w:r>
              <w:rPr>
                <w:rFonts w:hint="eastAsia" w:cs="Times New Roman"/>
                <w:b/>
                <w:bCs/>
                <w:color w:val="auto"/>
                <w:lang w:val="en-US" w:eastAsia="zh-CN"/>
              </w:rPr>
              <w:t>8</w:t>
            </w:r>
            <w:r>
              <w:rPr>
                <w:rFonts w:hint="default" w:ascii="Times New Roman" w:hAnsi="Times New Roman" w:cs="Times New Roman"/>
                <w:b/>
                <w:bCs/>
                <w:color w:val="auto"/>
              </w:rPr>
              <w:t xml:space="preserve">   生活污水主要污染物及排放情况</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68"/>
              <w:gridCol w:w="1601"/>
              <w:gridCol w:w="1097"/>
              <w:gridCol w:w="879"/>
              <w:gridCol w:w="1206"/>
              <w:gridCol w:w="1122"/>
              <w:gridCol w:w="1069"/>
              <w:gridCol w:w="1392"/>
            </w:tblGrid>
            <w:tr w14:paraId="0C84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96" w:type="pct"/>
                  <w:gridSpan w:val="2"/>
                  <w:vAlign w:val="center"/>
                </w:tcPr>
                <w:p w14:paraId="6583287E">
                  <w:pPr>
                    <w:pStyle w:val="36"/>
                    <w:keepNext w:val="0"/>
                    <w:keepLines w:val="0"/>
                    <w:pageBreakBefore w:val="0"/>
                    <w:suppressLineNumbers w:val="0"/>
                    <w:wordWrap w:val="0"/>
                    <w:bidi w:val="0"/>
                    <w:spacing w:before="0" w:beforeAutospacing="0" w:after="0" w:afterAutospacing="0" w:line="240" w:lineRule="exact"/>
                    <w:ind w:right="0"/>
                    <w:rPr>
                      <w:rFonts w:hint="default" w:ascii="Times New Roman" w:hAnsi="Times New Roman" w:cs="Times New Roman"/>
                      <w:b/>
                      <w:bCs/>
                      <w:color w:val="auto"/>
                    </w:rPr>
                  </w:pPr>
                  <w:r>
                    <w:rPr>
                      <w:rFonts w:hint="default" w:ascii="Times New Roman" w:hAnsi="Times New Roman" w:cs="Times New Roman"/>
                      <w:b/>
                      <w:bCs/>
                      <w:color w:val="auto"/>
                    </w:rPr>
                    <w:t>主要污染物</w:t>
                  </w:r>
                </w:p>
              </w:tc>
              <w:tc>
                <w:tcPr>
                  <w:tcW w:w="600" w:type="pct"/>
                  <w:vAlign w:val="center"/>
                </w:tcPr>
                <w:p w14:paraId="7E68C0CF">
                  <w:pPr>
                    <w:pStyle w:val="36"/>
                    <w:keepNext w:val="0"/>
                    <w:keepLines w:val="0"/>
                    <w:pageBreakBefore w:val="0"/>
                    <w:suppressLineNumbers w:val="0"/>
                    <w:wordWrap w:val="0"/>
                    <w:bidi w:val="0"/>
                    <w:spacing w:before="0" w:beforeAutospacing="0" w:after="0" w:afterAutospacing="0" w:line="240" w:lineRule="exact"/>
                    <w:ind w:right="0"/>
                    <w:rPr>
                      <w:rFonts w:hint="default" w:ascii="Times New Roman" w:hAnsi="Times New Roman" w:cs="Times New Roman"/>
                      <w:b/>
                      <w:bCs/>
                      <w:color w:val="auto"/>
                    </w:rPr>
                  </w:pPr>
                  <w:r>
                    <w:rPr>
                      <w:rFonts w:hint="default" w:ascii="Times New Roman" w:hAnsi="Times New Roman" w:cs="Times New Roman"/>
                      <w:b/>
                      <w:bCs/>
                      <w:color w:val="auto"/>
                    </w:rPr>
                    <w:t>水量</w:t>
                  </w:r>
                </w:p>
              </w:tc>
              <w:tc>
                <w:tcPr>
                  <w:tcW w:w="481" w:type="pct"/>
                  <w:vAlign w:val="center"/>
                </w:tcPr>
                <w:p w14:paraId="3DF1095A">
                  <w:pPr>
                    <w:pStyle w:val="36"/>
                    <w:keepNext w:val="0"/>
                    <w:keepLines w:val="0"/>
                    <w:pageBreakBefore w:val="0"/>
                    <w:suppressLineNumbers w:val="0"/>
                    <w:wordWrap w:val="0"/>
                    <w:bidi w:val="0"/>
                    <w:spacing w:before="0" w:beforeAutospacing="0" w:after="0" w:afterAutospacing="0" w:line="240" w:lineRule="exact"/>
                    <w:ind w:right="0"/>
                    <w:rPr>
                      <w:rFonts w:hint="default" w:ascii="Times New Roman" w:hAnsi="Times New Roman" w:cs="Times New Roman"/>
                      <w:b/>
                      <w:bCs/>
                      <w:color w:val="auto"/>
                    </w:rPr>
                  </w:pPr>
                  <w:r>
                    <w:rPr>
                      <w:rFonts w:hint="default" w:ascii="Times New Roman" w:hAnsi="Times New Roman" w:cs="Times New Roman"/>
                      <w:b/>
                      <w:bCs/>
                      <w:color w:val="auto"/>
                    </w:rPr>
                    <w:t>COD</w:t>
                  </w:r>
                  <w:r>
                    <w:rPr>
                      <w:rFonts w:hint="default" w:ascii="Times New Roman" w:hAnsi="Times New Roman" w:cs="Times New Roman"/>
                      <w:b/>
                      <w:bCs/>
                      <w:color w:val="auto"/>
                      <w:vertAlign w:val="subscript"/>
                    </w:rPr>
                    <w:t>Cr</w:t>
                  </w:r>
                </w:p>
              </w:tc>
              <w:tc>
                <w:tcPr>
                  <w:tcW w:w="660" w:type="pct"/>
                  <w:vAlign w:val="center"/>
                </w:tcPr>
                <w:p w14:paraId="2B6F4B16">
                  <w:pPr>
                    <w:pStyle w:val="36"/>
                    <w:keepNext w:val="0"/>
                    <w:keepLines w:val="0"/>
                    <w:pageBreakBefore w:val="0"/>
                    <w:suppressLineNumbers w:val="0"/>
                    <w:wordWrap w:val="0"/>
                    <w:bidi w:val="0"/>
                    <w:spacing w:before="0" w:beforeAutospacing="0" w:after="0" w:afterAutospacing="0" w:line="240" w:lineRule="exact"/>
                    <w:ind w:right="0"/>
                    <w:rPr>
                      <w:rFonts w:hint="default" w:ascii="Times New Roman" w:hAnsi="Times New Roman" w:cs="Times New Roman"/>
                      <w:b/>
                      <w:bCs/>
                      <w:color w:val="auto"/>
                    </w:rPr>
                  </w:pPr>
                  <w:r>
                    <w:rPr>
                      <w:rFonts w:hint="default" w:ascii="Times New Roman" w:hAnsi="Times New Roman" w:cs="Times New Roman"/>
                      <w:b/>
                      <w:bCs/>
                      <w:color w:val="auto"/>
                    </w:rPr>
                    <w:t>BOD</w:t>
                  </w:r>
                  <w:r>
                    <w:rPr>
                      <w:rFonts w:hint="default" w:ascii="Times New Roman" w:hAnsi="Times New Roman" w:cs="Times New Roman"/>
                      <w:b/>
                      <w:bCs/>
                      <w:color w:val="auto"/>
                      <w:vertAlign w:val="subscript"/>
                    </w:rPr>
                    <w:t>5</w:t>
                  </w:r>
                </w:p>
              </w:tc>
              <w:tc>
                <w:tcPr>
                  <w:tcW w:w="614" w:type="pct"/>
                  <w:vAlign w:val="center"/>
                </w:tcPr>
                <w:p w14:paraId="67542E75">
                  <w:pPr>
                    <w:pStyle w:val="36"/>
                    <w:keepNext w:val="0"/>
                    <w:keepLines w:val="0"/>
                    <w:pageBreakBefore w:val="0"/>
                    <w:suppressLineNumbers w:val="0"/>
                    <w:wordWrap w:val="0"/>
                    <w:bidi w:val="0"/>
                    <w:spacing w:before="0" w:beforeAutospacing="0" w:after="0" w:afterAutospacing="0" w:line="240" w:lineRule="exact"/>
                    <w:ind w:right="0"/>
                    <w:rPr>
                      <w:rFonts w:hint="default" w:ascii="Times New Roman" w:hAnsi="Times New Roman" w:cs="Times New Roman"/>
                      <w:b/>
                      <w:bCs/>
                      <w:color w:val="auto"/>
                    </w:rPr>
                  </w:pPr>
                  <w:r>
                    <w:rPr>
                      <w:rFonts w:hint="default" w:ascii="Times New Roman" w:hAnsi="Times New Roman" w:cs="Times New Roman"/>
                      <w:b/>
                      <w:bCs/>
                      <w:color w:val="auto"/>
                    </w:rPr>
                    <w:t>SS</w:t>
                  </w:r>
                </w:p>
              </w:tc>
              <w:tc>
                <w:tcPr>
                  <w:tcW w:w="585" w:type="pct"/>
                  <w:vAlign w:val="center"/>
                </w:tcPr>
                <w:p w14:paraId="19ABD970">
                  <w:pPr>
                    <w:pStyle w:val="36"/>
                    <w:keepNext w:val="0"/>
                    <w:keepLines w:val="0"/>
                    <w:pageBreakBefore w:val="0"/>
                    <w:suppressLineNumbers w:val="0"/>
                    <w:wordWrap w:val="0"/>
                    <w:bidi w:val="0"/>
                    <w:spacing w:before="0" w:beforeAutospacing="0" w:after="0" w:afterAutospacing="0" w:line="240" w:lineRule="exact"/>
                    <w:ind w:right="0"/>
                    <w:rPr>
                      <w:rFonts w:hint="default" w:ascii="Times New Roman" w:hAnsi="Times New Roman" w:cs="Times New Roman"/>
                      <w:b/>
                      <w:bCs/>
                      <w:color w:val="auto"/>
                    </w:rPr>
                  </w:pPr>
                  <w:r>
                    <w:rPr>
                      <w:rFonts w:hint="default" w:ascii="Times New Roman" w:hAnsi="Times New Roman" w:cs="Times New Roman"/>
                      <w:b/>
                      <w:bCs/>
                      <w:color w:val="auto"/>
                    </w:rPr>
                    <w:t>NH</w:t>
                  </w:r>
                  <w:r>
                    <w:rPr>
                      <w:rFonts w:hint="default" w:ascii="Times New Roman" w:hAnsi="Times New Roman" w:cs="Times New Roman"/>
                      <w:b/>
                      <w:bCs/>
                      <w:color w:val="auto"/>
                      <w:vertAlign w:val="subscript"/>
                    </w:rPr>
                    <w:t>3</w:t>
                  </w:r>
                  <w:r>
                    <w:rPr>
                      <w:rFonts w:hint="default" w:ascii="Times New Roman" w:hAnsi="Times New Roman" w:cs="Times New Roman"/>
                      <w:b/>
                      <w:bCs/>
                      <w:color w:val="auto"/>
                    </w:rPr>
                    <w:t>-N</w:t>
                  </w:r>
                </w:p>
              </w:tc>
              <w:tc>
                <w:tcPr>
                  <w:tcW w:w="761" w:type="pct"/>
                  <w:vAlign w:val="center"/>
                </w:tcPr>
                <w:p w14:paraId="5EACFF29">
                  <w:pPr>
                    <w:pStyle w:val="36"/>
                    <w:keepNext w:val="0"/>
                    <w:keepLines w:val="0"/>
                    <w:pageBreakBefore w:val="0"/>
                    <w:suppressLineNumbers w:val="0"/>
                    <w:wordWrap w:val="0"/>
                    <w:bidi w:val="0"/>
                    <w:spacing w:before="0" w:beforeAutospacing="0" w:after="0" w:afterAutospacing="0" w:line="240" w:lineRule="exact"/>
                    <w:ind w:right="0"/>
                    <w:rPr>
                      <w:rFonts w:hint="default" w:ascii="Times New Roman" w:hAnsi="Times New Roman" w:cs="Times New Roman"/>
                      <w:b/>
                      <w:bCs/>
                      <w:color w:val="auto"/>
                    </w:rPr>
                  </w:pPr>
                  <w:r>
                    <w:rPr>
                      <w:rFonts w:hint="default" w:ascii="Times New Roman" w:hAnsi="Times New Roman" w:cs="Times New Roman"/>
                      <w:b/>
                      <w:bCs/>
                      <w:color w:val="auto"/>
                    </w:rPr>
                    <w:t>动植物油</w:t>
                  </w:r>
                </w:p>
              </w:tc>
            </w:tr>
            <w:tr w14:paraId="0957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20" w:type="pct"/>
                  <w:vMerge w:val="restart"/>
                  <w:vAlign w:val="center"/>
                </w:tcPr>
                <w:p w14:paraId="2DEEAF2C">
                  <w:pPr>
                    <w:pStyle w:val="36"/>
                    <w:keepNext w:val="0"/>
                    <w:keepLines w:val="0"/>
                    <w:pageBreakBefore w:val="0"/>
                    <w:suppressLineNumbers w:val="0"/>
                    <w:wordWrap w:val="0"/>
                    <w:bidi w:val="0"/>
                    <w:spacing w:before="0" w:beforeAutospacing="0" w:after="0" w:afterAutospacing="0" w:line="240" w:lineRule="exact"/>
                    <w:ind w:right="0"/>
                    <w:jc w:val="center"/>
                    <w:rPr>
                      <w:rFonts w:hint="default" w:ascii="Times New Roman" w:hAnsi="Times New Roman" w:cs="Times New Roman"/>
                      <w:color w:val="auto"/>
                    </w:rPr>
                  </w:pPr>
                  <w:r>
                    <w:rPr>
                      <w:rFonts w:hint="default" w:ascii="Times New Roman" w:hAnsi="Times New Roman" w:cs="Times New Roman"/>
                      <w:color w:val="auto"/>
                    </w:rPr>
                    <w:t>产生</w:t>
                  </w:r>
                </w:p>
              </w:tc>
              <w:tc>
                <w:tcPr>
                  <w:tcW w:w="876" w:type="pct"/>
                  <w:vAlign w:val="center"/>
                </w:tcPr>
                <w:p w14:paraId="1A2ABCBF">
                  <w:pPr>
                    <w:pStyle w:val="36"/>
                    <w:keepNext w:val="0"/>
                    <w:keepLines w:val="0"/>
                    <w:pageBreakBefore w:val="0"/>
                    <w:suppressLineNumbers w:val="0"/>
                    <w:wordWrap w:val="0"/>
                    <w:bidi w:val="0"/>
                    <w:spacing w:before="0" w:beforeAutospacing="0" w:after="0" w:afterAutospacing="0" w:line="240" w:lineRule="exact"/>
                    <w:ind w:right="0"/>
                    <w:jc w:val="center"/>
                    <w:rPr>
                      <w:rFonts w:hint="default" w:ascii="Times New Roman" w:hAnsi="Times New Roman" w:cs="Times New Roman"/>
                      <w:color w:val="auto"/>
                    </w:rPr>
                  </w:pPr>
                  <w:r>
                    <w:rPr>
                      <w:rFonts w:hint="default" w:ascii="Times New Roman" w:hAnsi="Times New Roman" w:cs="Times New Roman"/>
                      <w:color w:val="auto"/>
                    </w:rPr>
                    <w:t>浓度（mg/L）</w:t>
                  </w:r>
                </w:p>
              </w:tc>
              <w:tc>
                <w:tcPr>
                  <w:tcW w:w="600" w:type="pct"/>
                  <w:vMerge w:val="restart"/>
                  <w:vAlign w:val="center"/>
                </w:tcPr>
                <w:p w14:paraId="09CB43B6">
                  <w:pPr>
                    <w:pStyle w:val="36"/>
                    <w:keepNext w:val="0"/>
                    <w:keepLines w:val="0"/>
                    <w:pageBreakBefore w:val="0"/>
                    <w:suppressLineNumbers w:val="0"/>
                    <w:wordWrap w:val="0"/>
                    <w:bidi w:val="0"/>
                    <w:spacing w:before="0" w:beforeAutospacing="0" w:after="0" w:afterAutospacing="0" w:line="240" w:lineRule="exact"/>
                    <w:ind w:right="0"/>
                    <w:jc w:val="center"/>
                    <w:rPr>
                      <w:rFonts w:hint="default" w:ascii="Times New Roman" w:hAnsi="Times New Roman" w:cs="Times New Roman"/>
                      <w:color w:val="auto"/>
                    </w:rPr>
                  </w:pPr>
                  <w:r>
                    <w:rPr>
                      <w:rFonts w:hint="eastAsia" w:cs="Times New Roman"/>
                      <w:color w:val="auto"/>
                      <w:lang w:val="en-US" w:eastAsia="zh-CN"/>
                    </w:rPr>
                    <w:t>440</w:t>
                  </w:r>
                  <w:r>
                    <w:rPr>
                      <w:rFonts w:hint="default" w:ascii="Times New Roman" w:hAnsi="Times New Roman" w:cs="Times New Roman"/>
                      <w:color w:val="auto"/>
                      <w:lang w:eastAsia="zh-CN"/>
                    </w:rPr>
                    <w:t>m³</w:t>
                  </w:r>
                  <w:r>
                    <w:rPr>
                      <w:rFonts w:hint="default" w:ascii="Times New Roman" w:hAnsi="Times New Roman" w:cs="Times New Roman"/>
                      <w:color w:val="auto"/>
                    </w:rPr>
                    <w:t>/a</w:t>
                  </w:r>
                </w:p>
              </w:tc>
              <w:tc>
                <w:tcPr>
                  <w:tcW w:w="481" w:type="pct"/>
                  <w:vAlign w:val="center"/>
                </w:tcPr>
                <w:p w14:paraId="33560129">
                  <w:pPr>
                    <w:pStyle w:val="36"/>
                    <w:keepNext w:val="0"/>
                    <w:keepLines w:val="0"/>
                    <w:pageBreakBefore w:val="0"/>
                    <w:suppressLineNumbers w:val="0"/>
                    <w:wordWrap w:val="0"/>
                    <w:bidi w:val="0"/>
                    <w:spacing w:before="0" w:beforeAutospacing="0" w:after="0" w:afterAutospacing="0" w:line="240" w:lineRule="exact"/>
                    <w:ind w:right="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350</w:t>
                  </w:r>
                </w:p>
              </w:tc>
              <w:tc>
                <w:tcPr>
                  <w:tcW w:w="660" w:type="pct"/>
                  <w:vAlign w:val="center"/>
                </w:tcPr>
                <w:p w14:paraId="4C0D3E32">
                  <w:pPr>
                    <w:pStyle w:val="36"/>
                    <w:keepNext w:val="0"/>
                    <w:keepLines w:val="0"/>
                    <w:pageBreakBefore w:val="0"/>
                    <w:suppressLineNumbers w:val="0"/>
                    <w:wordWrap w:val="0"/>
                    <w:bidi w:val="0"/>
                    <w:spacing w:before="0" w:beforeAutospacing="0" w:after="0" w:afterAutospacing="0" w:line="240" w:lineRule="exact"/>
                    <w:ind w:right="0"/>
                    <w:jc w:val="center"/>
                    <w:rPr>
                      <w:rFonts w:hint="default" w:ascii="Times New Roman" w:hAnsi="Times New Roman" w:cs="Times New Roman"/>
                      <w:color w:val="auto"/>
                    </w:rPr>
                  </w:pPr>
                  <w:r>
                    <w:rPr>
                      <w:rFonts w:hint="default" w:ascii="Times New Roman" w:hAnsi="Times New Roman" w:cs="Times New Roman"/>
                      <w:color w:val="auto"/>
                    </w:rPr>
                    <w:t>200</w:t>
                  </w:r>
                </w:p>
              </w:tc>
              <w:tc>
                <w:tcPr>
                  <w:tcW w:w="614" w:type="pct"/>
                  <w:vAlign w:val="center"/>
                </w:tcPr>
                <w:p w14:paraId="0149D529">
                  <w:pPr>
                    <w:pStyle w:val="36"/>
                    <w:keepNext w:val="0"/>
                    <w:keepLines w:val="0"/>
                    <w:pageBreakBefore w:val="0"/>
                    <w:suppressLineNumbers w:val="0"/>
                    <w:wordWrap w:val="0"/>
                    <w:bidi w:val="0"/>
                    <w:spacing w:before="0" w:beforeAutospacing="0" w:after="0" w:afterAutospacing="0" w:line="240" w:lineRule="exact"/>
                    <w:ind w:right="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250</w:t>
                  </w:r>
                </w:p>
              </w:tc>
              <w:tc>
                <w:tcPr>
                  <w:tcW w:w="585" w:type="pct"/>
                  <w:vAlign w:val="center"/>
                </w:tcPr>
                <w:p w14:paraId="65ABE19B">
                  <w:pPr>
                    <w:pStyle w:val="36"/>
                    <w:keepNext w:val="0"/>
                    <w:keepLines w:val="0"/>
                    <w:pageBreakBefore w:val="0"/>
                    <w:suppressLineNumbers w:val="0"/>
                    <w:wordWrap w:val="0"/>
                    <w:bidi w:val="0"/>
                    <w:spacing w:before="0" w:beforeAutospacing="0" w:after="0" w:afterAutospacing="0" w:line="240" w:lineRule="exact"/>
                    <w:ind w:right="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30</w:t>
                  </w:r>
                </w:p>
              </w:tc>
              <w:tc>
                <w:tcPr>
                  <w:tcW w:w="761" w:type="pct"/>
                  <w:vAlign w:val="center"/>
                </w:tcPr>
                <w:p w14:paraId="028F07EC">
                  <w:pPr>
                    <w:pStyle w:val="36"/>
                    <w:keepNext w:val="0"/>
                    <w:keepLines w:val="0"/>
                    <w:pageBreakBefore w:val="0"/>
                    <w:suppressLineNumbers w:val="0"/>
                    <w:wordWrap w:val="0"/>
                    <w:bidi w:val="0"/>
                    <w:spacing w:before="0" w:beforeAutospacing="0" w:after="0" w:afterAutospacing="0" w:line="240" w:lineRule="exact"/>
                    <w:ind w:right="0"/>
                    <w:jc w:val="center"/>
                    <w:rPr>
                      <w:rFonts w:hint="default" w:ascii="Times New Roman" w:hAnsi="Times New Roman" w:cs="Times New Roman"/>
                      <w:color w:val="auto"/>
                    </w:rPr>
                  </w:pPr>
                  <w:r>
                    <w:rPr>
                      <w:rFonts w:hint="default" w:ascii="Times New Roman" w:hAnsi="Times New Roman" w:cs="Times New Roman"/>
                      <w:color w:val="auto"/>
                    </w:rPr>
                    <w:t>50</w:t>
                  </w:r>
                </w:p>
              </w:tc>
            </w:tr>
            <w:tr w14:paraId="31A6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20" w:type="pct"/>
                  <w:vMerge w:val="continue"/>
                  <w:vAlign w:val="center"/>
                </w:tcPr>
                <w:p w14:paraId="1885AB88">
                  <w:pPr>
                    <w:pStyle w:val="36"/>
                    <w:keepNext w:val="0"/>
                    <w:keepLines w:val="0"/>
                    <w:pageBreakBefore w:val="0"/>
                    <w:suppressLineNumbers w:val="0"/>
                    <w:wordWrap w:val="0"/>
                    <w:bidi w:val="0"/>
                    <w:spacing w:before="0" w:beforeAutospacing="0" w:after="0" w:afterAutospacing="0" w:line="240" w:lineRule="exact"/>
                    <w:ind w:right="0"/>
                    <w:jc w:val="center"/>
                    <w:rPr>
                      <w:rFonts w:hint="default" w:ascii="Times New Roman" w:hAnsi="Times New Roman" w:cs="Times New Roman"/>
                      <w:color w:val="auto"/>
                    </w:rPr>
                  </w:pPr>
                </w:p>
              </w:tc>
              <w:tc>
                <w:tcPr>
                  <w:tcW w:w="876" w:type="pct"/>
                  <w:vAlign w:val="center"/>
                </w:tcPr>
                <w:p w14:paraId="13C70D0D">
                  <w:pPr>
                    <w:pStyle w:val="36"/>
                    <w:keepNext w:val="0"/>
                    <w:keepLines w:val="0"/>
                    <w:pageBreakBefore w:val="0"/>
                    <w:suppressLineNumbers w:val="0"/>
                    <w:wordWrap w:val="0"/>
                    <w:bidi w:val="0"/>
                    <w:spacing w:before="0" w:beforeAutospacing="0" w:after="0" w:afterAutospacing="0" w:line="240" w:lineRule="exact"/>
                    <w:ind w:right="0"/>
                    <w:jc w:val="center"/>
                    <w:rPr>
                      <w:rFonts w:hint="default" w:ascii="Times New Roman" w:hAnsi="Times New Roman" w:cs="Times New Roman"/>
                      <w:color w:val="auto"/>
                    </w:rPr>
                  </w:pPr>
                  <w:r>
                    <w:rPr>
                      <w:rFonts w:hint="default" w:ascii="Times New Roman" w:hAnsi="Times New Roman" w:cs="Times New Roman"/>
                      <w:color w:val="auto"/>
                    </w:rPr>
                    <w:t>产生量（t/a）</w:t>
                  </w:r>
                </w:p>
              </w:tc>
              <w:tc>
                <w:tcPr>
                  <w:tcW w:w="600" w:type="pct"/>
                  <w:vMerge w:val="continue"/>
                  <w:vAlign w:val="center"/>
                </w:tcPr>
                <w:p w14:paraId="6094C253">
                  <w:pPr>
                    <w:pStyle w:val="36"/>
                    <w:keepNext w:val="0"/>
                    <w:keepLines w:val="0"/>
                    <w:pageBreakBefore w:val="0"/>
                    <w:suppressLineNumbers w:val="0"/>
                    <w:wordWrap w:val="0"/>
                    <w:bidi w:val="0"/>
                    <w:spacing w:before="0" w:beforeAutospacing="0" w:after="0" w:afterAutospacing="0" w:line="240" w:lineRule="exact"/>
                    <w:ind w:right="0"/>
                    <w:jc w:val="center"/>
                    <w:rPr>
                      <w:rFonts w:hint="default" w:ascii="Times New Roman" w:hAnsi="Times New Roman" w:cs="Times New Roman"/>
                      <w:color w:val="auto"/>
                    </w:rPr>
                  </w:pPr>
                </w:p>
              </w:tc>
              <w:tc>
                <w:tcPr>
                  <w:tcW w:w="845" w:type="dxa"/>
                  <w:vAlign w:val="center"/>
                </w:tcPr>
                <w:p w14:paraId="67E71452">
                  <w:pPr>
                    <w:pStyle w:val="36"/>
                    <w:keepNext w:val="0"/>
                    <w:keepLines w:val="0"/>
                    <w:pageBreakBefore w:val="0"/>
                    <w:suppressLineNumbers w:val="0"/>
                    <w:wordWrap w:val="0"/>
                    <w:bidi w:val="0"/>
                    <w:spacing w:before="0" w:beforeAutospacing="0" w:after="0" w:afterAutospacing="0" w:line="240" w:lineRule="exact"/>
                    <w:ind w:right="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0.154</w:t>
                  </w:r>
                </w:p>
              </w:tc>
              <w:tc>
                <w:tcPr>
                  <w:tcW w:w="1160" w:type="dxa"/>
                  <w:vAlign w:val="center"/>
                </w:tcPr>
                <w:p w14:paraId="5052A817">
                  <w:pPr>
                    <w:pStyle w:val="36"/>
                    <w:keepNext w:val="0"/>
                    <w:keepLines w:val="0"/>
                    <w:pageBreakBefore w:val="0"/>
                    <w:suppressLineNumbers w:val="0"/>
                    <w:wordWrap w:val="0"/>
                    <w:bidi w:val="0"/>
                    <w:spacing w:before="0" w:beforeAutospacing="0" w:after="0" w:afterAutospacing="0" w:line="240" w:lineRule="exact"/>
                    <w:ind w:right="0"/>
                    <w:jc w:val="center"/>
                    <w:rPr>
                      <w:rFonts w:hint="default" w:ascii="Times New Roman" w:hAnsi="Times New Roman" w:cs="Times New Roman"/>
                      <w:color w:val="auto"/>
                      <w:lang w:val="en-US" w:eastAsia="zh-CN"/>
                    </w:rPr>
                  </w:pPr>
                  <w:r>
                    <w:rPr>
                      <w:rFonts w:hint="eastAsia" w:cs="Times New Roman"/>
                      <w:color w:val="auto"/>
                      <w:lang w:val="en-US" w:eastAsia="zh-CN"/>
                    </w:rPr>
                    <w:t>0.08</w:t>
                  </w:r>
                  <w:r>
                    <w:rPr>
                      <w:rFonts w:hint="default" w:ascii="Times New Roman" w:hAnsi="Times New Roman" w:cs="Times New Roman"/>
                      <w:color w:val="auto"/>
                      <w:lang w:val="en-US" w:eastAsia="zh-CN"/>
                    </w:rPr>
                    <w:t>8</w:t>
                  </w:r>
                </w:p>
              </w:tc>
              <w:tc>
                <w:tcPr>
                  <w:tcW w:w="1079" w:type="dxa"/>
                  <w:vAlign w:val="center"/>
                </w:tcPr>
                <w:p w14:paraId="59863613">
                  <w:pPr>
                    <w:pStyle w:val="36"/>
                    <w:keepNext w:val="0"/>
                    <w:keepLines w:val="0"/>
                    <w:pageBreakBefore w:val="0"/>
                    <w:suppressLineNumbers w:val="0"/>
                    <w:wordWrap w:val="0"/>
                    <w:bidi w:val="0"/>
                    <w:spacing w:before="0" w:beforeAutospacing="0" w:after="0" w:afterAutospacing="0" w:line="240" w:lineRule="exact"/>
                    <w:ind w:right="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0.11</w:t>
                  </w:r>
                </w:p>
              </w:tc>
              <w:tc>
                <w:tcPr>
                  <w:tcW w:w="1029" w:type="dxa"/>
                  <w:vAlign w:val="center"/>
                </w:tcPr>
                <w:p w14:paraId="625925AA">
                  <w:pPr>
                    <w:pStyle w:val="36"/>
                    <w:keepNext w:val="0"/>
                    <w:keepLines w:val="0"/>
                    <w:pageBreakBefore w:val="0"/>
                    <w:suppressLineNumbers w:val="0"/>
                    <w:wordWrap w:val="0"/>
                    <w:bidi w:val="0"/>
                    <w:spacing w:before="0" w:beforeAutospacing="0" w:after="0" w:afterAutospacing="0" w:line="240" w:lineRule="exact"/>
                    <w:ind w:right="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0.0132</w:t>
                  </w:r>
                </w:p>
              </w:tc>
              <w:tc>
                <w:tcPr>
                  <w:tcW w:w="1392" w:type="dxa"/>
                  <w:vAlign w:val="center"/>
                </w:tcPr>
                <w:p w14:paraId="36D48C95">
                  <w:pPr>
                    <w:pStyle w:val="36"/>
                    <w:keepNext w:val="0"/>
                    <w:keepLines w:val="0"/>
                    <w:pageBreakBefore w:val="0"/>
                    <w:suppressLineNumbers w:val="0"/>
                    <w:wordWrap w:val="0"/>
                    <w:bidi w:val="0"/>
                    <w:spacing w:before="0" w:beforeAutospacing="0" w:after="0" w:afterAutospacing="0" w:line="240" w:lineRule="exact"/>
                    <w:ind w:right="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0.022</w:t>
                  </w:r>
                </w:p>
              </w:tc>
            </w:tr>
          </w:tbl>
          <w:p w14:paraId="638D1BDA">
            <w:pPr>
              <w:pageBreakBefore w:val="0"/>
              <w:wordWrap w:val="0"/>
              <w:bidi w:val="0"/>
              <w:ind w:left="0" w:leftChars="0" w:firstLine="0" w:firstLineChars="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3.运营期声环境影响及保护措施</w:t>
            </w:r>
          </w:p>
          <w:p w14:paraId="265DC1EE">
            <w:pPr>
              <w:pageBreakBefore w:val="0"/>
              <w:wordWrap w:val="0"/>
              <w:bidi w:val="0"/>
              <w:ind w:left="0" w:leftChars="0" w:firstLine="0" w:firstLineChars="0"/>
              <w:rPr>
                <w:rFonts w:hint="default"/>
                <w:b/>
                <w:bCs/>
                <w:color w:val="auto"/>
                <w:sz w:val="21"/>
                <w:szCs w:val="21"/>
                <w:lang w:val="en-US" w:eastAsia="zh-CN"/>
              </w:rPr>
            </w:pPr>
            <w:r>
              <w:rPr>
                <w:rFonts w:hint="default" w:ascii="Times New Roman" w:hAnsi="Times New Roman" w:cs="Times New Roman"/>
                <w:b/>
                <w:bCs/>
                <w:color w:val="auto"/>
                <w:lang w:val="en-US" w:eastAsia="zh-CN"/>
              </w:rPr>
              <w:t>3.1噪声源分析与预测</w:t>
            </w:r>
          </w:p>
          <w:p w14:paraId="1169D605">
            <w:pPr>
              <w:pageBreakBefore w:val="0"/>
              <w:wordWrap w:val="0"/>
              <w:bidi w:val="0"/>
              <w:rPr>
                <w:rFonts w:hint="eastAsia" w:ascii="Times New Roman" w:hAnsi="Times New Roman" w:eastAsia="宋体" w:cs="Times New Roman"/>
                <w:b/>
                <w:bCs/>
                <w:color w:val="auto"/>
                <w:lang w:val="en-US" w:eastAsia="zh-CN"/>
              </w:rPr>
            </w:pPr>
            <w:r>
              <w:rPr>
                <w:rFonts w:hint="default" w:ascii="Times New Roman" w:hAnsi="Times New Roman" w:cs="Times New Roman"/>
                <w:snapToGrid w:val="0"/>
                <w:color w:val="auto"/>
                <w:kern w:val="0"/>
                <w:sz w:val="24"/>
              </w:rPr>
              <w:t>建设项目投入运营后，各厂界噪声可以达到《工业企业厂界环境噪声排放标准》（GB12348-2008）</w:t>
            </w:r>
            <w:r>
              <w:rPr>
                <w:rFonts w:hint="eastAsia" w:cs="Times New Roman"/>
                <w:snapToGrid w:val="0"/>
                <w:color w:val="auto"/>
                <w:kern w:val="0"/>
                <w:sz w:val="24"/>
                <w:lang w:val="en-US" w:eastAsia="zh-CN"/>
              </w:rPr>
              <w:t>2</w:t>
            </w:r>
            <w:r>
              <w:rPr>
                <w:rFonts w:hint="default" w:ascii="Times New Roman" w:hAnsi="Times New Roman" w:cs="Times New Roman"/>
                <w:snapToGrid w:val="0"/>
                <w:color w:val="auto"/>
                <w:kern w:val="0"/>
                <w:sz w:val="24"/>
              </w:rPr>
              <w:t>类区标准限值</w:t>
            </w:r>
            <w:r>
              <w:rPr>
                <w:rFonts w:hint="eastAsia" w:cs="Times New Roman"/>
                <w:snapToGrid w:val="0"/>
                <w:color w:val="auto"/>
                <w:kern w:val="0"/>
                <w:sz w:val="24"/>
                <w:lang w:val="en-US" w:eastAsia="zh-CN"/>
              </w:rPr>
              <w:t>。</w:t>
            </w:r>
          </w:p>
          <w:p w14:paraId="261091A1">
            <w:pPr>
              <w:pageBreakBefore w:val="0"/>
              <w:wordWrap w:val="0"/>
              <w:bidi w:val="0"/>
              <w:ind w:left="0" w:leftChars="0" w:firstLine="0" w:firstLineChars="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3.2 防治措施</w:t>
            </w:r>
          </w:p>
          <w:p w14:paraId="26D14597">
            <w:pPr>
              <w:pageBreakBefore w:val="0"/>
              <w:wordWrap w:val="0"/>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根据现场调查，项目区周边50m范围内无声环境敏感目标，环评建议要求采取以下措施对运营期噪声进行防治：</w:t>
            </w:r>
          </w:p>
          <w:p w14:paraId="3912A1EB">
            <w:pPr>
              <w:keepNext w:val="0"/>
              <w:keepLines w:val="0"/>
              <w:pageBreakBefore w:val="0"/>
              <w:suppressLineNumbers w:val="0"/>
              <w:wordWrap w:val="0"/>
              <w:topLinePunct/>
              <w:bidi w:val="0"/>
              <w:spacing w:before="0" w:beforeAutospacing="0" w:after="0" w:afterAutospacing="0" w:line="360" w:lineRule="auto"/>
              <w:ind w:left="0" w:right="0" w:firstLine="480"/>
              <w:rPr>
                <w:rFonts w:hint="default" w:ascii="Times New Roman" w:hAnsi="Times New Roman" w:eastAsia="宋体" w:cs="Times New Roman"/>
                <w:bCs/>
                <w:color w:val="auto"/>
                <w:kern w:val="0"/>
                <w:sz w:val="24"/>
                <w:szCs w:val="20"/>
              </w:rPr>
            </w:pPr>
            <w:r>
              <w:rPr>
                <w:rFonts w:hint="default" w:ascii="Times New Roman" w:hAnsi="Times New Roman" w:eastAsia="宋体" w:cs="Times New Roman"/>
                <w:bCs/>
                <w:color w:val="auto"/>
                <w:kern w:val="0"/>
                <w:sz w:val="24"/>
                <w:szCs w:val="20"/>
              </w:rPr>
              <w:t>（1）加强车辆管理，避免车辆不必要的怠速、制动、</w:t>
            </w:r>
            <w:r>
              <w:rPr>
                <w:rFonts w:hint="eastAsia" w:cs="Times New Roman"/>
                <w:bCs/>
                <w:color w:val="auto"/>
                <w:kern w:val="0"/>
                <w:sz w:val="24"/>
                <w:szCs w:val="20"/>
                <w:lang w:eastAsia="zh-CN"/>
              </w:rPr>
              <w:t>启动</w:t>
            </w:r>
            <w:r>
              <w:rPr>
                <w:rFonts w:hint="default" w:ascii="Times New Roman" w:hAnsi="Times New Roman" w:eastAsia="宋体" w:cs="Times New Roman"/>
                <w:bCs/>
                <w:color w:val="auto"/>
                <w:kern w:val="0"/>
                <w:sz w:val="24"/>
                <w:szCs w:val="20"/>
              </w:rPr>
              <w:t>以及鸣号；</w:t>
            </w:r>
          </w:p>
          <w:p w14:paraId="745187B2">
            <w:pPr>
              <w:keepNext w:val="0"/>
              <w:keepLines w:val="0"/>
              <w:pageBreakBefore w:val="0"/>
              <w:suppressLineNumbers w:val="0"/>
              <w:wordWrap w:val="0"/>
              <w:topLinePunct/>
              <w:bidi w:val="0"/>
              <w:spacing w:before="0" w:beforeAutospacing="0" w:after="0" w:afterAutospacing="0" w:line="360" w:lineRule="auto"/>
              <w:ind w:left="0" w:right="0" w:firstLine="480" w:firstLineChars="200"/>
              <w:rPr>
                <w:rFonts w:hint="default" w:ascii="Times New Roman" w:hAnsi="Times New Roman" w:eastAsia="宋体" w:cs="Times New Roman"/>
                <w:bCs/>
                <w:color w:val="auto"/>
                <w:kern w:val="0"/>
                <w:sz w:val="24"/>
                <w:szCs w:val="20"/>
              </w:rPr>
            </w:pPr>
            <w:r>
              <w:rPr>
                <w:rFonts w:hint="default" w:ascii="Times New Roman" w:hAnsi="Times New Roman" w:eastAsia="宋体" w:cs="Times New Roman"/>
                <w:bCs/>
                <w:color w:val="auto"/>
                <w:kern w:val="0"/>
                <w:sz w:val="24"/>
                <w:szCs w:val="20"/>
              </w:rPr>
              <w:t>（2）加强设备维护，对各机械设备及运输车辆进行定期检查、维护以及维修，及时更换一些破损零部件，确保机械设备正常运转，减少非正常生产噪声；</w:t>
            </w:r>
          </w:p>
          <w:p w14:paraId="60089B6F">
            <w:pPr>
              <w:keepNext w:val="0"/>
              <w:keepLines w:val="0"/>
              <w:pageBreakBefore w:val="0"/>
              <w:suppressLineNumbers w:val="0"/>
              <w:wordWrap w:val="0"/>
              <w:topLinePunct/>
              <w:bidi w:val="0"/>
              <w:spacing w:before="0" w:beforeAutospacing="0" w:after="0" w:afterAutospacing="0" w:line="360" w:lineRule="auto"/>
              <w:ind w:left="0" w:right="0" w:firstLine="480" w:firstLineChars="200"/>
              <w:rPr>
                <w:rFonts w:hint="default" w:ascii="Times New Roman" w:hAnsi="Times New Roman" w:eastAsia="宋体" w:cs="Times New Roman"/>
                <w:bCs/>
                <w:color w:val="auto"/>
                <w:kern w:val="0"/>
                <w:sz w:val="24"/>
                <w:szCs w:val="20"/>
              </w:rPr>
            </w:pPr>
            <w:r>
              <w:rPr>
                <w:rFonts w:hint="default" w:ascii="Times New Roman" w:hAnsi="Times New Roman" w:eastAsia="宋体" w:cs="Times New Roman"/>
                <w:bCs/>
                <w:color w:val="auto"/>
                <w:kern w:val="0"/>
                <w:sz w:val="24"/>
                <w:szCs w:val="20"/>
              </w:rPr>
              <w:t>（3）加强职工劳动保护，高噪声接触岗位要求职工佩戴耳罩，采用轮岗制度减少职工对高噪声接触时间。</w:t>
            </w:r>
          </w:p>
          <w:p w14:paraId="0114B59E">
            <w:pPr>
              <w:keepNext w:val="0"/>
              <w:keepLines w:val="0"/>
              <w:pageBreakBefore w:val="0"/>
              <w:suppressLineNumbers w:val="0"/>
              <w:wordWrap w:val="0"/>
              <w:topLinePunct/>
              <w:bidi w:val="0"/>
              <w:spacing w:before="0" w:beforeAutospacing="0" w:after="0" w:afterAutospacing="0" w:line="360" w:lineRule="auto"/>
              <w:ind w:left="0" w:right="0" w:firstLine="480" w:firstLineChars="200"/>
              <w:rPr>
                <w:rFonts w:hint="default" w:ascii="Times New Roman" w:hAnsi="Times New Roman" w:cs="Times New Roman"/>
                <w:color w:val="auto"/>
                <w:lang w:val="en-US" w:eastAsia="zh-CN"/>
              </w:rPr>
            </w:pPr>
            <w:r>
              <w:rPr>
                <w:rFonts w:hint="default" w:ascii="Times New Roman" w:hAnsi="Times New Roman" w:eastAsia="宋体" w:cs="Times New Roman"/>
                <w:bCs/>
                <w:color w:val="auto"/>
                <w:kern w:val="0"/>
                <w:sz w:val="24"/>
                <w:szCs w:val="20"/>
              </w:rPr>
              <w:t>（4）</w:t>
            </w:r>
            <w:r>
              <w:rPr>
                <w:rFonts w:hint="default" w:ascii="Times New Roman" w:hAnsi="Times New Roman" w:eastAsia="宋体" w:cs="Times New Roman"/>
                <w:color w:val="auto"/>
                <w:sz w:val="24"/>
                <w:szCs w:val="20"/>
              </w:rPr>
              <w:t>高噪声设备采取集中控制，采取密闭隔离、减振等措施。</w:t>
            </w:r>
          </w:p>
          <w:p w14:paraId="6F051EC3">
            <w:pPr>
              <w:pageBreakBefore w:val="0"/>
              <w:wordWrap w:val="0"/>
              <w:bidi w:val="0"/>
              <w:ind w:left="0" w:leftChars="0" w:firstLine="0" w:firstLineChars="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3.3 监测计划</w:t>
            </w:r>
          </w:p>
          <w:p w14:paraId="4A9CC815">
            <w:pPr>
              <w:pageBreakBefore w:val="0"/>
              <w:wordWrap w:val="0"/>
              <w:bidi w:val="0"/>
              <w:rPr>
                <w:rFonts w:hint="default" w:ascii="Times New Roman" w:hAnsi="Times New Roman" w:cs="Times New Roman"/>
                <w:color w:val="auto"/>
              </w:rPr>
            </w:pPr>
            <w:r>
              <w:rPr>
                <w:rFonts w:ascii="Times New Roman" w:hAnsi="Times New Roman" w:eastAsia="宋体" w:cs="Times New Roman"/>
                <w:color w:val="auto"/>
                <w:kern w:val="2"/>
                <w:sz w:val="24"/>
                <w:szCs w:val="24"/>
                <w:lang w:val="en-US" w:eastAsia="zh-CN" w:bidi="zh-CN"/>
              </w:rPr>
              <w:t>根据《</w:t>
            </w:r>
            <w:r>
              <w:rPr>
                <w:rFonts w:hint="eastAsia" w:ascii="Times New Roman" w:hAnsi="Times New Roman" w:eastAsia="宋体" w:cs="Times New Roman"/>
                <w:color w:val="auto"/>
                <w:kern w:val="2"/>
                <w:sz w:val="24"/>
                <w:szCs w:val="24"/>
                <w:lang w:val="en-US" w:eastAsia="zh-CN" w:bidi="zh-CN"/>
              </w:rPr>
              <w:t>排污单位自行监测技术指南  总则</w:t>
            </w:r>
            <w:r>
              <w:rPr>
                <w:rFonts w:ascii="Times New Roman" w:hAnsi="Times New Roman" w:eastAsia="宋体" w:cs="Times New Roman"/>
                <w:color w:val="auto"/>
                <w:kern w:val="2"/>
                <w:sz w:val="24"/>
                <w:szCs w:val="24"/>
                <w:lang w:val="en-US" w:eastAsia="zh-CN" w:bidi="zh-CN"/>
              </w:rPr>
              <w:t>》（HJ</w:t>
            </w:r>
            <w:r>
              <w:rPr>
                <w:rFonts w:hint="eastAsia" w:ascii="Times New Roman" w:hAnsi="Times New Roman" w:eastAsia="宋体" w:cs="Times New Roman"/>
                <w:color w:val="auto"/>
                <w:kern w:val="2"/>
                <w:sz w:val="24"/>
                <w:szCs w:val="24"/>
                <w:lang w:val="en-US" w:eastAsia="zh-CN" w:bidi="zh-CN"/>
              </w:rPr>
              <w:t>819-2017</w:t>
            </w:r>
            <w:r>
              <w:rPr>
                <w:rFonts w:ascii="Times New Roman" w:hAnsi="Times New Roman" w:eastAsia="宋体" w:cs="Times New Roman"/>
                <w:color w:val="auto"/>
                <w:kern w:val="2"/>
                <w:sz w:val="24"/>
                <w:szCs w:val="24"/>
                <w:lang w:val="en-US" w:eastAsia="zh-CN" w:bidi="zh-CN"/>
              </w:rPr>
              <w:t>），项目应制定</w:t>
            </w:r>
            <w:r>
              <w:rPr>
                <w:rFonts w:hint="eastAsia" w:eastAsia="宋体" w:cs="Times New Roman"/>
                <w:color w:val="auto"/>
                <w:kern w:val="2"/>
                <w:sz w:val="24"/>
                <w:szCs w:val="24"/>
                <w:lang w:val="en-US" w:eastAsia="zh-CN" w:bidi="zh-CN"/>
              </w:rPr>
              <w:t>噪声</w:t>
            </w:r>
            <w:r>
              <w:rPr>
                <w:rFonts w:ascii="Times New Roman" w:hAnsi="Times New Roman" w:eastAsia="宋体" w:cs="Times New Roman"/>
                <w:color w:val="auto"/>
                <w:kern w:val="2"/>
                <w:sz w:val="24"/>
                <w:szCs w:val="24"/>
                <w:lang w:val="en-US" w:eastAsia="zh-CN" w:bidi="zh-CN"/>
              </w:rPr>
              <w:t>污染源监测计划</w:t>
            </w:r>
            <w:r>
              <w:rPr>
                <w:rFonts w:hint="eastAsia" w:eastAsia="宋体" w:cs="Times New Roman"/>
                <w:color w:val="auto"/>
                <w:lang w:eastAsia="zh-CN"/>
              </w:rPr>
              <w:t>，</w:t>
            </w:r>
            <w:r>
              <w:rPr>
                <w:rFonts w:hint="default" w:ascii="Times New Roman" w:hAnsi="Times New Roman" w:cs="Times New Roman"/>
                <w:color w:val="auto"/>
              </w:rPr>
              <w:t>监测方案计划见表</w:t>
            </w:r>
            <w:r>
              <w:rPr>
                <w:rFonts w:hint="default" w:ascii="Times New Roman" w:hAnsi="Times New Roman" w:cs="Times New Roman"/>
                <w:color w:val="auto"/>
                <w:lang w:val="en-US" w:eastAsia="zh-CN"/>
              </w:rPr>
              <w:t>4-1</w:t>
            </w:r>
            <w:r>
              <w:rPr>
                <w:rFonts w:hint="eastAsia" w:cs="Times New Roman"/>
                <w:color w:val="auto"/>
                <w:lang w:val="en-US" w:eastAsia="zh-CN"/>
              </w:rPr>
              <w:t>1</w:t>
            </w:r>
            <w:r>
              <w:rPr>
                <w:rFonts w:hint="default" w:ascii="Times New Roman" w:hAnsi="Times New Roman" w:cs="Times New Roman"/>
                <w:color w:val="auto"/>
              </w:rPr>
              <w:t>。</w:t>
            </w:r>
          </w:p>
          <w:p w14:paraId="05D5C73A">
            <w:pPr>
              <w:pStyle w:val="36"/>
              <w:pageBreakBefore w:val="0"/>
              <w:wordWrap w:val="0"/>
              <w:bidi w:val="0"/>
              <w:rPr>
                <w:rFonts w:hint="default" w:ascii="Times New Roman" w:hAnsi="Times New Roman" w:cs="Times New Roman"/>
                <w:b/>
                <w:bCs/>
                <w:color w:val="auto"/>
              </w:rPr>
            </w:pPr>
            <w:r>
              <w:rPr>
                <w:rFonts w:hint="default" w:ascii="Times New Roman" w:hAnsi="Times New Roman" w:cs="Times New Roman"/>
                <w:b/>
                <w:bCs/>
                <w:color w:val="auto"/>
              </w:rPr>
              <w:t>表</w:t>
            </w:r>
            <w:r>
              <w:rPr>
                <w:rFonts w:hint="default" w:ascii="Times New Roman" w:hAnsi="Times New Roman" w:cs="Times New Roman"/>
                <w:b/>
                <w:bCs/>
                <w:color w:val="auto"/>
                <w:lang w:val="en-US" w:eastAsia="zh-CN"/>
              </w:rPr>
              <w:t>4-</w:t>
            </w:r>
            <w:r>
              <w:rPr>
                <w:rFonts w:hint="eastAsia" w:cs="Times New Roman"/>
                <w:b/>
                <w:bCs/>
                <w:color w:val="auto"/>
                <w:lang w:val="en-US" w:eastAsia="zh-CN"/>
              </w:rPr>
              <w:t>11</w:t>
            </w:r>
            <w:r>
              <w:rPr>
                <w:rFonts w:hint="default" w:ascii="Times New Roman" w:hAnsi="Times New Roman" w:cs="Times New Roman"/>
                <w:b/>
                <w:bCs/>
                <w:color w:val="auto"/>
                <w:lang w:val="en-US" w:eastAsia="zh-CN"/>
              </w:rPr>
              <w:t xml:space="preserve">  </w:t>
            </w:r>
            <w:r>
              <w:rPr>
                <w:rFonts w:hint="default" w:ascii="Times New Roman" w:hAnsi="Times New Roman" w:cs="Times New Roman"/>
                <w:b/>
                <w:bCs/>
                <w:color w:val="auto"/>
              </w:rPr>
              <w:t xml:space="preserve"> 运营期</w:t>
            </w:r>
            <w:r>
              <w:rPr>
                <w:rFonts w:hint="default" w:ascii="Times New Roman" w:hAnsi="Times New Roman" w:cs="Times New Roman"/>
                <w:b/>
                <w:bCs/>
                <w:color w:val="auto"/>
                <w:lang w:val="en-US" w:eastAsia="zh-CN"/>
              </w:rPr>
              <w:t>噪声</w:t>
            </w:r>
            <w:r>
              <w:rPr>
                <w:rFonts w:hint="default" w:ascii="Times New Roman" w:hAnsi="Times New Roman" w:cs="Times New Roman"/>
                <w:b/>
                <w:bCs/>
                <w:color w:val="auto"/>
              </w:rPr>
              <w:t>监测</w:t>
            </w:r>
            <w:r>
              <w:rPr>
                <w:rFonts w:hint="default" w:ascii="Times New Roman" w:hAnsi="Times New Roman" w:cs="Times New Roman"/>
                <w:b/>
                <w:bCs/>
                <w:color w:val="auto"/>
                <w:lang w:val="en-US" w:eastAsia="zh-CN"/>
              </w:rPr>
              <w:t>计划表</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2082"/>
              <w:gridCol w:w="1799"/>
              <w:gridCol w:w="3868"/>
            </w:tblGrid>
            <w:tr w14:paraId="0902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trPr>
              <w:tc>
                <w:tcPr>
                  <w:tcW w:w="759" w:type="pct"/>
                  <w:vAlign w:val="center"/>
                </w:tcPr>
                <w:p w14:paraId="03696FD5">
                  <w:pPr>
                    <w:pStyle w:val="36"/>
                    <w:pageBreakBefore w:val="0"/>
                    <w:wordWrap w:val="0"/>
                    <w:bidi w:val="0"/>
                    <w:rPr>
                      <w:rFonts w:hint="default" w:ascii="Times New Roman" w:hAnsi="Times New Roman" w:cs="Times New Roman"/>
                      <w:b/>
                      <w:bCs/>
                      <w:color w:val="auto"/>
                    </w:rPr>
                  </w:pPr>
                  <w:r>
                    <w:rPr>
                      <w:rFonts w:hint="default" w:ascii="Times New Roman" w:hAnsi="Times New Roman" w:cs="Times New Roman"/>
                      <w:b/>
                      <w:bCs/>
                      <w:color w:val="auto"/>
                    </w:rPr>
                    <w:t>监测点位</w:t>
                  </w:r>
                </w:p>
              </w:tc>
              <w:tc>
                <w:tcPr>
                  <w:tcW w:w="1139" w:type="pct"/>
                  <w:vAlign w:val="center"/>
                </w:tcPr>
                <w:p w14:paraId="2A102BE5">
                  <w:pPr>
                    <w:pStyle w:val="36"/>
                    <w:pageBreakBefore w:val="0"/>
                    <w:wordWrap w:val="0"/>
                    <w:bidi w:val="0"/>
                    <w:rPr>
                      <w:rFonts w:hint="default" w:ascii="Times New Roman" w:hAnsi="Times New Roman" w:cs="Times New Roman"/>
                      <w:b/>
                      <w:bCs/>
                      <w:color w:val="auto"/>
                    </w:rPr>
                  </w:pPr>
                  <w:r>
                    <w:rPr>
                      <w:rFonts w:hint="default" w:ascii="Times New Roman" w:hAnsi="Times New Roman" w:cs="Times New Roman"/>
                      <w:b/>
                      <w:bCs/>
                      <w:color w:val="auto"/>
                    </w:rPr>
                    <w:t>监测</w:t>
                  </w:r>
                  <w:r>
                    <w:rPr>
                      <w:rFonts w:hint="default" w:ascii="Times New Roman" w:hAnsi="Times New Roman" w:cs="Times New Roman"/>
                      <w:b/>
                      <w:bCs/>
                      <w:color w:val="auto"/>
                      <w:lang w:val="en-US" w:eastAsia="zh-CN"/>
                    </w:rPr>
                    <w:t>指标</w:t>
                  </w:r>
                </w:p>
              </w:tc>
              <w:tc>
                <w:tcPr>
                  <w:tcW w:w="984" w:type="pct"/>
                  <w:vAlign w:val="center"/>
                </w:tcPr>
                <w:p w14:paraId="7326D4D8">
                  <w:pPr>
                    <w:pStyle w:val="36"/>
                    <w:pageBreakBefore w:val="0"/>
                    <w:wordWrap w:val="0"/>
                    <w:bidi w:val="0"/>
                    <w:rPr>
                      <w:rFonts w:hint="default" w:ascii="Times New Roman" w:hAnsi="Times New Roman" w:cs="Times New Roman"/>
                      <w:b/>
                      <w:bCs/>
                      <w:color w:val="auto"/>
                    </w:rPr>
                  </w:pPr>
                  <w:r>
                    <w:rPr>
                      <w:rFonts w:hint="default" w:ascii="Times New Roman" w:hAnsi="Times New Roman" w:cs="Times New Roman"/>
                      <w:b/>
                      <w:bCs/>
                      <w:color w:val="auto"/>
                    </w:rPr>
                    <w:t>监测频次</w:t>
                  </w:r>
                </w:p>
              </w:tc>
              <w:tc>
                <w:tcPr>
                  <w:tcW w:w="2116" w:type="pct"/>
                  <w:vAlign w:val="center"/>
                </w:tcPr>
                <w:p w14:paraId="2894DDE3">
                  <w:pPr>
                    <w:pStyle w:val="36"/>
                    <w:pageBreakBefore w:val="0"/>
                    <w:wordWrap w:val="0"/>
                    <w:bidi w:val="0"/>
                    <w:rPr>
                      <w:rFonts w:hint="default" w:ascii="Times New Roman" w:hAnsi="Times New Roman" w:cs="Times New Roman"/>
                      <w:b/>
                      <w:bCs/>
                      <w:color w:val="auto"/>
                    </w:rPr>
                  </w:pPr>
                  <w:r>
                    <w:rPr>
                      <w:rFonts w:hint="default" w:ascii="Times New Roman" w:hAnsi="Times New Roman" w:cs="Times New Roman"/>
                      <w:b/>
                      <w:bCs/>
                      <w:color w:val="auto"/>
                    </w:rPr>
                    <w:t>执行排放标准</w:t>
                  </w:r>
                </w:p>
              </w:tc>
            </w:tr>
            <w:tr w14:paraId="6412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9" w:type="pct"/>
                  <w:vAlign w:val="center"/>
                </w:tcPr>
                <w:p w14:paraId="32D098C9">
                  <w:pPr>
                    <w:pStyle w:val="36"/>
                    <w:pageBreakBefore w:val="0"/>
                    <w:wordWrap w:val="0"/>
                    <w:bidi w:val="0"/>
                    <w:rPr>
                      <w:rFonts w:hint="default" w:ascii="Times New Roman" w:hAnsi="Times New Roman" w:cs="Times New Roman"/>
                      <w:color w:val="auto"/>
                    </w:rPr>
                  </w:pPr>
                  <w:r>
                    <w:rPr>
                      <w:rFonts w:hint="default" w:ascii="Times New Roman" w:hAnsi="Times New Roman" w:cs="Times New Roman"/>
                      <w:color w:val="auto"/>
                    </w:rPr>
                    <w:t>厂界</w:t>
                  </w:r>
                  <w:r>
                    <w:rPr>
                      <w:rFonts w:hint="default" w:ascii="Times New Roman" w:hAnsi="Times New Roman" w:cs="Times New Roman"/>
                      <w:color w:val="auto"/>
                      <w:lang w:val="en-US" w:eastAsia="zh-CN"/>
                    </w:rPr>
                    <w:t>外</w:t>
                  </w:r>
                  <w:r>
                    <w:rPr>
                      <w:rFonts w:hint="default" w:ascii="Times New Roman" w:hAnsi="Times New Roman" w:cs="Times New Roman"/>
                      <w:color w:val="auto"/>
                    </w:rPr>
                    <w:t>1m</w:t>
                  </w:r>
                </w:p>
              </w:tc>
              <w:tc>
                <w:tcPr>
                  <w:tcW w:w="1139" w:type="pct"/>
                  <w:vAlign w:val="center"/>
                </w:tcPr>
                <w:p w14:paraId="4C00F0F7">
                  <w:pPr>
                    <w:pStyle w:val="36"/>
                    <w:pageBreakBefore w:val="0"/>
                    <w:wordWrap w:val="0"/>
                    <w:bidi w:val="0"/>
                    <w:rPr>
                      <w:rFonts w:hint="default" w:ascii="Times New Roman" w:hAnsi="Times New Roman" w:cs="Times New Roman"/>
                      <w:color w:val="auto"/>
                    </w:rPr>
                  </w:pPr>
                  <w:r>
                    <w:rPr>
                      <w:rFonts w:hint="default" w:ascii="Times New Roman" w:hAnsi="Times New Roman" w:cs="Times New Roman"/>
                      <w:color w:val="auto"/>
                    </w:rPr>
                    <w:t>等效</w:t>
                  </w:r>
                  <w:r>
                    <w:rPr>
                      <w:rFonts w:hint="default" w:ascii="Times New Roman" w:hAnsi="Times New Roman" w:cs="Times New Roman"/>
                      <w:color w:val="auto"/>
                      <w:lang w:val="en-US" w:eastAsia="zh-CN"/>
                    </w:rPr>
                    <w:t>A</w:t>
                  </w:r>
                  <w:r>
                    <w:rPr>
                      <w:rFonts w:hint="default" w:ascii="Times New Roman" w:hAnsi="Times New Roman" w:cs="Times New Roman"/>
                      <w:color w:val="auto"/>
                    </w:rPr>
                    <w:t>声级</w:t>
                  </w:r>
                </w:p>
              </w:tc>
              <w:tc>
                <w:tcPr>
                  <w:tcW w:w="984" w:type="pct"/>
                  <w:vAlign w:val="center"/>
                </w:tcPr>
                <w:p w14:paraId="1C927030">
                  <w:pPr>
                    <w:pStyle w:val="36"/>
                    <w:pageBreakBefore w:val="0"/>
                    <w:wordWrap w:val="0"/>
                    <w:bidi w:val="0"/>
                    <w:rPr>
                      <w:rFonts w:hint="default" w:ascii="Times New Roman" w:hAnsi="Times New Roman" w:cs="Times New Roman"/>
                      <w:color w:val="auto"/>
                    </w:rPr>
                  </w:pPr>
                  <w:r>
                    <w:rPr>
                      <w:rFonts w:hint="default" w:ascii="Times New Roman" w:hAnsi="Times New Roman" w:cs="Times New Roman"/>
                      <w:color w:val="auto"/>
                    </w:rPr>
                    <w:t>每季度一次</w:t>
                  </w:r>
                </w:p>
              </w:tc>
              <w:tc>
                <w:tcPr>
                  <w:tcW w:w="2116" w:type="pct"/>
                  <w:vAlign w:val="center"/>
                </w:tcPr>
                <w:p w14:paraId="3C72C46C">
                  <w:pPr>
                    <w:pStyle w:val="36"/>
                    <w:pageBreakBefore w:val="0"/>
                    <w:wordWrap w:val="0"/>
                    <w:bidi w:val="0"/>
                    <w:rPr>
                      <w:rFonts w:hint="default" w:ascii="Times New Roman" w:hAnsi="Times New Roman" w:cs="Times New Roman"/>
                      <w:color w:val="auto"/>
                    </w:rPr>
                  </w:pPr>
                  <w:r>
                    <w:rPr>
                      <w:rFonts w:hint="default" w:ascii="Times New Roman" w:hAnsi="Times New Roman" w:cs="Times New Roman"/>
                      <w:color w:val="auto"/>
                    </w:rPr>
                    <w:t>《工业企业厂界环境噪声排放标准》（GB12348-2008）</w:t>
                  </w:r>
                  <w:r>
                    <w:rPr>
                      <w:rFonts w:hint="eastAsia" w:cs="Times New Roman"/>
                      <w:color w:val="auto"/>
                      <w:lang w:val="en-US" w:eastAsia="zh-CN"/>
                    </w:rPr>
                    <w:t>3</w:t>
                  </w:r>
                  <w:r>
                    <w:rPr>
                      <w:rFonts w:hint="default" w:ascii="Times New Roman" w:hAnsi="Times New Roman" w:cs="Times New Roman"/>
                      <w:color w:val="auto"/>
                    </w:rPr>
                    <w:t>类标准限</w:t>
                  </w:r>
                </w:p>
              </w:tc>
            </w:tr>
          </w:tbl>
          <w:p w14:paraId="7A001F62">
            <w:pPr>
              <w:pageBreakBefore w:val="0"/>
              <w:numPr>
                <w:ilvl w:val="0"/>
                <w:numId w:val="0"/>
              </w:numPr>
              <w:wordWrap w:val="0"/>
              <w:bidi w:val="0"/>
              <w:spacing w:line="360" w:lineRule="auto"/>
              <w:ind w:leftChars="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4.运营期固体废物环境影响及保护措施</w:t>
            </w:r>
          </w:p>
          <w:p w14:paraId="60498E99">
            <w:pPr>
              <w:keepNext w:val="0"/>
              <w:keepLines w:val="0"/>
              <w:pageBreakBefore w:val="0"/>
              <w:suppressLineNumbers w:val="0"/>
              <w:wordWrap w:val="0"/>
              <w:bidi w:val="0"/>
              <w:adjustRightInd w:val="0"/>
              <w:spacing w:before="0" w:beforeAutospacing="0" w:after="0" w:afterAutospacing="0" w:line="360" w:lineRule="auto"/>
              <w:ind w:left="0" w:leftChars="0" w:right="0" w:firstLine="482" w:firstLineChars="200"/>
              <w:rPr>
                <w:rFonts w:hint="default" w:ascii="Times New Roman" w:hAnsi="Times New Roman" w:eastAsia="宋体" w:cs="Times New Roman"/>
                <w:b/>
                <w:bCs/>
                <w:color w:val="auto"/>
                <w:sz w:val="24"/>
                <w:szCs w:val="20"/>
                <w:lang w:val="en-US" w:eastAsia="zh-CN"/>
              </w:rPr>
            </w:pPr>
            <w:r>
              <w:rPr>
                <w:rFonts w:hint="default" w:ascii="Times New Roman" w:hAnsi="Times New Roman" w:eastAsia="宋体" w:cs="Times New Roman"/>
                <w:b/>
                <w:bCs/>
                <w:color w:val="auto"/>
                <w:sz w:val="24"/>
                <w:szCs w:val="20"/>
                <w:lang w:val="en-US" w:eastAsia="zh-CN"/>
              </w:rPr>
              <w:t>4.1固体废物产生情况</w:t>
            </w:r>
          </w:p>
          <w:p w14:paraId="30D6FB09">
            <w:pPr>
              <w:keepNext w:val="0"/>
              <w:keepLines w:val="0"/>
              <w:pageBreakBefore w:val="0"/>
              <w:widowControl/>
              <w:suppressLineNumbers w:val="0"/>
              <w:wordWrap w:val="0"/>
              <w:bidi w:val="0"/>
              <w:spacing w:line="360" w:lineRule="auto"/>
              <w:ind w:left="0" w:leftChars="0"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本项目固体废物主要是除尘系统产生的粉尘、沉淀池冲洗车辆及设备产生的沉淀池</w:t>
            </w:r>
            <w:r>
              <w:rPr>
                <w:rFonts w:hint="eastAsia" w:cs="Times New Roman"/>
                <w:color w:val="auto"/>
                <w:kern w:val="0"/>
                <w:sz w:val="24"/>
                <w:szCs w:val="24"/>
                <w:lang w:val="en-US" w:eastAsia="zh-CN" w:bidi="ar"/>
              </w:rPr>
              <w:t>泥沙</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维修产生的废机油、</w:t>
            </w:r>
            <w:r>
              <w:rPr>
                <w:rFonts w:hint="default" w:ascii="Times New Roman" w:hAnsi="Times New Roman" w:eastAsia="宋体" w:cs="Times New Roman"/>
                <w:color w:val="auto"/>
                <w:kern w:val="0"/>
                <w:sz w:val="24"/>
                <w:szCs w:val="24"/>
                <w:lang w:val="en-US" w:eastAsia="zh-CN" w:bidi="ar"/>
              </w:rPr>
              <w:t>生活办公产生的生活垃圾。环评要求固废实施分类管理，及时清运，避免长期堆放。</w:t>
            </w:r>
          </w:p>
          <w:p w14:paraId="44EE7C31">
            <w:pPr>
              <w:keepNext w:val="0"/>
              <w:keepLines w:val="0"/>
              <w:pageBreakBefore w:val="0"/>
              <w:widowControl/>
              <w:suppressLineNumbers w:val="0"/>
              <w:wordWrap w:val="0"/>
              <w:bidi w:val="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1</w:t>
            </w:r>
            <w:r>
              <w:rPr>
                <w:rFonts w:hint="default" w:ascii="Times New Roman" w:hAnsi="Times New Roman" w:eastAsia="宋体" w:cs="Times New Roman"/>
                <w:color w:val="auto"/>
                <w:kern w:val="0"/>
                <w:sz w:val="24"/>
                <w:szCs w:val="24"/>
                <w:lang w:val="en-US" w:eastAsia="zh-CN" w:bidi="ar"/>
              </w:rPr>
              <w:t>）生活垃圾</w:t>
            </w:r>
          </w:p>
          <w:p w14:paraId="7C46EB98">
            <w:pPr>
              <w:keepNext w:val="0"/>
              <w:keepLines w:val="0"/>
              <w:pageBreakBefore w:val="0"/>
              <w:widowControl/>
              <w:suppressLineNumbers w:val="0"/>
              <w:wordWrap w:val="0"/>
              <w:bidi w:val="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本项目定员</w:t>
            </w:r>
            <w:r>
              <w:rPr>
                <w:rFonts w:hint="eastAsia" w:cs="Times New Roman"/>
                <w:color w:val="auto"/>
                <w:kern w:val="0"/>
                <w:sz w:val="24"/>
                <w:szCs w:val="24"/>
                <w:lang w:val="en-US" w:eastAsia="zh-CN" w:bidi="ar"/>
              </w:rPr>
              <w:t>25</w:t>
            </w:r>
            <w:r>
              <w:rPr>
                <w:rFonts w:hint="default" w:ascii="Times New Roman" w:hAnsi="Times New Roman" w:eastAsia="宋体" w:cs="Times New Roman"/>
                <w:color w:val="auto"/>
                <w:kern w:val="0"/>
                <w:sz w:val="24"/>
                <w:szCs w:val="24"/>
                <w:lang w:val="en-US" w:eastAsia="zh-CN" w:bidi="ar"/>
              </w:rPr>
              <w:t>人，生活垃圾按0.5kg/人.d计，年工作</w:t>
            </w:r>
            <w:r>
              <w:rPr>
                <w:rFonts w:hint="eastAsia" w:cs="Times New Roman"/>
                <w:color w:val="auto"/>
                <w:kern w:val="0"/>
                <w:sz w:val="24"/>
                <w:szCs w:val="24"/>
                <w:lang w:val="en-US" w:eastAsia="zh-CN" w:bidi="ar"/>
              </w:rPr>
              <w:t>275</w:t>
            </w:r>
            <w:r>
              <w:rPr>
                <w:rFonts w:hint="default" w:ascii="Times New Roman" w:hAnsi="Times New Roman" w:eastAsia="宋体" w:cs="Times New Roman"/>
                <w:color w:val="auto"/>
                <w:kern w:val="0"/>
                <w:sz w:val="24"/>
                <w:szCs w:val="24"/>
                <w:lang w:val="en-US" w:eastAsia="zh-CN" w:bidi="ar"/>
              </w:rPr>
              <w:t>天，则生活垃圾产生量</w:t>
            </w:r>
            <w:r>
              <w:rPr>
                <w:rFonts w:hint="eastAsia" w:cs="Times New Roman"/>
                <w:color w:val="auto"/>
                <w:kern w:val="0"/>
                <w:sz w:val="24"/>
                <w:szCs w:val="24"/>
                <w:lang w:val="en-US" w:eastAsia="zh-CN" w:bidi="ar"/>
              </w:rPr>
              <w:t>3.44</w:t>
            </w:r>
            <w:r>
              <w:rPr>
                <w:rFonts w:hint="default" w:ascii="Times New Roman" w:hAnsi="Times New Roman" w:eastAsia="宋体" w:cs="Times New Roman"/>
                <w:color w:val="auto"/>
                <w:kern w:val="0"/>
                <w:sz w:val="24"/>
                <w:szCs w:val="24"/>
                <w:lang w:val="en-US" w:eastAsia="zh-CN" w:bidi="ar"/>
              </w:rPr>
              <w:t>t/a。厂区内垃圾桶集中收集后统一清运至</w:t>
            </w:r>
            <w:r>
              <w:rPr>
                <w:rFonts w:hint="eastAsia" w:cs="Times New Roman"/>
                <w:color w:val="auto"/>
                <w:kern w:val="0"/>
                <w:sz w:val="24"/>
                <w:szCs w:val="24"/>
                <w:lang w:val="en-US" w:eastAsia="zh-CN" w:bidi="ar"/>
              </w:rPr>
              <w:t>托克逊县生活垃圾填埋场</w:t>
            </w:r>
            <w:r>
              <w:rPr>
                <w:rFonts w:hint="default" w:ascii="Times New Roman" w:hAnsi="Times New Roman" w:eastAsia="宋体" w:cs="Times New Roman"/>
                <w:color w:val="auto"/>
                <w:kern w:val="0"/>
                <w:sz w:val="24"/>
                <w:szCs w:val="24"/>
                <w:lang w:val="en-US" w:eastAsia="zh-CN" w:bidi="ar"/>
              </w:rPr>
              <w:t>。</w:t>
            </w:r>
          </w:p>
          <w:p w14:paraId="5BF0171B">
            <w:pPr>
              <w:keepNext w:val="0"/>
              <w:keepLines w:val="0"/>
              <w:pageBreakBefore w:val="0"/>
              <w:widowControl/>
              <w:suppressLineNumbers w:val="0"/>
              <w:wordWrap w:val="0"/>
              <w:bidi w:val="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2</w:t>
            </w:r>
            <w:r>
              <w:rPr>
                <w:rFonts w:hint="default" w:ascii="Times New Roman" w:hAnsi="Times New Roman" w:eastAsia="宋体" w:cs="Times New Roman"/>
                <w:color w:val="auto"/>
                <w:kern w:val="0"/>
                <w:sz w:val="24"/>
                <w:szCs w:val="24"/>
                <w:lang w:val="en-US" w:eastAsia="zh-CN" w:bidi="ar"/>
              </w:rPr>
              <w:t>）除尘灰</w:t>
            </w:r>
          </w:p>
          <w:p w14:paraId="6B5317D2">
            <w:pPr>
              <w:keepNext w:val="0"/>
              <w:keepLines w:val="0"/>
              <w:pageBreakBefore w:val="0"/>
              <w:widowControl/>
              <w:suppressLineNumbers w:val="0"/>
              <w:wordWrap w:val="0"/>
              <w:bidi w:val="0"/>
              <w:ind w:left="0" w:leftChars="0"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本项目</w:t>
            </w:r>
            <w:r>
              <w:rPr>
                <w:rFonts w:hint="eastAsia" w:cs="Times New Roman"/>
                <w:color w:val="auto"/>
                <w:kern w:val="0"/>
                <w:sz w:val="24"/>
                <w:szCs w:val="24"/>
                <w:lang w:val="en-US" w:eastAsia="zh-CN" w:bidi="ar"/>
              </w:rPr>
              <w:t>袋式除尘器</w:t>
            </w:r>
            <w:r>
              <w:rPr>
                <w:rFonts w:hint="default" w:ascii="Times New Roman" w:hAnsi="Times New Roman" w:eastAsia="宋体" w:cs="Times New Roman"/>
                <w:color w:val="auto"/>
                <w:kern w:val="0"/>
                <w:sz w:val="24"/>
                <w:szCs w:val="24"/>
                <w:lang w:val="en-US" w:eastAsia="zh-CN" w:bidi="ar"/>
              </w:rPr>
              <w:t>工作时拦截的粉尘直接回落至筒仓内，</w:t>
            </w:r>
            <w:r>
              <w:rPr>
                <w:rFonts w:hint="eastAsia" w:cs="Times New Roman"/>
                <w:color w:val="auto"/>
                <w:kern w:val="0"/>
                <w:sz w:val="24"/>
                <w:szCs w:val="24"/>
                <w:lang w:val="en-US" w:eastAsia="zh-CN" w:bidi="ar"/>
              </w:rPr>
              <w:t>袋式除尘器</w:t>
            </w:r>
            <w:r>
              <w:rPr>
                <w:rFonts w:hint="default" w:ascii="Times New Roman" w:hAnsi="Times New Roman" w:eastAsia="宋体" w:cs="Times New Roman"/>
                <w:color w:val="auto"/>
                <w:kern w:val="0"/>
                <w:sz w:val="24"/>
                <w:szCs w:val="24"/>
                <w:lang w:val="en-US" w:eastAsia="zh-CN" w:bidi="ar"/>
              </w:rPr>
              <w:t>布袋内收集有除尘灰，收集到的除尘灰的量为</w:t>
            </w:r>
            <w:r>
              <w:rPr>
                <w:rFonts w:hint="eastAsia" w:cs="Times New Roman"/>
                <w:color w:val="auto"/>
                <w:kern w:val="0"/>
                <w:sz w:val="24"/>
                <w:szCs w:val="24"/>
                <w:lang w:val="en-US" w:eastAsia="zh-CN" w:bidi="ar"/>
              </w:rPr>
              <w:t>73.88</w:t>
            </w:r>
            <w:r>
              <w:rPr>
                <w:rFonts w:hint="default" w:ascii="Times New Roman" w:hAnsi="Times New Roman" w:eastAsia="宋体" w:cs="Times New Roman"/>
                <w:color w:val="auto"/>
                <w:kern w:val="0"/>
                <w:sz w:val="24"/>
                <w:szCs w:val="24"/>
                <w:lang w:val="en-US" w:eastAsia="zh-CN" w:bidi="ar"/>
              </w:rPr>
              <w:t>t/a，除尘灰主要为生产原料，</w:t>
            </w:r>
            <w:r>
              <w:rPr>
                <w:rFonts w:ascii="Times New Roman" w:hAnsi="Times New Roman" w:eastAsia="宋体" w:cs="Times New Roman"/>
                <w:color w:val="auto"/>
                <w:kern w:val="0"/>
                <w:sz w:val="24"/>
              </w:rPr>
              <w:t>定期清理，</w:t>
            </w:r>
            <w:r>
              <w:rPr>
                <w:rFonts w:hint="default" w:ascii="Times New Roman" w:hAnsi="Times New Roman" w:eastAsia="宋体" w:cs="Times New Roman"/>
                <w:color w:val="auto"/>
                <w:kern w:val="0"/>
                <w:sz w:val="24"/>
                <w:szCs w:val="24"/>
                <w:lang w:val="en-US" w:eastAsia="zh-CN" w:bidi="ar"/>
              </w:rPr>
              <w:t>全部回用于生产</w:t>
            </w:r>
            <w:r>
              <w:rPr>
                <w:rFonts w:hint="eastAsia" w:cs="Times New Roman"/>
                <w:color w:val="auto"/>
                <w:kern w:val="0"/>
                <w:sz w:val="24"/>
                <w:szCs w:val="24"/>
                <w:lang w:val="en-US" w:eastAsia="zh-CN" w:bidi="ar"/>
              </w:rPr>
              <w:t>。</w:t>
            </w:r>
          </w:p>
          <w:p w14:paraId="16FD051D">
            <w:pPr>
              <w:keepNext w:val="0"/>
              <w:keepLines w:val="0"/>
              <w:pageBreakBefore w:val="0"/>
              <w:widowControl/>
              <w:suppressLineNumbers w:val="0"/>
              <w:wordWrap w:val="0"/>
              <w:bidi w:val="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3</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沉淀池沉渣</w:t>
            </w:r>
          </w:p>
          <w:p w14:paraId="15B0CF9B">
            <w:pPr>
              <w:pageBreakBefore w:val="0"/>
              <w:wordWrap w:val="0"/>
              <w:autoSpaceDE w:val="0"/>
              <w:autoSpaceDN w:val="0"/>
              <w:bidi w:val="0"/>
              <w:adjustRightInd w:val="0"/>
              <w:snapToGrid w:val="0"/>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根据建设单位提供，</w:t>
            </w:r>
            <w:r>
              <w:rPr>
                <w:rFonts w:hint="default" w:ascii="Times New Roman" w:hAnsi="Times New Roman" w:eastAsia="宋体" w:cs="Times New Roman"/>
                <w:color w:val="auto"/>
                <w:kern w:val="0"/>
                <w:sz w:val="24"/>
                <w:szCs w:val="24"/>
                <w:lang w:val="en-US" w:eastAsia="zh-CN" w:bidi="ar"/>
              </w:rPr>
              <w:t>沉淀池收集的</w:t>
            </w:r>
            <w:r>
              <w:rPr>
                <w:rFonts w:hint="eastAsia" w:cs="Times New Roman"/>
                <w:color w:val="auto"/>
                <w:kern w:val="0"/>
                <w:sz w:val="24"/>
                <w:szCs w:val="24"/>
                <w:lang w:val="en-US" w:eastAsia="zh-CN" w:bidi="ar"/>
              </w:rPr>
              <w:t>泥沙产生量约为</w:t>
            </w:r>
            <w:r>
              <w:rPr>
                <w:rFonts w:hint="eastAsia"/>
                <w:color w:val="auto"/>
                <w:lang w:val="en-US" w:eastAsia="zh-CN"/>
              </w:rPr>
              <w:t>0.3t/a</w:t>
            </w:r>
            <w:r>
              <w:rPr>
                <w:rFonts w:hint="default" w:ascii="Times New Roman" w:hAnsi="Times New Roman" w:eastAsia="宋体" w:cs="Times New Roman"/>
                <w:color w:val="auto"/>
                <w:kern w:val="0"/>
                <w:sz w:val="24"/>
                <w:szCs w:val="24"/>
                <w:lang w:val="en-US" w:eastAsia="zh-CN" w:bidi="ar"/>
              </w:rPr>
              <w:t>，</w:t>
            </w:r>
            <w:r>
              <w:rPr>
                <w:rFonts w:ascii="Times New Roman" w:hAnsi="Times New Roman" w:eastAsia="宋体" w:cs="Times New Roman"/>
                <w:color w:val="auto"/>
                <w:kern w:val="0"/>
                <w:sz w:val="24"/>
              </w:rPr>
              <w:t>定期清理，</w:t>
            </w:r>
            <w:r>
              <w:rPr>
                <w:rFonts w:hint="default" w:ascii="Times New Roman" w:hAnsi="Times New Roman" w:eastAsia="宋体" w:cs="Times New Roman"/>
                <w:color w:val="auto"/>
                <w:kern w:val="0"/>
                <w:sz w:val="24"/>
                <w:szCs w:val="24"/>
                <w:lang w:val="en-US" w:eastAsia="zh-CN" w:bidi="ar"/>
              </w:rPr>
              <w:t>全部回用于生产。</w:t>
            </w:r>
          </w:p>
          <w:p w14:paraId="02013F1A">
            <w:pPr>
              <w:keepNext w:val="0"/>
              <w:keepLines w:val="0"/>
              <w:pageBreakBefore w:val="0"/>
              <w:widowControl w:val="0"/>
              <w:numPr>
                <w:ilvl w:val="0"/>
                <w:numId w:val="0"/>
              </w:numPr>
              <w:kinsoku/>
              <w:wordWrap w:val="0"/>
              <w:overflowPunct/>
              <w:topLinePunct w:val="0"/>
              <w:autoSpaceDE/>
              <w:autoSpaceDN/>
              <w:bidi w:val="0"/>
              <w:adjustRightInd/>
              <w:snapToGrid/>
              <w:spacing w:beforeLines="0" w:afterLines="0" w:line="360" w:lineRule="auto"/>
              <w:ind w:leftChars="200"/>
              <w:jc w:val="both"/>
              <w:textAlignment w:val="auto"/>
              <w:rPr>
                <w:rFonts w:hint="default" w:ascii="Times New Roman" w:hAnsi="Times New Roman" w:eastAsia="宋体" w:cs="Times New Roman"/>
                <w:bCs/>
                <w:color w:val="auto"/>
                <w:spacing w:val="0"/>
                <w:sz w:val="24"/>
                <w:szCs w:val="24"/>
                <w:lang w:val="en-US" w:eastAsia="zh-CN"/>
              </w:rPr>
            </w:pPr>
            <w:r>
              <w:rPr>
                <w:rFonts w:hint="eastAsia" w:ascii="Times New Roman" w:hAnsi="Times New Roman" w:eastAsia="宋体" w:cs="Times New Roman"/>
                <w:bCs/>
                <w:color w:val="auto"/>
                <w:spacing w:val="0"/>
                <w:sz w:val="24"/>
                <w:szCs w:val="24"/>
                <w:lang w:val="en-US" w:eastAsia="zh-CN"/>
              </w:rPr>
              <w:t>（4）</w:t>
            </w:r>
            <w:r>
              <w:rPr>
                <w:rFonts w:hint="eastAsia" w:cs="Times New Roman"/>
                <w:bCs/>
                <w:color w:val="auto"/>
                <w:spacing w:val="0"/>
                <w:sz w:val="24"/>
                <w:szCs w:val="24"/>
                <w:lang w:val="en-US" w:eastAsia="zh-CN"/>
              </w:rPr>
              <w:t>危险废物</w:t>
            </w:r>
          </w:p>
          <w:p w14:paraId="4328FA2B">
            <w:pPr>
              <w:keepNext w:val="0"/>
              <w:keepLines w:val="0"/>
              <w:pageBreakBefore w:val="0"/>
              <w:widowControl w:val="0"/>
              <w:kinsoku/>
              <w:wordWrap w:val="0"/>
              <w:overflowPunct/>
              <w:topLinePunct w:val="0"/>
              <w:autoSpaceDE/>
              <w:autoSpaceDN/>
              <w:bidi w:val="0"/>
              <w:adjustRightInd/>
              <w:snapToGrid/>
              <w:spacing w:beforeLines="0" w:afterLines="0" w:line="360" w:lineRule="auto"/>
              <w:ind w:firstLine="480" w:firstLineChars="200"/>
              <w:jc w:val="both"/>
              <w:textAlignment w:val="auto"/>
              <w:rPr>
                <w:rFonts w:hint="default" w:ascii="Times New Roman" w:hAnsi="Times New Roman" w:eastAsia="宋体" w:cs="Times New Roman"/>
                <w:b w:val="0"/>
                <w:bCs/>
                <w:color w:val="auto"/>
                <w:kern w:val="0"/>
                <w:sz w:val="24"/>
                <w:lang w:val="en-US" w:eastAsia="zh-CN"/>
              </w:rPr>
            </w:pPr>
            <w:r>
              <w:rPr>
                <w:rFonts w:hint="eastAsia"/>
                <w:color w:val="auto"/>
                <w:sz w:val="24"/>
                <w:lang w:val="en-US" w:eastAsia="zh-CN"/>
              </w:rPr>
              <w:t>本项目在机修过程中会产生废机油和废油桶，隔油沉淀池分离会产生废油，本项目设备维修产生废机油约0.01t/a、废油桶约0.015t/a。隔油沉淀池废油0.005t/a。根据《国家危险废物名录（2025年版）》，隔油沉淀池废油、废机油和废油桶均属于HW08废矿物油与含矿物油废物，代码分别为900-217-08、900-249-08、</w:t>
            </w:r>
            <w:r>
              <w:rPr>
                <w:rFonts w:hint="eastAsia" w:ascii="Times New Roman" w:hAnsi="Times New Roman" w:eastAsia="宋体" w:cs="Times New Roman"/>
                <w:color w:val="auto"/>
                <w:sz w:val="24"/>
                <w:lang w:val="en-US" w:eastAsia="zh-CN"/>
              </w:rPr>
              <w:t>900-210-08</w:t>
            </w:r>
            <w:r>
              <w:rPr>
                <w:rFonts w:hint="eastAsia"/>
                <w:color w:val="auto"/>
                <w:sz w:val="24"/>
                <w:lang w:val="en-US" w:eastAsia="zh-CN"/>
              </w:rPr>
              <w:t>。本项目沉淀池废油、废机油和废油桶收集后暂存于危险废物贮存点，定期交由有危废处置资质的单位安全处置。</w:t>
            </w:r>
          </w:p>
          <w:p w14:paraId="76176C2A">
            <w:pPr>
              <w:pageBreakBefore w:val="0"/>
              <w:wordWrap w:val="0"/>
              <w:bidi w:val="0"/>
              <w:adjustRightInd w:val="0"/>
              <w:snapToGrid w:val="0"/>
              <w:spacing w:line="360" w:lineRule="auto"/>
              <w:ind w:firstLine="480" w:firstLineChars="200"/>
              <w:jc w:val="left"/>
              <w:rPr>
                <w:color w:val="auto"/>
                <w:sz w:val="24"/>
                <w:szCs w:val="24"/>
              </w:rPr>
            </w:pPr>
            <w:r>
              <w:rPr>
                <w:color w:val="auto"/>
                <w:sz w:val="24"/>
                <w:szCs w:val="24"/>
              </w:rPr>
              <w:t>本项目</w:t>
            </w:r>
            <w:r>
              <w:rPr>
                <w:rFonts w:hint="eastAsia"/>
                <w:color w:val="auto"/>
                <w:sz w:val="24"/>
                <w:szCs w:val="24"/>
                <w:lang w:val="en-US" w:eastAsia="zh-CN"/>
              </w:rPr>
              <w:t>固体废物</w:t>
            </w:r>
            <w:r>
              <w:rPr>
                <w:color w:val="auto"/>
                <w:sz w:val="24"/>
                <w:szCs w:val="24"/>
              </w:rPr>
              <w:t>排放详见表4-</w:t>
            </w:r>
            <w:r>
              <w:rPr>
                <w:rFonts w:hint="eastAsia"/>
                <w:color w:val="auto"/>
                <w:sz w:val="24"/>
                <w:szCs w:val="24"/>
                <w:lang w:val="en-US" w:eastAsia="zh-CN"/>
              </w:rPr>
              <w:t>12</w:t>
            </w:r>
            <w:r>
              <w:rPr>
                <w:color w:val="auto"/>
                <w:sz w:val="24"/>
                <w:szCs w:val="24"/>
              </w:rPr>
              <w:t>。</w:t>
            </w:r>
          </w:p>
          <w:p w14:paraId="52825D7E">
            <w:pPr>
              <w:pageBreakBefore w:val="0"/>
              <w:wordWrap w:val="0"/>
              <w:bidi w:val="0"/>
              <w:adjustRightInd w:val="0"/>
              <w:snapToGrid w:val="0"/>
              <w:spacing w:line="240" w:lineRule="auto"/>
              <w:jc w:val="center"/>
              <w:rPr>
                <w:rFonts w:hint="eastAsia" w:eastAsia="宋体"/>
                <w:b/>
                <w:bCs/>
                <w:color w:val="auto"/>
                <w:sz w:val="21"/>
                <w:szCs w:val="21"/>
                <w:lang w:val="en-US" w:eastAsia="zh-CN"/>
              </w:rPr>
            </w:pPr>
            <w:r>
              <w:rPr>
                <w:b/>
                <w:bCs/>
                <w:color w:val="auto"/>
                <w:sz w:val="21"/>
                <w:szCs w:val="21"/>
              </w:rPr>
              <w:t>表4-</w:t>
            </w:r>
            <w:r>
              <w:rPr>
                <w:rFonts w:hint="eastAsia"/>
                <w:b/>
                <w:bCs/>
                <w:color w:val="auto"/>
                <w:sz w:val="21"/>
                <w:szCs w:val="21"/>
                <w:lang w:val="en-US" w:eastAsia="zh-CN"/>
              </w:rPr>
              <w:t xml:space="preserve">12   </w:t>
            </w:r>
            <w:r>
              <w:rPr>
                <w:b/>
                <w:bCs/>
                <w:color w:val="auto"/>
                <w:sz w:val="21"/>
                <w:szCs w:val="21"/>
              </w:rPr>
              <w:t>本项目固体废物排</w:t>
            </w:r>
            <w:r>
              <w:rPr>
                <w:rFonts w:hint="eastAsia"/>
                <w:b/>
                <w:bCs/>
                <w:color w:val="auto"/>
                <w:sz w:val="21"/>
                <w:szCs w:val="21"/>
                <w:lang w:val="en-US" w:eastAsia="zh-CN"/>
              </w:rPr>
              <w:t>放一览表</w:t>
            </w:r>
          </w:p>
          <w:tbl>
            <w:tblPr>
              <w:tblStyle w:val="2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90"/>
              <w:gridCol w:w="1133"/>
              <w:gridCol w:w="678"/>
              <w:gridCol w:w="1033"/>
              <w:gridCol w:w="1380"/>
              <w:gridCol w:w="947"/>
              <w:gridCol w:w="1373"/>
              <w:gridCol w:w="918"/>
              <w:gridCol w:w="1278"/>
            </w:tblGrid>
            <w:tr w14:paraId="6CAF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214" w:type="pct"/>
                  <w:tcBorders>
                    <w:tl2br w:val="nil"/>
                    <w:tr2bl w:val="nil"/>
                  </w:tcBorders>
                  <w:vAlign w:val="center"/>
                </w:tcPr>
                <w:p w14:paraId="5B029930">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序号</w:t>
                  </w:r>
                </w:p>
              </w:tc>
              <w:tc>
                <w:tcPr>
                  <w:tcW w:w="620" w:type="pct"/>
                  <w:tcBorders>
                    <w:tl2br w:val="nil"/>
                    <w:tr2bl w:val="nil"/>
                  </w:tcBorders>
                  <w:vAlign w:val="center"/>
                </w:tcPr>
                <w:p w14:paraId="50000159">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名称</w:t>
                  </w:r>
                </w:p>
              </w:tc>
              <w:tc>
                <w:tcPr>
                  <w:tcW w:w="371" w:type="pct"/>
                  <w:tcBorders>
                    <w:tl2br w:val="nil"/>
                    <w:tr2bl w:val="nil"/>
                  </w:tcBorders>
                  <w:vAlign w:val="center"/>
                </w:tcPr>
                <w:p w14:paraId="0B79362D">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废物类型</w:t>
                  </w:r>
                </w:p>
              </w:tc>
              <w:tc>
                <w:tcPr>
                  <w:tcW w:w="565" w:type="pct"/>
                  <w:tcBorders>
                    <w:tl2br w:val="nil"/>
                    <w:tr2bl w:val="nil"/>
                  </w:tcBorders>
                  <w:vAlign w:val="center"/>
                </w:tcPr>
                <w:p w14:paraId="45130247">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废物类别</w:t>
                  </w:r>
                </w:p>
              </w:tc>
              <w:tc>
                <w:tcPr>
                  <w:tcW w:w="755" w:type="pct"/>
                  <w:tcBorders>
                    <w:tl2br w:val="nil"/>
                    <w:tr2bl w:val="nil"/>
                  </w:tcBorders>
                  <w:vAlign w:val="center"/>
                </w:tcPr>
                <w:p w14:paraId="5843AFC9">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废物代码</w:t>
                  </w:r>
                </w:p>
              </w:tc>
              <w:tc>
                <w:tcPr>
                  <w:tcW w:w="518" w:type="pct"/>
                  <w:tcBorders>
                    <w:tl2br w:val="nil"/>
                    <w:tr2bl w:val="nil"/>
                  </w:tcBorders>
                  <w:vAlign w:val="center"/>
                </w:tcPr>
                <w:p w14:paraId="7E942555">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物理性状</w:t>
                  </w:r>
                </w:p>
              </w:tc>
              <w:tc>
                <w:tcPr>
                  <w:tcW w:w="751" w:type="pct"/>
                  <w:tcBorders>
                    <w:tl2br w:val="nil"/>
                    <w:tr2bl w:val="nil"/>
                  </w:tcBorders>
                  <w:vAlign w:val="center"/>
                </w:tcPr>
                <w:p w14:paraId="45985A89">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产生量</w:t>
                  </w:r>
                </w:p>
              </w:tc>
              <w:tc>
                <w:tcPr>
                  <w:tcW w:w="502" w:type="pct"/>
                  <w:tcBorders>
                    <w:tl2br w:val="nil"/>
                    <w:tr2bl w:val="nil"/>
                  </w:tcBorders>
                  <w:vAlign w:val="center"/>
                </w:tcPr>
                <w:p w14:paraId="12C0C8B1">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贮存方式</w:t>
                  </w:r>
                </w:p>
              </w:tc>
              <w:tc>
                <w:tcPr>
                  <w:tcW w:w="699" w:type="pct"/>
                  <w:tcBorders>
                    <w:tl2br w:val="nil"/>
                    <w:tr2bl w:val="nil"/>
                  </w:tcBorders>
                  <w:vAlign w:val="center"/>
                </w:tcPr>
                <w:p w14:paraId="0D6458DB">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利用处置方式和去向</w:t>
                  </w:r>
                </w:p>
              </w:tc>
            </w:tr>
            <w:tr w14:paraId="5D5C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9" w:hRule="atLeast"/>
              </w:trPr>
              <w:tc>
                <w:tcPr>
                  <w:tcW w:w="214" w:type="pct"/>
                  <w:vMerge w:val="restart"/>
                  <w:tcBorders>
                    <w:tl2br w:val="nil"/>
                    <w:tr2bl w:val="nil"/>
                  </w:tcBorders>
                  <w:vAlign w:val="center"/>
                </w:tcPr>
                <w:p w14:paraId="50E83AF0">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620" w:type="pct"/>
                  <w:tcBorders>
                    <w:tl2br w:val="nil"/>
                    <w:tr2bl w:val="nil"/>
                  </w:tcBorders>
                  <w:vAlign w:val="center"/>
                </w:tcPr>
                <w:p w14:paraId="40DF8BFC">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废机油</w:t>
                  </w:r>
                </w:p>
              </w:tc>
              <w:tc>
                <w:tcPr>
                  <w:tcW w:w="371" w:type="pct"/>
                  <w:vMerge w:val="restart"/>
                  <w:tcBorders>
                    <w:tl2br w:val="nil"/>
                    <w:tr2bl w:val="nil"/>
                  </w:tcBorders>
                  <w:vAlign w:val="center"/>
                </w:tcPr>
                <w:p w14:paraId="1A278705">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危险废物</w:t>
                  </w:r>
                </w:p>
              </w:tc>
              <w:tc>
                <w:tcPr>
                  <w:tcW w:w="565" w:type="pct"/>
                  <w:vMerge w:val="restart"/>
                  <w:tcBorders>
                    <w:tl2br w:val="nil"/>
                    <w:tr2bl w:val="nil"/>
                  </w:tcBorders>
                  <w:vAlign w:val="center"/>
                </w:tcPr>
                <w:p w14:paraId="75E6F418">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HW08</w:t>
                  </w:r>
                </w:p>
              </w:tc>
              <w:tc>
                <w:tcPr>
                  <w:tcW w:w="755" w:type="pct"/>
                  <w:tcBorders>
                    <w:tl2br w:val="nil"/>
                    <w:tr2bl w:val="nil"/>
                  </w:tcBorders>
                  <w:vAlign w:val="center"/>
                </w:tcPr>
                <w:p w14:paraId="1F3B8567">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900-2</w:t>
                  </w:r>
                  <w:r>
                    <w:rPr>
                      <w:rFonts w:hint="default" w:ascii="Times New Roman" w:hAnsi="Times New Roman" w:eastAsia="宋体" w:cs="Times New Roman"/>
                      <w:color w:val="auto"/>
                      <w:sz w:val="21"/>
                      <w:szCs w:val="21"/>
                      <w:highlight w:val="none"/>
                      <w:lang w:val="en-US" w:eastAsia="zh-CN"/>
                    </w:rPr>
                    <w:t>14</w:t>
                  </w:r>
                  <w:r>
                    <w:rPr>
                      <w:rFonts w:hint="default" w:ascii="Times New Roman" w:hAnsi="Times New Roman" w:eastAsia="宋体" w:cs="Times New Roman"/>
                      <w:color w:val="auto"/>
                      <w:sz w:val="21"/>
                      <w:szCs w:val="21"/>
                      <w:highlight w:val="none"/>
                    </w:rPr>
                    <w:t>-08</w:t>
                  </w:r>
                </w:p>
              </w:tc>
              <w:tc>
                <w:tcPr>
                  <w:tcW w:w="518" w:type="pct"/>
                  <w:tcBorders>
                    <w:tl2br w:val="nil"/>
                    <w:tr2bl w:val="nil"/>
                  </w:tcBorders>
                  <w:vAlign w:val="center"/>
                </w:tcPr>
                <w:p w14:paraId="39EBCE19">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液态</w:t>
                  </w:r>
                </w:p>
              </w:tc>
              <w:tc>
                <w:tcPr>
                  <w:tcW w:w="751" w:type="pct"/>
                  <w:tcBorders>
                    <w:tl2br w:val="nil"/>
                    <w:tr2bl w:val="nil"/>
                  </w:tcBorders>
                  <w:vAlign w:val="center"/>
                </w:tcPr>
                <w:p w14:paraId="7D89B541">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pacing w:val="-6"/>
                      <w:sz w:val="21"/>
                      <w:szCs w:val="21"/>
                      <w:highlight w:val="none"/>
                      <w:lang w:val="en-US" w:eastAsia="zh-CN"/>
                    </w:rPr>
                    <w:t>0.01</w:t>
                  </w:r>
                </w:p>
              </w:tc>
              <w:tc>
                <w:tcPr>
                  <w:tcW w:w="502" w:type="pct"/>
                  <w:vMerge w:val="restart"/>
                  <w:tcBorders>
                    <w:tl2br w:val="nil"/>
                    <w:tr2bl w:val="nil"/>
                  </w:tcBorders>
                  <w:vAlign w:val="center"/>
                </w:tcPr>
                <w:p w14:paraId="642D1A1D">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危废贮存点</w:t>
                  </w:r>
                </w:p>
              </w:tc>
              <w:tc>
                <w:tcPr>
                  <w:tcW w:w="699" w:type="pct"/>
                  <w:vMerge w:val="restart"/>
                  <w:tcBorders>
                    <w:tl2br w:val="nil"/>
                    <w:tr2bl w:val="nil"/>
                  </w:tcBorders>
                  <w:vAlign w:val="center"/>
                </w:tcPr>
                <w:p w14:paraId="40C94A85">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委托有资质的单位清运处置</w:t>
                  </w:r>
                </w:p>
              </w:tc>
            </w:tr>
            <w:tr w14:paraId="6078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9" w:hRule="atLeast"/>
              </w:trPr>
              <w:tc>
                <w:tcPr>
                  <w:tcW w:w="214" w:type="pct"/>
                  <w:vMerge w:val="continue"/>
                  <w:tcBorders>
                    <w:tl2br w:val="nil"/>
                    <w:tr2bl w:val="nil"/>
                  </w:tcBorders>
                  <w:vAlign w:val="center"/>
                </w:tcPr>
                <w:p w14:paraId="7E8BE9B7">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color w:val="auto"/>
                    </w:rPr>
                  </w:pPr>
                </w:p>
              </w:tc>
              <w:tc>
                <w:tcPr>
                  <w:tcW w:w="620" w:type="pct"/>
                  <w:tcBorders>
                    <w:tl2br w:val="nil"/>
                    <w:tr2bl w:val="nil"/>
                  </w:tcBorders>
                  <w:vAlign w:val="center"/>
                </w:tcPr>
                <w:p w14:paraId="2A7826E0">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废油桶</w:t>
                  </w:r>
                </w:p>
              </w:tc>
              <w:tc>
                <w:tcPr>
                  <w:tcW w:w="371" w:type="pct"/>
                  <w:vMerge w:val="continue"/>
                  <w:tcBorders>
                    <w:tl2br w:val="nil"/>
                    <w:tr2bl w:val="nil"/>
                  </w:tcBorders>
                  <w:vAlign w:val="center"/>
                </w:tcPr>
                <w:p w14:paraId="7AE1F217">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565" w:type="pct"/>
                  <w:vMerge w:val="continue"/>
                  <w:tcBorders>
                    <w:tl2br w:val="nil"/>
                    <w:tr2bl w:val="nil"/>
                  </w:tcBorders>
                  <w:vAlign w:val="center"/>
                </w:tcPr>
                <w:p w14:paraId="23AC0E94">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755" w:type="pct"/>
                  <w:tcBorders>
                    <w:tl2br w:val="nil"/>
                    <w:tr2bl w:val="nil"/>
                  </w:tcBorders>
                  <w:vAlign w:val="center"/>
                </w:tcPr>
                <w:p w14:paraId="311083BB">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900-210-08</w:t>
                  </w:r>
                </w:p>
              </w:tc>
              <w:tc>
                <w:tcPr>
                  <w:tcW w:w="518" w:type="pct"/>
                  <w:tcBorders>
                    <w:tl2br w:val="nil"/>
                    <w:tr2bl w:val="nil"/>
                  </w:tcBorders>
                  <w:vAlign w:val="center"/>
                </w:tcPr>
                <w:p w14:paraId="57DD95FF">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固体</w:t>
                  </w:r>
                </w:p>
              </w:tc>
              <w:tc>
                <w:tcPr>
                  <w:tcW w:w="751" w:type="pct"/>
                  <w:tcBorders>
                    <w:tl2br w:val="nil"/>
                    <w:tr2bl w:val="nil"/>
                  </w:tcBorders>
                  <w:vAlign w:val="center"/>
                </w:tcPr>
                <w:p w14:paraId="1536E043">
                  <w:pPr>
                    <w:spacing w:line="240" w:lineRule="auto"/>
                    <w:ind w:firstLine="0" w:firstLineChars="0"/>
                    <w:jc w:val="center"/>
                    <w:rPr>
                      <w:rFonts w:hint="default" w:ascii="Times New Roman" w:hAnsi="Times New Roman" w:eastAsia="宋体" w:cs="Times New Roman"/>
                      <w:color w:val="auto"/>
                      <w:sz w:val="21"/>
                      <w:szCs w:val="21"/>
                    </w:rPr>
                  </w:pPr>
                  <w:r>
                    <w:rPr>
                      <w:rFonts w:hint="eastAsia" w:ascii="Times New Roman" w:hAnsi="Times New Roman" w:cs="Times New Roman"/>
                      <w:color w:val="auto"/>
                      <w:spacing w:val="-6"/>
                      <w:sz w:val="21"/>
                      <w:szCs w:val="21"/>
                      <w:highlight w:val="none"/>
                      <w:lang w:val="en-US" w:eastAsia="zh-CN"/>
                    </w:rPr>
                    <w:t>0.015</w:t>
                  </w:r>
                </w:p>
              </w:tc>
              <w:tc>
                <w:tcPr>
                  <w:tcW w:w="502" w:type="pct"/>
                  <w:vMerge w:val="continue"/>
                  <w:tcBorders>
                    <w:tl2br w:val="nil"/>
                    <w:tr2bl w:val="nil"/>
                  </w:tcBorders>
                  <w:vAlign w:val="center"/>
                </w:tcPr>
                <w:p w14:paraId="4361E004">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699" w:type="pct"/>
                  <w:vMerge w:val="continue"/>
                  <w:tcBorders>
                    <w:tl2br w:val="nil"/>
                    <w:tr2bl w:val="nil"/>
                  </w:tcBorders>
                  <w:vAlign w:val="center"/>
                </w:tcPr>
                <w:p w14:paraId="7635F68E">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r>
            <w:tr w14:paraId="3CFC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9" w:hRule="atLeast"/>
              </w:trPr>
              <w:tc>
                <w:tcPr>
                  <w:tcW w:w="214" w:type="pct"/>
                  <w:vMerge w:val="continue"/>
                  <w:tcBorders>
                    <w:tl2br w:val="nil"/>
                    <w:tr2bl w:val="nil"/>
                  </w:tcBorders>
                  <w:vAlign w:val="center"/>
                </w:tcPr>
                <w:p w14:paraId="0DDA1D74">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620" w:type="pct"/>
                  <w:tcBorders>
                    <w:tl2br w:val="nil"/>
                    <w:tr2bl w:val="nil"/>
                  </w:tcBorders>
                  <w:vAlign w:val="center"/>
                </w:tcPr>
                <w:p w14:paraId="506376D1">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隔油池废油</w:t>
                  </w:r>
                </w:p>
              </w:tc>
              <w:tc>
                <w:tcPr>
                  <w:tcW w:w="371" w:type="pct"/>
                  <w:vMerge w:val="continue"/>
                  <w:tcBorders>
                    <w:tl2br w:val="nil"/>
                    <w:tr2bl w:val="nil"/>
                  </w:tcBorders>
                  <w:vAlign w:val="center"/>
                </w:tcPr>
                <w:p w14:paraId="70F7E49D">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565" w:type="pct"/>
                  <w:vMerge w:val="continue"/>
                  <w:tcBorders>
                    <w:tl2br w:val="nil"/>
                    <w:tr2bl w:val="nil"/>
                  </w:tcBorders>
                  <w:vAlign w:val="center"/>
                </w:tcPr>
                <w:p w14:paraId="7D6B0394">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755" w:type="pct"/>
                  <w:tcBorders>
                    <w:tl2br w:val="nil"/>
                    <w:tr2bl w:val="nil"/>
                  </w:tcBorders>
                  <w:vAlign w:val="center"/>
                </w:tcPr>
                <w:p w14:paraId="4C54E2AA">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900-217-08</w:t>
                  </w:r>
                </w:p>
              </w:tc>
              <w:tc>
                <w:tcPr>
                  <w:tcW w:w="518" w:type="pct"/>
                  <w:tcBorders>
                    <w:tl2br w:val="nil"/>
                    <w:tr2bl w:val="nil"/>
                  </w:tcBorders>
                  <w:vAlign w:val="center"/>
                </w:tcPr>
                <w:p w14:paraId="413ED069">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半固体</w:t>
                  </w:r>
                </w:p>
              </w:tc>
              <w:tc>
                <w:tcPr>
                  <w:tcW w:w="751" w:type="pct"/>
                  <w:tcBorders>
                    <w:tl2br w:val="nil"/>
                    <w:tr2bl w:val="nil"/>
                  </w:tcBorders>
                  <w:vAlign w:val="center"/>
                </w:tcPr>
                <w:p w14:paraId="585252CA">
                  <w:pPr>
                    <w:spacing w:line="240" w:lineRule="auto"/>
                    <w:ind w:firstLine="0" w:firstLineChars="0"/>
                    <w:jc w:val="center"/>
                    <w:rPr>
                      <w:rFonts w:hint="default" w:ascii="Times New Roman" w:hAnsi="Times New Roman" w:eastAsia="宋体" w:cs="Times New Roman"/>
                      <w:color w:val="auto"/>
                      <w:sz w:val="21"/>
                      <w:szCs w:val="21"/>
                    </w:rPr>
                  </w:pPr>
                  <w:r>
                    <w:rPr>
                      <w:rFonts w:hint="eastAsia" w:cs="Times New Roman"/>
                      <w:color w:val="auto"/>
                      <w:spacing w:val="-6"/>
                      <w:sz w:val="21"/>
                      <w:szCs w:val="21"/>
                      <w:highlight w:val="none"/>
                      <w:lang w:val="en-US" w:eastAsia="zh-CN"/>
                    </w:rPr>
                    <w:t>0.005</w:t>
                  </w:r>
                </w:p>
              </w:tc>
              <w:tc>
                <w:tcPr>
                  <w:tcW w:w="502" w:type="pct"/>
                  <w:vMerge w:val="continue"/>
                  <w:tcBorders>
                    <w:tl2br w:val="nil"/>
                    <w:tr2bl w:val="nil"/>
                  </w:tcBorders>
                  <w:vAlign w:val="center"/>
                </w:tcPr>
                <w:p w14:paraId="77F6A50D">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699" w:type="pct"/>
                  <w:vMerge w:val="continue"/>
                  <w:tcBorders>
                    <w:tl2br w:val="nil"/>
                    <w:tr2bl w:val="nil"/>
                  </w:tcBorders>
                  <w:vAlign w:val="center"/>
                </w:tcPr>
                <w:p w14:paraId="3A52E2DF">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r>
            <w:tr w14:paraId="479E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214" w:type="pct"/>
                  <w:tcBorders>
                    <w:tl2br w:val="nil"/>
                    <w:tr2bl w:val="nil"/>
                  </w:tcBorders>
                  <w:vAlign w:val="center"/>
                </w:tcPr>
                <w:p w14:paraId="35C1CB5F">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620" w:type="pct"/>
                  <w:tcBorders>
                    <w:tl2br w:val="nil"/>
                    <w:tr2bl w:val="nil"/>
                  </w:tcBorders>
                  <w:vAlign w:val="center"/>
                </w:tcPr>
                <w:p w14:paraId="738EC194">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除尘灰</w:t>
                  </w:r>
                </w:p>
              </w:tc>
              <w:tc>
                <w:tcPr>
                  <w:tcW w:w="371" w:type="pct"/>
                  <w:vMerge w:val="restart"/>
                  <w:tcBorders>
                    <w:tl2br w:val="nil"/>
                    <w:tr2bl w:val="nil"/>
                  </w:tcBorders>
                  <w:vAlign w:val="center"/>
                </w:tcPr>
                <w:p w14:paraId="2E00F55F">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一般固废</w:t>
                  </w:r>
                </w:p>
              </w:tc>
              <w:tc>
                <w:tcPr>
                  <w:tcW w:w="565" w:type="pct"/>
                  <w:tcBorders>
                    <w:tl2br w:val="nil"/>
                    <w:tr2bl w:val="nil"/>
                  </w:tcBorders>
                  <w:vAlign w:val="center"/>
                </w:tcPr>
                <w:p w14:paraId="031CB210">
                  <w:pPr>
                    <w:pStyle w:val="56"/>
                    <w:keepNext w:val="0"/>
                    <w:keepLines w:val="0"/>
                    <w:pageBreakBefore w:val="0"/>
                    <w:widowControl w:val="0"/>
                    <w:kinsoku/>
                    <w:wordWrap w:val="0"/>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55" w:type="pct"/>
                  <w:tcBorders>
                    <w:tl2br w:val="nil"/>
                    <w:tr2bl w:val="nil"/>
                  </w:tcBorders>
                  <w:vAlign w:val="center"/>
                </w:tcPr>
                <w:p w14:paraId="37235ABD">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518" w:type="pct"/>
                  <w:vMerge w:val="restart"/>
                  <w:tcBorders>
                    <w:tl2br w:val="nil"/>
                    <w:tr2bl w:val="nil"/>
                  </w:tcBorders>
                  <w:vAlign w:val="center"/>
                </w:tcPr>
                <w:p w14:paraId="3C3AC340">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固态</w:t>
                  </w:r>
                </w:p>
              </w:tc>
              <w:tc>
                <w:tcPr>
                  <w:tcW w:w="751" w:type="pct"/>
                  <w:tcBorders>
                    <w:tl2br w:val="nil"/>
                    <w:tr2bl w:val="nil"/>
                  </w:tcBorders>
                  <w:vAlign w:val="center"/>
                </w:tcPr>
                <w:p w14:paraId="7B68B9D5">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73.88</w:t>
                  </w:r>
                  <w:r>
                    <w:rPr>
                      <w:rFonts w:hint="default" w:ascii="Times New Roman" w:hAnsi="Times New Roman" w:eastAsia="宋体" w:cs="Times New Roman"/>
                      <w:color w:val="auto"/>
                      <w:sz w:val="21"/>
                      <w:szCs w:val="21"/>
                      <w:lang w:val="en-US" w:eastAsia="zh-CN"/>
                    </w:rPr>
                    <w:t>t/a</w:t>
                  </w:r>
                </w:p>
              </w:tc>
              <w:tc>
                <w:tcPr>
                  <w:tcW w:w="502" w:type="pct"/>
                  <w:vMerge w:val="restart"/>
                  <w:tcBorders>
                    <w:tl2br w:val="nil"/>
                    <w:tr2bl w:val="nil"/>
                  </w:tcBorders>
                  <w:vAlign w:val="center"/>
                </w:tcPr>
                <w:p w14:paraId="20C2EDB3">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定期清理</w:t>
                  </w:r>
                </w:p>
              </w:tc>
              <w:tc>
                <w:tcPr>
                  <w:tcW w:w="699" w:type="pct"/>
                  <w:vMerge w:val="restart"/>
                  <w:tcBorders>
                    <w:tl2br w:val="nil"/>
                    <w:tr2bl w:val="nil"/>
                  </w:tcBorders>
                  <w:vAlign w:val="center"/>
                </w:tcPr>
                <w:p w14:paraId="38379443">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回用于生产</w:t>
                  </w:r>
                </w:p>
              </w:tc>
            </w:tr>
            <w:tr w14:paraId="051A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214" w:type="pct"/>
                  <w:tcBorders>
                    <w:tl2br w:val="nil"/>
                    <w:tr2bl w:val="nil"/>
                  </w:tcBorders>
                  <w:vAlign w:val="center"/>
                </w:tcPr>
                <w:p w14:paraId="69FA0227">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620" w:type="pct"/>
                  <w:tcBorders>
                    <w:tl2br w:val="nil"/>
                    <w:tr2bl w:val="nil"/>
                  </w:tcBorders>
                  <w:vAlign w:val="center"/>
                </w:tcPr>
                <w:p w14:paraId="41951AC1">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沉淀池泥沙</w:t>
                  </w:r>
                </w:p>
              </w:tc>
              <w:tc>
                <w:tcPr>
                  <w:tcW w:w="371" w:type="pct"/>
                  <w:vMerge w:val="continue"/>
                  <w:tcBorders>
                    <w:tl2br w:val="nil"/>
                    <w:tr2bl w:val="nil"/>
                  </w:tcBorders>
                  <w:vAlign w:val="center"/>
                </w:tcPr>
                <w:p w14:paraId="4C1A405C">
                  <w:pPr>
                    <w:pStyle w:val="56"/>
                    <w:keepNext w:val="0"/>
                    <w:keepLines w:val="0"/>
                    <w:pageBreakBefore w:val="0"/>
                    <w:widowControl w:val="0"/>
                    <w:kinsoku/>
                    <w:wordWrap w:val="0"/>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sz w:val="21"/>
                      <w:szCs w:val="21"/>
                    </w:rPr>
                  </w:pPr>
                </w:p>
              </w:tc>
              <w:tc>
                <w:tcPr>
                  <w:tcW w:w="565" w:type="pct"/>
                  <w:tcBorders>
                    <w:tl2br w:val="nil"/>
                    <w:tr2bl w:val="nil"/>
                  </w:tcBorders>
                  <w:vAlign w:val="center"/>
                </w:tcPr>
                <w:p w14:paraId="1D64BB66">
                  <w:pPr>
                    <w:pStyle w:val="56"/>
                    <w:keepNext w:val="0"/>
                    <w:keepLines w:val="0"/>
                    <w:pageBreakBefore w:val="0"/>
                    <w:widowControl w:val="0"/>
                    <w:kinsoku/>
                    <w:wordWrap w:val="0"/>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55" w:type="pct"/>
                  <w:tcBorders>
                    <w:tl2br w:val="nil"/>
                    <w:tr2bl w:val="nil"/>
                  </w:tcBorders>
                  <w:vAlign w:val="center"/>
                </w:tcPr>
                <w:p w14:paraId="44EAE250">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c>
                <w:tcPr>
                  <w:tcW w:w="518" w:type="pct"/>
                  <w:vMerge w:val="continue"/>
                  <w:tcBorders>
                    <w:tl2br w:val="nil"/>
                    <w:tr2bl w:val="nil"/>
                  </w:tcBorders>
                  <w:vAlign w:val="center"/>
                </w:tcPr>
                <w:p w14:paraId="16C91FA1">
                  <w:pPr>
                    <w:pStyle w:val="56"/>
                    <w:keepNext w:val="0"/>
                    <w:keepLines w:val="0"/>
                    <w:pageBreakBefore w:val="0"/>
                    <w:widowControl w:val="0"/>
                    <w:kinsoku/>
                    <w:wordWrap w:val="0"/>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sz w:val="21"/>
                      <w:szCs w:val="21"/>
                    </w:rPr>
                  </w:pPr>
                </w:p>
              </w:tc>
              <w:tc>
                <w:tcPr>
                  <w:tcW w:w="751" w:type="pct"/>
                  <w:tcBorders>
                    <w:tl2br w:val="nil"/>
                    <w:tr2bl w:val="nil"/>
                  </w:tcBorders>
                  <w:vAlign w:val="center"/>
                </w:tcPr>
                <w:p w14:paraId="08096EC0">
                  <w:pPr>
                    <w:pStyle w:val="56"/>
                    <w:keepNext w:val="0"/>
                    <w:keepLines w:val="0"/>
                    <w:pageBreakBefore w:val="0"/>
                    <w:widowControl w:val="0"/>
                    <w:shd w:val="clear" w:color="auto" w:fill="auto"/>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0.3t/a</w:t>
                  </w:r>
                </w:p>
              </w:tc>
              <w:tc>
                <w:tcPr>
                  <w:tcW w:w="502" w:type="pct"/>
                  <w:vMerge w:val="continue"/>
                  <w:tcBorders>
                    <w:tl2br w:val="nil"/>
                    <w:tr2bl w:val="nil"/>
                  </w:tcBorders>
                  <w:vAlign w:val="center"/>
                </w:tcPr>
                <w:p w14:paraId="361C7083">
                  <w:pPr>
                    <w:pStyle w:val="56"/>
                    <w:keepNext w:val="0"/>
                    <w:keepLines w:val="0"/>
                    <w:pageBreakBefore w:val="0"/>
                    <w:widowControl w:val="0"/>
                    <w:kinsoku/>
                    <w:wordWrap w:val="0"/>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699" w:type="pct"/>
                  <w:vMerge w:val="continue"/>
                  <w:tcBorders>
                    <w:tl2br w:val="nil"/>
                    <w:tr2bl w:val="nil"/>
                  </w:tcBorders>
                  <w:vAlign w:val="center"/>
                </w:tcPr>
                <w:p w14:paraId="103A50A6">
                  <w:pPr>
                    <w:pStyle w:val="56"/>
                    <w:keepNext w:val="0"/>
                    <w:keepLines w:val="0"/>
                    <w:pageBreakBefore w:val="0"/>
                    <w:widowControl w:val="0"/>
                    <w:kinsoku/>
                    <w:wordWrap w:val="0"/>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r>
            <w:tr w14:paraId="3DED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214" w:type="pct"/>
                  <w:tcBorders>
                    <w:tl2br w:val="nil"/>
                    <w:tr2bl w:val="nil"/>
                  </w:tcBorders>
                  <w:vAlign w:val="center"/>
                </w:tcPr>
                <w:p w14:paraId="68431AB9">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c>
                <w:tcPr>
                  <w:tcW w:w="620" w:type="pct"/>
                  <w:tcBorders>
                    <w:tl2br w:val="nil"/>
                    <w:tr2bl w:val="nil"/>
                  </w:tcBorders>
                  <w:vAlign w:val="center"/>
                </w:tcPr>
                <w:p w14:paraId="5139E749">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生活垃圾</w:t>
                  </w:r>
                </w:p>
              </w:tc>
              <w:tc>
                <w:tcPr>
                  <w:tcW w:w="371" w:type="pct"/>
                  <w:vMerge w:val="continue"/>
                  <w:tcBorders>
                    <w:tl2br w:val="nil"/>
                    <w:tr2bl w:val="nil"/>
                  </w:tcBorders>
                  <w:vAlign w:val="center"/>
                </w:tcPr>
                <w:p w14:paraId="028FC8A8">
                  <w:pPr>
                    <w:pStyle w:val="56"/>
                    <w:keepNext w:val="0"/>
                    <w:keepLines w:val="0"/>
                    <w:pageBreakBefore w:val="0"/>
                    <w:widowControl w:val="0"/>
                    <w:kinsoku/>
                    <w:wordWrap w:val="0"/>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sz w:val="21"/>
                      <w:szCs w:val="21"/>
                    </w:rPr>
                  </w:pPr>
                </w:p>
              </w:tc>
              <w:tc>
                <w:tcPr>
                  <w:tcW w:w="565" w:type="pct"/>
                  <w:tcBorders>
                    <w:tl2br w:val="nil"/>
                    <w:tr2bl w:val="nil"/>
                  </w:tcBorders>
                  <w:vAlign w:val="center"/>
                </w:tcPr>
                <w:p w14:paraId="27037C36">
                  <w:pPr>
                    <w:pStyle w:val="56"/>
                    <w:keepNext w:val="0"/>
                    <w:keepLines w:val="0"/>
                    <w:pageBreakBefore w:val="0"/>
                    <w:widowControl w:val="0"/>
                    <w:kinsoku/>
                    <w:wordWrap w:val="0"/>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55" w:type="pct"/>
                  <w:tcBorders>
                    <w:tl2br w:val="nil"/>
                    <w:tr2bl w:val="nil"/>
                  </w:tcBorders>
                  <w:vAlign w:val="center"/>
                </w:tcPr>
                <w:p w14:paraId="74DDF042">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518" w:type="pct"/>
                  <w:vMerge w:val="continue"/>
                  <w:tcBorders>
                    <w:tl2br w:val="nil"/>
                    <w:tr2bl w:val="nil"/>
                  </w:tcBorders>
                  <w:vAlign w:val="center"/>
                </w:tcPr>
                <w:p w14:paraId="19E55EE3">
                  <w:pPr>
                    <w:pStyle w:val="56"/>
                    <w:keepNext w:val="0"/>
                    <w:keepLines w:val="0"/>
                    <w:pageBreakBefore w:val="0"/>
                    <w:widowControl w:val="0"/>
                    <w:kinsoku/>
                    <w:wordWrap w:val="0"/>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sz w:val="21"/>
                      <w:szCs w:val="21"/>
                    </w:rPr>
                  </w:pPr>
                </w:p>
              </w:tc>
              <w:tc>
                <w:tcPr>
                  <w:tcW w:w="751" w:type="pct"/>
                  <w:tcBorders>
                    <w:tl2br w:val="nil"/>
                    <w:tr2bl w:val="nil"/>
                  </w:tcBorders>
                  <w:vAlign w:val="center"/>
                </w:tcPr>
                <w:p w14:paraId="3DB45878">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3.44</w:t>
                  </w:r>
                  <w:r>
                    <w:rPr>
                      <w:rFonts w:hint="default" w:ascii="Times New Roman" w:hAnsi="Times New Roman" w:eastAsia="宋体" w:cs="Times New Roman"/>
                      <w:color w:val="auto"/>
                      <w:sz w:val="21"/>
                      <w:szCs w:val="21"/>
                      <w:lang w:val="en-US" w:eastAsia="zh-CN"/>
                    </w:rPr>
                    <w:t>t/a</w:t>
                  </w:r>
                </w:p>
              </w:tc>
              <w:tc>
                <w:tcPr>
                  <w:tcW w:w="502" w:type="pct"/>
                  <w:tcBorders>
                    <w:tl2br w:val="nil"/>
                    <w:tr2bl w:val="nil"/>
                  </w:tcBorders>
                  <w:vAlign w:val="center"/>
                </w:tcPr>
                <w:p w14:paraId="43CDEA68">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垃圾</w:t>
                  </w:r>
                  <w:r>
                    <w:rPr>
                      <w:rFonts w:hint="eastAsia" w:ascii="Times New Roman" w:hAnsi="Times New Roman" w:eastAsia="宋体" w:cs="Times New Roman"/>
                      <w:color w:val="auto"/>
                      <w:sz w:val="21"/>
                      <w:szCs w:val="21"/>
                      <w:lang w:val="en-US" w:eastAsia="zh-CN"/>
                    </w:rPr>
                    <w:t>桶</w:t>
                  </w:r>
                </w:p>
              </w:tc>
              <w:tc>
                <w:tcPr>
                  <w:tcW w:w="699" w:type="pct"/>
                  <w:tcBorders>
                    <w:tl2br w:val="nil"/>
                    <w:tr2bl w:val="nil"/>
                  </w:tcBorders>
                  <w:vAlign w:val="center"/>
                </w:tcPr>
                <w:p w14:paraId="208277E8">
                  <w:pPr>
                    <w:pStyle w:val="5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环卫部门定期清运处置</w:t>
                  </w:r>
                </w:p>
              </w:tc>
            </w:tr>
          </w:tbl>
          <w:p w14:paraId="3E473D3D">
            <w:pPr>
              <w:keepNext w:val="0"/>
              <w:keepLines w:val="0"/>
              <w:pageBreakBefore w:val="0"/>
              <w:widowControl/>
              <w:suppressLineNumbers w:val="0"/>
              <w:wordWrap w:val="0"/>
              <w:bidi w:val="0"/>
              <w:ind w:left="0" w:leftChars="0"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综上，本项目固废均得到妥善处置，不会对周边环境产生二次污染对环境影响较小。</w:t>
            </w:r>
          </w:p>
          <w:p w14:paraId="4A300E4C">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80" w:firstLineChars="200"/>
              <w:jc w:val="both"/>
              <w:textAlignment w:val="auto"/>
              <w:rPr>
                <w:rFonts w:hint="default" w:ascii="Times New Roman" w:hAnsi="Times New Roman" w:eastAsia="宋体" w:cs="Times New Roman"/>
                <w:b w:val="0"/>
                <w:bCs/>
                <w:color w:val="auto"/>
                <w:kern w:val="0"/>
                <w:sz w:val="24"/>
                <w:lang w:val="en-US" w:eastAsia="zh-CN"/>
              </w:rPr>
            </w:pPr>
            <w:r>
              <w:rPr>
                <w:rFonts w:hint="default" w:ascii="Times New Roman" w:hAnsi="Times New Roman" w:eastAsia="宋体" w:cs="Times New Roman"/>
                <w:b w:val="0"/>
                <w:bCs/>
                <w:color w:val="auto"/>
                <w:kern w:val="0"/>
                <w:sz w:val="24"/>
                <w:lang w:val="en-US" w:eastAsia="zh-CN"/>
              </w:rPr>
              <w:t>本项目设置</w:t>
            </w:r>
            <w:r>
              <w:rPr>
                <w:rFonts w:hint="eastAsia" w:cs="Times New Roman"/>
                <w:b w:val="0"/>
                <w:bCs/>
                <w:color w:val="auto"/>
                <w:kern w:val="0"/>
                <w:sz w:val="24"/>
                <w:lang w:val="en-US" w:eastAsia="zh-CN"/>
              </w:rPr>
              <w:t>危废贮存点</w:t>
            </w:r>
            <w:r>
              <w:rPr>
                <w:rFonts w:hint="default" w:ascii="Times New Roman" w:hAnsi="Times New Roman" w:eastAsia="宋体" w:cs="Times New Roman"/>
                <w:b w:val="0"/>
                <w:bCs/>
                <w:color w:val="auto"/>
                <w:kern w:val="0"/>
                <w:sz w:val="24"/>
                <w:lang w:val="en-US" w:eastAsia="zh-CN"/>
              </w:rPr>
              <w:t>用于临时储存危废，运营过程中，对暂存的危险废物，要按照国家有关规定，认真执行向环保行政主管部门申报制度及危险废物转移联单制度。危险废物暂存间设置要求如下：</w:t>
            </w:r>
          </w:p>
          <w:p w14:paraId="76EE4470">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80" w:firstLineChars="200"/>
              <w:jc w:val="both"/>
              <w:textAlignment w:val="auto"/>
              <w:rPr>
                <w:rFonts w:hint="default" w:ascii="Times New Roman" w:hAnsi="Times New Roman" w:eastAsia="宋体" w:cs="Times New Roman"/>
                <w:b w:val="0"/>
                <w:bCs/>
                <w:color w:val="auto"/>
                <w:kern w:val="0"/>
                <w:sz w:val="24"/>
                <w:lang w:val="en-US" w:eastAsia="zh-CN"/>
              </w:rPr>
            </w:pPr>
            <w:r>
              <w:rPr>
                <w:rFonts w:hint="default" w:ascii="Times New Roman" w:hAnsi="Times New Roman" w:eastAsia="宋体" w:cs="Times New Roman"/>
                <w:b w:val="0"/>
                <w:bCs/>
                <w:color w:val="auto"/>
                <w:kern w:val="0"/>
                <w:sz w:val="24"/>
                <w:lang w:val="en-US" w:eastAsia="zh-CN"/>
              </w:rPr>
              <w:t>生成危险废物的工序，必须设置专用的危险废物收集容器，产生的危险废物随时放置在容器中，绝不能和其他废物一起混合收集，定期运往危险废物暂存场所。委托处置的危险废物应定期交由危险废物处置单位处置。危险废物在暂存场所内不能存储1年以上。</w:t>
            </w:r>
          </w:p>
          <w:p w14:paraId="1170DCC3">
            <w:pPr>
              <w:rPr>
                <w:rFonts w:hint="default" w:ascii="Times New Roman" w:hAnsi="Times New Roman" w:cs="Times New Roman"/>
                <w:color w:val="auto"/>
                <w:sz w:val="24"/>
              </w:rPr>
            </w:pPr>
          </w:p>
          <w:p w14:paraId="396879C3">
            <w:pPr>
              <w:pStyle w:val="2"/>
              <w:rPr>
                <w:rFonts w:hint="default" w:ascii="Times New Roman" w:hAnsi="Times New Roman" w:cs="Times New Roman"/>
                <w:color w:val="auto"/>
                <w:sz w:val="24"/>
              </w:rPr>
            </w:pPr>
          </w:p>
          <w:p w14:paraId="33D54520">
            <w:pPr>
              <w:pageBreakBefore w:val="0"/>
              <w:wordWrap w:val="0"/>
              <w:bidi w:val="0"/>
              <w:ind w:left="0" w:leftChars="0" w:firstLine="0" w:firstLineChars="0"/>
              <w:rPr>
                <w:rFonts w:hint="default" w:ascii="Times New Roman" w:hAnsi="Times New Roman" w:cs="Times New Roman"/>
                <w:color w:val="0000FF"/>
                <w:lang w:val="en-US" w:eastAsia="zh-CN"/>
              </w:rPr>
            </w:pPr>
          </w:p>
        </w:tc>
      </w:tr>
    </w:tbl>
    <w:p w14:paraId="3A8C6F73">
      <w:pPr>
        <w:pageBreakBefore w:val="0"/>
        <w:wordWrap w:val="0"/>
        <w:bidi w:val="0"/>
        <w:rPr>
          <w:rFonts w:hint="eastAsia"/>
          <w:color w:val="0000FF"/>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6FFD8F18">
      <w:pPr>
        <w:pStyle w:val="5"/>
        <w:pageBreakBefore w:val="0"/>
        <w:wordWrap w:val="0"/>
        <w:bidi w:val="0"/>
        <w:spacing w:line="240" w:lineRule="auto"/>
        <w:jc w:val="center"/>
        <w:rPr>
          <w:color w:val="auto"/>
        </w:rPr>
      </w:pPr>
      <w:bookmarkStart w:id="5" w:name="_Toc20815"/>
      <w:r>
        <w:rPr>
          <w:rFonts w:hint="eastAsia"/>
          <w:color w:val="auto"/>
        </w:rPr>
        <w:t>五、</w:t>
      </w:r>
      <w:bookmarkStart w:id="6" w:name="_Hlk54167917"/>
      <w:r>
        <w:rPr>
          <w:rFonts w:hint="eastAsia"/>
          <w:color w:val="auto"/>
        </w:rPr>
        <w:t>环境保护措施监督检查清单</w:t>
      </w:r>
      <w:bookmarkEnd w:id="5"/>
      <w:bookmarkEnd w:id="6"/>
    </w:p>
    <w:tbl>
      <w:tblPr>
        <w:tblStyle w:val="2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697"/>
        <w:gridCol w:w="1875"/>
        <w:gridCol w:w="2229"/>
        <w:gridCol w:w="2056"/>
      </w:tblGrid>
      <w:tr w14:paraId="42E2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97" w:type="dxa"/>
            <w:tcBorders>
              <w:tl2br w:val="nil"/>
              <w:tr2bl w:val="nil"/>
            </w:tcBorders>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63EDC056">
            <w:pPr>
              <w:pStyle w:val="37"/>
              <w:pageBreakBefore w:val="0"/>
              <w:wordWrap w:val="0"/>
              <w:bidi w:val="0"/>
              <w:snapToGrid w:val="0"/>
              <w:spacing w:line="240" w:lineRule="auto"/>
              <w:jc w:val="left"/>
              <mc:AlternateContent>
                <mc:Choice Requires="wpsCustomData">
                  <wpsCustomData:diagonalParaType/>
                </mc:Choice>
              </mc:AlternateContent>
              <w:rPr>
                <w:rFonts w:hint="eastAsia"/>
                <w:b/>
                <w:bCs/>
                <w:color w:val="auto"/>
                <w:sz w:val="21"/>
                <w:szCs w:val="21"/>
              </w:rPr>
            </w:pPr>
            <w:r>
              <w:rPr>
                <w:rFonts w:hint="eastAsia"/>
                <w:b/>
                <w:bCs/>
                <w:color w:val="auto"/>
                <w:sz w:val="21"/>
                <w:szCs w:val="21"/>
              </w:rPr>
              <w:t>要素</w:t>
            </w:r>
          </w:p>
          <w:p w14:paraId="6AF46C12">
            <w:pPr>
              <w:pStyle w:val="37"/>
              <w:pageBreakBefore w:val="0"/>
              <w:wordWrap w:val="0"/>
              <w:bidi w:val="0"/>
              <w:spacing w:line="240" w:lineRule="auto"/>
              <w:jc w:val="center"/>
              <w:rPr>
                <w:rFonts w:hint="eastAsia"/>
                <w:b/>
                <w:bCs/>
                <w:color w:val="auto"/>
                <w:sz w:val="21"/>
                <w:szCs w:val="21"/>
              </w:rPr>
            </w:pPr>
            <w:r>
              <w:rPr>
                <w:rFonts w:hint="eastAsia"/>
                <w:b/>
                <w:bCs/>
                <w:color w:val="auto"/>
                <w:sz w:val="21"/>
                <w:szCs w:val="21"/>
              </w:rPr>
              <w:t>内容</w:t>
            </w:r>
          </w:p>
        </w:tc>
        <w:tc>
          <w:tcPr>
            <w:tcW w:w="1697" w:type="dxa"/>
            <w:tcBorders>
              <w:tl2br w:val="nil"/>
              <w:tr2bl w:val="nil"/>
            </w:tcBorders>
            <w:noWrap w:val="0"/>
            <w:vAlign w:val="center"/>
          </w:tcPr>
          <w:p w14:paraId="789340AE">
            <w:pPr>
              <w:pStyle w:val="37"/>
              <w:pageBreakBefore w:val="0"/>
              <w:wordWrap w:val="0"/>
              <w:bidi w:val="0"/>
              <w:spacing w:line="240" w:lineRule="auto"/>
              <w:rPr>
                <w:rFonts w:hint="eastAsia"/>
                <w:b/>
                <w:bCs/>
                <w:color w:val="auto"/>
                <w:sz w:val="21"/>
                <w:szCs w:val="21"/>
              </w:rPr>
            </w:pPr>
            <w:r>
              <w:rPr>
                <w:rFonts w:hint="eastAsia"/>
                <w:b/>
                <w:bCs/>
                <w:color w:val="auto"/>
                <w:sz w:val="21"/>
                <w:szCs w:val="21"/>
              </w:rPr>
              <w:t>排放口</w:t>
            </w:r>
            <w:r>
              <w:rPr>
                <w:rFonts w:hint="eastAsia"/>
                <w:b/>
                <w:bCs/>
                <w:color w:val="auto"/>
                <w:sz w:val="21"/>
                <w:szCs w:val="21"/>
                <w:lang w:eastAsia="zh-CN"/>
              </w:rPr>
              <w:t>（</w:t>
            </w:r>
            <w:r>
              <w:rPr>
                <w:rFonts w:hint="eastAsia"/>
                <w:b/>
                <w:bCs/>
                <w:color w:val="auto"/>
                <w:sz w:val="21"/>
                <w:szCs w:val="21"/>
              </w:rPr>
              <w:t>编号、名称</w:t>
            </w:r>
            <w:r>
              <w:rPr>
                <w:rFonts w:hint="eastAsia"/>
                <w:b/>
                <w:bCs/>
                <w:color w:val="auto"/>
                <w:sz w:val="21"/>
                <w:szCs w:val="21"/>
                <w:lang w:eastAsia="zh-CN"/>
              </w:rPr>
              <w:t>）</w:t>
            </w:r>
            <w:r>
              <w:rPr>
                <w:rFonts w:hint="eastAsia"/>
                <w:b/>
                <w:bCs/>
                <w:color w:val="auto"/>
                <w:sz w:val="21"/>
                <w:szCs w:val="21"/>
              </w:rPr>
              <w:t>/污染源</w:t>
            </w:r>
          </w:p>
        </w:tc>
        <w:tc>
          <w:tcPr>
            <w:tcW w:w="1875" w:type="dxa"/>
            <w:tcBorders>
              <w:tl2br w:val="nil"/>
              <w:tr2bl w:val="nil"/>
            </w:tcBorders>
            <w:noWrap w:val="0"/>
            <w:vAlign w:val="center"/>
          </w:tcPr>
          <w:p w14:paraId="59CBA07E">
            <w:pPr>
              <w:pStyle w:val="37"/>
              <w:pageBreakBefore w:val="0"/>
              <w:wordWrap w:val="0"/>
              <w:bidi w:val="0"/>
              <w:spacing w:line="240" w:lineRule="auto"/>
              <w:jc w:val="center"/>
              <w:rPr>
                <w:rFonts w:hint="eastAsia"/>
                <w:b/>
                <w:bCs/>
                <w:color w:val="auto"/>
                <w:sz w:val="21"/>
                <w:szCs w:val="21"/>
              </w:rPr>
            </w:pPr>
            <w:r>
              <w:rPr>
                <w:rFonts w:hint="eastAsia"/>
                <w:b/>
                <w:bCs/>
                <w:color w:val="auto"/>
                <w:sz w:val="21"/>
                <w:szCs w:val="21"/>
              </w:rPr>
              <w:t>污染物项目</w:t>
            </w:r>
          </w:p>
        </w:tc>
        <w:tc>
          <w:tcPr>
            <w:tcW w:w="2229" w:type="dxa"/>
            <w:tcBorders>
              <w:tl2br w:val="nil"/>
              <w:tr2bl w:val="nil"/>
            </w:tcBorders>
            <w:noWrap w:val="0"/>
            <w:vAlign w:val="center"/>
          </w:tcPr>
          <w:p w14:paraId="6109E125">
            <w:pPr>
              <w:pStyle w:val="37"/>
              <w:pageBreakBefore w:val="0"/>
              <w:wordWrap w:val="0"/>
              <w:bidi w:val="0"/>
              <w:spacing w:line="240" w:lineRule="auto"/>
              <w:jc w:val="center"/>
              <w:rPr>
                <w:rFonts w:hint="eastAsia"/>
                <w:b/>
                <w:bCs/>
                <w:color w:val="auto"/>
                <w:sz w:val="21"/>
                <w:szCs w:val="21"/>
              </w:rPr>
            </w:pPr>
            <w:r>
              <w:rPr>
                <w:rFonts w:hint="eastAsia"/>
                <w:b/>
                <w:bCs/>
                <w:color w:val="auto"/>
                <w:sz w:val="21"/>
                <w:szCs w:val="21"/>
              </w:rPr>
              <w:t>环境保护措施</w:t>
            </w:r>
          </w:p>
        </w:tc>
        <w:tc>
          <w:tcPr>
            <w:tcW w:w="2056" w:type="dxa"/>
            <w:tcBorders>
              <w:tl2br w:val="nil"/>
              <w:tr2bl w:val="nil"/>
            </w:tcBorders>
            <w:noWrap w:val="0"/>
            <w:vAlign w:val="center"/>
          </w:tcPr>
          <w:p w14:paraId="3148FBED">
            <w:pPr>
              <w:pStyle w:val="37"/>
              <w:pageBreakBefore w:val="0"/>
              <w:wordWrap w:val="0"/>
              <w:bidi w:val="0"/>
              <w:spacing w:line="240" w:lineRule="auto"/>
              <w:rPr>
                <w:rFonts w:hint="eastAsia"/>
                <w:b/>
                <w:bCs/>
                <w:color w:val="auto"/>
                <w:sz w:val="21"/>
                <w:szCs w:val="21"/>
              </w:rPr>
            </w:pPr>
            <w:r>
              <w:rPr>
                <w:rFonts w:hint="eastAsia"/>
                <w:b/>
                <w:bCs/>
                <w:color w:val="auto"/>
                <w:sz w:val="21"/>
                <w:szCs w:val="21"/>
              </w:rPr>
              <w:t>执行标准</w:t>
            </w:r>
          </w:p>
        </w:tc>
      </w:tr>
      <w:tr w14:paraId="41DD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97" w:type="dxa"/>
            <w:vMerge w:val="restart"/>
            <w:tcBorders>
              <w:tl2br w:val="nil"/>
              <w:tr2bl w:val="nil"/>
            </w:tcBorders>
            <w:noWrap w:val="0"/>
            <w:vAlign w:val="center"/>
          </w:tcPr>
          <w:p w14:paraId="1912B1A6">
            <w:pPr>
              <w:pStyle w:val="37"/>
              <w:pageBreakBefore w:val="0"/>
              <w:wordWrap w:val="0"/>
              <w:bidi w:val="0"/>
              <w:spacing w:line="240" w:lineRule="auto"/>
              <w:rPr>
                <w:rFonts w:hint="eastAsia"/>
                <w:color w:val="auto"/>
                <w:sz w:val="21"/>
                <w:szCs w:val="21"/>
              </w:rPr>
            </w:pPr>
            <w:r>
              <w:rPr>
                <w:rFonts w:hint="eastAsia"/>
                <w:color w:val="auto"/>
                <w:sz w:val="21"/>
                <w:szCs w:val="21"/>
              </w:rPr>
              <w:t>大气环境</w:t>
            </w:r>
          </w:p>
        </w:tc>
        <w:tc>
          <w:tcPr>
            <w:tcW w:w="1697" w:type="dxa"/>
            <w:tcBorders>
              <w:tl2br w:val="nil"/>
              <w:tr2bl w:val="nil"/>
            </w:tcBorders>
            <w:noWrap w:val="0"/>
            <w:vAlign w:val="center"/>
          </w:tcPr>
          <w:p w14:paraId="315B3E57">
            <w:pPr>
              <w:pStyle w:val="36"/>
              <w:pageBreakBefore w:val="0"/>
              <w:wordWrap w:val="0"/>
              <w:bidi w:val="0"/>
              <w:spacing w:line="240" w:lineRule="auto"/>
              <w:ind w:left="0" w:leftChars="0" w:firstLine="0" w:firstLine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混凝土搅拌粉尘（DA001、DA002）</w:t>
            </w:r>
          </w:p>
        </w:tc>
        <w:tc>
          <w:tcPr>
            <w:tcW w:w="1875" w:type="dxa"/>
            <w:vMerge w:val="restart"/>
            <w:tcBorders>
              <w:tl2br w:val="nil"/>
              <w:tr2bl w:val="nil"/>
            </w:tcBorders>
            <w:noWrap w:val="0"/>
            <w:vAlign w:val="center"/>
          </w:tcPr>
          <w:p w14:paraId="6D28B13D">
            <w:pPr>
              <w:pStyle w:val="37"/>
              <w:pageBreakBefore w:val="0"/>
              <w:wordWrap w:val="0"/>
              <w:bidi w:val="0"/>
              <w:spacing w:line="240" w:lineRule="auto"/>
              <w:jc w:val="center"/>
              <w:rPr>
                <w:rFonts w:hint="default"/>
                <w:color w:val="auto"/>
                <w:sz w:val="21"/>
                <w:szCs w:val="21"/>
                <w:lang w:val="en-US" w:eastAsia="zh-CN"/>
              </w:rPr>
            </w:pPr>
            <w:r>
              <w:rPr>
                <w:rFonts w:hint="eastAsia"/>
                <w:color w:val="auto"/>
                <w:sz w:val="21"/>
                <w:szCs w:val="21"/>
                <w:lang w:val="en-US" w:eastAsia="zh-CN"/>
              </w:rPr>
              <w:t>颗粒物</w:t>
            </w:r>
          </w:p>
        </w:tc>
        <w:tc>
          <w:tcPr>
            <w:tcW w:w="2229" w:type="dxa"/>
            <w:tcBorders>
              <w:tl2br w:val="nil"/>
              <w:tr2bl w:val="nil"/>
            </w:tcBorders>
            <w:noWrap w:val="0"/>
            <w:vAlign w:val="center"/>
          </w:tcPr>
          <w:p w14:paraId="2A636925">
            <w:pPr>
              <w:pStyle w:val="37"/>
              <w:pageBreakBefore w:val="0"/>
              <w:wordWrap w:val="0"/>
              <w:bidi w:val="0"/>
              <w:spacing w:line="240" w:lineRule="auto"/>
              <w:jc w:val="center"/>
              <w:rPr>
                <w:rFonts w:hint="default"/>
                <w:color w:val="auto"/>
                <w:sz w:val="21"/>
                <w:szCs w:val="21"/>
                <w:lang w:val="en-US" w:eastAsia="zh-CN"/>
              </w:rPr>
            </w:pPr>
            <w:r>
              <w:rPr>
                <w:rFonts w:hint="eastAsia"/>
                <w:color w:val="auto"/>
                <w:sz w:val="21"/>
                <w:szCs w:val="21"/>
                <w:lang w:val="en-US" w:eastAsia="zh-CN"/>
              </w:rPr>
              <w:t>集气罩+</w:t>
            </w:r>
            <w:r>
              <w:rPr>
                <w:rFonts w:hint="eastAsia"/>
                <w:color w:val="auto"/>
                <w:sz w:val="21"/>
                <w:szCs w:val="21"/>
              </w:rPr>
              <w:t>布袋除尘器</w:t>
            </w:r>
            <w:r>
              <w:rPr>
                <w:rFonts w:hint="eastAsia"/>
                <w:color w:val="auto"/>
                <w:sz w:val="21"/>
                <w:szCs w:val="21"/>
                <w:lang w:val="en-US" w:eastAsia="zh-CN"/>
              </w:rPr>
              <w:t>+15m高排气筒</w:t>
            </w:r>
          </w:p>
        </w:tc>
        <w:tc>
          <w:tcPr>
            <w:tcW w:w="2056" w:type="dxa"/>
            <w:vMerge w:val="restart"/>
            <w:tcBorders>
              <w:tl2br w:val="nil"/>
              <w:tr2bl w:val="nil"/>
            </w:tcBorders>
            <w:noWrap w:val="0"/>
            <w:vAlign w:val="center"/>
          </w:tcPr>
          <w:p w14:paraId="35D631B3">
            <w:pPr>
              <w:pStyle w:val="37"/>
              <w:pageBreakBefore w:val="0"/>
              <w:wordWrap w:val="0"/>
              <w:bidi w:val="0"/>
              <w:spacing w:line="240" w:lineRule="auto"/>
              <w:rPr>
                <w:rFonts w:hint="default"/>
                <w:color w:val="auto"/>
                <w:sz w:val="21"/>
                <w:szCs w:val="21"/>
                <w:lang w:val="en-US" w:eastAsia="zh-CN"/>
              </w:rPr>
            </w:pPr>
            <w:r>
              <w:rPr>
                <w:rFonts w:hint="eastAsia"/>
                <w:color w:val="auto"/>
                <w:sz w:val="21"/>
                <w:szCs w:val="21"/>
              </w:rPr>
              <w:t>《水泥工业大气污染物排放标准》（GB4915-2013）</w:t>
            </w:r>
          </w:p>
        </w:tc>
      </w:tr>
      <w:tr w14:paraId="58EC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497" w:type="dxa"/>
            <w:vMerge w:val="continue"/>
            <w:tcBorders>
              <w:tl2br w:val="nil"/>
              <w:tr2bl w:val="nil"/>
            </w:tcBorders>
            <w:noWrap w:val="0"/>
            <w:vAlign w:val="center"/>
          </w:tcPr>
          <w:p w14:paraId="08E20D34">
            <w:pPr>
              <w:pStyle w:val="37"/>
              <w:pageBreakBefore w:val="0"/>
              <w:wordWrap w:val="0"/>
              <w:bidi w:val="0"/>
              <w:spacing w:line="240" w:lineRule="auto"/>
              <w:rPr>
                <w:rFonts w:hint="eastAsia"/>
                <w:color w:val="auto"/>
                <w:sz w:val="21"/>
                <w:szCs w:val="21"/>
              </w:rPr>
            </w:pPr>
          </w:p>
        </w:tc>
        <w:tc>
          <w:tcPr>
            <w:tcW w:w="1697" w:type="dxa"/>
            <w:tcBorders>
              <w:tl2br w:val="nil"/>
              <w:tr2bl w:val="nil"/>
            </w:tcBorders>
            <w:noWrap w:val="0"/>
            <w:vAlign w:val="center"/>
          </w:tcPr>
          <w:p w14:paraId="481B2C0E">
            <w:pPr>
              <w:pStyle w:val="36"/>
              <w:pageBreakBefore w:val="0"/>
              <w:wordWrap w:val="0"/>
              <w:bidi w:val="0"/>
              <w:spacing w:line="240" w:lineRule="auto"/>
              <w:ind w:left="0" w:leftChars="0" w:firstLine="0" w:firstLineChars="0"/>
              <w:jc w:val="center"/>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color w:val="auto"/>
                <w:sz w:val="21"/>
                <w:szCs w:val="21"/>
                <w:lang w:val="en-US" w:eastAsia="zh-CN"/>
              </w:rPr>
              <w:t>筒仓</w:t>
            </w:r>
          </w:p>
        </w:tc>
        <w:tc>
          <w:tcPr>
            <w:tcW w:w="1875" w:type="dxa"/>
            <w:vMerge w:val="continue"/>
            <w:tcBorders>
              <w:tl2br w:val="nil"/>
              <w:tr2bl w:val="nil"/>
            </w:tcBorders>
            <w:noWrap w:val="0"/>
            <w:vAlign w:val="center"/>
          </w:tcPr>
          <w:p w14:paraId="0C2DE93E">
            <w:pPr>
              <w:pStyle w:val="37"/>
              <w:pageBreakBefore w:val="0"/>
              <w:wordWrap w:val="0"/>
              <w:bidi w:val="0"/>
              <w:spacing w:line="240" w:lineRule="auto"/>
              <w:jc w:val="center"/>
              <w:rPr>
                <w:rFonts w:hint="eastAsia"/>
                <w:color w:val="auto"/>
                <w:sz w:val="21"/>
                <w:szCs w:val="21"/>
                <w:lang w:val="en-US" w:eastAsia="zh-CN"/>
              </w:rPr>
            </w:pPr>
          </w:p>
        </w:tc>
        <w:tc>
          <w:tcPr>
            <w:tcW w:w="2229" w:type="dxa"/>
            <w:tcBorders>
              <w:tl2br w:val="nil"/>
              <w:tr2bl w:val="nil"/>
            </w:tcBorders>
            <w:noWrap w:val="0"/>
            <w:vAlign w:val="center"/>
          </w:tcPr>
          <w:p w14:paraId="4019A949">
            <w:pPr>
              <w:pageBreakBefore w:val="0"/>
              <w:wordWrap w:val="0"/>
              <w:bidi w:val="0"/>
              <w:spacing w:line="240" w:lineRule="auto"/>
              <w:ind w:left="0" w:leftChars="0" w:firstLine="0" w:firstLineChars="0"/>
              <w:jc w:val="center"/>
              <w:rPr>
                <w:rFonts w:hint="default"/>
                <w:color w:val="auto"/>
                <w:sz w:val="21"/>
                <w:szCs w:val="21"/>
              </w:rPr>
            </w:pPr>
            <w:r>
              <w:rPr>
                <w:rFonts w:hint="eastAsia" w:cs="Times New Roman"/>
                <w:color w:val="auto"/>
                <w:sz w:val="21"/>
                <w:szCs w:val="21"/>
                <w:lang w:val="en-US" w:eastAsia="zh-CN"/>
              </w:rPr>
              <w:t>布袋除尘器</w:t>
            </w:r>
          </w:p>
        </w:tc>
        <w:tc>
          <w:tcPr>
            <w:tcW w:w="2056" w:type="dxa"/>
            <w:vMerge w:val="continue"/>
            <w:tcBorders>
              <w:tl2br w:val="nil"/>
              <w:tr2bl w:val="nil"/>
            </w:tcBorders>
            <w:noWrap w:val="0"/>
            <w:vAlign w:val="center"/>
          </w:tcPr>
          <w:p w14:paraId="4352D9B6">
            <w:pPr>
              <w:pStyle w:val="37"/>
              <w:pageBreakBefore w:val="0"/>
              <w:wordWrap w:val="0"/>
              <w:bidi w:val="0"/>
              <w:spacing w:line="240" w:lineRule="auto"/>
              <w:jc w:val="center"/>
              <w:rPr>
                <w:rFonts w:hint="default"/>
                <w:color w:val="auto"/>
                <w:sz w:val="21"/>
                <w:szCs w:val="21"/>
              </w:rPr>
            </w:pPr>
          </w:p>
        </w:tc>
      </w:tr>
      <w:tr w14:paraId="7502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97" w:type="dxa"/>
            <w:vMerge w:val="continue"/>
            <w:tcBorders>
              <w:tl2br w:val="nil"/>
              <w:tr2bl w:val="nil"/>
            </w:tcBorders>
            <w:noWrap w:val="0"/>
            <w:vAlign w:val="center"/>
          </w:tcPr>
          <w:p w14:paraId="4F4DEF8B">
            <w:pPr>
              <w:pStyle w:val="37"/>
              <w:pageBreakBefore w:val="0"/>
              <w:wordWrap w:val="0"/>
              <w:bidi w:val="0"/>
              <w:spacing w:line="240" w:lineRule="auto"/>
              <w:rPr>
                <w:rFonts w:hint="eastAsia"/>
                <w:color w:val="auto"/>
                <w:sz w:val="21"/>
                <w:szCs w:val="21"/>
              </w:rPr>
            </w:pPr>
          </w:p>
        </w:tc>
        <w:tc>
          <w:tcPr>
            <w:tcW w:w="1697" w:type="dxa"/>
            <w:tcBorders>
              <w:tl2br w:val="nil"/>
              <w:tr2bl w:val="nil"/>
            </w:tcBorders>
            <w:noWrap w:val="0"/>
            <w:vAlign w:val="center"/>
          </w:tcPr>
          <w:p w14:paraId="509CF660">
            <w:pPr>
              <w:pStyle w:val="36"/>
              <w:pageBreakBefore w:val="0"/>
              <w:wordWrap w:val="0"/>
              <w:bidi w:val="0"/>
              <w:spacing w:line="240" w:lineRule="auto"/>
              <w:ind w:left="0" w:leftChars="0"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砂石料堆场</w:t>
            </w:r>
          </w:p>
        </w:tc>
        <w:tc>
          <w:tcPr>
            <w:tcW w:w="1875" w:type="dxa"/>
            <w:vMerge w:val="continue"/>
            <w:tcBorders>
              <w:tl2br w:val="nil"/>
              <w:tr2bl w:val="nil"/>
            </w:tcBorders>
            <w:noWrap w:val="0"/>
            <w:vAlign w:val="center"/>
          </w:tcPr>
          <w:p w14:paraId="61D719E0">
            <w:pPr>
              <w:pStyle w:val="37"/>
              <w:pageBreakBefore w:val="0"/>
              <w:wordWrap w:val="0"/>
              <w:bidi w:val="0"/>
              <w:spacing w:line="240" w:lineRule="auto"/>
              <w:jc w:val="center"/>
              <w:rPr>
                <w:rFonts w:hint="eastAsia"/>
                <w:color w:val="auto"/>
                <w:sz w:val="21"/>
                <w:szCs w:val="21"/>
                <w:lang w:val="en-US" w:eastAsia="zh-CN"/>
              </w:rPr>
            </w:pPr>
          </w:p>
        </w:tc>
        <w:tc>
          <w:tcPr>
            <w:tcW w:w="2229" w:type="dxa"/>
            <w:tcBorders>
              <w:tl2br w:val="nil"/>
              <w:tr2bl w:val="nil"/>
            </w:tcBorders>
            <w:noWrap w:val="0"/>
            <w:vAlign w:val="center"/>
          </w:tcPr>
          <w:p w14:paraId="26CBE271">
            <w:pPr>
              <w:pStyle w:val="36"/>
              <w:pageBreakBefore w:val="0"/>
              <w:wordWrap w:val="0"/>
              <w:bidi w:val="0"/>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砂料堆场全封闭，</w:t>
            </w:r>
            <w:r>
              <w:rPr>
                <w:rFonts w:hint="eastAsia" w:cs="Times New Roman"/>
                <w:color w:val="auto"/>
                <w:kern w:val="2"/>
                <w:sz w:val="21"/>
                <w:szCs w:val="21"/>
                <w:lang w:val="en-US" w:eastAsia="zh-CN" w:bidi="ar-SA"/>
              </w:rPr>
              <w:t>碎石</w:t>
            </w:r>
            <w:r>
              <w:rPr>
                <w:rFonts w:hint="eastAsia" w:ascii="Times New Roman" w:hAnsi="Times New Roman" w:eastAsia="宋体" w:cs="Times New Roman"/>
                <w:color w:val="auto"/>
                <w:kern w:val="2"/>
                <w:sz w:val="21"/>
                <w:szCs w:val="21"/>
                <w:lang w:val="en-US" w:eastAsia="zh-CN" w:bidi="ar-SA"/>
              </w:rPr>
              <w:t>堆场防风抑尘网</w:t>
            </w:r>
            <w:r>
              <w:rPr>
                <w:rFonts w:hint="eastAsia" w:cs="Times New Roman"/>
                <w:color w:val="auto"/>
                <w:kern w:val="2"/>
                <w:sz w:val="21"/>
                <w:szCs w:val="21"/>
                <w:lang w:val="en-US" w:eastAsia="zh-CN" w:bidi="ar-SA"/>
              </w:rPr>
              <w:t>，洒水降尘</w:t>
            </w:r>
          </w:p>
        </w:tc>
        <w:tc>
          <w:tcPr>
            <w:tcW w:w="2056" w:type="dxa"/>
            <w:vMerge w:val="continue"/>
            <w:tcBorders>
              <w:tl2br w:val="nil"/>
              <w:tr2bl w:val="nil"/>
            </w:tcBorders>
            <w:noWrap w:val="0"/>
            <w:vAlign w:val="center"/>
          </w:tcPr>
          <w:p w14:paraId="30501174">
            <w:pPr>
              <w:pStyle w:val="37"/>
              <w:pageBreakBefore w:val="0"/>
              <w:wordWrap w:val="0"/>
              <w:bidi w:val="0"/>
              <w:spacing w:line="240" w:lineRule="auto"/>
              <w:jc w:val="center"/>
              <w:rPr>
                <w:rFonts w:hint="default"/>
                <w:color w:val="auto"/>
                <w:sz w:val="21"/>
                <w:szCs w:val="21"/>
              </w:rPr>
            </w:pPr>
          </w:p>
        </w:tc>
      </w:tr>
      <w:tr w14:paraId="36A3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97" w:type="dxa"/>
            <w:vMerge w:val="continue"/>
            <w:tcBorders>
              <w:tl2br w:val="nil"/>
              <w:tr2bl w:val="nil"/>
            </w:tcBorders>
            <w:noWrap w:val="0"/>
            <w:vAlign w:val="center"/>
          </w:tcPr>
          <w:p w14:paraId="5557B2DB">
            <w:pPr>
              <w:pageBreakBefore w:val="0"/>
              <w:wordWrap w:val="0"/>
              <w:bidi w:val="0"/>
              <w:spacing w:line="240" w:lineRule="auto"/>
              <w:ind w:firstLine="0" w:firstLineChars="0"/>
              <w:rPr>
                <w:rFonts w:hint="eastAsia"/>
                <w:color w:val="auto"/>
                <w:sz w:val="21"/>
                <w:szCs w:val="21"/>
              </w:rPr>
            </w:pPr>
          </w:p>
        </w:tc>
        <w:tc>
          <w:tcPr>
            <w:tcW w:w="1697" w:type="dxa"/>
            <w:tcBorders>
              <w:tl2br w:val="nil"/>
              <w:tr2bl w:val="nil"/>
            </w:tcBorders>
            <w:noWrap w:val="0"/>
            <w:vAlign w:val="center"/>
          </w:tcPr>
          <w:p w14:paraId="17563631">
            <w:pPr>
              <w:pStyle w:val="36"/>
              <w:pageBreakBefore w:val="0"/>
              <w:wordWrap w:val="0"/>
              <w:bidi w:val="0"/>
              <w:spacing w:line="240" w:lineRule="auto"/>
              <w:ind w:left="0" w:leftChars="0"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运输扬尘</w:t>
            </w:r>
          </w:p>
        </w:tc>
        <w:tc>
          <w:tcPr>
            <w:tcW w:w="1875" w:type="dxa"/>
            <w:vMerge w:val="continue"/>
            <w:tcBorders>
              <w:tl2br w:val="nil"/>
              <w:tr2bl w:val="nil"/>
            </w:tcBorders>
            <w:noWrap w:val="0"/>
            <w:vAlign w:val="center"/>
          </w:tcPr>
          <w:p w14:paraId="2B4CD2C2">
            <w:pPr>
              <w:pStyle w:val="37"/>
              <w:pageBreakBefore w:val="0"/>
              <w:wordWrap w:val="0"/>
              <w:bidi w:val="0"/>
              <w:spacing w:line="240" w:lineRule="auto"/>
              <w:jc w:val="center"/>
              <w:rPr>
                <w:rFonts w:hint="eastAsia"/>
                <w:color w:val="auto"/>
                <w:sz w:val="21"/>
                <w:szCs w:val="21"/>
              </w:rPr>
            </w:pPr>
          </w:p>
        </w:tc>
        <w:tc>
          <w:tcPr>
            <w:tcW w:w="2229" w:type="dxa"/>
            <w:tcBorders>
              <w:tl2br w:val="nil"/>
              <w:tr2bl w:val="nil"/>
            </w:tcBorders>
            <w:noWrap w:val="0"/>
            <w:vAlign w:val="center"/>
          </w:tcPr>
          <w:p w14:paraId="02100DE1">
            <w:pPr>
              <w:pStyle w:val="36"/>
              <w:pageBreakBefore w:val="0"/>
              <w:wordWrap w:val="0"/>
              <w:bidi w:val="0"/>
              <w:spacing w:line="240" w:lineRule="auto"/>
              <w:ind w:left="0" w:lef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车辆加盖苫布，减速慢行，</w:t>
            </w:r>
            <w:r>
              <w:rPr>
                <w:rFonts w:hint="eastAsia" w:cs="Times New Roman"/>
                <w:color w:val="auto"/>
                <w:kern w:val="2"/>
                <w:sz w:val="21"/>
                <w:szCs w:val="21"/>
                <w:lang w:val="en-US" w:eastAsia="zh-CN" w:bidi="ar-SA"/>
              </w:rPr>
              <w:t>并</w:t>
            </w:r>
            <w:r>
              <w:rPr>
                <w:rFonts w:hint="eastAsia" w:ascii="Times New Roman" w:hAnsi="Times New Roman" w:eastAsia="宋体" w:cs="Times New Roman"/>
                <w:color w:val="auto"/>
                <w:kern w:val="2"/>
                <w:sz w:val="21"/>
                <w:szCs w:val="21"/>
                <w:lang w:val="en-US" w:eastAsia="zh-CN" w:bidi="ar-SA"/>
              </w:rPr>
              <w:t>洒水降尘</w:t>
            </w:r>
          </w:p>
        </w:tc>
        <w:tc>
          <w:tcPr>
            <w:tcW w:w="2056" w:type="dxa"/>
            <w:vMerge w:val="continue"/>
            <w:tcBorders>
              <w:tl2br w:val="nil"/>
              <w:tr2bl w:val="nil"/>
            </w:tcBorders>
            <w:noWrap w:val="0"/>
            <w:vAlign w:val="center"/>
          </w:tcPr>
          <w:p w14:paraId="203F4E8A">
            <w:pPr>
              <w:pageBreakBefore w:val="0"/>
              <w:wordWrap w:val="0"/>
              <w:bidi w:val="0"/>
              <w:spacing w:line="240" w:lineRule="auto"/>
              <w:ind w:firstLine="0" w:firstLineChars="0"/>
              <w:jc w:val="center"/>
              <w:rPr>
                <w:rFonts w:hint="eastAsia"/>
                <w:color w:val="auto"/>
                <w:sz w:val="21"/>
                <w:szCs w:val="21"/>
              </w:rPr>
            </w:pPr>
          </w:p>
        </w:tc>
      </w:tr>
      <w:tr w14:paraId="4C77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497" w:type="dxa"/>
            <w:vMerge w:val="restart"/>
            <w:tcBorders>
              <w:tl2br w:val="nil"/>
              <w:tr2bl w:val="nil"/>
            </w:tcBorders>
            <w:noWrap w:val="0"/>
            <w:vAlign w:val="center"/>
          </w:tcPr>
          <w:p w14:paraId="180DCD1A">
            <w:pPr>
              <w:pStyle w:val="37"/>
              <w:pageBreakBefore w:val="0"/>
              <w:wordWrap w:val="0"/>
              <w:bidi w:val="0"/>
              <w:spacing w:line="240" w:lineRule="auto"/>
              <w:rPr>
                <w:rFonts w:hint="eastAsia"/>
                <w:color w:val="auto"/>
                <w:sz w:val="21"/>
                <w:szCs w:val="21"/>
              </w:rPr>
            </w:pPr>
            <w:r>
              <w:rPr>
                <w:rFonts w:hint="eastAsia"/>
                <w:color w:val="auto"/>
                <w:sz w:val="21"/>
                <w:szCs w:val="21"/>
              </w:rPr>
              <w:t>地表水环境</w:t>
            </w:r>
          </w:p>
        </w:tc>
        <w:tc>
          <w:tcPr>
            <w:tcW w:w="1697" w:type="dxa"/>
            <w:tcBorders>
              <w:tl2br w:val="nil"/>
              <w:tr2bl w:val="nil"/>
            </w:tcBorders>
            <w:noWrap w:val="0"/>
            <w:vAlign w:val="center"/>
          </w:tcPr>
          <w:p w14:paraId="419F2D4F">
            <w:pPr>
              <w:pStyle w:val="37"/>
              <w:keepNext w:val="0"/>
              <w:keepLines w:val="0"/>
              <w:pageBreakBefore w:val="0"/>
              <w:suppressLineNumbers w:val="0"/>
              <w:wordWrap w:val="0"/>
              <w:bidi w:val="0"/>
              <w:spacing w:before="0" w:beforeAutospacing="0" w:after="0" w:afterAutospacing="0" w:line="240" w:lineRule="auto"/>
              <w:ind w:left="0" w:leftChars="0" w:right="0" w:rightChars="0" w:firstLine="0" w:firstLineChars="0"/>
              <w:rPr>
                <w:rFonts w:hint="eastAsia"/>
                <w:color w:val="auto"/>
                <w:sz w:val="21"/>
                <w:szCs w:val="21"/>
                <w:lang w:val="en-US" w:eastAsia="zh-CN"/>
              </w:rPr>
            </w:pPr>
            <w:r>
              <w:rPr>
                <w:rFonts w:hint="eastAsia"/>
                <w:color w:val="auto"/>
                <w:sz w:val="21"/>
                <w:szCs w:val="21"/>
                <w:lang w:val="en-US" w:eastAsia="zh-CN"/>
              </w:rPr>
              <w:t>生活污水</w:t>
            </w:r>
          </w:p>
        </w:tc>
        <w:tc>
          <w:tcPr>
            <w:tcW w:w="1875" w:type="dxa"/>
            <w:tcBorders>
              <w:tl2br w:val="nil"/>
              <w:tr2bl w:val="nil"/>
            </w:tcBorders>
            <w:noWrap w:val="0"/>
            <w:vAlign w:val="center"/>
          </w:tcPr>
          <w:p w14:paraId="1ADBC0E6">
            <w:pPr>
              <w:pStyle w:val="37"/>
              <w:keepNext w:val="0"/>
              <w:keepLines w:val="0"/>
              <w:pageBreakBefore w:val="0"/>
              <w:suppressLineNumbers w:val="0"/>
              <w:wordWrap w:val="0"/>
              <w:bidi w:val="0"/>
              <w:spacing w:before="0" w:beforeAutospacing="0" w:after="0" w:afterAutospacing="0" w:line="240" w:lineRule="auto"/>
              <w:ind w:left="0" w:leftChars="0" w:right="0" w:rightChars="0" w:firstLine="0" w:firstLineChars="0"/>
              <w:jc w:val="center"/>
              <w:rPr>
                <w:rFonts w:hint="eastAsia"/>
                <w:color w:val="auto"/>
                <w:sz w:val="21"/>
                <w:szCs w:val="21"/>
              </w:rPr>
            </w:pPr>
            <w:r>
              <w:rPr>
                <w:rFonts w:hint="default"/>
                <w:color w:val="auto"/>
                <w:sz w:val="21"/>
                <w:szCs w:val="21"/>
                <w:lang w:val="en-US" w:eastAsia="zh-CN"/>
              </w:rPr>
              <w:t>COD、BOD</w:t>
            </w:r>
            <w:r>
              <w:rPr>
                <w:rFonts w:hint="default"/>
                <w:color w:val="auto"/>
                <w:sz w:val="21"/>
                <w:szCs w:val="21"/>
                <w:vertAlign w:val="subscript"/>
                <w:lang w:val="en-US" w:eastAsia="zh-CN"/>
              </w:rPr>
              <w:t>5</w:t>
            </w:r>
            <w:r>
              <w:rPr>
                <w:rFonts w:hint="default"/>
                <w:color w:val="auto"/>
                <w:sz w:val="21"/>
                <w:szCs w:val="21"/>
                <w:lang w:val="en-US" w:eastAsia="zh-CN"/>
              </w:rPr>
              <w:t>、SS、氨氮</w:t>
            </w:r>
            <w:r>
              <w:rPr>
                <w:rFonts w:hint="eastAsia"/>
                <w:color w:val="auto"/>
                <w:sz w:val="21"/>
                <w:szCs w:val="21"/>
                <w:lang w:val="en-US" w:eastAsia="zh-CN"/>
              </w:rPr>
              <w:t>、动植物油</w:t>
            </w:r>
          </w:p>
        </w:tc>
        <w:tc>
          <w:tcPr>
            <w:tcW w:w="2229" w:type="dxa"/>
            <w:tcBorders>
              <w:tl2br w:val="nil"/>
              <w:tr2bl w:val="nil"/>
            </w:tcBorders>
            <w:noWrap w:val="0"/>
            <w:vAlign w:val="center"/>
          </w:tcPr>
          <w:p w14:paraId="2376801A">
            <w:pPr>
              <w:pStyle w:val="37"/>
              <w:keepNext w:val="0"/>
              <w:keepLines w:val="0"/>
              <w:pageBreakBefore w:val="0"/>
              <w:suppressLineNumbers w:val="0"/>
              <w:wordWrap w:val="0"/>
              <w:bidi w:val="0"/>
              <w:spacing w:before="0" w:beforeAutospacing="0" w:after="0" w:afterAutospacing="0" w:line="240" w:lineRule="auto"/>
              <w:ind w:left="0" w:leftChars="0" w:right="0" w:rightChars="0" w:firstLine="0" w:firstLineChars="0"/>
              <w:jc w:val="center"/>
              <w:rPr>
                <w:rFonts w:hint="default"/>
                <w:color w:val="auto"/>
                <w:sz w:val="21"/>
                <w:szCs w:val="21"/>
                <w:lang w:val="en-US"/>
              </w:rPr>
            </w:pPr>
            <w:r>
              <w:rPr>
                <w:rFonts w:hint="eastAsia"/>
                <w:color w:val="auto"/>
                <w:sz w:val="21"/>
                <w:szCs w:val="21"/>
                <w:lang w:val="en-US" w:eastAsia="zh-CN"/>
              </w:rPr>
              <w:t>生活污水依托新疆亿丰矿业开发有限责任公司污水设施收集处理达标排放</w:t>
            </w:r>
          </w:p>
        </w:tc>
        <w:tc>
          <w:tcPr>
            <w:tcW w:w="2056" w:type="dxa"/>
            <w:tcBorders>
              <w:tl2br w:val="nil"/>
              <w:tr2bl w:val="nil"/>
            </w:tcBorders>
            <w:noWrap w:val="0"/>
            <w:vAlign w:val="center"/>
          </w:tcPr>
          <w:p w14:paraId="156F75AE">
            <w:pPr>
              <w:pStyle w:val="37"/>
              <w:keepNext w:val="0"/>
              <w:keepLines w:val="0"/>
              <w:pageBreakBefore w:val="0"/>
              <w:suppressLineNumbers w:val="0"/>
              <w:wordWrap w:val="0"/>
              <w:bidi w:val="0"/>
              <w:spacing w:before="0" w:beforeAutospacing="0" w:after="0" w:afterAutospacing="0" w:line="240" w:lineRule="auto"/>
              <w:ind w:left="0" w:leftChars="0" w:right="0" w:rightChars="0" w:firstLine="0" w:firstLineChars="0"/>
              <w:rPr>
                <w:rFonts w:hint="eastAsia" w:eastAsia="宋体"/>
                <w:color w:val="auto"/>
                <w:sz w:val="21"/>
                <w:szCs w:val="21"/>
                <w:lang w:val="en-US" w:eastAsia="zh-CN"/>
              </w:rPr>
            </w:pPr>
            <w:r>
              <w:rPr>
                <w:rFonts w:hint="eastAsia"/>
                <w:color w:val="auto"/>
                <w:sz w:val="21"/>
                <w:szCs w:val="21"/>
                <w:lang w:val="en-US" w:eastAsia="zh-CN"/>
              </w:rPr>
              <w:t>/</w:t>
            </w:r>
          </w:p>
        </w:tc>
      </w:tr>
      <w:tr w14:paraId="6A1B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497" w:type="dxa"/>
            <w:vMerge w:val="continue"/>
            <w:tcBorders>
              <w:tl2br w:val="nil"/>
              <w:tr2bl w:val="nil"/>
            </w:tcBorders>
            <w:noWrap w:val="0"/>
            <w:vAlign w:val="center"/>
          </w:tcPr>
          <w:p w14:paraId="6BC0E8E9">
            <w:pPr>
              <w:pStyle w:val="37"/>
              <w:pageBreakBefore w:val="0"/>
              <w:wordWrap w:val="0"/>
              <w:bidi w:val="0"/>
              <w:spacing w:line="240" w:lineRule="auto"/>
              <w:rPr>
                <w:rFonts w:hint="eastAsia"/>
                <w:color w:val="auto"/>
                <w:sz w:val="21"/>
                <w:szCs w:val="21"/>
              </w:rPr>
            </w:pPr>
          </w:p>
        </w:tc>
        <w:tc>
          <w:tcPr>
            <w:tcW w:w="1697" w:type="dxa"/>
            <w:tcBorders>
              <w:tl2br w:val="nil"/>
              <w:tr2bl w:val="nil"/>
            </w:tcBorders>
            <w:noWrap w:val="0"/>
            <w:vAlign w:val="center"/>
          </w:tcPr>
          <w:p w14:paraId="65C52E59">
            <w:pPr>
              <w:pStyle w:val="37"/>
              <w:pageBreakBefore w:val="0"/>
              <w:wordWrap w:val="0"/>
              <w:bidi w:val="0"/>
              <w:spacing w:line="240" w:lineRule="auto"/>
              <w:rPr>
                <w:rFonts w:hint="eastAsia"/>
                <w:color w:val="auto"/>
                <w:sz w:val="21"/>
                <w:szCs w:val="21"/>
                <w:lang w:val="en-US" w:eastAsia="zh-CN"/>
              </w:rPr>
            </w:pPr>
            <w:r>
              <w:rPr>
                <w:rFonts w:hint="eastAsia"/>
                <w:color w:val="auto"/>
                <w:sz w:val="21"/>
                <w:szCs w:val="21"/>
                <w:lang w:val="en-US" w:eastAsia="zh-CN"/>
              </w:rPr>
              <w:t>冲洗废水</w:t>
            </w:r>
          </w:p>
        </w:tc>
        <w:tc>
          <w:tcPr>
            <w:tcW w:w="1875" w:type="dxa"/>
            <w:tcBorders>
              <w:tl2br w:val="nil"/>
              <w:tr2bl w:val="nil"/>
            </w:tcBorders>
            <w:noWrap w:val="0"/>
            <w:vAlign w:val="center"/>
          </w:tcPr>
          <w:p w14:paraId="2C4DF5B0">
            <w:pPr>
              <w:pStyle w:val="37"/>
              <w:pageBreakBefore w:val="0"/>
              <w:wordWrap w:val="0"/>
              <w:bidi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SS</w:t>
            </w:r>
          </w:p>
        </w:tc>
        <w:tc>
          <w:tcPr>
            <w:tcW w:w="2229" w:type="dxa"/>
            <w:tcBorders>
              <w:tl2br w:val="nil"/>
              <w:tr2bl w:val="nil"/>
            </w:tcBorders>
            <w:noWrap w:val="0"/>
            <w:vAlign w:val="center"/>
          </w:tcPr>
          <w:p w14:paraId="02DD7276">
            <w:pPr>
              <w:pStyle w:val="37"/>
              <w:pageBreakBefore w:val="0"/>
              <w:wordWrap w:val="0"/>
              <w:bidi w:val="0"/>
              <w:spacing w:line="240" w:lineRule="auto"/>
              <w:jc w:val="center"/>
              <w:rPr>
                <w:rFonts w:hint="eastAsia"/>
                <w:color w:val="auto"/>
                <w:sz w:val="21"/>
                <w:szCs w:val="21"/>
                <w:lang w:eastAsia="zh-CN"/>
              </w:rPr>
            </w:pPr>
            <w:r>
              <w:rPr>
                <w:rFonts w:hint="eastAsia"/>
                <w:color w:val="auto"/>
                <w:sz w:val="21"/>
                <w:szCs w:val="21"/>
              </w:rPr>
              <w:t>沉淀</w:t>
            </w:r>
            <w:r>
              <w:rPr>
                <w:rFonts w:hint="eastAsia"/>
                <w:color w:val="auto"/>
                <w:sz w:val="21"/>
                <w:szCs w:val="21"/>
                <w:lang w:val="en-US" w:eastAsia="zh-CN"/>
              </w:rPr>
              <w:t>后</w:t>
            </w:r>
            <w:r>
              <w:rPr>
                <w:rFonts w:hint="eastAsia"/>
                <w:color w:val="auto"/>
                <w:sz w:val="21"/>
                <w:szCs w:val="21"/>
              </w:rPr>
              <w:t>回用生产</w:t>
            </w:r>
          </w:p>
        </w:tc>
        <w:tc>
          <w:tcPr>
            <w:tcW w:w="2056" w:type="dxa"/>
            <w:tcBorders>
              <w:tl2br w:val="nil"/>
              <w:tr2bl w:val="nil"/>
            </w:tcBorders>
            <w:noWrap w:val="0"/>
            <w:vAlign w:val="center"/>
          </w:tcPr>
          <w:p w14:paraId="5446975C">
            <w:pPr>
              <w:pStyle w:val="37"/>
              <w:keepNext w:val="0"/>
              <w:keepLines w:val="0"/>
              <w:pageBreakBefore w:val="0"/>
              <w:suppressLineNumbers w:val="0"/>
              <w:wordWrap w:val="0"/>
              <w:bidi w:val="0"/>
              <w:spacing w:before="0" w:beforeAutospacing="0" w:after="0" w:afterAutospacing="0" w:line="240" w:lineRule="auto"/>
              <w:ind w:left="0" w:leftChars="0" w:right="0" w:rightChars="0" w:firstLine="0" w:firstLineChars="0"/>
              <w:rPr>
                <w:rFonts w:hint="default"/>
                <w:color w:val="auto"/>
                <w:sz w:val="21"/>
                <w:szCs w:val="21"/>
                <w:lang w:val="en-US" w:eastAsia="zh-CN"/>
              </w:rPr>
            </w:pPr>
            <w:r>
              <w:rPr>
                <w:rFonts w:hint="eastAsia"/>
                <w:color w:val="auto"/>
                <w:sz w:val="21"/>
                <w:szCs w:val="21"/>
                <w:lang w:val="en-US" w:eastAsia="zh-CN"/>
              </w:rPr>
              <w:t>/</w:t>
            </w:r>
          </w:p>
        </w:tc>
      </w:tr>
      <w:tr w14:paraId="2745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7" w:type="dxa"/>
            <w:tcBorders>
              <w:tl2br w:val="nil"/>
              <w:tr2bl w:val="nil"/>
            </w:tcBorders>
            <w:noWrap w:val="0"/>
            <w:vAlign w:val="center"/>
          </w:tcPr>
          <w:p w14:paraId="4A0D0910">
            <w:pPr>
              <w:pStyle w:val="37"/>
              <w:pageBreakBefore w:val="0"/>
              <w:wordWrap w:val="0"/>
              <w:bidi w:val="0"/>
              <w:spacing w:line="240" w:lineRule="auto"/>
              <w:rPr>
                <w:rFonts w:hint="eastAsia"/>
                <w:color w:val="auto"/>
                <w:sz w:val="21"/>
                <w:szCs w:val="21"/>
              </w:rPr>
            </w:pPr>
            <w:r>
              <w:rPr>
                <w:rFonts w:hint="eastAsia"/>
                <w:color w:val="auto"/>
                <w:sz w:val="21"/>
                <w:szCs w:val="21"/>
              </w:rPr>
              <w:t>声环境</w:t>
            </w:r>
          </w:p>
        </w:tc>
        <w:tc>
          <w:tcPr>
            <w:tcW w:w="1697" w:type="dxa"/>
            <w:tcBorders>
              <w:tl2br w:val="nil"/>
              <w:tr2bl w:val="nil"/>
            </w:tcBorders>
            <w:noWrap w:val="0"/>
            <w:vAlign w:val="center"/>
          </w:tcPr>
          <w:p w14:paraId="69C8760B">
            <w:pPr>
              <w:pStyle w:val="37"/>
              <w:pageBreakBefore w:val="0"/>
              <w:wordWrap w:val="0"/>
              <w:bidi w:val="0"/>
              <w:spacing w:line="240" w:lineRule="auto"/>
              <w:rPr>
                <w:rFonts w:hint="default"/>
                <w:color w:val="auto"/>
                <w:sz w:val="21"/>
                <w:szCs w:val="21"/>
                <w:lang w:val="en-US" w:eastAsia="zh-CN"/>
              </w:rPr>
            </w:pPr>
            <w:r>
              <w:rPr>
                <w:rFonts w:hint="eastAsia"/>
                <w:color w:val="auto"/>
                <w:sz w:val="21"/>
                <w:szCs w:val="21"/>
                <w:lang w:val="en-US" w:eastAsia="zh-CN"/>
              </w:rPr>
              <w:t>厂界</w:t>
            </w:r>
          </w:p>
        </w:tc>
        <w:tc>
          <w:tcPr>
            <w:tcW w:w="1875" w:type="dxa"/>
            <w:tcBorders>
              <w:tl2br w:val="nil"/>
              <w:tr2bl w:val="nil"/>
            </w:tcBorders>
            <w:noWrap w:val="0"/>
            <w:vAlign w:val="center"/>
          </w:tcPr>
          <w:p w14:paraId="2EBBE2BA">
            <w:pPr>
              <w:pStyle w:val="37"/>
              <w:pageBreakBefore w:val="0"/>
              <w:wordWrap w:val="0"/>
              <w:bidi w:val="0"/>
              <w:spacing w:line="240" w:lineRule="auto"/>
              <w:jc w:val="center"/>
              <w:rPr>
                <w:rFonts w:hint="eastAsia"/>
                <w:color w:val="auto"/>
                <w:sz w:val="21"/>
                <w:szCs w:val="21"/>
                <w:lang w:val="en-US" w:eastAsia="zh-CN"/>
              </w:rPr>
            </w:pPr>
            <w:r>
              <w:rPr>
                <w:rFonts w:hint="default"/>
                <w:color w:val="auto"/>
                <w:sz w:val="21"/>
                <w:szCs w:val="21"/>
              </w:rPr>
              <w:t>等效A声级</w:t>
            </w:r>
          </w:p>
        </w:tc>
        <w:tc>
          <w:tcPr>
            <w:tcW w:w="2229" w:type="dxa"/>
            <w:tcBorders>
              <w:tl2br w:val="nil"/>
              <w:tr2bl w:val="nil"/>
            </w:tcBorders>
            <w:noWrap w:val="0"/>
            <w:vAlign w:val="center"/>
          </w:tcPr>
          <w:p w14:paraId="3B93ECBC">
            <w:pPr>
              <w:pStyle w:val="37"/>
              <w:pageBreakBefore w:val="0"/>
              <w:wordWrap w:val="0"/>
              <w:bidi w:val="0"/>
              <w:spacing w:line="240" w:lineRule="auto"/>
              <w:jc w:val="center"/>
              <w:rPr>
                <w:rFonts w:hint="eastAsia"/>
                <w:color w:val="auto"/>
                <w:sz w:val="21"/>
                <w:szCs w:val="21"/>
              </w:rPr>
            </w:pPr>
            <w:r>
              <w:rPr>
                <w:rFonts w:hint="eastAsia"/>
                <w:color w:val="auto"/>
                <w:sz w:val="21"/>
                <w:szCs w:val="21"/>
                <w:lang w:val="en-US" w:eastAsia="zh-CN"/>
              </w:rPr>
              <w:t>选用</w:t>
            </w:r>
            <w:r>
              <w:rPr>
                <w:rFonts w:hint="default"/>
                <w:color w:val="auto"/>
                <w:sz w:val="21"/>
                <w:szCs w:val="21"/>
              </w:rPr>
              <w:t>低噪声设备，</w:t>
            </w:r>
            <w:r>
              <w:rPr>
                <w:rFonts w:hint="default"/>
                <w:color w:val="auto"/>
                <w:sz w:val="21"/>
                <w:szCs w:val="21"/>
                <w:lang w:val="en-US" w:eastAsia="zh-CN"/>
              </w:rPr>
              <w:t>基础减震、</w:t>
            </w:r>
            <w:r>
              <w:rPr>
                <w:rFonts w:hint="default"/>
                <w:color w:val="auto"/>
                <w:sz w:val="21"/>
                <w:szCs w:val="21"/>
              </w:rPr>
              <w:t>隔声</w:t>
            </w:r>
            <w:r>
              <w:rPr>
                <w:rFonts w:hint="default"/>
                <w:color w:val="auto"/>
                <w:sz w:val="21"/>
                <w:szCs w:val="21"/>
                <w:lang w:val="en-US" w:eastAsia="zh-CN"/>
              </w:rPr>
              <w:t>等措施</w:t>
            </w:r>
          </w:p>
        </w:tc>
        <w:tc>
          <w:tcPr>
            <w:tcW w:w="2056" w:type="dxa"/>
            <w:tcBorders>
              <w:tl2br w:val="nil"/>
              <w:tr2bl w:val="nil"/>
            </w:tcBorders>
            <w:noWrap w:val="0"/>
            <w:vAlign w:val="center"/>
          </w:tcPr>
          <w:p w14:paraId="110FF238">
            <w:pPr>
              <w:pStyle w:val="37"/>
              <w:pageBreakBefore w:val="0"/>
              <w:wordWrap w:val="0"/>
              <w:bidi w:val="0"/>
              <w:spacing w:line="240" w:lineRule="auto"/>
              <w:rPr>
                <w:rFonts w:hint="eastAsia"/>
                <w:color w:val="auto"/>
                <w:sz w:val="21"/>
                <w:szCs w:val="21"/>
              </w:rPr>
            </w:pPr>
            <w:r>
              <w:rPr>
                <w:rFonts w:hint="default"/>
                <w:color w:val="auto"/>
                <w:sz w:val="21"/>
                <w:szCs w:val="21"/>
              </w:rPr>
              <w:t>《工业企业厂界环境噪声排放标准》中</w:t>
            </w:r>
            <w:r>
              <w:rPr>
                <w:rFonts w:hint="eastAsia"/>
                <w:color w:val="auto"/>
                <w:sz w:val="21"/>
                <w:szCs w:val="21"/>
                <w:lang w:val="en-US" w:eastAsia="zh-CN"/>
              </w:rPr>
              <w:t>2</w:t>
            </w:r>
            <w:r>
              <w:rPr>
                <w:rFonts w:hint="default"/>
                <w:color w:val="auto"/>
                <w:sz w:val="21"/>
                <w:szCs w:val="21"/>
              </w:rPr>
              <w:t>类标准限值</w:t>
            </w:r>
          </w:p>
        </w:tc>
      </w:tr>
      <w:tr w14:paraId="0549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97" w:type="dxa"/>
            <w:tcBorders>
              <w:tl2br w:val="nil"/>
              <w:tr2bl w:val="nil"/>
            </w:tcBorders>
            <w:noWrap w:val="0"/>
            <w:vAlign w:val="center"/>
          </w:tcPr>
          <w:p w14:paraId="30601975">
            <w:pPr>
              <w:pStyle w:val="37"/>
              <w:pageBreakBefore w:val="0"/>
              <w:wordWrap w:val="0"/>
              <w:bidi w:val="0"/>
              <w:spacing w:line="240" w:lineRule="auto"/>
              <w:rPr>
                <w:rFonts w:hint="eastAsia"/>
                <w:color w:val="auto"/>
                <w:sz w:val="21"/>
                <w:szCs w:val="21"/>
              </w:rPr>
            </w:pPr>
            <w:r>
              <w:rPr>
                <w:rFonts w:hint="eastAsia"/>
                <w:color w:val="auto"/>
                <w:sz w:val="21"/>
                <w:szCs w:val="21"/>
              </w:rPr>
              <w:t>电磁辐射</w:t>
            </w:r>
          </w:p>
        </w:tc>
        <w:tc>
          <w:tcPr>
            <w:tcW w:w="1697" w:type="dxa"/>
            <w:tcBorders>
              <w:tl2br w:val="nil"/>
              <w:tr2bl w:val="nil"/>
            </w:tcBorders>
            <w:noWrap w:val="0"/>
            <w:vAlign w:val="center"/>
          </w:tcPr>
          <w:p w14:paraId="48AD11EE">
            <w:pPr>
              <w:pStyle w:val="37"/>
              <w:pageBreakBefore w:val="0"/>
              <w:wordWrap w:val="0"/>
              <w:bidi w:val="0"/>
              <w:spacing w:line="240" w:lineRule="auto"/>
              <w:rPr>
                <w:rFonts w:hint="eastAsia"/>
                <w:color w:val="auto"/>
                <w:sz w:val="21"/>
                <w:szCs w:val="21"/>
                <w:lang w:val="en-US" w:eastAsia="zh-CN"/>
              </w:rPr>
            </w:pPr>
            <w:r>
              <w:rPr>
                <w:rFonts w:hint="eastAsia"/>
                <w:color w:val="auto"/>
                <w:sz w:val="21"/>
                <w:szCs w:val="21"/>
                <w:lang w:val="en-US" w:eastAsia="zh-CN"/>
              </w:rPr>
              <w:t>/</w:t>
            </w:r>
          </w:p>
        </w:tc>
        <w:tc>
          <w:tcPr>
            <w:tcW w:w="1875" w:type="dxa"/>
            <w:tcBorders>
              <w:tl2br w:val="nil"/>
              <w:tr2bl w:val="nil"/>
            </w:tcBorders>
            <w:noWrap w:val="0"/>
            <w:vAlign w:val="center"/>
          </w:tcPr>
          <w:p w14:paraId="08332640">
            <w:pPr>
              <w:pStyle w:val="37"/>
              <w:pageBreakBefore w:val="0"/>
              <w:wordWrap w:val="0"/>
              <w:bidi w:val="0"/>
              <w:spacing w:line="240" w:lineRule="auto"/>
              <w:rPr>
                <w:rFonts w:hint="eastAsia"/>
                <w:color w:val="auto"/>
                <w:sz w:val="21"/>
                <w:szCs w:val="21"/>
              </w:rPr>
            </w:pPr>
            <w:r>
              <w:rPr>
                <w:rFonts w:hint="eastAsia"/>
                <w:color w:val="auto"/>
                <w:sz w:val="21"/>
                <w:szCs w:val="21"/>
                <w:lang w:val="en-US" w:eastAsia="zh-CN"/>
              </w:rPr>
              <w:t>/</w:t>
            </w:r>
          </w:p>
        </w:tc>
        <w:tc>
          <w:tcPr>
            <w:tcW w:w="2229" w:type="dxa"/>
            <w:tcBorders>
              <w:tl2br w:val="nil"/>
              <w:tr2bl w:val="nil"/>
            </w:tcBorders>
            <w:noWrap w:val="0"/>
            <w:vAlign w:val="center"/>
          </w:tcPr>
          <w:p w14:paraId="3AC7E2CD">
            <w:pPr>
              <w:pStyle w:val="37"/>
              <w:pageBreakBefore w:val="0"/>
              <w:wordWrap w:val="0"/>
              <w:bidi w:val="0"/>
              <w:spacing w:line="240" w:lineRule="auto"/>
              <w:rPr>
                <w:rFonts w:hint="eastAsia"/>
                <w:color w:val="auto"/>
                <w:sz w:val="21"/>
                <w:szCs w:val="21"/>
              </w:rPr>
            </w:pPr>
            <w:r>
              <w:rPr>
                <w:rFonts w:hint="eastAsia"/>
                <w:color w:val="auto"/>
                <w:sz w:val="21"/>
                <w:szCs w:val="21"/>
                <w:lang w:val="en-US" w:eastAsia="zh-CN"/>
              </w:rPr>
              <w:t>/</w:t>
            </w:r>
          </w:p>
        </w:tc>
        <w:tc>
          <w:tcPr>
            <w:tcW w:w="2056" w:type="dxa"/>
            <w:tcBorders>
              <w:tl2br w:val="nil"/>
              <w:tr2bl w:val="nil"/>
            </w:tcBorders>
            <w:noWrap w:val="0"/>
            <w:vAlign w:val="center"/>
          </w:tcPr>
          <w:p w14:paraId="1743D1EA">
            <w:pPr>
              <w:pStyle w:val="37"/>
              <w:pageBreakBefore w:val="0"/>
              <w:wordWrap w:val="0"/>
              <w:bidi w:val="0"/>
              <w:spacing w:line="240" w:lineRule="auto"/>
              <w:rPr>
                <w:rFonts w:hint="eastAsia"/>
                <w:color w:val="auto"/>
                <w:sz w:val="21"/>
                <w:szCs w:val="21"/>
              </w:rPr>
            </w:pPr>
            <w:r>
              <w:rPr>
                <w:rFonts w:hint="eastAsia"/>
                <w:color w:val="auto"/>
                <w:sz w:val="21"/>
                <w:szCs w:val="21"/>
                <w:lang w:val="en-US" w:eastAsia="zh-CN"/>
              </w:rPr>
              <w:t>/</w:t>
            </w:r>
          </w:p>
        </w:tc>
      </w:tr>
      <w:tr w14:paraId="4F44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97" w:type="dxa"/>
            <w:tcBorders>
              <w:tl2br w:val="nil"/>
              <w:tr2bl w:val="nil"/>
            </w:tcBorders>
            <w:noWrap w:val="0"/>
            <w:vAlign w:val="center"/>
          </w:tcPr>
          <w:p w14:paraId="6893B711">
            <w:pPr>
              <w:pStyle w:val="37"/>
              <w:pageBreakBefore w:val="0"/>
              <w:wordWrap w:val="0"/>
              <w:bidi w:val="0"/>
              <w:rPr>
                <w:rFonts w:hint="eastAsia"/>
                <w:color w:val="auto"/>
                <w:sz w:val="21"/>
                <w:szCs w:val="21"/>
              </w:rPr>
            </w:pPr>
            <w:r>
              <w:rPr>
                <w:rFonts w:hint="eastAsia"/>
                <w:color w:val="auto"/>
                <w:sz w:val="21"/>
                <w:szCs w:val="21"/>
              </w:rPr>
              <w:t>固体废物</w:t>
            </w:r>
          </w:p>
        </w:tc>
        <w:tc>
          <w:tcPr>
            <w:tcW w:w="7857" w:type="dxa"/>
            <w:gridSpan w:val="4"/>
            <w:tcBorders>
              <w:tl2br w:val="nil"/>
              <w:tr2bl w:val="nil"/>
            </w:tcBorders>
            <w:noWrap w:val="0"/>
            <w:vAlign w:val="center"/>
          </w:tcPr>
          <w:p w14:paraId="6343F822">
            <w:pPr>
              <w:keepNext w:val="0"/>
              <w:keepLines w:val="0"/>
              <w:pageBreakBefore w:val="0"/>
              <w:widowControl/>
              <w:suppressLineNumbers w:val="0"/>
              <w:wordWrap w:val="0"/>
              <w:bidi w:val="0"/>
              <w:spacing w:line="240" w:lineRule="auto"/>
              <w:ind w:left="0" w:leftChars="0" w:firstLine="0" w:firstLineChars="0"/>
              <w:jc w:val="center"/>
              <w:rPr>
                <w:rFonts w:hint="default"/>
                <w:color w:val="auto"/>
                <w:sz w:val="21"/>
                <w:szCs w:val="21"/>
                <w:lang w:val="en-US"/>
              </w:rPr>
            </w:pPr>
            <w:r>
              <w:rPr>
                <w:rFonts w:hint="eastAsia"/>
                <w:color w:val="auto"/>
                <w:sz w:val="21"/>
                <w:szCs w:val="21"/>
              </w:rPr>
              <w:t>生活垃圾分类收集，集中交由环卫部门统一清运卫生填埋</w:t>
            </w:r>
            <w:r>
              <w:rPr>
                <w:rFonts w:hint="eastAsia"/>
                <w:color w:val="auto"/>
                <w:sz w:val="21"/>
                <w:szCs w:val="21"/>
                <w:lang w:val="en-US" w:eastAsia="zh-CN"/>
              </w:rPr>
              <w:t>；</w:t>
            </w:r>
            <w:r>
              <w:rPr>
                <w:rFonts w:hint="eastAsia" w:ascii="宋体" w:hAnsi="宋体" w:eastAsia="宋体" w:cs="宋体"/>
                <w:color w:val="auto"/>
                <w:kern w:val="0"/>
                <w:sz w:val="21"/>
                <w:szCs w:val="21"/>
                <w:lang w:val="en-US" w:eastAsia="zh-CN" w:bidi="ar"/>
              </w:rPr>
              <w:t>除尘灰</w:t>
            </w:r>
            <w:r>
              <w:rPr>
                <w:rFonts w:hint="eastAsia" w:ascii="宋体" w:hAnsi="宋体" w:cs="宋体"/>
                <w:color w:val="auto"/>
                <w:kern w:val="0"/>
                <w:sz w:val="21"/>
                <w:szCs w:val="21"/>
                <w:lang w:val="en-US" w:eastAsia="zh-CN" w:bidi="ar"/>
              </w:rPr>
              <w:t>、沉淀池泥沙均</w:t>
            </w:r>
            <w:r>
              <w:rPr>
                <w:rFonts w:hint="eastAsia" w:ascii="宋体" w:hAnsi="宋体" w:eastAsia="宋体" w:cs="宋体"/>
                <w:color w:val="auto"/>
                <w:kern w:val="0"/>
                <w:sz w:val="21"/>
                <w:szCs w:val="21"/>
                <w:lang w:val="en-US" w:eastAsia="zh-CN" w:bidi="ar"/>
              </w:rPr>
              <w:t>全部回用于生产</w:t>
            </w:r>
            <w:r>
              <w:rPr>
                <w:rFonts w:hint="eastAsia" w:ascii="宋体" w:hAnsi="宋体" w:cs="宋体"/>
                <w:color w:val="auto"/>
                <w:kern w:val="0"/>
                <w:sz w:val="21"/>
                <w:szCs w:val="21"/>
                <w:lang w:val="en-US" w:eastAsia="zh-CN" w:bidi="ar"/>
              </w:rPr>
              <w:t>；危险废物暂存于危废贮存点，定期交由有资质的单位处置。</w:t>
            </w:r>
          </w:p>
        </w:tc>
      </w:tr>
      <w:tr w14:paraId="459A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97" w:type="dxa"/>
            <w:tcBorders>
              <w:tl2br w:val="nil"/>
              <w:tr2bl w:val="nil"/>
            </w:tcBorders>
            <w:noWrap w:val="0"/>
            <w:vAlign w:val="center"/>
          </w:tcPr>
          <w:p w14:paraId="6A392AB4">
            <w:pPr>
              <w:pStyle w:val="37"/>
              <w:pageBreakBefore w:val="0"/>
              <w:wordWrap w:val="0"/>
              <w:bidi w:val="0"/>
              <w:rPr>
                <w:rFonts w:hint="eastAsia"/>
                <w:color w:val="auto"/>
                <w:sz w:val="21"/>
                <w:szCs w:val="21"/>
              </w:rPr>
            </w:pPr>
            <w:r>
              <w:rPr>
                <w:rFonts w:hint="eastAsia"/>
                <w:color w:val="auto"/>
                <w:sz w:val="21"/>
                <w:szCs w:val="21"/>
              </w:rPr>
              <w:t>土壤及地下水污染防治措施</w:t>
            </w:r>
          </w:p>
        </w:tc>
        <w:tc>
          <w:tcPr>
            <w:tcW w:w="7857" w:type="dxa"/>
            <w:gridSpan w:val="4"/>
            <w:tcBorders>
              <w:tl2br w:val="nil"/>
              <w:tr2bl w:val="nil"/>
            </w:tcBorders>
            <w:noWrap w:val="0"/>
            <w:vAlign w:val="center"/>
          </w:tcPr>
          <w:p w14:paraId="3763C09B">
            <w:pPr>
              <w:pageBreakBefore w:val="0"/>
              <w:wordWrap w:val="0"/>
              <w:bidi w:val="0"/>
              <w:spacing w:line="240" w:lineRule="auto"/>
              <w:rPr>
                <w:rFonts w:hint="eastAsia"/>
                <w:color w:val="auto"/>
                <w:sz w:val="21"/>
                <w:szCs w:val="21"/>
              </w:rPr>
            </w:pPr>
            <w:r>
              <w:rPr>
                <w:rFonts w:hint="eastAsia" w:cs="Times New Roman"/>
                <w:color w:val="auto"/>
                <w:kern w:val="2"/>
                <w:sz w:val="21"/>
                <w:szCs w:val="21"/>
                <w:lang w:val="en-US" w:eastAsia="zh-CN" w:bidi="ar-SA"/>
              </w:rPr>
              <w:t>危废贮存点重点防渗，</w:t>
            </w:r>
            <w:r>
              <w:rPr>
                <w:rFonts w:hint="eastAsia" w:ascii="Times New Roman" w:hAnsi="Times New Roman" w:eastAsia="宋体" w:cs="Times New Roman"/>
                <w:color w:val="auto"/>
                <w:kern w:val="2"/>
                <w:sz w:val="21"/>
                <w:szCs w:val="21"/>
                <w:lang w:val="en-US" w:eastAsia="zh-CN" w:bidi="ar-SA"/>
              </w:rPr>
              <w:t>沉淀池</w:t>
            </w:r>
            <w:r>
              <w:rPr>
                <w:rFonts w:hint="eastAsia" w:eastAsia="宋体" w:cs="Times New Roman"/>
                <w:color w:val="auto"/>
                <w:kern w:val="2"/>
                <w:sz w:val="21"/>
                <w:szCs w:val="21"/>
                <w:lang w:val="en-US" w:eastAsia="zh-CN" w:bidi="ar-SA"/>
              </w:rPr>
              <w:t>一般防渗</w:t>
            </w:r>
            <w:r>
              <w:rPr>
                <w:rFonts w:hint="eastAsia" w:cs="Times New Roman"/>
                <w:color w:val="auto"/>
                <w:kern w:val="2"/>
                <w:sz w:val="21"/>
                <w:szCs w:val="21"/>
                <w:lang w:val="en-US" w:eastAsia="zh-CN" w:bidi="ar-SA"/>
              </w:rPr>
              <w:t>，</w:t>
            </w:r>
            <w:r>
              <w:rPr>
                <w:rFonts w:hint="eastAsia" w:eastAsia="宋体" w:cs="Times New Roman"/>
                <w:color w:val="auto"/>
                <w:kern w:val="2"/>
                <w:sz w:val="21"/>
                <w:szCs w:val="21"/>
                <w:lang w:val="en-US" w:eastAsia="zh-CN" w:bidi="ar-SA"/>
              </w:rPr>
              <w:t>其他区域简单防渗。</w:t>
            </w:r>
          </w:p>
        </w:tc>
      </w:tr>
      <w:tr w14:paraId="60CC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97" w:type="dxa"/>
            <w:tcBorders>
              <w:tl2br w:val="nil"/>
              <w:tr2bl w:val="nil"/>
            </w:tcBorders>
            <w:noWrap w:val="0"/>
            <w:vAlign w:val="center"/>
          </w:tcPr>
          <w:p w14:paraId="0572DA72">
            <w:pPr>
              <w:pStyle w:val="37"/>
              <w:pageBreakBefore w:val="0"/>
              <w:wordWrap w:val="0"/>
              <w:bidi w:val="0"/>
              <w:jc w:val="center"/>
              <w:rPr>
                <w:rFonts w:hint="eastAsia"/>
                <w:color w:val="auto"/>
                <w:sz w:val="21"/>
                <w:szCs w:val="21"/>
              </w:rPr>
            </w:pPr>
            <w:r>
              <w:rPr>
                <w:rFonts w:hint="eastAsia"/>
                <w:color w:val="auto"/>
                <w:sz w:val="21"/>
                <w:szCs w:val="21"/>
              </w:rPr>
              <w:t>生态保护措施</w:t>
            </w:r>
          </w:p>
        </w:tc>
        <w:tc>
          <w:tcPr>
            <w:tcW w:w="7857" w:type="dxa"/>
            <w:gridSpan w:val="4"/>
            <w:tcBorders>
              <w:tl2br w:val="nil"/>
              <w:tr2bl w:val="nil"/>
            </w:tcBorders>
            <w:noWrap w:val="0"/>
            <w:vAlign w:val="center"/>
          </w:tcPr>
          <w:p w14:paraId="57FE3D4F">
            <w:pPr>
              <w:pageBreakBefore w:val="0"/>
              <w:wordWrap w:val="0"/>
              <w:bidi w:val="0"/>
              <w:jc w:val="center"/>
              <w:rPr>
                <w:rFonts w:hint="default"/>
                <w:color w:val="auto"/>
                <w:sz w:val="21"/>
                <w:szCs w:val="21"/>
                <w:lang w:val="en-US" w:eastAsia="zh-CN"/>
              </w:rPr>
            </w:pPr>
            <w:r>
              <w:rPr>
                <w:rFonts w:hint="eastAsia"/>
                <w:color w:val="auto"/>
                <w:sz w:val="21"/>
                <w:szCs w:val="21"/>
                <w:lang w:val="en-US" w:eastAsia="zh-CN"/>
              </w:rPr>
              <w:t>/</w:t>
            </w:r>
          </w:p>
        </w:tc>
      </w:tr>
      <w:tr w14:paraId="5A5F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497" w:type="dxa"/>
            <w:tcBorders>
              <w:tl2br w:val="nil"/>
              <w:tr2bl w:val="nil"/>
            </w:tcBorders>
            <w:noWrap w:val="0"/>
            <w:vAlign w:val="center"/>
          </w:tcPr>
          <w:p w14:paraId="0405A801">
            <w:pPr>
              <w:pStyle w:val="37"/>
              <w:pageBreakBefore w:val="0"/>
              <w:wordWrap w:val="0"/>
              <w:bidi w:val="0"/>
              <w:rPr>
                <w:color w:val="auto"/>
                <w:sz w:val="21"/>
                <w:szCs w:val="21"/>
              </w:rPr>
            </w:pPr>
            <w:r>
              <w:rPr>
                <w:rFonts w:hint="eastAsia"/>
                <w:color w:val="auto"/>
                <w:sz w:val="21"/>
                <w:szCs w:val="21"/>
              </w:rPr>
              <w:t>环境风险</w:t>
            </w:r>
          </w:p>
          <w:p w14:paraId="515BE7EF">
            <w:pPr>
              <w:pStyle w:val="37"/>
              <w:pageBreakBefore w:val="0"/>
              <w:wordWrap w:val="0"/>
              <w:bidi w:val="0"/>
              <w:rPr>
                <w:rFonts w:hint="eastAsia"/>
                <w:color w:val="auto"/>
                <w:sz w:val="21"/>
                <w:szCs w:val="21"/>
              </w:rPr>
            </w:pPr>
            <w:r>
              <w:rPr>
                <w:rFonts w:hint="eastAsia"/>
                <w:color w:val="auto"/>
                <w:sz w:val="21"/>
                <w:szCs w:val="21"/>
              </w:rPr>
              <w:t>防范措施</w:t>
            </w:r>
          </w:p>
        </w:tc>
        <w:tc>
          <w:tcPr>
            <w:tcW w:w="7857" w:type="dxa"/>
            <w:gridSpan w:val="4"/>
            <w:tcBorders>
              <w:tl2br w:val="nil"/>
              <w:tr2bl w:val="nil"/>
            </w:tcBorders>
            <w:noWrap w:val="0"/>
            <w:vAlign w:val="center"/>
          </w:tcPr>
          <w:p w14:paraId="586EE6CD">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center"/>
              <w:textAlignment w:val="auto"/>
              <w:rPr>
                <w:rFonts w:hint="eastAsia" w:eastAsia="宋体"/>
                <w:color w:val="auto"/>
                <w:sz w:val="21"/>
                <w:szCs w:val="21"/>
                <w:lang w:eastAsia="zh-CN"/>
              </w:rPr>
            </w:pPr>
            <w:r>
              <w:rPr>
                <w:rFonts w:hint="eastAsia" w:cs="Times New Roman"/>
                <w:bCs/>
                <w:color w:val="auto"/>
                <w:spacing w:val="0"/>
                <w:sz w:val="21"/>
                <w:szCs w:val="21"/>
                <w:lang w:val="en-US" w:eastAsia="zh-CN"/>
              </w:rPr>
              <w:t>/</w:t>
            </w:r>
          </w:p>
        </w:tc>
      </w:tr>
      <w:tr w14:paraId="7E52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497" w:type="dxa"/>
            <w:tcBorders>
              <w:tl2br w:val="nil"/>
              <w:tr2bl w:val="nil"/>
            </w:tcBorders>
            <w:noWrap w:val="0"/>
            <w:vAlign w:val="center"/>
          </w:tcPr>
          <w:p w14:paraId="55039015">
            <w:pPr>
              <w:pStyle w:val="37"/>
              <w:pageBreakBefore w:val="0"/>
              <w:wordWrap w:val="0"/>
              <w:bidi w:val="0"/>
              <w:rPr>
                <w:color w:val="auto"/>
                <w:sz w:val="21"/>
                <w:szCs w:val="21"/>
              </w:rPr>
            </w:pPr>
            <w:r>
              <w:rPr>
                <w:rFonts w:hint="eastAsia"/>
                <w:color w:val="auto"/>
                <w:sz w:val="21"/>
                <w:szCs w:val="21"/>
              </w:rPr>
              <w:t>其他环境</w:t>
            </w:r>
          </w:p>
          <w:p w14:paraId="4DA1BA4C">
            <w:pPr>
              <w:pStyle w:val="37"/>
              <w:pageBreakBefore w:val="0"/>
              <w:wordWrap w:val="0"/>
              <w:bidi w:val="0"/>
              <w:rPr>
                <w:rFonts w:hint="eastAsia"/>
                <w:color w:val="auto"/>
                <w:sz w:val="21"/>
                <w:szCs w:val="21"/>
              </w:rPr>
            </w:pPr>
            <w:r>
              <w:rPr>
                <w:rFonts w:hint="eastAsia"/>
                <w:color w:val="auto"/>
                <w:sz w:val="21"/>
                <w:szCs w:val="21"/>
              </w:rPr>
              <w:t>管理要求</w:t>
            </w:r>
          </w:p>
        </w:tc>
        <w:tc>
          <w:tcPr>
            <w:tcW w:w="7857" w:type="dxa"/>
            <w:gridSpan w:val="4"/>
            <w:tcBorders>
              <w:tl2br w:val="nil"/>
              <w:tr2bl w:val="nil"/>
            </w:tcBorders>
            <w:noWrap w:val="0"/>
            <w:vAlign w:val="center"/>
          </w:tcPr>
          <w:p w14:paraId="2756C2DD">
            <w:pPr>
              <w:keepNext w:val="0"/>
              <w:keepLines w:val="0"/>
              <w:pageBreakBefore w:val="0"/>
              <w:suppressLineNumbers w:val="0"/>
              <w:wordWrap w:val="0"/>
              <w:bidi w:val="0"/>
              <w:spacing w:before="0" w:beforeAutospacing="0" w:after="0" w:afterAutospacing="0" w:line="240" w:lineRule="auto"/>
              <w:ind w:left="0" w:right="0" w:firstLine="480"/>
              <w:jc w:val="center"/>
              <w:rPr>
                <w:rFonts w:hint="eastAsia" w:eastAsia="宋体"/>
                <w:color w:val="auto"/>
                <w:sz w:val="21"/>
                <w:szCs w:val="21"/>
                <w:lang w:val="en-US" w:eastAsia="zh-CN"/>
              </w:rPr>
            </w:pPr>
            <w:r>
              <w:rPr>
                <w:rFonts w:hint="eastAsia"/>
                <w:b/>
                <w:bCs/>
                <w:color w:val="auto"/>
                <w:sz w:val="21"/>
                <w:szCs w:val="21"/>
                <w:lang w:val="en-US" w:eastAsia="zh-CN"/>
              </w:rPr>
              <w:t>/</w:t>
            </w:r>
          </w:p>
        </w:tc>
      </w:tr>
    </w:tbl>
    <w:p w14:paraId="7007D93B">
      <w:pPr>
        <w:pStyle w:val="5"/>
        <w:pageBreakBefore w:val="0"/>
        <w:wordWrap w:val="0"/>
        <w:bidi w:val="0"/>
        <w:jc w:val="center"/>
        <w:rPr>
          <w:rFonts w:hint="eastAsia" w:eastAsia="宋体"/>
          <w:color w:val="auto"/>
          <w:lang w:val="en-US" w:eastAsia="zh-CN"/>
        </w:rPr>
      </w:pPr>
      <w:r>
        <w:rPr>
          <w:color w:val="auto"/>
        </w:rPr>
        <w:br w:type="page"/>
      </w:r>
      <w:bookmarkStart w:id="7" w:name="_Toc19100"/>
      <w:r>
        <w:rPr>
          <w:rFonts w:hint="eastAsia"/>
          <w:color w:val="auto"/>
          <w:lang w:val="en-US" w:eastAsia="zh-CN"/>
        </w:rPr>
        <w:t>六</w:t>
      </w:r>
      <w:r>
        <w:rPr>
          <w:rFonts w:hint="eastAsia"/>
          <w:color w:val="auto"/>
        </w:rPr>
        <w:t>、</w:t>
      </w:r>
      <w:r>
        <w:rPr>
          <w:rFonts w:hint="eastAsia"/>
          <w:color w:val="auto"/>
          <w:lang w:val="en-US" w:eastAsia="zh-CN"/>
        </w:rPr>
        <w:t>结论</w:t>
      </w:r>
      <w:bookmarkEnd w:id="7"/>
    </w:p>
    <w:tbl>
      <w:tblPr>
        <w:tblStyle w:val="28"/>
        <w:tblW w:w="9354" w:type="dxa"/>
        <w:jc w:val="center"/>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CellMar>
          <w:top w:w="0" w:type="dxa"/>
          <w:left w:w="108" w:type="dxa"/>
          <w:bottom w:w="0" w:type="dxa"/>
          <w:right w:w="108" w:type="dxa"/>
        </w:tblCellMar>
      </w:tblPr>
      <w:tblGrid>
        <w:gridCol w:w="9354"/>
      </w:tblGrid>
      <w:tr w14:paraId="7A4AE599">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12321" w:hRule="atLeast"/>
          <w:jc w:val="center"/>
        </w:trPr>
        <w:tc>
          <w:tcPr>
            <w:tcW w:w="9354" w:type="dxa"/>
            <w:tcBorders>
              <w:tl2br w:val="nil"/>
              <w:tr2bl w:val="nil"/>
            </w:tcBorders>
            <w:noWrap w:val="0"/>
            <w:vAlign w:val="center"/>
          </w:tcPr>
          <w:p w14:paraId="15A38955">
            <w:pPr>
              <w:pageBreakBefore w:val="0"/>
              <w:wordWrap w:val="0"/>
              <w:bidi w:val="0"/>
              <w:spacing w:line="360" w:lineRule="auto"/>
              <w:ind w:firstLine="480" w:firstLineChars="200"/>
              <w:rPr>
                <w:rFonts w:hint="default" w:eastAsia="宋体"/>
                <w:color w:val="auto"/>
                <w:lang w:val="en-US" w:eastAsia="zh-CN"/>
              </w:rPr>
            </w:pPr>
            <w:r>
              <w:rPr>
                <w:rFonts w:hint="default" w:ascii="Times New Roman" w:hAnsi="Times New Roman" w:eastAsia="宋体" w:cs="Times New Roman"/>
                <w:color w:val="auto"/>
                <w:sz w:val="24"/>
              </w:rPr>
              <w:t>综上所述，本项目的建设，符合国家有关产业政策，污染物经相应治理后能达标排放。建设单位必须在该项目的建设过程中切实落实本评价中提出的各项污染防治措施，使工程对环境的影响减小到最低程度，以达到经济、社会、环境效益三统一的效果。从环保角度看，本项目的选址、建设是可行的。</w:t>
            </w:r>
          </w:p>
        </w:tc>
      </w:tr>
    </w:tbl>
    <w:p w14:paraId="511FEFE5">
      <w:pPr>
        <w:pageBreakBefore w:val="0"/>
        <w:wordWrap w:val="0"/>
        <w:bidi w:val="0"/>
        <w:rPr>
          <w:color w:val="0000FF"/>
        </w:rPr>
        <w:sectPr>
          <w:pgSz w:w="11906" w:h="16838"/>
          <w:pgMar w:top="1701" w:right="1531" w:bottom="1701" w:left="1531" w:header="1077" w:footer="1361" w:gutter="0"/>
          <w:pgBorders>
            <w:top w:val="none" w:sz="0" w:space="0"/>
            <w:left w:val="none" w:sz="0" w:space="0"/>
            <w:bottom w:val="none" w:sz="0" w:space="0"/>
            <w:right w:val="none" w:sz="0" w:space="0"/>
          </w:pgBorders>
          <w:pgNumType w:fmt="decimal"/>
          <w:cols w:space="720" w:num="1"/>
          <w:docGrid w:linePitch="312" w:charSpace="0"/>
        </w:sectPr>
      </w:pPr>
    </w:p>
    <w:p w14:paraId="51E9AC61">
      <w:pPr>
        <w:pageBreakBefore w:val="0"/>
        <w:wordWrap w:val="0"/>
        <w:bidi w:val="0"/>
        <w:ind w:left="0" w:leftChars="0" w:firstLine="0" w:firstLineChars="0"/>
        <w:rPr>
          <w:color w:val="0000FF"/>
        </w:rPr>
      </w:pPr>
    </w:p>
    <w:sectPr>
      <w:footerReference r:id="rId7" w:type="default"/>
      <w:pgSz w:w="16838" w:h="11906" w:orient="landscape"/>
      <w:pgMar w:top="1531" w:right="1701" w:bottom="1531" w:left="1701" w:header="851" w:footer="1191" w:gutter="0"/>
      <w:pgBorders>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书宋">
    <w:altName w:val="宋体"/>
    <w:panose1 w:val="00000000000000000000"/>
    <w:charset w:val="86"/>
    <w:family w:val="script"/>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19BCA">
    <w:pPr>
      <w:pStyle w:val="22"/>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EBB61">
                          <w:pPr>
                            <w:pStyle w:val="2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EEBB61">
                    <w:pPr>
                      <w:pStyle w:val="2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A343C">
    <w:pPr>
      <w:pStyle w:val="22"/>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C4253">
                          <w:pPr>
                            <w:pStyle w:val="22"/>
                          </w:pPr>
                          <w:r>
                            <w:t xml:space="preserve">— </w:t>
                          </w:r>
                          <w:r>
                            <w:fldChar w:fldCharType="begin"/>
                          </w:r>
                          <w:r>
                            <w:instrText xml:space="preserve"> PAGE  \* MERGEFORMAT </w:instrText>
                          </w:r>
                          <w:r>
                            <w:fldChar w:fldCharType="separate"/>
                          </w:r>
                          <w:r>
                            <w:t>48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1C4253">
                    <w:pPr>
                      <w:pStyle w:val="22"/>
                    </w:pPr>
                    <w:r>
                      <w:t xml:space="preserve">— </w:t>
                    </w:r>
                    <w:r>
                      <w:fldChar w:fldCharType="begin"/>
                    </w:r>
                    <w:r>
                      <w:instrText xml:space="preserve"> PAGE  \* MERGEFORMAT </w:instrText>
                    </w:r>
                    <w:r>
                      <w:fldChar w:fldCharType="separate"/>
                    </w:r>
                    <w:r>
                      <w:t>48</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DF6C1">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BAD55"/>
    <w:multiLevelType w:val="singleLevel"/>
    <w:tmpl w:val="AAEBAD55"/>
    <w:lvl w:ilvl="0" w:tentative="0">
      <w:start w:val="1"/>
      <w:numFmt w:val="decimal"/>
      <w:suff w:val="space"/>
      <w:lvlText w:val="%1."/>
      <w:lvlJc w:val="left"/>
    </w:lvl>
  </w:abstractNum>
  <w:abstractNum w:abstractNumId="1">
    <w:nsid w:val="AD138531"/>
    <w:multiLevelType w:val="singleLevel"/>
    <w:tmpl w:val="AD138531"/>
    <w:lvl w:ilvl="0" w:tentative="0">
      <w:start w:val="1"/>
      <w:numFmt w:val="decimal"/>
      <w:suff w:val="nothing"/>
      <w:lvlText w:val="（%1）"/>
      <w:lvlJc w:val="left"/>
      <w:pPr>
        <w:ind w:left="-240"/>
      </w:pPr>
    </w:lvl>
  </w:abstractNum>
  <w:abstractNum w:abstractNumId="2">
    <w:nsid w:val="CECC51C3"/>
    <w:multiLevelType w:val="singleLevel"/>
    <w:tmpl w:val="CECC51C3"/>
    <w:lvl w:ilvl="0" w:tentative="0">
      <w:start w:val="1"/>
      <w:numFmt w:val="decimal"/>
      <w:pStyle w:val="20"/>
      <w:lvlText w:val="%1."/>
      <w:lvlJc w:val="left"/>
      <w:pPr>
        <w:tabs>
          <w:tab w:val="left" w:pos="2040"/>
        </w:tabs>
        <w:ind w:left="2040" w:hanging="360"/>
      </w:pPr>
    </w:lvl>
  </w:abstractNum>
  <w:abstractNum w:abstractNumId="3">
    <w:nsid w:val="28A9190D"/>
    <w:multiLevelType w:val="singleLevel"/>
    <w:tmpl w:val="28A9190D"/>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3NDQ5YmFmYTRmZDU2YmMxOWY2ZDc3YTdkZmQxNDEifQ=="/>
  </w:docVars>
  <w:rsids>
    <w:rsidRoot w:val="00172A27"/>
    <w:rsid w:val="000147D9"/>
    <w:rsid w:val="0004654E"/>
    <w:rsid w:val="00167BB9"/>
    <w:rsid w:val="00191BCA"/>
    <w:rsid w:val="001E4EF0"/>
    <w:rsid w:val="002F6325"/>
    <w:rsid w:val="00321D6D"/>
    <w:rsid w:val="00397945"/>
    <w:rsid w:val="00446684"/>
    <w:rsid w:val="00465DFA"/>
    <w:rsid w:val="00496DA9"/>
    <w:rsid w:val="00605262"/>
    <w:rsid w:val="006B1BC7"/>
    <w:rsid w:val="006B6FEB"/>
    <w:rsid w:val="00A87C3C"/>
    <w:rsid w:val="00B43AD3"/>
    <w:rsid w:val="00B82534"/>
    <w:rsid w:val="00B91921"/>
    <w:rsid w:val="00BD0017"/>
    <w:rsid w:val="00BD1A02"/>
    <w:rsid w:val="00C04879"/>
    <w:rsid w:val="00C847DB"/>
    <w:rsid w:val="00CB77BE"/>
    <w:rsid w:val="00CC2566"/>
    <w:rsid w:val="00D068D4"/>
    <w:rsid w:val="00DD25BA"/>
    <w:rsid w:val="010278F1"/>
    <w:rsid w:val="012034EE"/>
    <w:rsid w:val="012A61F9"/>
    <w:rsid w:val="013123EA"/>
    <w:rsid w:val="013A380F"/>
    <w:rsid w:val="013C3811"/>
    <w:rsid w:val="014C2F2B"/>
    <w:rsid w:val="014E3B46"/>
    <w:rsid w:val="01506096"/>
    <w:rsid w:val="016A0744"/>
    <w:rsid w:val="016F3782"/>
    <w:rsid w:val="017260BD"/>
    <w:rsid w:val="017D3F2F"/>
    <w:rsid w:val="01942189"/>
    <w:rsid w:val="01B14C06"/>
    <w:rsid w:val="01B26933"/>
    <w:rsid w:val="01B63DBD"/>
    <w:rsid w:val="01BC657B"/>
    <w:rsid w:val="01D80232"/>
    <w:rsid w:val="01DA45F4"/>
    <w:rsid w:val="01E52387"/>
    <w:rsid w:val="02023516"/>
    <w:rsid w:val="020E4995"/>
    <w:rsid w:val="021D44D2"/>
    <w:rsid w:val="0220248A"/>
    <w:rsid w:val="02337D11"/>
    <w:rsid w:val="02362FD7"/>
    <w:rsid w:val="0236792E"/>
    <w:rsid w:val="023840EE"/>
    <w:rsid w:val="0238428C"/>
    <w:rsid w:val="023B57CC"/>
    <w:rsid w:val="023B6A70"/>
    <w:rsid w:val="024445C2"/>
    <w:rsid w:val="0245400A"/>
    <w:rsid w:val="02461B10"/>
    <w:rsid w:val="02615066"/>
    <w:rsid w:val="02674B74"/>
    <w:rsid w:val="026D3C2B"/>
    <w:rsid w:val="02751738"/>
    <w:rsid w:val="027878F8"/>
    <w:rsid w:val="028817EF"/>
    <w:rsid w:val="028C04A1"/>
    <w:rsid w:val="029752A8"/>
    <w:rsid w:val="029B37FC"/>
    <w:rsid w:val="029D4DF6"/>
    <w:rsid w:val="02A417EE"/>
    <w:rsid w:val="02A43777"/>
    <w:rsid w:val="02A80DC2"/>
    <w:rsid w:val="02BF3FA0"/>
    <w:rsid w:val="02C060B9"/>
    <w:rsid w:val="02C448A4"/>
    <w:rsid w:val="02FB3990"/>
    <w:rsid w:val="02FE2125"/>
    <w:rsid w:val="0303413F"/>
    <w:rsid w:val="03047A4D"/>
    <w:rsid w:val="031343EC"/>
    <w:rsid w:val="031D164D"/>
    <w:rsid w:val="032F4042"/>
    <w:rsid w:val="03351867"/>
    <w:rsid w:val="033755DF"/>
    <w:rsid w:val="034D3E2F"/>
    <w:rsid w:val="03561212"/>
    <w:rsid w:val="037E0773"/>
    <w:rsid w:val="038A77E3"/>
    <w:rsid w:val="03AC0796"/>
    <w:rsid w:val="03AE004F"/>
    <w:rsid w:val="03D17E37"/>
    <w:rsid w:val="03D645DB"/>
    <w:rsid w:val="040078E1"/>
    <w:rsid w:val="04070192"/>
    <w:rsid w:val="04124C62"/>
    <w:rsid w:val="0414147C"/>
    <w:rsid w:val="04186011"/>
    <w:rsid w:val="04262ABB"/>
    <w:rsid w:val="042F4E68"/>
    <w:rsid w:val="04343C09"/>
    <w:rsid w:val="04411927"/>
    <w:rsid w:val="04446979"/>
    <w:rsid w:val="04536C4A"/>
    <w:rsid w:val="04561706"/>
    <w:rsid w:val="045C05A4"/>
    <w:rsid w:val="04675A50"/>
    <w:rsid w:val="046D67FA"/>
    <w:rsid w:val="046E3282"/>
    <w:rsid w:val="04805758"/>
    <w:rsid w:val="048A277C"/>
    <w:rsid w:val="049D7063"/>
    <w:rsid w:val="04A5067D"/>
    <w:rsid w:val="04B3652C"/>
    <w:rsid w:val="04B6105E"/>
    <w:rsid w:val="04E11AE8"/>
    <w:rsid w:val="04E409CB"/>
    <w:rsid w:val="04E5452B"/>
    <w:rsid w:val="04F25A48"/>
    <w:rsid w:val="05107304"/>
    <w:rsid w:val="05264A13"/>
    <w:rsid w:val="052851DF"/>
    <w:rsid w:val="052D4220"/>
    <w:rsid w:val="05300538"/>
    <w:rsid w:val="053258F8"/>
    <w:rsid w:val="0534543F"/>
    <w:rsid w:val="053552E7"/>
    <w:rsid w:val="053826AB"/>
    <w:rsid w:val="05391FF9"/>
    <w:rsid w:val="05432F8B"/>
    <w:rsid w:val="05526FF1"/>
    <w:rsid w:val="05552737"/>
    <w:rsid w:val="05592F00"/>
    <w:rsid w:val="057C17E6"/>
    <w:rsid w:val="057C19CF"/>
    <w:rsid w:val="05850F2F"/>
    <w:rsid w:val="058C0881"/>
    <w:rsid w:val="059306FE"/>
    <w:rsid w:val="05AA2ACF"/>
    <w:rsid w:val="05B62096"/>
    <w:rsid w:val="05C0366A"/>
    <w:rsid w:val="05C20583"/>
    <w:rsid w:val="05D34765"/>
    <w:rsid w:val="05D61894"/>
    <w:rsid w:val="05E234D2"/>
    <w:rsid w:val="05E802A2"/>
    <w:rsid w:val="06014778"/>
    <w:rsid w:val="06181769"/>
    <w:rsid w:val="061F6226"/>
    <w:rsid w:val="0625706C"/>
    <w:rsid w:val="062A1AC9"/>
    <w:rsid w:val="06380251"/>
    <w:rsid w:val="063D1B45"/>
    <w:rsid w:val="064F6DEE"/>
    <w:rsid w:val="069210E0"/>
    <w:rsid w:val="06A35161"/>
    <w:rsid w:val="06A62B70"/>
    <w:rsid w:val="06AB4193"/>
    <w:rsid w:val="06B316BF"/>
    <w:rsid w:val="06D772C3"/>
    <w:rsid w:val="06DD2CBC"/>
    <w:rsid w:val="06DE4DA7"/>
    <w:rsid w:val="06E07FC3"/>
    <w:rsid w:val="06E41F9D"/>
    <w:rsid w:val="06EE0224"/>
    <w:rsid w:val="06FE6B3F"/>
    <w:rsid w:val="0705755F"/>
    <w:rsid w:val="07180878"/>
    <w:rsid w:val="0722497F"/>
    <w:rsid w:val="073207C6"/>
    <w:rsid w:val="07401962"/>
    <w:rsid w:val="07422592"/>
    <w:rsid w:val="075C0DDA"/>
    <w:rsid w:val="076C542B"/>
    <w:rsid w:val="076E2CEA"/>
    <w:rsid w:val="0786083D"/>
    <w:rsid w:val="078A1DAA"/>
    <w:rsid w:val="078E651F"/>
    <w:rsid w:val="0795752F"/>
    <w:rsid w:val="07973016"/>
    <w:rsid w:val="07A46236"/>
    <w:rsid w:val="07A71A9E"/>
    <w:rsid w:val="07EA2C20"/>
    <w:rsid w:val="082029F1"/>
    <w:rsid w:val="082A33EF"/>
    <w:rsid w:val="08403721"/>
    <w:rsid w:val="08480D5B"/>
    <w:rsid w:val="084F7E3C"/>
    <w:rsid w:val="08513882"/>
    <w:rsid w:val="08562B47"/>
    <w:rsid w:val="086724C2"/>
    <w:rsid w:val="08695AD1"/>
    <w:rsid w:val="087A4509"/>
    <w:rsid w:val="088868F1"/>
    <w:rsid w:val="088E79E7"/>
    <w:rsid w:val="08925C20"/>
    <w:rsid w:val="08971CA8"/>
    <w:rsid w:val="089D0F4B"/>
    <w:rsid w:val="08A44112"/>
    <w:rsid w:val="08A611AD"/>
    <w:rsid w:val="08A62A05"/>
    <w:rsid w:val="08B0415B"/>
    <w:rsid w:val="08B52852"/>
    <w:rsid w:val="08BF4AD1"/>
    <w:rsid w:val="08C71897"/>
    <w:rsid w:val="08F20D2D"/>
    <w:rsid w:val="08FE5A4F"/>
    <w:rsid w:val="090353AE"/>
    <w:rsid w:val="0907136B"/>
    <w:rsid w:val="092B3CDF"/>
    <w:rsid w:val="09320D22"/>
    <w:rsid w:val="093C3B6F"/>
    <w:rsid w:val="093C74AB"/>
    <w:rsid w:val="094740E3"/>
    <w:rsid w:val="096F07E1"/>
    <w:rsid w:val="097F6983"/>
    <w:rsid w:val="09823B33"/>
    <w:rsid w:val="09CA4675"/>
    <w:rsid w:val="09D17005"/>
    <w:rsid w:val="09E95D21"/>
    <w:rsid w:val="09EE69CD"/>
    <w:rsid w:val="09F11142"/>
    <w:rsid w:val="09F23C5B"/>
    <w:rsid w:val="09F41468"/>
    <w:rsid w:val="09FE5F94"/>
    <w:rsid w:val="0A032426"/>
    <w:rsid w:val="0A180200"/>
    <w:rsid w:val="0A2476ED"/>
    <w:rsid w:val="0A2C0B2B"/>
    <w:rsid w:val="0A2E5767"/>
    <w:rsid w:val="0A3F75CC"/>
    <w:rsid w:val="0A4A7809"/>
    <w:rsid w:val="0A4C1405"/>
    <w:rsid w:val="0A4C7AB0"/>
    <w:rsid w:val="0A5B6057"/>
    <w:rsid w:val="0A675B6A"/>
    <w:rsid w:val="0A68463E"/>
    <w:rsid w:val="0A6A64DB"/>
    <w:rsid w:val="0A862219"/>
    <w:rsid w:val="0A960C91"/>
    <w:rsid w:val="0A992339"/>
    <w:rsid w:val="0AA36AC1"/>
    <w:rsid w:val="0ABC267C"/>
    <w:rsid w:val="0ABE363C"/>
    <w:rsid w:val="0AC77D0B"/>
    <w:rsid w:val="0AC9466E"/>
    <w:rsid w:val="0ADF0EBD"/>
    <w:rsid w:val="0AE546EE"/>
    <w:rsid w:val="0AE76FE3"/>
    <w:rsid w:val="0AEB6D7B"/>
    <w:rsid w:val="0AFF3764"/>
    <w:rsid w:val="0B094BE4"/>
    <w:rsid w:val="0B0977EC"/>
    <w:rsid w:val="0B130B92"/>
    <w:rsid w:val="0B440E03"/>
    <w:rsid w:val="0B4575CD"/>
    <w:rsid w:val="0B464F80"/>
    <w:rsid w:val="0B4E194C"/>
    <w:rsid w:val="0B4F4E4F"/>
    <w:rsid w:val="0B7005B2"/>
    <w:rsid w:val="0B865BFB"/>
    <w:rsid w:val="0B9945A5"/>
    <w:rsid w:val="0B9B675B"/>
    <w:rsid w:val="0BA57F66"/>
    <w:rsid w:val="0BDA2759"/>
    <w:rsid w:val="0BEF455D"/>
    <w:rsid w:val="0BF313A7"/>
    <w:rsid w:val="0C0B1171"/>
    <w:rsid w:val="0C142765"/>
    <w:rsid w:val="0C197F77"/>
    <w:rsid w:val="0C24055D"/>
    <w:rsid w:val="0C2B7717"/>
    <w:rsid w:val="0C345E3E"/>
    <w:rsid w:val="0C351AD9"/>
    <w:rsid w:val="0C405132"/>
    <w:rsid w:val="0C4C48B9"/>
    <w:rsid w:val="0C680218"/>
    <w:rsid w:val="0C7C5509"/>
    <w:rsid w:val="0C867380"/>
    <w:rsid w:val="0C871692"/>
    <w:rsid w:val="0C99643F"/>
    <w:rsid w:val="0C997307"/>
    <w:rsid w:val="0CA87B2B"/>
    <w:rsid w:val="0CAA75BE"/>
    <w:rsid w:val="0CBA3E4A"/>
    <w:rsid w:val="0CC25CC7"/>
    <w:rsid w:val="0CC778E1"/>
    <w:rsid w:val="0CCC2916"/>
    <w:rsid w:val="0CCE1E76"/>
    <w:rsid w:val="0CD50A3D"/>
    <w:rsid w:val="0CD805B7"/>
    <w:rsid w:val="0CDB5AB7"/>
    <w:rsid w:val="0CE037BB"/>
    <w:rsid w:val="0CE10742"/>
    <w:rsid w:val="0CE719B6"/>
    <w:rsid w:val="0CF31C0C"/>
    <w:rsid w:val="0CF81024"/>
    <w:rsid w:val="0D097FEC"/>
    <w:rsid w:val="0D0D5896"/>
    <w:rsid w:val="0D250B27"/>
    <w:rsid w:val="0D380E9B"/>
    <w:rsid w:val="0D426388"/>
    <w:rsid w:val="0D4D7CAF"/>
    <w:rsid w:val="0D5805DF"/>
    <w:rsid w:val="0D6574E0"/>
    <w:rsid w:val="0D6679B3"/>
    <w:rsid w:val="0D676F45"/>
    <w:rsid w:val="0D6A586F"/>
    <w:rsid w:val="0D726BF8"/>
    <w:rsid w:val="0D736D43"/>
    <w:rsid w:val="0D742827"/>
    <w:rsid w:val="0DB86D00"/>
    <w:rsid w:val="0DB95760"/>
    <w:rsid w:val="0DBF3617"/>
    <w:rsid w:val="0DD61D1C"/>
    <w:rsid w:val="0DE76810"/>
    <w:rsid w:val="0DF340AC"/>
    <w:rsid w:val="0DF70DE0"/>
    <w:rsid w:val="0DFE262E"/>
    <w:rsid w:val="0DFF076E"/>
    <w:rsid w:val="0E03529B"/>
    <w:rsid w:val="0E0C78D4"/>
    <w:rsid w:val="0E1E62AD"/>
    <w:rsid w:val="0E2A6808"/>
    <w:rsid w:val="0E416C87"/>
    <w:rsid w:val="0E5E7867"/>
    <w:rsid w:val="0E626DA3"/>
    <w:rsid w:val="0E662DBC"/>
    <w:rsid w:val="0E68465F"/>
    <w:rsid w:val="0E72396F"/>
    <w:rsid w:val="0E727040"/>
    <w:rsid w:val="0E74649F"/>
    <w:rsid w:val="0E770F85"/>
    <w:rsid w:val="0E7719CE"/>
    <w:rsid w:val="0E823E74"/>
    <w:rsid w:val="0E9C196D"/>
    <w:rsid w:val="0E9D4E11"/>
    <w:rsid w:val="0EAD22D6"/>
    <w:rsid w:val="0EBF6171"/>
    <w:rsid w:val="0EC93D20"/>
    <w:rsid w:val="0ECA5559"/>
    <w:rsid w:val="0EE177CC"/>
    <w:rsid w:val="0EF85A59"/>
    <w:rsid w:val="0EFC092A"/>
    <w:rsid w:val="0F2714E2"/>
    <w:rsid w:val="0F341ACE"/>
    <w:rsid w:val="0F3F109E"/>
    <w:rsid w:val="0F4B370C"/>
    <w:rsid w:val="0F601A19"/>
    <w:rsid w:val="0F6864E6"/>
    <w:rsid w:val="0F6B33C2"/>
    <w:rsid w:val="0F6F3325"/>
    <w:rsid w:val="0F74008A"/>
    <w:rsid w:val="0F9F22F6"/>
    <w:rsid w:val="0F9F3A3A"/>
    <w:rsid w:val="0FB029A1"/>
    <w:rsid w:val="0FBB7C61"/>
    <w:rsid w:val="0FD945E6"/>
    <w:rsid w:val="0FDB4546"/>
    <w:rsid w:val="0FDE5D1E"/>
    <w:rsid w:val="0FF36CE1"/>
    <w:rsid w:val="0FF606FE"/>
    <w:rsid w:val="100A52D1"/>
    <w:rsid w:val="100C2934"/>
    <w:rsid w:val="101822F4"/>
    <w:rsid w:val="10233E13"/>
    <w:rsid w:val="10260D80"/>
    <w:rsid w:val="1050550B"/>
    <w:rsid w:val="105E7BAD"/>
    <w:rsid w:val="106879BE"/>
    <w:rsid w:val="106A4F2F"/>
    <w:rsid w:val="10705701"/>
    <w:rsid w:val="10740E1E"/>
    <w:rsid w:val="1095310E"/>
    <w:rsid w:val="10A03970"/>
    <w:rsid w:val="10B07A1C"/>
    <w:rsid w:val="10B46CF6"/>
    <w:rsid w:val="10B74D38"/>
    <w:rsid w:val="10B8235A"/>
    <w:rsid w:val="10BE7FC5"/>
    <w:rsid w:val="10CA193E"/>
    <w:rsid w:val="10D64689"/>
    <w:rsid w:val="10D67444"/>
    <w:rsid w:val="10E27FE1"/>
    <w:rsid w:val="10E30452"/>
    <w:rsid w:val="10F258B7"/>
    <w:rsid w:val="11123CE9"/>
    <w:rsid w:val="11183FB0"/>
    <w:rsid w:val="111B7051"/>
    <w:rsid w:val="11211C73"/>
    <w:rsid w:val="11377672"/>
    <w:rsid w:val="114C5CC7"/>
    <w:rsid w:val="115511D2"/>
    <w:rsid w:val="115D2B68"/>
    <w:rsid w:val="11634337"/>
    <w:rsid w:val="116B7B02"/>
    <w:rsid w:val="11814262"/>
    <w:rsid w:val="11901EAB"/>
    <w:rsid w:val="11A92E83"/>
    <w:rsid w:val="11B85C68"/>
    <w:rsid w:val="11B9116C"/>
    <w:rsid w:val="11D12E4A"/>
    <w:rsid w:val="11D733B3"/>
    <w:rsid w:val="11D7465A"/>
    <w:rsid w:val="11E00A7A"/>
    <w:rsid w:val="11E132E5"/>
    <w:rsid w:val="11E32D5A"/>
    <w:rsid w:val="11EC29A5"/>
    <w:rsid w:val="11EC599B"/>
    <w:rsid w:val="12055A0D"/>
    <w:rsid w:val="12116BA4"/>
    <w:rsid w:val="121954E2"/>
    <w:rsid w:val="12380AAD"/>
    <w:rsid w:val="123C576E"/>
    <w:rsid w:val="124A1DFD"/>
    <w:rsid w:val="12527D3F"/>
    <w:rsid w:val="12561BF2"/>
    <w:rsid w:val="12761FEF"/>
    <w:rsid w:val="127B7A1E"/>
    <w:rsid w:val="12902616"/>
    <w:rsid w:val="1299172A"/>
    <w:rsid w:val="129E494E"/>
    <w:rsid w:val="12A85FE0"/>
    <w:rsid w:val="12AA170A"/>
    <w:rsid w:val="12AE4B6E"/>
    <w:rsid w:val="12BF5BE0"/>
    <w:rsid w:val="12C85E91"/>
    <w:rsid w:val="12CE62DF"/>
    <w:rsid w:val="12D96D2A"/>
    <w:rsid w:val="12DB19BE"/>
    <w:rsid w:val="12E64DB6"/>
    <w:rsid w:val="12F613B8"/>
    <w:rsid w:val="12FF2068"/>
    <w:rsid w:val="12FF6745"/>
    <w:rsid w:val="13143247"/>
    <w:rsid w:val="13170EC4"/>
    <w:rsid w:val="132A6AB7"/>
    <w:rsid w:val="134A6CC7"/>
    <w:rsid w:val="13553FF6"/>
    <w:rsid w:val="135A794B"/>
    <w:rsid w:val="135B5D42"/>
    <w:rsid w:val="135F3C40"/>
    <w:rsid w:val="1365168B"/>
    <w:rsid w:val="13655850"/>
    <w:rsid w:val="13683CA5"/>
    <w:rsid w:val="13703313"/>
    <w:rsid w:val="13765F46"/>
    <w:rsid w:val="1378657B"/>
    <w:rsid w:val="13831B34"/>
    <w:rsid w:val="1385012B"/>
    <w:rsid w:val="139B38B8"/>
    <w:rsid w:val="13A71474"/>
    <w:rsid w:val="13B62550"/>
    <w:rsid w:val="13C64AD8"/>
    <w:rsid w:val="13E0059E"/>
    <w:rsid w:val="13FD4C8A"/>
    <w:rsid w:val="141352AC"/>
    <w:rsid w:val="1413795A"/>
    <w:rsid w:val="141D040F"/>
    <w:rsid w:val="14252942"/>
    <w:rsid w:val="142F2DCE"/>
    <w:rsid w:val="143019CF"/>
    <w:rsid w:val="14362009"/>
    <w:rsid w:val="143F5A20"/>
    <w:rsid w:val="146C5A3A"/>
    <w:rsid w:val="1471411F"/>
    <w:rsid w:val="14777074"/>
    <w:rsid w:val="1477787C"/>
    <w:rsid w:val="14787D0F"/>
    <w:rsid w:val="147A26E6"/>
    <w:rsid w:val="147F3A7F"/>
    <w:rsid w:val="148F420B"/>
    <w:rsid w:val="148F7FE1"/>
    <w:rsid w:val="14A00D23"/>
    <w:rsid w:val="14A22050"/>
    <w:rsid w:val="14BB7E85"/>
    <w:rsid w:val="14C931C4"/>
    <w:rsid w:val="14CC100C"/>
    <w:rsid w:val="14CF0845"/>
    <w:rsid w:val="14D11F26"/>
    <w:rsid w:val="14D9463D"/>
    <w:rsid w:val="14DF665D"/>
    <w:rsid w:val="14E167D1"/>
    <w:rsid w:val="14E40707"/>
    <w:rsid w:val="14F9163F"/>
    <w:rsid w:val="14FD6D12"/>
    <w:rsid w:val="14FE553C"/>
    <w:rsid w:val="14FF27F7"/>
    <w:rsid w:val="150D053F"/>
    <w:rsid w:val="152C1281"/>
    <w:rsid w:val="152F42D5"/>
    <w:rsid w:val="154320D5"/>
    <w:rsid w:val="15451410"/>
    <w:rsid w:val="15522305"/>
    <w:rsid w:val="155A5891"/>
    <w:rsid w:val="155B618F"/>
    <w:rsid w:val="156353A6"/>
    <w:rsid w:val="156772C9"/>
    <w:rsid w:val="156C46F9"/>
    <w:rsid w:val="156F170B"/>
    <w:rsid w:val="15713EBA"/>
    <w:rsid w:val="15721C91"/>
    <w:rsid w:val="15883D95"/>
    <w:rsid w:val="15A401D0"/>
    <w:rsid w:val="15AF45D8"/>
    <w:rsid w:val="15AF600C"/>
    <w:rsid w:val="15B20296"/>
    <w:rsid w:val="15B3308D"/>
    <w:rsid w:val="15B810CC"/>
    <w:rsid w:val="15C073B4"/>
    <w:rsid w:val="15C6392F"/>
    <w:rsid w:val="15C96904"/>
    <w:rsid w:val="15E9057E"/>
    <w:rsid w:val="16014378"/>
    <w:rsid w:val="16032224"/>
    <w:rsid w:val="1606170D"/>
    <w:rsid w:val="16125C47"/>
    <w:rsid w:val="161B1B00"/>
    <w:rsid w:val="16225C7A"/>
    <w:rsid w:val="16303724"/>
    <w:rsid w:val="16492E7C"/>
    <w:rsid w:val="16506643"/>
    <w:rsid w:val="165D39AF"/>
    <w:rsid w:val="16666275"/>
    <w:rsid w:val="1672090C"/>
    <w:rsid w:val="167B46CF"/>
    <w:rsid w:val="16873D30"/>
    <w:rsid w:val="169F044C"/>
    <w:rsid w:val="16AB4020"/>
    <w:rsid w:val="16B3196E"/>
    <w:rsid w:val="16B703D3"/>
    <w:rsid w:val="16C52A59"/>
    <w:rsid w:val="16C6586E"/>
    <w:rsid w:val="16E32BFA"/>
    <w:rsid w:val="16EF1836"/>
    <w:rsid w:val="16F53F17"/>
    <w:rsid w:val="16FE3FF2"/>
    <w:rsid w:val="1702230F"/>
    <w:rsid w:val="170603BA"/>
    <w:rsid w:val="17062D6E"/>
    <w:rsid w:val="17154F2E"/>
    <w:rsid w:val="17172C88"/>
    <w:rsid w:val="173207AB"/>
    <w:rsid w:val="173475F8"/>
    <w:rsid w:val="174E14E7"/>
    <w:rsid w:val="1752680F"/>
    <w:rsid w:val="17614581"/>
    <w:rsid w:val="1765769D"/>
    <w:rsid w:val="17691C53"/>
    <w:rsid w:val="176D59E2"/>
    <w:rsid w:val="178A0EFE"/>
    <w:rsid w:val="17BA14D9"/>
    <w:rsid w:val="17BB2949"/>
    <w:rsid w:val="17BF47FA"/>
    <w:rsid w:val="17D01531"/>
    <w:rsid w:val="17D35BAE"/>
    <w:rsid w:val="17F04282"/>
    <w:rsid w:val="17F4044F"/>
    <w:rsid w:val="17F8079D"/>
    <w:rsid w:val="17FA27F7"/>
    <w:rsid w:val="180715CC"/>
    <w:rsid w:val="1807773C"/>
    <w:rsid w:val="1808792F"/>
    <w:rsid w:val="1842226D"/>
    <w:rsid w:val="184417E1"/>
    <w:rsid w:val="185A6035"/>
    <w:rsid w:val="18664544"/>
    <w:rsid w:val="186C0DA9"/>
    <w:rsid w:val="18711B20"/>
    <w:rsid w:val="18761366"/>
    <w:rsid w:val="188036B9"/>
    <w:rsid w:val="18866F75"/>
    <w:rsid w:val="188B632A"/>
    <w:rsid w:val="189E3436"/>
    <w:rsid w:val="18A27931"/>
    <w:rsid w:val="18A37B0A"/>
    <w:rsid w:val="18B66740"/>
    <w:rsid w:val="18CB538D"/>
    <w:rsid w:val="18D17436"/>
    <w:rsid w:val="18D92ABF"/>
    <w:rsid w:val="18F67AEF"/>
    <w:rsid w:val="18F9603D"/>
    <w:rsid w:val="19023952"/>
    <w:rsid w:val="19031679"/>
    <w:rsid w:val="190601FA"/>
    <w:rsid w:val="193A518B"/>
    <w:rsid w:val="1945200E"/>
    <w:rsid w:val="19480DD1"/>
    <w:rsid w:val="19566C52"/>
    <w:rsid w:val="198405C7"/>
    <w:rsid w:val="198832AB"/>
    <w:rsid w:val="199B560C"/>
    <w:rsid w:val="199C675B"/>
    <w:rsid w:val="19A22BA5"/>
    <w:rsid w:val="19CB3919"/>
    <w:rsid w:val="19D04BE7"/>
    <w:rsid w:val="19E27C6F"/>
    <w:rsid w:val="19FF5724"/>
    <w:rsid w:val="1A1D5079"/>
    <w:rsid w:val="1A1D5A61"/>
    <w:rsid w:val="1A366D3F"/>
    <w:rsid w:val="1A446BE7"/>
    <w:rsid w:val="1A49632D"/>
    <w:rsid w:val="1A4A141E"/>
    <w:rsid w:val="1A5B22AE"/>
    <w:rsid w:val="1A6503E1"/>
    <w:rsid w:val="1A6D403D"/>
    <w:rsid w:val="1A785789"/>
    <w:rsid w:val="1A7B6DD2"/>
    <w:rsid w:val="1A7C6A43"/>
    <w:rsid w:val="1A8716F1"/>
    <w:rsid w:val="1A894390"/>
    <w:rsid w:val="1AA33815"/>
    <w:rsid w:val="1AA57407"/>
    <w:rsid w:val="1AA6031B"/>
    <w:rsid w:val="1AAB7D59"/>
    <w:rsid w:val="1AB55B4A"/>
    <w:rsid w:val="1ABE44E1"/>
    <w:rsid w:val="1AC16DF0"/>
    <w:rsid w:val="1ACD01F8"/>
    <w:rsid w:val="1ACD5D43"/>
    <w:rsid w:val="1AD970B6"/>
    <w:rsid w:val="1AEC78B5"/>
    <w:rsid w:val="1AEE14F9"/>
    <w:rsid w:val="1AF409D2"/>
    <w:rsid w:val="1AF9605B"/>
    <w:rsid w:val="1AFE18C3"/>
    <w:rsid w:val="1AFE5B0D"/>
    <w:rsid w:val="1B1F1F9E"/>
    <w:rsid w:val="1B225214"/>
    <w:rsid w:val="1B453AC8"/>
    <w:rsid w:val="1B611C0F"/>
    <w:rsid w:val="1B6B55A2"/>
    <w:rsid w:val="1B7C321B"/>
    <w:rsid w:val="1B993D82"/>
    <w:rsid w:val="1B9C1DDD"/>
    <w:rsid w:val="1B9F4AC8"/>
    <w:rsid w:val="1BA743AF"/>
    <w:rsid w:val="1BAB04C0"/>
    <w:rsid w:val="1BB36082"/>
    <w:rsid w:val="1BB96091"/>
    <w:rsid w:val="1BC03695"/>
    <w:rsid w:val="1BC13B92"/>
    <w:rsid w:val="1BCA18BD"/>
    <w:rsid w:val="1BD731F9"/>
    <w:rsid w:val="1BD74BD3"/>
    <w:rsid w:val="1BD9794E"/>
    <w:rsid w:val="1BEE6D2B"/>
    <w:rsid w:val="1BF252DD"/>
    <w:rsid w:val="1BF84BA4"/>
    <w:rsid w:val="1C1A5A5A"/>
    <w:rsid w:val="1C214A07"/>
    <w:rsid w:val="1C343B42"/>
    <w:rsid w:val="1C397883"/>
    <w:rsid w:val="1C3A0DDA"/>
    <w:rsid w:val="1C3F4A16"/>
    <w:rsid w:val="1C4F16D7"/>
    <w:rsid w:val="1C5704AE"/>
    <w:rsid w:val="1C5974D8"/>
    <w:rsid w:val="1C5E6505"/>
    <w:rsid w:val="1C6B5B8E"/>
    <w:rsid w:val="1C775311"/>
    <w:rsid w:val="1C7B6EBF"/>
    <w:rsid w:val="1C89415D"/>
    <w:rsid w:val="1C910FD5"/>
    <w:rsid w:val="1C965E50"/>
    <w:rsid w:val="1C99371C"/>
    <w:rsid w:val="1CAB7CA6"/>
    <w:rsid w:val="1CB616D7"/>
    <w:rsid w:val="1CBF1F8B"/>
    <w:rsid w:val="1CC37DFC"/>
    <w:rsid w:val="1CCF139A"/>
    <w:rsid w:val="1CDB284F"/>
    <w:rsid w:val="1CF21341"/>
    <w:rsid w:val="1CF561B6"/>
    <w:rsid w:val="1D1E3399"/>
    <w:rsid w:val="1D1E5F93"/>
    <w:rsid w:val="1D290C9C"/>
    <w:rsid w:val="1D2B3E31"/>
    <w:rsid w:val="1D466790"/>
    <w:rsid w:val="1D4B6FBF"/>
    <w:rsid w:val="1D6C0F0C"/>
    <w:rsid w:val="1D812E46"/>
    <w:rsid w:val="1D81597C"/>
    <w:rsid w:val="1D82304D"/>
    <w:rsid w:val="1D8446E0"/>
    <w:rsid w:val="1D894B42"/>
    <w:rsid w:val="1DA1116D"/>
    <w:rsid w:val="1DAB5747"/>
    <w:rsid w:val="1DAD15B2"/>
    <w:rsid w:val="1DCF4830"/>
    <w:rsid w:val="1DDB4E68"/>
    <w:rsid w:val="1E253813"/>
    <w:rsid w:val="1E3F592D"/>
    <w:rsid w:val="1E4A2909"/>
    <w:rsid w:val="1E5D5A62"/>
    <w:rsid w:val="1E5E606E"/>
    <w:rsid w:val="1E653F87"/>
    <w:rsid w:val="1E670F2B"/>
    <w:rsid w:val="1E673396"/>
    <w:rsid w:val="1E6935FA"/>
    <w:rsid w:val="1E8C28F1"/>
    <w:rsid w:val="1E9148CC"/>
    <w:rsid w:val="1E945887"/>
    <w:rsid w:val="1EB03538"/>
    <w:rsid w:val="1EC26E95"/>
    <w:rsid w:val="1ECE27F0"/>
    <w:rsid w:val="1EDA61D4"/>
    <w:rsid w:val="1EE03804"/>
    <w:rsid w:val="1EE241F9"/>
    <w:rsid w:val="1EEF3F4C"/>
    <w:rsid w:val="1EFB7493"/>
    <w:rsid w:val="1F0423C1"/>
    <w:rsid w:val="1F0E56BD"/>
    <w:rsid w:val="1F21162C"/>
    <w:rsid w:val="1F2234C1"/>
    <w:rsid w:val="1F250D16"/>
    <w:rsid w:val="1F3047A2"/>
    <w:rsid w:val="1F356C44"/>
    <w:rsid w:val="1F361B51"/>
    <w:rsid w:val="1F57240A"/>
    <w:rsid w:val="1F5E2622"/>
    <w:rsid w:val="1F7B1706"/>
    <w:rsid w:val="1F876F39"/>
    <w:rsid w:val="1F992B2D"/>
    <w:rsid w:val="1F9A4F1A"/>
    <w:rsid w:val="1FAC0899"/>
    <w:rsid w:val="1FAC0911"/>
    <w:rsid w:val="1FBB4FAD"/>
    <w:rsid w:val="1FC11F70"/>
    <w:rsid w:val="1FC522DC"/>
    <w:rsid w:val="1FD12119"/>
    <w:rsid w:val="1FD158CD"/>
    <w:rsid w:val="1FE04101"/>
    <w:rsid w:val="1FEA1809"/>
    <w:rsid w:val="1FEC71FF"/>
    <w:rsid w:val="1FF21B11"/>
    <w:rsid w:val="1FF87A2A"/>
    <w:rsid w:val="1FFB7983"/>
    <w:rsid w:val="1FFF7011"/>
    <w:rsid w:val="20076C90"/>
    <w:rsid w:val="200A1260"/>
    <w:rsid w:val="201271F0"/>
    <w:rsid w:val="201E5074"/>
    <w:rsid w:val="201F6BD6"/>
    <w:rsid w:val="20230F6D"/>
    <w:rsid w:val="202428E3"/>
    <w:rsid w:val="20306DA0"/>
    <w:rsid w:val="203D12D6"/>
    <w:rsid w:val="204506D8"/>
    <w:rsid w:val="204D08E2"/>
    <w:rsid w:val="20747307"/>
    <w:rsid w:val="207F37B6"/>
    <w:rsid w:val="209F4F70"/>
    <w:rsid w:val="20A76959"/>
    <w:rsid w:val="20A81BB8"/>
    <w:rsid w:val="20AE6AE4"/>
    <w:rsid w:val="20C004F4"/>
    <w:rsid w:val="21186ABB"/>
    <w:rsid w:val="211B3590"/>
    <w:rsid w:val="212249E9"/>
    <w:rsid w:val="21237E94"/>
    <w:rsid w:val="21341527"/>
    <w:rsid w:val="21354E8F"/>
    <w:rsid w:val="2144119B"/>
    <w:rsid w:val="214747DB"/>
    <w:rsid w:val="21516647"/>
    <w:rsid w:val="21674E89"/>
    <w:rsid w:val="216D60C9"/>
    <w:rsid w:val="217234C7"/>
    <w:rsid w:val="21B3307A"/>
    <w:rsid w:val="21B92B96"/>
    <w:rsid w:val="21C61D84"/>
    <w:rsid w:val="21D13A71"/>
    <w:rsid w:val="21F93D33"/>
    <w:rsid w:val="221836BA"/>
    <w:rsid w:val="223E00B3"/>
    <w:rsid w:val="22425881"/>
    <w:rsid w:val="22432E87"/>
    <w:rsid w:val="22462C2D"/>
    <w:rsid w:val="224C6B32"/>
    <w:rsid w:val="22566C07"/>
    <w:rsid w:val="227545BC"/>
    <w:rsid w:val="228044AA"/>
    <w:rsid w:val="22AA798A"/>
    <w:rsid w:val="22B1115C"/>
    <w:rsid w:val="22C03F4E"/>
    <w:rsid w:val="22C05574"/>
    <w:rsid w:val="22C23FC8"/>
    <w:rsid w:val="22D67DA1"/>
    <w:rsid w:val="22D81EC7"/>
    <w:rsid w:val="22D8505A"/>
    <w:rsid w:val="22FC75D9"/>
    <w:rsid w:val="23046E34"/>
    <w:rsid w:val="230E3550"/>
    <w:rsid w:val="231F659F"/>
    <w:rsid w:val="232B1D24"/>
    <w:rsid w:val="233219BE"/>
    <w:rsid w:val="23560A0C"/>
    <w:rsid w:val="235B480E"/>
    <w:rsid w:val="23663EA7"/>
    <w:rsid w:val="236D79C4"/>
    <w:rsid w:val="237675C9"/>
    <w:rsid w:val="237875BE"/>
    <w:rsid w:val="238702A5"/>
    <w:rsid w:val="238910E7"/>
    <w:rsid w:val="238C242E"/>
    <w:rsid w:val="239F3ECC"/>
    <w:rsid w:val="23AE3C6B"/>
    <w:rsid w:val="23AF2EB1"/>
    <w:rsid w:val="23B83A89"/>
    <w:rsid w:val="23B96BB9"/>
    <w:rsid w:val="23B97601"/>
    <w:rsid w:val="23BC6746"/>
    <w:rsid w:val="23CA6B5A"/>
    <w:rsid w:val="23D22CC5"/>
    <w:rsid w:val="23D71F44"/>
    <w:rsid w:val="23DC3F48"/>
    <w:rsid w:val="23E34C9B"/>
    <w:rsid w:val="23F32FC3"/>
    <w:rsid w:val="23FA0560"/>
    <w:rsid w:val="23FD7F91"/>
    <w:rsid w:val="240A7F7C"/>
    <w:rsid w:val="240F2123"/>
    <w:rsid w:val="24151A02"/>
    <w:rsid w:val="241D113F"/>
    <w:rsid w:val="24294B3F"/>
    <w:rsid w:val="242C2100"/>
    <w:rsid w:val="24352BD0"/>
    <w:rsid w:val="24356FED"/>
    <w:rsid w:val="24371479"/>
    <w:rsid w:val="2439768B"/>
    <w:rsid w:val="243E33B0"/>
    <w:rsid w:val="245636BF"/>
    <w:rsid w:val="246639F4"/>
    <w:rsid w:val="246C40E2"/>
    <w:rsid w:val="246D6C52"/>
    <w:rsid w:val="24776D96"/>
    <w:rsid w:val="2478463B"/>
    <w:rsid w:val="247B0199"/>
    <w:rsid w:val="247D0800"/>
    <w:rsid w:val="248642CE"/>
    <w:rsid w:val="24A07A82"/>
    <w:rsid w:val="24A32275"/>
    <w:rsid w:val="24A563F4"/>
    <w:rsid w:val="24B44889"/>
    <w:rsid w:val="24C836DA"/>
    <w:rsid w:val="24C93C76"/>
    <w:rsid w:val="24E20A87"/>
    <w:rsid w:val="24F51B31"/>
    <w:rsid w:val="250D7D6E"/>
    <w:rsid w:val="25195E1D"/>
    <w:rsid w:val="252A7666"/>
    <w:rsid w:val="253634F0"/>
    <w:rsid w:val="25375D4C"/>
    <w:rsid w:val="254222BC"/>
    <w:rsid w:val="25455AA8"/>
    <w:rsid w:val="256E7D95"/>
    <w:rsid w:val="2570078B"/>
    <w:rsid w:val="258B6D5A"/>
    <w:rsid w:val="25933498"/>
    <w:rsid w:val="25990290"/>
    <w:rsid w:val="25A541D5"/>
    <w:rsid w:val="25D5223E"/>
    <w:rsid w:val="25DA5730"/>
    <w:rsid w:val="25DC44C9"/>
    <w:rsid w:val="25ED3FE3"/>
    <w:rsid w:val="25F85162"/>
    <w:rsid w:val="261C01C5"/>
    <w:rsid w:val="261C216C"/>
    <w:rsid w:val="262A3C6F"/>
    <w:rsid w:val="263205BE"/>
    <w:rsid w:val="26320806"/>
    <w:rsid w:val="26354F4F"/>
    <w:rsid w:val="26361B56"/>
    <w:rsid w:val="26371C62"/>
    <w:rsid w:val="26395B62"/>
    <w:rsid w:val="264E493D"/>
    <w:rsid w:val="265A3A90"/>
    <w:rsid w:val="266A61CB"/>
    <w:rsid w:val="267C448A"/>
    <w:rsid w:val="267E7DCF"/>
    <w:rsid w:val="269A0174"/>
    <w:rsid w:val="26A00B4D"/>
    <w:rsid w:val="26AB73A6"/>
    <w:rsid w:val="26C972CC"/>
    <w:rsid w:val="26D0702D"/>
    <w:rsid w:val="26D905D7"/>
    <w:rsid w:val="26EC3DFD"/>
    <w:rsid w:val="26FA4C7A"/>
    <w:rsid w:val="26FE5FFB"/>
    <w:rsid w:val="27020B35"/>
    <w:rsid w:val="271025A4"/>
    <w:rsid w:val="27300AA5"/>
    <w:rsid w:val="2730788A"/>
    <w:rsid w:val="274329B1"/>
    <w:rsid w:val="275B2D9A"/>
    <w:rsid w:val="275F6ED9"/>
    <w:rsid w:val="27667C68"/>
    <w:rsid w:val="2781011D"/>
    <w:rsid w:val="27B61EC8"/>
    <w:rsid w:val="27C41413"/>
    <w:rsid w:val="27C63AC4"/>
    <w:rsid w:val="27CC6B3B"/>
    <w:rsid w:val="27DE6801"/>
    <w:rsid w:val="27E15227"/>
    <w:rsid w:val="27E33A6D"/>
    <w:rsid w:val="27F06A09"/>
    <w:rsid w:val="27FA3CD3"/>
    <w:rsid w:val="2800261B"/>
    <w:rsid w:val="280D62B1"/>
    <w:rsid w:val="28112030"/>
    <w:rsid w:val="28174483"/>
    <w:rsid w:val="282D6369"/>
    <w:rsid w:val="28305FD5"/>
    <w:rsid w:val="283C46B8"/>
    <w:rsid w:val="283E74D1"/>
    <w:rsid w:val="284826A7"/>
    <w:rsid w:val="28551654"/>
    <w:rsid w:val="28625C6C"/>
    <w:rsid w:val="286B1878"/>
    <w:rsid w:val="286B4638"/>
    <w:rsid w:val="28701596"/>
    <w:rsid w:val="287F7865"/>
    <w:rsid w:val="28953BB5"/>
    <w:rsid w:val="28A40AA0"/>
    <w:rsid w:val="28A64E5C"/>
    <w:rsid w:val="28AD3ACA"/>
    <w:rsid w:val="28B12B97"/>
    <w:rsid w:val="28BF47E8"/>
    <w:rsid w:val="28C01A4F"/>
    <w:rsid w:val="28C07B4B"/>
    <w:rsid w:val="28CF0907"/>
    <w:rsid w:val="28E151AD"/>
    <w:rsid w:val="28E55B4A"/>
    <w:rsid w:val="28EB3A30"/>
    <w:rsid w:val="28EF260B"/>
    <w:rsid w:val="29151E78"/>
    <w:rsid w:val="291D364D"/>
    <w:rsid w:val="292F7C21"/>
    <w:rsid w:val="294263C0"/>
    <w:rsid w:val="295E36A4"/>
    <w:rsid w:val="29715D93"/>
    <w:rsid w:val="29754489"/>
    <w:rsid w:val="29770829"/>
    <w:rsid w:val="299E17DD"/>
    <w:rsid w:val="29A62659"/>
    <w:rsid w:val="29B752E1"/>
    <w:rsid w:val="29CD76F5"/>
    <w:rsid w:val="29D931DF"/>
    <w:rsid w:val="29E024F0"/>
    <w:rsid w:val="29F36023"/>
    <w:rsid w:val="29F5011C"/>
    <w:rsid w:val="2A1A7A26"/>
    <w:rsid w:val="2A1D06E6"/>
    <w:rsid w:val="2A1E6D3F"/>
    <w:rsid w:val="2A22650D"/>
    <w:rsid w:val="2A2F6AC9"/>
    <w:rsid w:val="2A3F37C8"/>
    <w:rsid w:val="2A480BD5"/>
    <w:rsid w:val="2A4F575D"/>
    <w:rsid w:val="2A663052"/>
    <w:rsid w:val="2A6D353D"/>
    <w:rsid w:val="2A7C7894"/>
    <w:rsid w:val="2A863881"/>
    <w:rsid w:val="2A9B249C"/>
    <w:rsid w:val="2A9D25E9"/>
    <w:rsid w:val="2AA00831"/>
    <w:rsid w:val="2AA1765E"/>
    <w:rsid w:val="2AA464A5"/>
    <w:rsid w:val="2AAB35B1"/>
    <w:rsid w:val="2AB17D99"/>
    <w:rsid w:val="2ABE4688"/>
    <w:rsid w:val="2AC801B0"/>
    <w:rsid w:val="2AC870DF"/>
    <w:rsid w:val="2AD741FF"/>
    <w:rsid w:val="2ADF27A9"/>
    <w:rsid w:val="2AFD6111"/>
    <w:rsid w:val="2B0F2DC7"/>
    <w:rsid w:val="2B0F6376"/>
    <w:rsid w:val="2B1A356F"/>
    <w:rsid w:val="2B2745DE"/>
    <w:rsid w:val="2B304544"/>
    <w:rsid w:val="2B306304"/>
    <w:rsid w:val="2B440561"/>
    <w:rsid w:val="2B4877D3"/>
    <w:rsid w:val="2B53587C"/>
    <w:rsid w:val="2B5B0E62"/>
    <w:rsid w:val="2B5E2E1C"/>
    <w:rsid w:val="2B613ADD"/>
    <w:rsid w:val="2B62370F"/>
    <w:rsid w:val="2B632C9B"/>
    <w:rsid w:val="2B754F5A"/>
    <w:rsid w:val="2BA16160"/>
    <w:rsid w:val="2BA27280"/>
    <w:rsid w:val="2BA71160"/>
    <w:rsid w:val="2BAD038E"/>
    <w:rsid w:val="2BC01770"/>
    <w:rsid w:val="2BD260F1"/>
    <w:rsid w:val="2BDF3D58"/>
    <w:rsid w:val="2BFB6B52"/>
    <w:rsid w:val="2C122B3D"/>
    <w:rsid w:val="2C140090"/>
    <w:rsid w:val="2C33585B"/>
    <w:rsid w:val="2C42277B"/>
    <w:rsid w:val="2C476788"/>
    <w:rsid w:val="2C504E98"/>
    <w:rsid w:val="2C5A353A"/>
    <w:rsid w:val="2C631E89"/>
    <w:rsid w:val="2C63407C"/>
    <w:rsid w:val="2C71530D"/>
    <w:rsid w:val="2C821DAA"/>
    <w:rsid w:val="2C925725"/>
    <w:rsid w:val="2C950028"/>
    <w:rsid w:val="2CA06CE9"/>
    <w:rsid w:val="2CAE7E10"/>
    <w:rsid w:val="2CB713C2"/>
    <w:rsid w:val="2CD45AC9"/>
    <w:rsid w:val="2CDF292B"/>
    <w:rsid w:val="2CF60943"/>
    <w:rsid w:val="2D0716EC"/>
    <w:rsid w:val="2D137E7E"/>
    <w:rsid w:val="2D1C4D7A"/>
    <w:rsid w:val="2D204098"/>
    <w:rsid w:val="2D26127F"/>
    <w:rsid w:val="2D3C0AA6"/>
    <w:rsid w:val="2D7A0B0B"/>
    <w:rsid w:val="2D7D17B3"/>
    <w:rsid w:val="2D834446"/>
    <w:rsid w:val="2D960836"/>
    <w:rsid w:val="2D9C5EBB"/>
    <w:rsid w:val="2DA309CD"/>
    <w:rsid w:val="2DB629D5"/>
    <w:rsid w:val="2DE556DB"/>
    <w:rsid w:val="2DFF4851"/>
    <w:rsid w:val="2DFF5475"/>
    <w:rsid w:val="2E016FBF"/>
    <w:rsid w:val="2E0205B9"/>
    <w:rsid w:val="2E0E7628"/>
    <w:rsid w:val="2E232138"/>
    <w:rsid w:val="2E2F6DBF"/>
    <w:rsid w:val="2E3B041E"/>
    <w:rsid w:val="2E4F7B70"/>
    <w:rsid w:val="2E615002"/>
    <w:rsid w:val="2E65686D"/>
    <w:rsid w:val="2E722FF6"/>
    <w:rsid w:val="2E763FE5"/>
    <w:rsid w:val="2E811DE7"/>
    <w:rsid w:val="2E955C3D"/>
    <w:rsid w:val="2E9E6E04"/>
    <w:rsid w:val="2EAC51B6"/>
    <w:rsid w:val="2EB673C0"/>
    <w:rsid w:val="2EC566EB"/>
    <w:rsid w:val="2EC844E6"/>
    <w:rsid w:val="2EC867D4"/>
    <w:rsid w:val="2ECC1C9F"/>
    <w:rsid w:val="2ECF4658"/>
    <w:rsid w:val="2ED0756B"/>
    <w:rsid w:val="2EEE3790"/>
    <w:rsid w:val="2EF5711B"/>
    <w:rsid w:val="2EF95CFF"/>
    <w:rsid w:val="2F1108B5"/>
    <w:rsid w:val="2F1640E5"/>
    <w:rsid w:val="2F1A596C"/>
    <w:rsid w:val="2F1B70DD"/>
    <w:rsid w:val="2F263E03"/>
    <w:rsid w:val="2F432F72"/>
    <w:rsid w:val="2F464330"/>
    <w:rsid w:val="2F4A3E20"/>
    <w:rsid w:val="2F531C20"/>
    <w:rsid w:val="2F5546C1"/>
    <w:rsid w:val="2F5622F1"/>
    <w:rsid w:val="2F600016"/>
    <w:rsid w:val="2F640FB2"/>
    <w:rsid w:val="2F656B8F"/>
    <w:rsid w:val="2F7013AD"/>
    <w:rsid w:val="2F7727F5"/>
    <w:rsid w:val="2F9A3EE9"/>
    <w:rsid w:val="2FA23C5C"/>
    <w:rsid w:val="2FB83FEF"/>
    <w:rsid w:val="2FD63D85"/>
    <w:rsid w:val="2FDF52B6"/>
    <w:rsid w:val="2FE26615"/>
    <w:rsid w:val="2FE84E84"/>
    <w:rsid w:val="3001023A"/>
    <w:rsid w:val="300A0567"/>
    <w:rsid w:val="300E1440"/>
    <w:rsid w:val="300E1B25"/>
    <w:rsid w:val="30153229"/>
    <w:rsid w:val="302064FF"/>
    <w:rsid w:val="302208F9"/>
    <w:rsid w:val="302879BF"/>
    <w:rsid w:val="303726F4"/>
    <w:rsid w:val="303C37BC"/>
    <w:rsid w:val="303C6EDC"/>
    <w:rsid w:val="304979C2"/>
    <w:rsid w:val="3051718A"/>
    <w:rsid w:val="30521786"/>
    <w:rsid w:val="305D4FAF"/>
    <w:rsid w:val="307528FC"/>
    <w:rsid w:val="308B1E84"/>
    <w:rsid w:val="308B71D5"/>
    <w:rsid w:val="309423EE"/>
    <w:rsid w:val="30966388"/>
    <w:rsid w:val="309F5E0C"/>
    <w:rsid w:val="30AC726F"/>
    <w:rsid w:val="30CD5B87"/>
    <w:rsid w:val="30D36566"/>
    <w:rsid w:val="30F7019C"/>
    <w:rsid w:val="3102379E"/>
    <w:rsid w:val="31046251"/>
    <w:rsid w:val="31072877"/>
    <w:rsid w:val="310C25F7"/>
    <w:rsid w:val="310E415F"/>
    <w:rsid w:val="311D18BD"/>
    <w:rsid w:val="31392578"/>
    <w:rsid w:val="313A7EC4"/>
    <w:rsid w:val="31413290"/>
    <w:rsid w:val="3143068C"/>
    <w:rsid w:val="314669B5"/>
    <w:rsid w:val="314C143D"/>
    <w:rsid w:val="315D0E30"/>
    <w:rsid w:val="317770C4"/>
    <w:rsid w:val="318553F9"/>
    <w:rsid w:val="318771D5"/>
    <w:rsid w:val="318B6D19"/>
    <w:rsid w:val="31914CAB"/>
    <w:rsid w:val="31A660B1"/>
    <w:rsid w:val="31B238B7"/>
    <w:rsid w:val="31B72718"/>
    <w:rsid w:val="31B924A1"/>
    <w:rsid w:val="31C36630"/>
    <w:rsid w:val="31C776CF"/>
    <w:rsid w:val="31CA2F38"/>
    <w:rsid w:val="31CF1598"/>
    <w:rsid w:val="31FA147A"/>
    <w:rsid w:val="320534F0"/>
    <w:rsid w:val="320D5C11"/>
    <w:rsid w:val="32113881"/>
    <w:rsid w:val="32261EE8"/>
    <w:rsid w:val="322E0ADF"/>
    <w:rsid w:val="32333F21"/>
    <w:rsid w:val="323623BA"/>
    <w:rsid w:val="32477AB8"/>
    <w:rsid w:val="325302A8"/>
    <w:rsid w:val="32610C27"/>
    <w:rsid w:val="32686C93"/>
    <w:rsid w:val="328923C3"/>
    <w:rsid w:val="329C293D"/>
    <w:rsid w:val="329F31D2"/>
    <w:rsid w:val="32A3202F"/>
    <w:rsid w:val="32BE454B"/>
    <w:rsid w:val="32BF7799"/>
    <w:rsid w:val="32D9283C"/>
    <w:rsid w:val="32DE3854"/>
    <w:rsid w:val="32DF6DB9"/>
    <w:rsid w:val="32FB6551"/>
    <w:rsid w:val="33016BE0"/>
    <w:rsid w:val="330206EE"/>
    <w:rsid w:val="331830B6"/>
    <w:rsid w:val="331A09D4"/>
    <w:rsid w:val="331A22DD"/>
    <w:rsid w:val="331C512A"/>
    <w:rsid w:val="331F7372"/>
    <w:rsid w:val="3339168C"/>
    <w:rsid w:val="333E221C"/>
    <w:rsid w:val="333F7473"/>
    <w:rsid w:val="33411D32"/>
    <w:rsid w:val="335F4E3A"/>
    <w:rsid w:val="336910E1"/>
    <w:rsid w:val="33735FF2"/>
    <w:rsid w:val="33736A00"/>
    <w:rsid w:val="337A2350"/>
    <w:rsid w:val="338121DE"/>
    <w:rsid w:val="338831C9"/>
    <w:rsid w:val="338C7572"/>
    <w:rsid w:val="33A068B2"/>
    <w:rsid w:val="33A73265"/>
    <w:rsid w:val="33B871C9"/>
    <w:rsid w:val="33B96690"/>
    <w:rsid w:val="33BB4C2F"/>
    <w:rsid w:val="33C9078A"/>
    <w:rsid w:val="33CD6DCE"/>
    <w:rsid w:val="33DF5D66"/>
    <w:rsid w:val="33EE73C3"/>
    <w:rsid w:val="33F77930"/>
    <w:rsid w:val="340B0F4F"/>
    <w:rsid w:val="34163DE0"/>
    <w:rsid w:val="34180F42"/>
    <w:rsid w:val="3427755C"/>
    <w:rsid w:val="342D5ABF"/>
    <w:rsid w:val="343D68F4"/>
    <w:rsid w:val="345D5F6E"/>
    <w:rsid w:val="34686259"/>
    <w:rsid w:val="34686F9B"/>
    <w:rsid w:val="346C05D0"/>
    <w:rsid w:val="347C2CFD"/>
    <w:rsid w:val="34806AA5"/>
    <w:rsid w:val="34866A39"/>
    <w:rsid w:val="348869CC"/>
    <w:rsid w:val="3492016D"/>
    <w:rsid w:val="34A47165"/>
    <w:rsid w:val="34B5400D"/>
    <w:rsid w:val="34C612F2"/>
    <w:rsid w:val="34C617B8"/>
    <w:rsid w:val="34CC5689"/>
    <w:rsid w:val="34CE2DFE"/>
    <w:rsid w:val="34D04ECF"/>
    <w:rsid w:val="34D20941"/>
    <w:rsid w:val="34D23F62"/>
    <w:rsid w:val="34DE16E5"/>
    <w:rsid w:val="34DF4E94"/>
    <w:rsid w:val="34FB63ED"/>
    <w:rsid w:val="352F3DC1"/>
    <w:rsid w:val="35360DE7"/>
    <w:rsid w:val="353C5454"/>
    <w:rsid w:val="353E7FE7"/>
    <w:rsid w:val="354930F5"/>
    <w:rsid w:val="35496CA0"/>
    <w:rsid w:val="354A7A14"/>
    <w:rsid w:val="356C5DA5"/>
    <w:rsid w:val="35717DE4"/>
    <w:rsid w:val="357279CD"/>
    <w:rsid w:val="35764C7A"/>
    <w:rsid w:val="357A30EF"/>
    <w:rsid w:val="357D0051"/>
    <w:rsid w:val="358B19C0"/>
    <w:rsid w:val="358F24BA"/>
    <w:rsid w:val="358F7CE9"/>
    <w:rsid w:val="35932935"/>
    <w:rsid w:val="35A544F0"/>
    <w:rsid w:val="35A81066"/>
    <w:rsid w:val="35B2166C"/>
    <w:rsid w:val="35C357C5"/>
    <w:rsid w:val="35CD34CA"/>
    <w:rsid w:val="35D11547"/>
    <w:rsid w:val="35D80008"/>
    <w:rsid w:val="35D82D8C"/>
    <w:rsid w:val="35D85BA3"/>
    <w:rsid w:val="35DC041F"/>
    <w:rsid w:val="35FC4C3C"/>
    <w:rsid w:val="36006CC7"/>
    <w:rsid w:val="36065DAD"/>
    <w:rsid w:val="360B7B4F"/>
    <w:rsid w:val="36132D9A"/>
    <w:rsid w:val="36294A2D"/>
    <w:rsid w:val="363022F0"/>
    <w:rsid w:val="363C0F60"/>
    <w:rsid w:val="364D7B36"/>
    <w:rsid w:val="36577227"/>
    <w:rsid w:val="36605A23"/>
    <w:rsid w:val="36646F72"/>
    <w:rsid w:val="366655DD"/>
    <w:rsid w:val="366745C7"/>
    <w:rsid w:val="36A232C6"/>
    <w:rsid w:val="36AF3103"/>
    <w:rsid w:val="36B5041F"/>
    <w:rsid w:val="36C073A3"/>
    <w:rsid w:val="36D527D4"/>
    <w:rsid w:val="36FE5CCC"/>
    <w:rsid w:val="374C58CF"/>
    <w:rsid w:val="375F05C1"/>
    <w:rsid w:val="37655B3A"/>
    <w:rsid w:val="376C02B1"/>
    <w:rsid w:val="37723387"/>
    <w:rsid w:val="37752CD1"/>
    <w:rsid w:val="37907BDD"/>
    <w:rsid w:val="37B36A07"/>
    <w:rsid w:val="37B836D0"/>
    <w:rsid w:val="37C37E81"/>
    <w:rsid w:val="37D8288E"/>
    <w:rsid w:val="37EB3A48"/>
    <w:rsid w:val="38016F23"/>
    <w:rsid w:val="380414DC"/>
    <w:rsid w:val="38077679"/>
    <w:rsid w:val="380E282E"/>
    <w:rsid w:val="380F2329"/>
    <w:rsid w:val="380F7C75"/>
    <w:rsid w:val="381C71B8"/>
    <w:rsid w:val="381E0CA8"/>
    <w:rsid w:val="38223F86"/>
    <w:rsid w:val="382478C4"/>
    <w:rsid w:val="382D4904"/>
    <w:rsid w:val="382E3772"/>
    <w:rsid w:val="38335AEE"/>
    <w:rsid w:val="38486782"/>
    <w:rsid w:val="38616308"/>
    <w:rsid w:val="38654ECD"/>
    <w:rsid w:val="387A72B6"/>
    <w:rsid w:val="387B329C"/>
    <w:rsid w:val="38825EF2"/>
    <w:rsid w:val="389D211E"/>
    <w:rsid w:val="38A10829"/>
    <w:rsid w:val="38CD5177"/>
    <w:rsid w:val="38F05236"/>
    <w:rsid w:val="38F95631"/>
    <w:rsid w:val="38FF1D20"/>
    <w:rsid w:val="390C31E7"/>
    <w:rsid w:val="390C38C7"/>
    <w:rsid w:val="391358F9"/>
    <w:rsid w:val="39372E94"/>
    <w:rsid w:val="397974B5"/>
    <w:rsid w:val="3990139B"/>
    <w:rsid w:val="399A1253"/>
    <w:rsid w:val="39AE76A2"/>
    <w:rsid w:val="39AF4B3C"/>
    <w:rsid w:val="39B06093"/>
    <w:rsid w:val="39B22401"/>
    <w:rsid w:val="39BD2644"/>
    <w:rsid w:val="39BE0590"/>
    <w:rsid w:val="39C778ED"/>
    <w:rsid w:val="39CE56E9"/>
    <w:rsid w:val="39D1036D"/>
    <w:rsid w:val="39D60DDB"/>
    <w:rsid w:val="39F25771"/>
    <w:rsid w:val="3A077543"/>
    <w:rsid w:val="3A0C799D"/>
    <w:rsid w:val="3A3D7D18"/>
    <w:rsid w:val="3A436050"/>
    <w:rsid w:val="3A4E3387"/>
    <w:rsid w:val="3A5F1116"/>
    <w:rsid w:val="3A7302DC"/>
    <w:rsid w:val="3A754841"/>
    <w:rsid w:val="3A8634F6"/>
    <w:rsid w:val="3A9135FA"/>
    <w:rsid w:val="3A97419F"/>
    <w:rsid w:val="3A9D534B"/>
    <w:rsid w:val="3AA463D6"/>
    <w:rsid w:val="3ABF6C5F"/>
    <w:rsid w:val="3AC26248"/>
    <w:rsid w:val="3AC74024"/>
    <w:rsid w:val="3AC763CF"/>
    <w:rsid w:val="3ACD2E07"/>
    <w:rsid w:val="3AD277B4"/>
    <w:rsid w:val="3ADE4ED5"/>
    <w:rsid w:val="3B017EE9"/>
    <w:rsid w:val="3B104CEB"/>
    <w:rsid w:val="3B131D24"/>
    <w:rsid w:val="3B1B2E58"/>
    <w:rsid w:val="3B2C0ABB"/>
    <w:rsid w:val="3B2C3929"/>
    <w:rsid w:val="3B2E4DB3"/>
    <w:rsid w:val="3B6D220D"/>
    <w:rsid w:val="3B900DE4"/>
    <w:rsid w:val="3B9A34A2"/>
    <w:rsid w:val="3B9C3359"/>
    <w:rsid w:val="3B9D352A"/>
    <w:rsid w:val="3BA02426"/>
    <w:rsid w:val="3BA034C3"/>
    <w:rsid w:val="3BA42137"/>
    <w:rsid w:val="3BA511A3"/>
    <w:rsid w:val="3BA61D83"/>
    <w:rsid w:val="3BA64AD4"/>
    <w:rsid w:val="3BC0355C"/>
    <w:rsid w:val="3BD42146"/>
    <w:rsid w:val="3BF550A5"/>
    <w:rsid w:val="3C061639"/>
    <w:rsid w:val="3C0649A2"/>
    <w:rsid w:val="3C090BBF"/>
    <w:rsid w:val="3C1131D2"/>
    <w:rsid w:val="3C384436"/>
    <w:rsid w:val="3C496737"/>
    <w:rsid w:val="3C5D0A40"/>
    <w:rsid w:val="3C666012"/>
    <w:rsid w:val="3C6978B0"/>
    <w:rsid w:val="3C7A013B"/>
    <w:rsid w:val="3C7D147D"/>
    <w:rsid w:val="3C836BC3"/>
    <w:rsid w:val="3C9F4655"/>
    <w:rsid w:val="3CA5758D"/>
    <w:rsid w:val="3CA925C3"/>
    <w:rsid w:val="3CBD7976"/>
    <w:rsid w:val="3CC20F42"/>
    <w:rsid w:val="3CC226D3"/>
    <w:rsid w:val="3CC32D13"/>
    <w:rsid w:val="3CC87E31"/>
    <w:rsid w:val="3CD11E57"/>
    <w:rsid w:val="3CDC0738"/>
    <w:rsid w:val="3CE240DD"/>
    <w:rsid w:val="3CE94B18"/>
    <w:rsid w:val="3CEC739C"/>
    <w:rsid w:val="3CFC0724"/>
    <w:rsid w:val="3D107DA1"/>
    <w:rsid w:val="3D233B78"/>
    <w:rsid w:val="3D2B1143"/>
    <w:rsid w:val="3D324146"/>
    <w:rsid w:val="3D3346F2"/>
    <w:rsid w:val="3D3730D2"/>
    <w:rsid w:val="3D385C15"/>
    <w:rsid w:val="3D4058F6"/>
    <w:rsid w:val="3D5516DF"/>
    <w:rsid w:val="3D657894"/>
    <w:rsid w:val="3D694E9D"/>
    <w:rsid w:val="3D704A53"/>
    <w:rsid w:val="3D762284"/>
    <w:rsid w:val="3D896604"/>
    <w:rsid w:val="3D8D44B6"/>
    <w:rsid w:val="3D94095C"/>
    <w:rsid w:val="3D9A3ECC"/>
    <w:rsid w:val="3DAD2116"/>
    <w:rsid w:val="3DC456E6"/>
    <w:rsid w:val="3DCC00F6"/>
    <w:rsid w:val="3DD8050E"/>
    <w:rsid w:val="3DE44E6E"/>
    <w:rsid w:val="3DEB2221"/>
    <w:rsid w:val="3E0A6D34"/>
    <w:rsid w:val="3E176EFE"/>
    <w:rsid w:val="3E1A6E43"/>
    <w:rsid w:val="3E1E2315"/>
    <w:rsid w:val="3E2F3073"/>
    <w:rsid w:val="3E3363C7"/>
    <w:rsid w:val="3E3D4DE7"/>
    <w:rsid w:val="3E401396"/>
    <w:rsid w:val="3E426C91"/>
    <w:rsid w:val="3E487F4C"/>
    <w:rsid w:val="3E4B7062"/>
    <w:rsid w:val="3E4D4C7C"/>
    <w:rsid w:val="3E4D7E89"/>
    <w:rsid w:val="3E585785"/>
    <w:rsid w:val="3E5C76EA"/>
    <w:rsid w:val="3E6F4CFE"/>
    <w:rsid w:val="3E7D639E"/>
    <w:rsid w:val="3E965A32"/>
    <w:rsid w:val="3EA53FA8"/>
    <w:rsid w:val="3EAE2568"/>
    <w:rsid w:val="3EB4699B"/>
    <w:rsid w:val="3EC72BFF"/>
    <w:rsid w:val="3ECC26FB"/>
    <w:rsid w:val="3ECF48D1"/>
    <w:rsid w:val="3EE37144"/>
    <w:rsid w:val="3EFD6718"/>
    <w:rsid w:val="3F06035A"/>
    <w:rsid w:val="3F081D2F"/>
    <w:rsid w:val="3F1B58E9"/>
    <w:rsid w:val="3F1F2B12"/>
    <w:rsid w:val="3F3B487A"/>
    <w:rsid w:val="3F420300"/>
    <w:rsid w:val="3F602ADF"/>
    <w:rsid w:val="3F61024B"/>
    <w:rsid w:val="3F624109"/>
    <w:rsid w:val="3F7865AA"/>
    <w:rsid w:val="3F7B0EB6"/>
    <w:rsid w:val="3F8A68CD"/>
    <w:rsid w:val="3F92469C"/>
    <w:rsid w:val="3F9A7335"/>
    <w:rsid w:val="3FA07923"/>
    <w:rsid w:val="3FAE7405"/>
    <w:rsid w:val="3FB32F49"/>
    <w:rsid w:val="3FCD3485"/>
    <w:rsid w:val="3FCF6679"/>
    <w:rsid w:val="3FD85478"/>
    <w:rsid w:val="3FDA2F44"/>
    <w:rsid w:val="3FE10A44"/>
    <w:rsid w:val="3FF90F79"/>
    <w:rsid w:val="3FFD0133"/>
    <w:rsid w:val="40062E3D"/>
    <w:rsid w:val="400648D8"/>
    <w:rsid w:val="401D5B29"/>
    <w:rsid w:val="401E03A2"/>
    <w:rsid w:val="40243BD6"/>
    <w:rsid w:val="40266425"/>
    <w:rsid w:val="4029119B"/>
    <w:rsid w:val="402D31B2"/>
    <w:rsid w:val="403B3CA7"/>
    <w:rsid w:val="403E471B"/>
    <w:rsid w:val="405408D9"/>
    <w:rsid w:val="4056454A"/>
    <w:rsid w:val="406077D1"/>
    <w:rsid w:val="4067520E"/>
    <w:rsid w:val="40756B3C"/>
    <w:rsid w:val="407D1B7C"/>
    <w:rsid w:val="40856866"/>
    <w:rsid w:val="40A5758A"/>
    <w:rsid w:val="40A90F6F"/>
    <w:rsid w:val="40AA68CF"/>
    <w:rsid w:val="40CE6FDD"/>
    <w:rsid w:val="41006452"/>
    <w:rsid w:val="411272BF"/>
    <w:rsid w:val="41385BFD"/>
    <w:rsid w:val="413F5EE3"/>
    <w:rsid w:val="4155712F"/>
    <w:rsid w:val="41572958"/>
    <w:rsid w:val="41586871"/>
    <w:rsid w:val="415E519E"/>
    <w:rsid w:val="41685B7F"/>
    <w:rsid w:val="41784F61"/>
    <w:rsid w:val="41846B5C"/>
    <w:rsid w:val="418B4E11"/>
    <w:rsid w:val="419531C7"/>
    <w:rsid w:val="41987FC6"/>
    <w:rsid w:val="4199626E"/>
    <w:rsid w:val="41A356C1"/>
    <w:rsid w:val="41AF2FCB"/>
    <w:rsid w:val="41B337B4"/>
    <w:rsid w:val="41E35ECD"/>
    <w:rsid w:val="42050927"/>
    <w:rsid w:val="42184C91"/>
    <w:rsid w:val="422C1B63"/>
    <w:rsid w:val="425405F3"/>
    <w:rsid w:val="42562F27"/>
    <w:rsid w:val="425A4FDC"/>
    <w:rsid w:val="425A69CB"/>
    <w:rsid w:val="428E107E"/>
    <w:rsid w:val="429D2FC6"/>
    <w:rsid w:val="429D7591"/>
    <w:rsid w:val="429F5DD9"/>
    <w:rsid w:val="42A11E45"/>
    <w:rsid w:val="42AE6318"/>
    <w:rsid w:val="42BB2EAD"/>
    <w:rsid w:val="42D4708E"/>
    <w:rsid w:val="42DB1728"/>
    <w:rsid w:val="42DE4B54"/>
    <w:rsid w:val="431840E5"/>
    <w:rsid w:val="43220FD1"/>
    <w:rsid w:val="43277888"/>
    <w:rsid w:val="433B42E3"/>
    <w:rsid w:val="4345757C"/>
    <w:rsid w:val="43625F54"/>
    <w:rsid w:val="437C0DE0"/>
    <w:rsid w:val="437F4262"/>
    <w:rsid w:val="43840AA7"/>
    <w:rsid w:val="438457A6"/>
    <w:rsid w:val="4386593E"/>
    <w:rsid w:val="43883C58"/>
    <w:rsid w:val="43C7383A"/>
    <w:rsid w:val="43CF0221"/>
    <w:rsid w:val="43CF61D2"/>
    <w:rsid w:val="43D83702"/>
    <w:rsid w:val="43DE284A"/>
    <w:rsid w:val="43DE4353"/>
    <w:rsid w:val="43E0197C"/>
    <w:rsid w:val="43F04156"/>
    <w:rsid w:val="44191C2C"/>
    <w:rsid w:val="441B4612"/>
    <w:rsid w:val="44203BEB"/>
    <w:rsid w:val="442411DC"/>
    <w:rsid w:val="442E1F3E"/>
    <w:rsid w:val="44386E75"/>
    <w:rsid w:val="445D7038"/>
    <w:rsid w:val="44683149"/>
    <w:rsid w:val="446A7B59"/>
    <w:rsid w:val="447058EA"/>
    <w:rsid w:val="4493196E"/>
    <w:rsid w:val="449526AD"/>
    <w:rsid w:val="44AB315B"/>
    <w:rsid w:val="44AE0556"/>
    <w:rsid w:val="44AE49FA"/>
    <w:rsid w:val="44B601DF"/>
    <w:rsid w:val="44B6775C"/>
    <w:rsid w:val="44E1621B"/>
    <w:rsid w:val="44E32D07"/>
    <w:rsid w:val="44EF459F"/>
    <w:rsid w:val="44F75169"/>
    <w:rsid w:val="44FC35A0"/>
    <w:rsid w:val="4504098E"/>
    <w:rsid w:val="45126D36"/>
    <w:rsid w:val="451E1B14"/>
    <w:rsid w:val="45346D6C"/>
    <w:rsid w:val="453748AC"/>
    <w:rsid w:val="45491AF0"/>
    <w:rsid w:val="45563514"/>
    <w:rsid w:val="4562513A"/>
    <w:rsid w:val="4567370C"/>
    <w:rsid w:val="456B403A"/>
    <w:rsid w:val="457656E5"/>
    <w:rsid w:val="457A59F1"/>
    <w:rsid w:val="457F2B0F"/>
    <w:rsid w:val="458B1ABD"/>
    <w:rsid w:val="45927781"/>
    <w:rsid w:val="45A864EA"/>
    <w:rsid w:val="45BC369B"/>
    <w:rsid w:val="45C2075D"/>
    <w:rsid w:val="45C8434D"/>
    <w:rsid w:val="45C91098"/>
    <w:rsid w:val="45CD26F2"/>
    <w:rsid w:val="45EC7588"/>
    <w:rsid w:val="46056F63"/>
    <w:rsid w:val="46191173"/>
    <w:rsid w:val="461E757B"/>
    <w:rsid w:val="462176B4"/>
    <w:rsid w:val="4623633A"/>
    <w:rsid w:val="462E4A44"/>
    <w:rsid w:val="46317690"/>
    <w:rsid w:val="46522D93"/>
    <w:rsid w:val="465515D1"/>
    <w:rsid w:val="465638BC"/>
    <w:rsid w:val="46567259"/>
    <w:rsid w:val="46783E71"/>
    <w:rsid w:val="467957E9"/>
    <w:rsid w:val="467A3B7F"/>
    <w:rsid w:val="4699000B"/>
    <w:rsid w:val="46A4149E"/>
    <w:rsid w:val="46B31960"/>
    <w:rsid w:val="46B4220E"/>
    <w:rsid w:val="46BC5E42"/>
    <w:rsid w:val="46D95B94"/>
    <w:rsid w:val="46E13ECB"/>
    <w:rsid w:val="46E31034"/>
    <w:rsid w:val="47065D2D"/>
    <w:rsid w:val="470E004A"/>
    <w:rsid w:val="471421FD"/>
    <w:rsid w:val="4722480D"/>
    <w:rsid w:val="473568B2"/>
    <w:rsid w:val="47366729"/>
    <w:rsid w:val="473A34F2"/>
    <w:rsid w:val="473C4E5E"/>
    <w:rsid w:val="47417FB1"/>
    <w:rsid w:val="47502FD5"/>
    <w:rsid w:val="475D35A3"/>
    <w:rsid w:val="4760213D"/>
    <w:rsid w:val="47624118"/>
    <w:rsid w:val="476C6C8A"/>
    <w:rsid w:val="477556BD"/>
    <w:rsid w:val="47755C85"/>
    <w:rsid w:val="47790144"/>
    <w:rsid w:val="477F2505"/>
    <w:rsid w:val="479B74B7"/>
    <w:rsid w:val="47AA1B1F"/>
    <w:rsid w:val="47B9778B"/>
    <w:rsid w:val="47BB625F"/>
    <w:rsid w:val="47C57993"/>
    <w:rsid w:val="47DC3BC7"/>
    <w:rsid w:val="47EE72E8"/>
    <w:rsid w:val="47F126F8"/>
    <w:rsid w:val="48003C3E"/>
    <w:rsid w:val="48042074"/>
    <w:rsid w:val="48050C7F"/>
    <w:rsid w:val="480C35ED"/>
    <w:rsid w:val="482D4F98"/>
    <w:rsid w:val="485131C5"/>
    <w:rsid w:val="485A00DB"/>
    <w:rsid w:val="485D651B"/>
    <w:rsid w:val="485F6343"/>
    <w:rsid w:val="48642F3D"/>
    <w:rsid w:val="4883797F"/>
    <w:rsid w:val="48876413"/>
    <w:rsid w:val="489072F6"/>
    <w:rsid w:val="48921694"/>
    <w:rsid w:val="48926AE4"/>
    <w:rsid w:val="489F4429"/>
    <w:rsid w:val="48A107F0"/>
    <w:rsid w:val="48A979B2"/>
    <w:rsid w:val="48AA2642"/>
    <w:rsid w:val="48AD6596"/>
    <w:rsid w:val="48B84910"/>
    <w:rsid w:val="48BB43EF"/>
    <w:rsid w:val="48BC050B"/>
    <w:rsid w:val="48BE3B13"/>
    <w:rsid w:val="48BF2B3D"/>
    <w:rsid w:val="48BF6397"/>
    <w:rsid w:val="48CF5C1B"/>
    <w:rsid w:val="48D658CA"/>
    <w:rsid w:val="48E77A25"/>
    <w:rsid w:val="48EA42C6"/>
    <w:rsid w:val="48F46E7F"/>
    <w:rsid w:val="490220F2"/>
    <w:rsid w:val="4909599D"/>
    <w:rsid w:val="49170AF1"/>
    <w:rsid w:val="491A6B90"/>
    <w:rsid w:val="491C737C"/>
    <w:rsid w:val="491E6225"/>
    <w:rsid w:val="491F644A"/>
    <w:rsid w:val="493C6841"/>
    <w:rsid w:val="494156E5"/>
    <w:rsid w:val="494E33DB"/>
    <w:rsid w:val="49571E1F"/>
    <w:rsid w:val="496D4E83"/>
    <w:rsid w:val="498454C0"/>
    <w:rsid w:val="49985E15"/>
    <w:rsid w:val="49AD2DE2"/>
    <w:rsid w:val="49B918F9"/>
    <w:rsid w:val="49BB4D3C"/>
    <w:rsid w:val="49C94173"/>
    <w:rsid w:val="49CF65EF"/>
    <w:rsid w:val="49D44897"/>
    <w:rsid w:val="49D61824"/>
    <w:rsid w:val="49D71149"/>
    <w:rsid w:val="49DB0E35"/>
    <w:rsid w:val="49DC0AEC"/>
    <w:rsid w:val="49E72EB5"/>
    <w:rsid w:val="49E7584C"/>
    <w:rsid w:val="49F42EAF"/>
    <w:rsid w:val="49FE3E83"/>
    <w:rsid w:val="4A045424"/>
    <w:rsid w:val="4A04542B"/>
    <w:rsid w:val="4A0469A6"/>
    <w:rsid w:val="4A1229F8"/>
    <w:rsid w:val="4A1470AD"/>
    <w:rsid w:val="4A236205"/>
    <w:rsid w:val="4A352F60"/>
    <w:rsid w:val="4A3D21DC"/>
    <w:rsid w:val="4A3E661F"/>
    <w:rsid w:val="4A4364DB"/>
    <w:rsid w:val="4A4F1772"/>
    <w:rsid w:val="4A4F3329"/>
    <w:rsid w:val="4A5815DD"/>
    <w:rsid w:val="4A585CB5"/>
    <w:rsid w:val="4A711D54"/>
    <w:rsid w:val="4A783AE0"/>
    <w:rsid w:val="4A880AFE"/>
    <w:rsid w:val="4AA266A1"/>
    <w:rsid w:val="4AAA4283"/>
    <w:rsid w:val="4AAB0D6A"/>
    <w:rsid w:val="4AC40330"/>
    <w:rsid w:val="4AD44F7E"/>
    <w:rsid w:val="4AE458DE"/>
    <w:rsid w:val="4AEE7C6E"/>
    <w:rsid w:val="4AF35415"/>
    <w:rsid w:val="4AF527D5"/>
    <w:rsid w:val="4AFA2747"/>
    <w:rsid w:val="4AFC6E05"/>
    <w:rsid w:val="4B080E52"/>
    <w:rsid w:val="4B0C6880"/>
    <w:rsid w:val="4B0D04B5"/>
    <w:rsid w:val="4B1B6847"/>
    <w:rsid w:val="4B1E4A98"/>
    <w:rsid w:val="4B236FC1"/>
    <w:rsid w:val="4B28694B"/>
    <w:rsid w:val="4B2E3259"/>
    <w:rsid w:val="4B3912BC"/>
    <w:rsid w:val="4B412124"/>
    <w:rsid w:val="4B425510"/>
    <w:rsid w:val="4B514895"/>
    <w:rsid w:val="4B59099E"/>
    <w:rsid w:val="4B644064"/>
    <w:rsid w:val="4B670733"/>
    <w:rsid w:val="4B797FC2"/>
    <w:rsid w:val="4BA74404"/>
    <w:rsid w:val="4BAB1C93"/>
    <w:rsid w:val="4BAD1567"/>
    <w:rsid w:val="4BAD6CB0"/>
    <w:rsid w:val="4BB72988"/>
    <w:rsid w:val="4BBA0128"/>
    <w:rsid w:val="4BCD5E38"/>
    <w:rsid w:val="4BD16D6F"/>
    <w:rsid w:val="4BE451E4"/>
    <w:rsid w:val="4BF1454F"/>
    <w:rsid w:val="4BF94FFF"/>
    <w:rsid w:val="4C096CE6"/>
    <w:rsid w:val="4C0B35DF"/>
    <w:rsid w:val="4C0D505B"/>
    <w:rsid w:val="4C270A74"/>
    <w:rsid w:val="4C2D1A61"/>
    <w:rsid w:val="4C2D5313"/>
    <w:rsid w:val="4C3239A8"/>
    <w:rsid w:val="4C387CD1"/>
    <w:rsid w:val="4C484C54"/>
    <w:rsid w:val="4C4C125B"/>
    <w:rsid w:val="4C5C585E"/>
    <w:rsid w:val="4C6374CE"/>
    <w:rsid w:val="4C6B5C91"/>
    <w:rsid w:val="4C7C2FE3"/>
    <w:rsid w:val="4C7C79F3"/>
    <w:rsid w:val="4C857663"/>
    <w:rsid w:val="4C872419"/>
    <w:rsid w:val="4C8F0817"/>
    <w:rsid w:val="4CA42983"/>
    <w:rsid w:val="4CA47CF2"/>
    <w:rsid w:val="4CB20CCE"/>
    <w:rsid w:val="4CB52265"/>
    <w:rsid w:val="4CB948FC"/>
    <w:rsid w:val="4CBE3CB8"/>
    <w:rsid w:val="4CCA4B2C"/>
    <w:rsid w:val="4CCC367F"/>
    <w:rsid w:val="4CDC4504"/>
    <w:rsid w:val="4CDE3F62"/>
    <w:rsid w:val="4CEA0599"/>
    <w:rsid w:val="4CF17B79"/>
    <w:rsid w:val="4D20689A"/>
    <w:rsid w:val="4D2628D2"/>
    <w:rsid w:val="4D3266EB"/>
    <w:rsid w:val="4D352250"/>
    <w:rsid w:val="4D4044C7"/>
    <w:rsid w:val="4D491763"/>
    <w:rsid w:val="4D4C4DB0"/>
    <w:rsid w:val="4D534BAC"/>
    <w:rsid w:val="4D655D2A"/>
    <w:rsid w:val="4D701D66"/>
    <w:rsid w:val="4D7632BC"/>
    <w:rsid w:val="4D8A6B97"/>
    <w:rsid w:val="4D9565D9"/>
    <w:rsid w:val="4D976E91"/>
    <w:rsid w:val="4D9E4004"/>
    <w:rsid w:val="4DB270A2"/>
    <w:rsid w:val="4DB66468"/>
    <w:rsid w:val="4DB7273F"/>
    <w:rsid w:val="4DB841C4"/>
    <w:rsid w:val="4DBB033B"/>
    <w:rsid w:val="4DC33D85"/>
    <w:rsid w:val="4DCD5F51"/>
    <w:rsid w:val="4DCF5DD0"/>
    <w:rsid w:val="4DD1775C"/>
    <w:rsid w:val="4DE12275"/>
    <w:rsid w:val="4DF628AA"/>
    <w:rsid w:val="4DF77A98"/>
    <w:rsid w:val="4E1E2FA3"/>
    <w:rsid w:val="4E4A5B6A"/>
    <w:rsid w:val="4E5225FF"/>
    <w:rsid w:val="4E556832"/>
    <w:rsid w:val="4E566425"/>
    <w:rsid w:val="4E5A4E0F"/>
    <w:rsid w:val="4E6A1991"/>
    <w:rsid w:val="4E7178BE"/>
    <w:rsid w:val="4E723C3A"/>
    <w:rsid w:val="4E7A017C"/>
    <w:rsid w:val="4E7F2E01"/>
    <w:rsid w:val="4E835D45"/>
    <w:rsid w:val="4E942515"/>
    <w:rsid w:val="4E94692B"/>
    <w:rsid w:val="4EA200F5"/>
    <w:rsid w:val="4EAD044A"/>
    <w:rsid w:val="4EAE6700"/>
    <w:rsid w:val="4EB66BFE"/>
    <w:rsid w:val="4ECB0AAB"/>
    <w:rsid w:val="4ED86793"/>
    <w:rsid w:val="4EDC4229"/>
    <w:rsid w:val="4EDE356D"/>
    <w:rsid w:val="4EE35F39"/>
    <w:rsid w:val="4EE97504"/>
    <w:rsid w:val="4EEA362D"/>
    <w:rsid w:val="4EF51FED"/>
    <w:rsid w:val="4F06254F"/>
    <w:rsid w:val="4F121953"/>
    <w:rsid w:val="4F29795E"/>
    <w:rsid w:val="4F470BC1"/>
    <w:rsid w:val="4F755AFA"/>
    <w:rsid w:val="4F7C2FF5"/>
    <w:rsid w:val="4F972AC8"/>
    <w:rsid w:val="4FAE6A0C"/>
    <w:rsid w:val="4FB15668"/>
    <w:rsid w:val="4FB17C87"/>
    <w:rsid w:val="4FCD6E5C"/>
    <w:rsid w:val="4FD75A14"/>
    <w:rsid w:val="4FDC0F70"/>
    <w:rsid w:val="4FF17630"/>
    <w:rsid w:val="4FFC1A4F"/>
    <w:rsid w:val="4FFE02E2"/>
    <w:rsid w:val="50060E0F"/>
    <w:rsid w:val="500A2850"/>
    <w:rsid w:val="500E5E3D"/>
    <w:rsid w:val="501A51D7"/>
    <w:rsid w:val="502429FE"/>
    <w:rsid w:val="502C3CF0"/>
    <w:rsid w:val="503F6856"/>
    <w:rsid w:val="505E0EC5"/>
    <w:rsid w:val="505F5EBA"/>
    <w:rsid w:val="506C7C05"/>
    <w:rsid w:val="506E3BD9"/>
    <w:rsid w:val="507414B6"/>
    <w:rsid w:val="507F299D"/>
    <w:rsid w:val="50884468"/>
    <w:rsid w:val="508D2849"/>
    <w:rsid w:val="508F2D04"/>
    <w:rsid w:val="508F32C6"/>
    <w:rsid w:val="5093761E"/>
    <w:rsid w:val="509C76FD"/>
    <w:rsid w:val="50CB41EA"/>
    <w:rsid w:val="50CD5742"/>
    <w:rsid w:val="50DC644B"/>
    <w:rsid w:val="50EB4FC0"/>
    <w:rsid w:val="50EE1879"/>
    <w:rsid w:val="50F04B7A"/>
    <w:rsid w:val="50F86551"/>
    <w:rsid w:val="51242714"/>
    <w:rsid w:val="51280278"/>
    <w:rsid w:val="512C1EC3"/>
    <w:rsid w:val="512C58ED"/>
    <w:rsid w:val="51557169"/>
    <w:rsid w:val="51627551"/>
    <w:rsid w:val="516857EC"/>
    <w:rsid w:val="51785730"/>
    <w:rsid w:val="518D1F90"/>
    <w:rsid w:val="518D5369"/>
    <w:rsid w:val="51BC0A48"/>
    <w:rsid w:val="51C10464"/>
    <w:rsid w:val="51C60E0D"/>
    <w:rsid w:val="51C7560D"/>
    <w:rsid w:val="51C86A7F"/>
    <w:rsid w:val="51F55A16"/>
    <w:rsid w:val="51FA28D9"/>
    <w:rsid w:val="5203460E"/>
    <w:rsid w:val="52046900"/>
    <w:rsid w:val="52130E31"/>
    <w:rsid w:val="521A1BF8"/>
    <w:rsid w:val="52273F39"/>
    <w:rsid w:val="52293380"/>
    <w:rsid w:val="523E512C"/>
    <w:rsid w:val="524C7077"/>
    <w:rsid w:val="52534FBC"/>
    <w:rsid w:val="527A416D"/>
    <w:rsid w:val="52870F0A"/>
    <w:rsid w:val="528720F2"/>
    <w:rsid w:val="528A7097"/>
    <w:rsid w:val="52974D1F"/>
    <w:rsid w:val="52A01DE4"/>
    <w:rsid w:val="52A40164"/>
    <w:rsid w:val="52B56895"/>
    <w:rsid w:val="52BC645C"/>
    <w:rsid w:val="52C1356D"/>
    <w:rsid w:val="52D468B1"/>
    <w:rsid w:val="52D87B54"/>
    <w:rsid w:val="52DD3CEF"/>
    <w:rsid w:val="52E174D4"/>
    <w:rsid w:val="532E7EDB"/>
    <w:rsid w:val="53326DB5"/>
    <w:rsid w:val="53460F54"/>
    <w:rsid w:val="534907FA"/>
    <w:rsid w:val="5350082E"/>
    <w:rsid w:val="53512F49"/>
    <w:rsid w:val="5358625C"/>
    <w:rsid w:val="535A1F25"/>
    <w:rsid w:val="535A40F0"/>
    <w:rsid w:val="536A160E"/>
    <w:rsid w:val="53706C53"/>
    <w:rsid w:val="537B4987"/>
    <w:rsid w:val="537F0D1D"/>
    <w:rsid w:val="53854274"/>
    <w:rsid w:val="53964186"/>
    <w:rsid w:val="539666CF"/>
    <w:rsid w:val="53A92F04"/>
    <w:rsid w:val="53AB0E2B"/>
    <w:rsid w:val="53AB216D"/>
    <w:rsid w:val="53AD003A"/>
    <w:rsid w:val="53B0071D"/>
    <w:rsid w:val="53B37509"/>
    <w:rsid w:val="53CD523C"/>
    <w:rsid w:val="53D2624D"/>
    <w:rsid w:val="53D85834"/>
    <w:rsid w:val="53E865C1"/>
    <w:rsid w:val="53F50F05"/>
    <w:rsid w:val="540113F8"/>
    <w:rsid w:val="54022196"/>
    <w:rsid w:val="540B5884"/>
    <w:rsid w:val="54100034"/>
    <w:rsid w:val="542543BE"/>
    <w:rsid w:val="54256487"/>
    <w:rsid w:val="54322F51"/>
    <w:rsid w:val="5433490A"/>
    <w:rsid w:val="543959FD"/>
    <w:rsid w:val="544F26A0"/>
    <w:rsid w:val="54521EE7"/>
    <w:rsid w:val="545E48E2"/>
    <w:rsid w:val="546E2E0C"/>
    <w:rsid w:val="547E04D4"/>
    <w:rsid w:val="54855730"/>
    <w:rsid w:val="54967CEE"/>
    <w:rsid w:val="54AE00FE"/>
    <w:rsid w:val="54B4736A"/>
    <w:rsid w:val="54BA4D98"/>
    <w:rsid w:val="54C35BEA"/>
    <w:rsid w:val="54CD7C7C"/>
    <w:rsid w:val="54D848A0"/>
    <w:rsid w:val="54DC5FAF"/>
    <w:rsid w:val="54E449C6"/>
    <w:rsid w:val="54E72F8F"/>
    <w:rsid w:val="54E900BC"/>
    <w:rsid w:val="54ED0C26"/>
    <w:rsid w:val="54FF095A"/>
    <w:rsid w:val="5504210E"/>
    <w:rsid w:val="551903A7"/>
    <w:rsid w:val="551C5C77"/>
    <w:rsid w:val="551C5F3C"/>
    <w:rsid w:val="55282951"/>
    <w:rsid w:val="552F7E46"/>
    <w:rsid w:val="55365A26"/>
    <w:rsid w:val="554F68E1"/>
    <w:rsid w:val="55A457D3"/>
    <w:rsid w:val="55B3342C"/>
    <w:rsid w:val="55BF1CC3"/>
    <w:rsid w:val="55C547EE"/>
    <w:rsid w:val="55CE5B28"/>
    <w:rsid w:val="55F1092C"/>
    <w:rsid w:val="5603520B"/>
    <w:rsid w:val="560621DF"/>
    <w:rsid w:val="56096AE7"/>
    <w:rsid w:val="560E6D65"/>
    <w:rsid w:val="5615213E"/>
    <w:rsid w:val="56222054"/>
    <w:rsid w:val="56265AE3"/>
    <w:rsid w:val="562A300C"/>
    <w:rsid w:val="562F06F0"/>
    <w:rsid w:val="562F66FD"/>
    <w:rsid w:val="563A0453"/>
    <w:rsid w:val="565263C0"/>
    <w:rsid w:val="5656450D"/>
    <w:rsid w:val="56595A2B"/>
    <w:rsid w:val="565C6CA5"/>
    <w:rsid w:val="565E2F6B"/>
    <w:rsid w:val="565F6F0F"/>
    <w:rsid w:val="56610A15"/>
    <w:rsid w:val="566112A9"/>
    <w:rsid w:val="56644F18"/>
    <w:rsid w:val="56696244"/>
    <w:rsid w:val="567647B9"/>
    <w:rsid w:val="569357FD"/>
    <w:rsid w:val="569D6149"/>
    <w:rsid w:val="56A76EA9"/>
    <w:rsid w:val="56C10779"/>
    <w:rsid w:val="56CE58A3"/>
    <w:rsid w:val="56EC106A"/>
    <w:rsid w:val="570109B9"/>
    <w:rsid w:val="57013299"/>
    <w:rsid w:val="5703604F"/>
    <w:rsid w:val="570E4616"/>
    <w:rsid w:val="57100CE9"/>
    <w:rsid w:val="5712706A"/>
    <w:rsid w:val="57411B58"/>
    <w:rsid w:val="57462382"/>
    <w:rsid w:val="574D3BFE"/>
    <w:rsid w:val="575D1E57"/>
    <w:rsid w:val="575E405D"/>
    <w:rsid w:val="57642CFF"/>
    <w:rsid w:val="57690D4E"/>
    <w:rsid w:val="578213FB"/>
    <w:rsid w:val="578C177F"/>
    <w:rsid w:val="579D3E1D"/>
    <w:rsid w:val="57A16A34"/>
    <w:rsid w:val="57A97812"/>
    <w:rsid w:val="57B343A9"/>
    <w:rsid w:val="57B5066E"/>
    <w:rsid w:val="57B95737"/>
    <w:rsid w:val="57BE5556"/>
    <w:rsid w:val="57C33805"/>
    <w:rsid w:val="57CF0539"/>
    <w:rsid w:val="57E0592D"/>
    <w:rsid w:val="57E51E1B"/>
    <w:rsid w:val="580A286B"/>
    <w:rsid w:val="581D725C"/>
    <w:rsid w:val="58242DCD"/>
    <w:rsid w:val="58535244"/>
    <w:rsid w:val="5854719E"/>
    <w:rsid w:val="58580DA9"/>
    <w:rsid w:val="58670CF0"/>
    <w:rsid w:val="586E6522"/>
    <w:rsid w:val="588875E4"/>
    <w:rsid w:val="5891028A"/>
    <w:rsid w:val="589103F8"/>
    <w:rsid w:val="589870FB"/>
    <w:rsid w:val="58993DAD"/>
    <w:rsid w:val="58A31A1B"/>
    <w:rsid w:val="58BD3182"/>
    <w:rsid w:val="58CA1568"/>
    <w:rsid w:val="58D2139D"/>
    <w:rsid w:val="58D84A9F"/>
    <w:rsid w:val="58E3185E"/>
    <w:rsid w:val="58F40123"/>
    <w:rsid w:val="590D1E66"/>
    <w:rsid w:val="59203C3B"/>
    <w:rsid w:val="59411541"/>
    <w:rsid w:val="59486083"/>
    <w:rsid w:val="596520B2"/>
    <w:rsid w:val="597A0DF6"/>
    <w:rsid w:val="598841D6"/>
    <w:rsid w:val="59992B37"/>
    <w:rsid w:val="599F779B"/>
    <w:rsid w:val="59A36746"/>
    <w:rsid w:val="59A93F88"/>
    <w:rsid w:val="59BC4841"/>
    <w:rsid w:val="59BF6131"/>
    <w:rsid w:val="59C06F28"/>
    <w:rsid w:val="59C310E7"/>
    <w:rsid w:val="59DA7144"/>
    <w:rsid w:val="59E179CE"/>
    <w:rsid w:val="59E613F7"/>
    <w:rsid w:val="5A0D7B12"/>
    <w:rsid w:val="5A312BCA"/>
    <w:rsid w:val="5A366BCB"/>
    <w:rsid w:val="5A3C7969"/>
    <w:rsid w:val="5A4A2210"/>
    <w:rsid w:val="5A55501F"/>
    <w:rsid w:val="5A65103E"/>
    <w:rsid w:val="5A6D40CF"/>
    <w:rsid w:val="5A7445FC"/>
    <w:rsid w:val="5A752CCF"/>
    <w:rsid w:val="5A7A5B70"/>
    <w:rsid w:val="5A7C7DE8"/>
    <w:rsid w:val="5A7F0572"/>
    <w:rsid w:val="5A7F3922"/>
    <w:rsid w:val="5A8251C1"/>
    <w:rsid w:val="5A915969"/>
    <w:rsid w:val="5AA633A9"/>
    <w:rsid w:val="5AB55661"/>
    <w:rsid w:val="5AB77727"/>
    <w:rsid w:val="5AB77D25"/>
    <w:rsid w:val="5ACB3575"/>
    <w:rsid w:val="5ACE1F40"/>
    <w:rsid w:val="5ADB38F9"/>
    <w:rsid w:val="5AE23CD9"/>
    <w:rsid w:val="5B053254"/>
    <w:rsid w:val="5B057B85"/>
    <w:rsid w:val="5B0916AE"/>
    <w:rsid w:val="5B0E10C4"/>
    <w:rsid w:val="5B267F3C"/>
    <w:rsid w:val="5B290FD6"/>
    <w:rsid w:val="5B2B2046"/>
    <w:rsid w:val="5B3C0C85"/>
    <w:rsid w:val="5B5961B9"/>
    <w:rsid w:val="5B5F4B50"/>
    <w:rsid w:val="5B6852C4"/>
    <w:rsid w:val="5B9621A7"/>
    <w:rsid w:val="5BBA34DE"/>
    <w:rsid w:val="5BD21BED"/>
    <w:rsid w:val="5C01341B"/>
    <w:rsid w:val="5C0D4C3F"/>
    <w:rsid w:val="5C15796A"/>
    <w:rsid w:val="5C1833C7"/>
    <w:rsid w:val="5C1E13B2"/>
    <w:rsid w:val="5C3D6F74"/>
    <w:rsid w:val="5C4152B0"/>
    <w:rsid w:val="5C4E77D1"/>
    <w:rsid w:val="5C4F5FEC"/>
    <w:rsid w:val="5C5573C1"/>
    <w:rsid w:val="5C750313"/>
    <w:rsid w:val="5C7765FD"/>
    <w:rsid w:val="5C77785A"/>
    <w:rsid w:val="5C7B61EE"/>
    <w:rsid w:val="5C882B99"/>
    <w:rsid w:val="5C8A5BD7"/>
    <w:rsid w:val="5C99061C"/>
    <w:rsid w:val="5CA12C8B"/>
    <w:rsid w:val="5CA97B7B"/>
    <w:rsid w:val="5CBD74A5"/>
    <w:rsid w:val="5CC46711"/>
    <w:rsid w:val="5CCB2F6C"/>
    <w:rsid w:val="5CEE7C31"/>
    <w:rsid w:val="5CF25791"/>
    <w:rsid w:val="5CF62431"/>
    <w:rsid w:val="5D031A9C"/>
    <w:rsid w:val="5D035658"/>
    <w:rsid w:val="5D053E9D"/>
    <w:rsid w:val="5D187C80"/>
    <w:rsid w:val="5D1910E4"/>
    <w:rsid w:val="5D353C5C"/>
    <w:rsid w:val="5D37411F"/>
    <w:rsid w:val="5D8069A2"/>
    <w:rsid w:val="5D857B9A"/>
    <w:rsid w:val="5DC4007C"/>
    <w:rsid w:val="5DE86CC8"/>
    <w:rsid w:val="5DEC6F59"/>
    <w:rsid w:val="5DFC68F7"/>
    <w:rsid w:val="5E062B10"/>
    <w:rsid w:val="5E2011FD"/>
    <w:rsid w:val="5E3F189B"/>
    <w:rsid w:val="5E5079A2"/>
    <w:rsid w:val="5E532442"/>
    <w:rsid w:val="5E6F4B84"/>
    <w:rsid w:val="5E806923"/>
    <w:rsid w:val="5E955389"/>
    <w:rsid w:val="5EA61B6D"/>
    <w:rsid w:val="5EAC2D63"/>
    <w:rsid w:val="5ECB0143"/>
    <w:rsid w:val="5ED809A4"/>
    <w:rsid w:val="5EDA2405"/>
    <w:rsid w:val="5EEB5318"/>
    <w:rsid w:val="5EF710F1"/>
    <w:rsid w:val="5F170C8B"/>
    <w:rsid w:val="5F1A4D3B"/>
    <w:rsid w:val="5F2F209D"/>
    <w:rsid w:val="5F3558AB"/>
    <w:rsid w:val="5F3C256D"/>
    <w:rsid w:val="5F5D3044"/>
    <w:rsid w:val="5F68004A"/>
    <w:rsid w:val="5F6A3765"/>
    <w:rsid w:val="5F7249C7"/>
    <w:rsid w:val="5F89129D"/>
    <w:rsid w:val="5FAD475A"/>
    <w:rsid w:val="5FB114FA"/>
    <w:rsid w:val="5FB46A49"/>
    <w:rsid w:val="5FBF1587"/>
    <w:rsid w:val="5FC369E6"/>
    <w:rsid w:val="5FE46BA7"/>
    <w:rsid w:val="5FED25F8"/>
    <w:rsid w:val="5FF4110D"/>
    <w:rsid w:val="5FF977B0"/>
    <w:rsid w:val="60123267"/>
    <w:rsid w:val="60137628"/>
    <w:rsid w:val="601C4AB5"/>
    <w:rsid w:val="603334ED"/>
    <w:rsid w:val="603644A3"/>
    <w:rsid w:val="60571095"/>
    <w:rsid w:val="605859DA"/>
    <w:rsid w:val="60776578"/>
    <w:rsid w:val="60950703"/>
    <w:rsid w:val="609E7554"/>
    <w:rsid w:val="60A02396"/>
    <w:rsid w:val="60A0558C"/>
    <w:rsid w:val="60C121F0"/>
    <w:rsid w:val="60C315F5"/>
    <w:rsid w:val="60D019CB"/>
    <w:rsid w:val="610A6B85"/>
    <w:rsid w:val="613F0502"/>
    <w:rsid w:val="61402BEB"/>
    <w:rsid w:val="6145680C"/>
    <w:rsid w:val="615376E0"/>
    <w:rsid w:val="616D4AEE"/>
    <w:rsid w:val="617836E4"/>
    <w:rsid w:val="61937603"/>
    <w:rsid w:val="61AD1DFA"/>
    <w:rsid w:val="61C255F6"/>
    <w:rsid w:val="61C663F7"/>
    <w:rsid w:val="61D2676D"/>
    <w:rsid w:val="61D77F7E"/>
    <w:rsid w:val="61E6701E"/>
    <w:rsid w:val="61EF3D7B"/>
    <w:rsid w:val="62044C6F"/>
    <w:rsid w:val="620A50DF"/>
    <w:rsid w:val="620F205A"/>
    <w:rsid w:val="621356D8"/>
    <w:rsid w:val="62156627"/>
    <w:rsid w:val="621C7DAE"/>
    <w:rsid w:val="622E7EF5"/>
    <w:rsid w:val="623D3EDD"/>
    <w:rsid w:val="62581C96"/>
    <w:rsid w:val="625C23C2"/>
    <w:rsid w:val="625D622C"/>
    <w:rsid w:val="62612C32"/>
    <w:rsid w:val="628A21AA"/>
    <w:rsid w:val="628A39D5"/>
    <w:rsid w:val="62A0726A"/>
    <w:rsid w:val="62D1173E"/>
    <w:rsid w:val="62DE3F75"/>
    <w:rsid w:val="62E15898"/>
    <w:rsid w:val="62EA24F3"/>
    <w:rsid w:val="62F56ED0"/>
    <w:rsid w:val="62F96BC1"/>
    <w:rsid w:val="6301417A"/>
    <w:rsid w:val="630F1111"/>
    <w:rsid w:val="631230E6"/>
    <w:rsid w:val="63333AD9"/>
    <w:rsid w:val="633C4090"/>
    <w:rsid w:val="634E71DD"/>
    <w:rsid w:val="637E6FE3"/>
    <w:rsid w:val="638A6AA1"/>
    <w:rsid w:val="63B87863"/>
    <w:rsid w:val="63C24293"/>
    <w:rsid w:val="63D4140E"/>
    <w:rsid w:val="63E93681"/>
    <w:rsid w:val="63FB2293"/>
    <w:rsid w:val="64022736"/>
    <w:rsid w:val="640A3D2C"/>
    <w:rsid w:val="640D4CCD"/>
    <w:rsid w:val="641A0A7F"/>
    <w:rsid w:val="64214884"/>
    <w:rsid w:val="64232843"/>
    <w:rsid w:val="644233D7"/>
    <w:rsid w:val="644A0021"/>
    <w:rsid w:val="644E0E4F"/>
    <w:rsid w:val="64502F80"/>
    <w:rsid w:val="646A21B2"/>
    <w:rsid w:val="646A24FF"/>
    <w:rsid w:val="647D7F74"/>
    <w:rsid w:val="648E702E"/>
    <w:rsid w:val="64917B47"/>
    <w:rsid w:val="64966BE4"/>
    <w:rsid w:val="64A5139D"/>
    <w:rsid w:val="64AB356F"/>
    <w:rsid w:val="64B25BF0"/>
    <w:rsid w:val="64BC11C2"/>
    <w:rsid w:val="64E0210A"/>
    <w:rsid w:val="650D5260"/>
    <w:rsid w:val="65240D5E"/>
    <w:rsid w:val="653531B3"/>
    <w:rsid w:val="6542465E"/>
    <w:rsid w:val="654419AD"/>
    <w:rsid w:val="654D07A5"/>
    <w:rsid w:val="65625933"/>
    <w:rsid w:val="656F7810"/>
    <w:rsid w:val="65792FDB"/>
    <w:rsid w:val="657C329B"/>
    <w:rsid w:val="65896010"/>
    <w:rsid w:val="658C0F29"/>
    <w:rsid w:val="65C07DA8"/>
    <w:rsid w:val="65CB17E4"/>
    <w:rsid w:val="65CD3440"/>
    <w:rsid w:val="65CE152D"/>
    <w:rsid w:val="65DE786E"/>
    <w:rsid w:val="65E433EF"/>
    <w:rsid w:val="65FE3D5A"/>
    <w:rsid w:val="66047DA9"/>
    <w:rsid w:val="66072A79"/>
    <w:rsid w:val="6607442B"/>
    <w:rsid w:val="66081D64"/>
    <w:rsid w:val="66167423"/>
    <w:rsid w:val="665635A1"/>
    <w:rsid w:val="665778F0"/>
    <w:rsid w:val="666136EF"/>
    <w:rsid w:val="666B23BE"/>
    <w:rsid w:val="66703F65"/>
    <w:rsid w:val="667A6E18"/>
    <w:rsid w:val="667D1B52"/>
    <w:rsid w:val="6691066A"/>
    <w:rsid w:val="66A6681D"/>
    <w:rsid w:val="66B7257B"/>
    <w:rsid w:val="66B820C1"/>
    <w:rsid w:val="66DE7BAD"/>
    <w:rsid w:val="66E37770"/>
    <w:rsid w:val="66EC600A"/>
    <w:rsid w:val="66EF2AE2"/>
    <w:rsid w:val="670315B9"/>
    <w:rsid w:val="67094B62"/>
    <w:rsid w:val="670A6DDC"/>
    <w:rsid w:val="671D0041"/>
    <w:rsid w:val="671F4E83"/>
    <w:rsid w:val="672405FE"/>
    <w:rsid w:val="672E6C65"/>
    <w:rsid w:val="672F584C"/>
    <w:rsid w:val="673677EC"/>
    <w:rsid w:val="675569CA"/>
    <w:rsid w:val="67570C32"/>
    <w:rsid w:val="67682C35"/>
    <w:rsid w:val="67757155"/>
    <w:rsid w:val="677B03C8"/>
    <w:rsid w:val="677E1487"/>
    <w:rsid w:val="678D6148"/>
    <w:rsid w:val="67963260"/>
    <w:rsid w:val="67971638"/>
    <w:rsid w:val="67AA1F0A"/>
    <w:rsid w:val="67C27400"/>
    <w:rsid w:val="67CD30A1"/>
    <w:rsid w:val="67CD6EE8"/>
    <w:rsid w:val="67DB0DB2"/>
    <w:rsid w:val="67DD57F6"/>
    <w:rsid w:val="67E255E5"/>
    <w:rsid w:val="67F63DC6"/>
    <w:rsid w:val="67F83803"/>
    <w:rsid w:val="67FD4331"/>
    <w:rsid w:val="67FD6BBD"/>
    <w:rsid w:val="68026139"/>
    <w:rsid w:val="680808B2"/>
    <w:rsid w:val="681E4CE0"/>
    <w:rsid w:val="68304E41"/>
    <w:rsid w:val="683A63F3"/>
    <w:rsid w:val="683C3328"/>
    <w:rsid w:val="685E0BB4"/>
    <w:rsid w:val="68645C8F"/>
    <w:rsid w:val="68670E37"/>
    <w:rsid w:val="68714E80"/>
    <w:rsid w:val="687762FE"/>
    <w:rsid w:val="687909C9"/>
    <w:rsid w:val="688E35EF"/>
    <w:rsid w:val="68932F24"/>
    <w:rsid w:val="689B622D"/>
    <w:rsid w:val="68AB73D1"/>
    <w:rsid w:val="68AE1533"/>
    <w:rsid w:val="68CA6200"/>
    <w:rsid w:val="68D65BB8"/>
    <w:rsid w:val="68DB63A5"/>
    <w:rsid w:val="68E249B9"/>
    <w:rsid w:val="68EE3324"/>
    <w:rsid w:val="68FC6A86"/>
    <w:rsid w:val="68FF64A6"/>
    <w:rsid w:val="692C3FBB"/>
    <w:rsid w:val="692E3B69"/>
    <w:rsid w:val="693636D7"/>
    <w:rsid w:val="69416CA9"/>
    <w:rsid w:val="69665292"/>
    <w:rsid w:val="69794CF0"/>
    <w:rsid w:val="6985430F"/>
    <w:rsid w:val="698B14FC"/>
    <w:rsid w:val="69912EFC"/>
    <w:rsid w:val="69931944"/>
    <w:rsid w:val="69947FC5"/>
    <w:rsid w:val="69A45062"/>
    <w:rsid w:val="69AC185D"/>
    <w:rsid w:val="69CC666B"/>
    <w:rsid w:val="69CE0BCF"/>
    <w:rsid w:val="69D271C4"/>
    <w:rsid w:val="69D56401"/>
    <w:rsid w:val="69DA563B"/>
    <w:rsid w:val="69DF26DD"/>
    <w:rsid w:val="69E338F6"/>
    <w:rsid w:val="69E63423"/>
    <w:rsid w:val="69E94088"/>
    <w:rsid w:val="69EA2005"/>
    <w:rsid w:val="69EE7161"/>
    <w:rsid w:val="69F344A0"/>
    <w:rsid w:val="6A022000"/>
    <w:rsid w:val="6A0617A7"/>
    <w:rsid w:val="6A0B06FE"/>
    <w:rsid w:val="6A0B1E23"/>
    <w:rsid w:val="6A1E3844"/>
    <w:rsid w:val="6A1F32BA"/>
    <w:rsid w:val="6A252E39"/>
    <w:rsid w:val="6A257478"/>
    <w:rsid w:val="6A3B74AB"/>
    <w:rsid w:val="6A3C5DEB"/>
    <w:rsid w:val="6A4B36AC"/>
    <w:rsid w:val="6A5112E7"/>
    <w:rsid w:val="6A514778"/>
    <w:rsid w:val="6A617C95"/>
    <w:rsid w:val="6A657E01"/>
    <w:rsid w:val="6A79643E"/>
    <w:rsid w:val="6A8C5F2D"/>
    <w:rsid w:val="6AB410E4"/>
    <w:rsid w:val="6AB6119F"/>
    <w:rsid w:val="6ABA3268"/>
    <w:rsid w:val="6ABB104F"/>
    <w:rsid w:val="6AC556A3"/>
    <w:rsid w:val="6AC63C0C"/>
    <w:rsid w:val="6ACC7310"/>
    <w:rsid w:val="6AFD6C0E"/>
    <w:rsid w:val="6B2312C6"/>
    <w:rsid w:val="6B24585F"/>
    <w:rsid w:val="6B362DFC"/>
    <w:rsid w:val="6B550F02"/>
    <w:rsid w:val="6B5D37F6"/>
    <w:rsid w:val="6B60267C"/>
    <w:rsid w:val="6B6E6999"/>
    <w:rsid w:val="6B722499"/>
    <w:rsid w:val="6B72528C"/>
    <w:rsid w:val="6B784B39"/>
    <w:rsid w:val="6B787373"/>
    <w:rsid w:val="6B7C24B0"/>
    <w:rsid w:val="6B926770"/>
    <w:rsid w:val="6B953C45"/>
    <w:rsid w:val="6BA948EA"/>
    <w:rsid w:val="6BA95681"/>
    <w:rsid w:val="6BAB2533"/>
    <w:rsid w:val="6BB67490"/>
    <w:rsid w:val="6BBA6495"/>
    <w:rsid w:val="6BCA79DB"/>
    <w:rsid w:val="6BE046F6"/>
    <w:rsid w:val="6BFB0236"/>
    <w:rsid w:val="6BFF63FB"/>
    <w:rsid w:val="6C0409BA"/>
    <w:rsid w:val="6C165EC1"/>
    <w:rsid w:val="6C270A6A"/>
    <w:rsid w:val="6C2856BA"/>
    <w:rsid w:val="6C2B2308"/>
    <w:rsid w:val="6C3E3029"/>
    <w:rsid w:val="6C4863D1"/>
    <w:rsid w:val="6C4D29F7"/>
    <w:rsid w:val="6C507664"/>
    <w:rsid w:val="6C5A1E09"/>
    <w:rsid w:val="6C5B0FCF"/>
    <w:rsid w:val="6C611CF6"/>
    <w:rsid w:val="6C68121A"/>
    <w:rsid w:val="6C69403E"/>
    <w:rsid w:val="6C69753A"/>
    <w:rsid w:val="6C6A7308"/>
    <w:rsid w:val="6C8F3D0E"/>
    <w:rsid w:val="6C914709"/>
    <w:rsid w:val="6C9E7EB6"/>
    <w:rsid w:val="6CAA08B8"/>
    <w:rsid w:val="6CBA3ADB"/>
    <w:rsid w:val="6CC027DB"/>
    <w:rsid w:val="6CC77651"/>
    <w:rsid w:val="6CE51A01"/>
    <w:rsid w:val="6CEB5DCC"/>
    <w:rsid w:val="6CF00D60"/>
    <w:rsid w:val="6D14306A"/>
    <w:rsid w:val="6D15738B"/>
    <w:rsid w:val="6D22263A"/>
    <w:rsid w:val="6D2E7FB6"/>
    <w:rsid w:val="6D561607"/>
    <w:rsid w:val="6D565977"/>
    <w:rsid w:val="6D5842BF"/>
    <w:rsid w:val="6D5852A9"/>
    <w:rsid w:val="6D5945B3"/>
    <w:rsid w:val="6D614330"/>
    <w:rsid w:val="6D6C0885"/>
    <w:rsid w:val="6D8B2CB6"/>
    <w:rsid w:val="6D8E7F3B"/>
    <w:rsid w:val="6D925E21"/>
    <w:rsid w:val="6D947AFF"/>
    <w:rsid w:val="6D995A16"/>
    <w:rsid w:val="6D9C1CAB"/>
    <w:rsid w:val="6D9D7236"/>
    <w:rsid w:val="6DAB4C69"/>
    <w:rsid w:val="6DBB4D51"/>
    <w:rsid w:val="6DC91802"/>
    <w:rsid w:val="6DCA5657"/>
    <w:rsid w:val="6DEA137C"/>
    <w:rsid w:val="6DEE6B81"/>
    <w:rsid w:val="6DF02503"/>
    <w:rsid w:val="6DF071AE"/>
    <w:rsid w:val="6DF54B99"/>
    <w:rsid w:val="6DF90F09"/>
    <w:rsid w:val="6E071029"/>
    <w:rsid w:val="6E141401"/>
    <w:rsid w:val="6E2617D2"/>
    <w:rsid w:val="6E32619A"/>
    <w:rsid w:val="6E3513FC"/>
    <w:rsid w:val="6E3C476A"/>
    <w:rsid w:val="6E3E2327"/>
    <w:rsid w:val="6E462293"/>
    <w:rsid w:val="6E4771A1"/>
    <w:rsid w:val="6E70025F"/>
    <w:rsid w:val="6E804B22"/>
    <w:rsid w:val="6E8B00CB"/>
    <w:rsid w:val="6E8B1913"/>
    <w:rsid w:val="6E960B94"/>
    <w:rsid w:val="6E974DC1"/>
    <w:rsid w:val="6E9B0B91"/>
    <w:rsid w:val="6EA02E8C"/>
    <w:rsid w:val="6EA042B7"/>
    <w:rsid w:val="6EA25168"/>
    <w:rsid w:val="6EBC6C0D"/>
    <w:rsid w:val="6EC90246"/>
    <w:rsid w:val="6ED924EF"/>
    <w:rsid w:val="6EDF562C"/>
    <w:rsid w:val="6EE340B3"/>
    <w:rsid w:val="6F314719"/>
    <w:rsid w:val="6F3571B4"/>
    <w:rsid w:val="6F3E0983"/>
    <w:rsid w:val="6F78316E"/>
    <w:rsid w:val="6F785DB3"/>
    <w:rsid w:val="6F8579E9"/>
    <w:rsid w:val="6F8D1BB0"/>
    <w:rsid w:val="6F906B36"/>
    <w:rsid w:val="6F91202A"/>
    <w:rsid w:val="6F96166B"/>
    <w:rsid w:val="6F9A2250"/>
    <w:rsid w:val="6F9D7C33"/>
    <w:rsid w:val="6F9E54E7"/>
    <w:rsid w:val="6FA872D4"/>
    <w:rsid w:val="6FB42615"/>
    <w:rsid w:val="6FBF0921"/>
    <w:rsid w:val="6FCF5EF3"/>
    <w:rsid w:val="6FDF57C7"/>
    <w:rsid w:val="6FE01B1D"/>
    <w:rsid w:val="6FE03985"/>
    <w:rsid w:val="6FE34F11"/>
    <w:rsid w:val="6FE90AB1"/>
    <w:rsid w:val="6FE93D33"/>
    <w:rsid w:val="6FF807CA"/>
    <w:rsid w:val="6FF95D27"/>
    <w:rsid w:val="70080344"/>
    <w:rsid w:val="700E38C4"/>
    <w:rsid w:val="70186404"/>
    <w:rsid w:val="701D162A"/>
    <w:rsid w:val="701D301F"/>
    <w:rsid w:val="701E4A84"/>
    <w:rsid w:val="703543FC"/>
    <w:rsid w:val="70512D5D"/>
    <w:rsid w:val="705357FD"/>
    <w:rsid w:val="705C186E"/>
    <w:rsid w:val="7060454A"/>
    <w:rsid w:val="70785B24"/>
    <w:rsid w:val="707A0902"/>
    <w:rsid w:val="707C7F22"/>
    <w:rsid w:val="70842A68"/>
    <w:rsid w:val="70862BC5"/>
    <w:rsid w:val="708C5234"/>
    <w:rsid w:val="70917B6C"/>
    <w:rsid w:val="709C5D84"/>
    <w:rsid w:val="709D7DA2"/>
    <w:rsid w:val="709E387E"/>
    <w:rsid w:val="70B10CAA"/>
    <w:rsid w:val="70D50BBD"/>
    <w:rsid w:val="70D6163C"/>
    <w:rsid w:val="70DE382D"/>
    <w:rsid w:val="70EA5F72"/>
    <w:rsid w:val="70EE20B9"/>
    <w:rsid w:val="70F6275D"/>
    <w:rsid w:val="70FA6E18"/>
    <w:rsid w:val="71085246"/>
    <w:rsid w:val="711F3FEC"/>
    <w:rsid w:val="712C41CB"/>
    <w:rsid w:val="71507205"/>
    <w:rsid w:val="71654E23"/>
    <w:rsid w:val="71675208"/>
    <w:rsid w:val="7171411B"/>
    <w:rsid w:val="71755B13"/>
    <w:rsid w:val="71763726"/>
    <w:rsid w:val="7179329F"/>
    <w:rsid w:val="717A0994"/>
    <w:rsid w:val="717B5924"/>
    <w:rsid w:val="71823245"/>
    <w:rsid w:val="71A75CDD"/>
    <w:rsid w:val="71AB04B3"/>
    <w:rsid w:val="71AF5224"/>
    <w:rsid w:val="71B017D9"/>
    <w:rsid w:val="71B40C3C"/>
    <w:rsid w:val="71BB1261"/>
    <w:rsid w:val="71CC1CA8"/>
    <w:rsid w:val="71CF03CA"/>
    <w:rsid w:val="71E3127A"/>
    <w:rsid w:val="71EA3777"/>
    <w:rsid w:val="72074267"/>
    <w:rsid w:val="72107323"/>
    <w:rsid w:val="72203AA3"/>
    <w:rsid w:val="72256583"/>
    <w:rsid w:val="72385F7A"/>
    <w:rsid w:val="72606A84"/>
    <w:rsid w:val="72672B23"/>
    <w:rsid w:val="72703CD8"/>
    <w:rsid w:val="72905159"/>
    <w:rsid w:val="729B3FD8"/>
    <w:rsid w:val="729D141C"/>
    <w:rsid w:val="72A526E9"/>
    <w:rsid w:val="72E83D4A"/>
    <w:rsid w:val="72E85951"/>
    <w:rsid w:val="72E912CE"/>
    <w:rsid w:val="73032243"/>
    <w:rsid w:val="731560DD"/>
    <w:rsid w:val="731732B0"/>
    <w:rsid w:val="731E0D3F"/>
    <w:rsid w:val="732E1F5A"/>
    <w:rsid w:val="73470D2A"/>
    <w:rsid w:val="734C246B"/>
    <w:rsid w:val="734E6950"/>
    <w:rsid w:val="735F6666"/>
    <w:rsid w:val="7360407C"/>
    <w:rsid w:val="737B68B1"/>
    <w:rsid w:val="73885EAE"/>
    <w:rsid w:val="73903217"/>
    <w:rsid w:val="73982BDA"/>
    <w:rsid w:val="739C58DF"/>
    <w:rsid w:val="73D36BC5"/>
    <w:rsid w:val="73D52C73"/>
    <w:rsid w:val="73DC2BF9"/>
    <w:rsid w:val="73E35E34"/>
    <w:rsid w:val="73EA163A"/>
    <w:rsid w:val="73F25E01"/>
    <w:rsid w:val="73F97190"/>
    <w:rsid w:val="73FE7DFD"/>
    <w:rsid w:val="740106A2"/>
    <w:rsid w:val="74095D8A"/>
    <w:rsid w:val="740A2798"/>
    <w:rsid w:val="742354FF"/>
    <w:rsid w:val="742A0508"/>
    <w:rsid w:val="74401E95"/>
    <w:rsid w:val="744A5304"/>
    <w:rsid w:val="744D33C2"/>
    <w:rsid w:val="74643291"/>
    <w:rsid w:val="74674695"/>
    <w:rsid w:val="74856C75"/>
    <w:rsid w:val="74867791"/>
    <w:rsid w:val="74956FFB"/>
    <w:rsid w:val="74AE0EFB"/>
    <w:rsid w:val="74B4710D"/>
    <w:rsid w:val="74B85457"/>
    <w:rsid w:val="74DE58A3"/>
    <w:rsid w:val="74E474F8"/>
    <w:rsid w:val="74E7348C"/>
    <w:rsid w:val="74EA74BE"/>
    <w:rsid w:val="7500007B"/>
    <w:rsid w:val="750312F5"/>
    <w:rsid w:val="75145CA5"/>
    <w:rsid w:val="752042B8"/>
    <w:rsid w:val="75250B25"/>
    <w:rsid w:val="752A6F32"/>
    <w:rsid w:val="753C7A5C"/>
    <w:rsid w:val="75431464"/>
    <w:rsid w:val="75593A40"/>
    <w:rsid w:val="7559693B"/>
    <w:rsid w:val="755B3B1B"/>
    <w:rsid w:val="75614522"/>
    <w:rsid w:val="75624C21"/>
    <w:rsid w:val="757876D5"/>
    <w:rsid w:val="757972AD"/>
    <w:rsid w:val="757E429D"/>
    <w:rsid w:val="75825236"/>
    <w:rsid w:val="758430E3"/>
    <w:rsid w:val="758670E6"/>
    <w:rsid w:val="75963445"/>
    <w:rsid w:val="759B4655"/>
    <w:rsid w:val="75BC5AD4"/>
    <w:rsid w:val="75C90F5B"/>
    <w:rsid w:val="75C91295"/>
    <w:rsid w:val="75D27A80"/>
    <w:rsid w:val="75D52D8B"/>
    <w:rsid w:val="75EA3234"/>
    <w:rsid w:val="75EB77ED"/>
    <w:rsid w:val="75EE7A9A"/>
    <w:rsid w:val="75F02F83"/>
    <w:rsid w:val="75F20929"/>
    <w:rsid w:val="75F45E61"/>
    <w:rsid w:val="75F840CB"/>
    <w:rsid w:val="76000B48"/>
    <w:rsid w:val="760110BE"/>
    <w:rsid w:val="760E315F"/>
    <w:rsid w:val="760E77E6"/>
    <w:rsid w:val="7631742B"/>
    <w:rsid w:val="76377FBF"/>
    <w:rsid w:val="763E2880"/>
    <w:rsid w:val="763F61D3"/>
    <w:rsid w:val="764A0F8C"/>
    <w:rsid w:val="765C4249"/>
    <w:rsid w:val="767B1F5E"/>
    <w:rsid w:val="767B267E"/>
    <w:rsid w:val="76885C99"/>
    <w:rsid w:val="76900C84"/>
    <w:rsid w:val="769F673F"/>
    <w:rsid w:val="76A2151B"/>
    <w:rsid w:val="76AF23C1"/>
    <w:rsid w:val="76B83C03"/>
    <w:rsid w:val="76D21D73"/>
    <w:rsid w:val="76D84D7F"/>
    <w:rsid w:val="76DA3986"/>
    <w:rsid w:val="76F32EB6"/>
    <w:rsid w:val="76FF5C02"/>
    <w:rsid w:val="77154A88"/>
    <w:rsid w:val="771A6667"/>
    <w:rsid w:val="772B2128"/>
    <w:rsid w:val="772F125E"/>
    <w:rsid w:val="774162A9"/>
    <w:rsid w:val="77422275"/>
    <w:rsid w:val="77582734"/>
    <w:rsid w:val="77664C09"/>
    <w:rsid w:val="776B1116"/>
    <w:rsid w:val="776B1129"/>
    <w:rsid w:val="776D4511"/>
    <w:rsid w:val="776D498D"/>
    <w:rsid w:val="77717EDA"/>
    <w:rsid w:val="777B3140"/>
    <w:rsid w:val="77861640"/>
    <w:rsid w:val="77AB59ED"/>
    <w:rsid w:val="77AF3BEF"/>
    <w:rsid w:val="77B04F94"/>
    <w:rsid w:val="77B96DF6"/>
    <w:rsid w:val="77BE04D4"/>
    <w:rsid w:val="77C44397"/>
    <w:rsid w:val="77CC5CCC"/>
    <w:rsid w:val="77D46933"/>
    <w:rsid w:val="77D95D41"/>
    <w:rsid w:val="77D96E1B"/>
    <w:rsid w:val="77EC3530"/>
    <w:rsid w:val="77F155D3"/>
    <w:rsid w:val="77F626EF"/>
    <w:rsid w:val="77F86242"/>
    <w:rsid w:val="77FB6308"/>
    <w:rsid w:val="77FE44BB"/>
    <w:rsid w:val="7803069A"/>
    <w:rsid w:val="780E2F43"/>
    <w:rsid w:val="781F686C"/>
    <w:rsid w:val="78210C0F"/>
    <w:rsid w:val="7825660C"/>
    <w:rsid w:val="78284374"/>
    <w:rsid w:val="78405B40"/>
    <w:rsid w:val="7843473F"/>
    <w:rsid w:val="78846111"/>
    <w:rsid w:val="78894B65"/>
    <w:rsid w:val="788A5463"/>
    <w:rsid w:val="788F5C7A"/>
    <w:rsid w:val="789957F1"/>
    <w:rsid w:val="789F05E0"/>
    <w:rsid w:val="78A450C9"/>
    <w:rsid w:val="78A64CE6"/>
    <w:rsid w:val="78B22AFA"/>
    <w:rsid w:val="78BE3FA2"/>
    <w:rsid w:val="78C01A94"/>
    <w:rsid w:val="78D23D75"/>
    <w:rsid w:val="78E67AA4"/>
    <w:rsid w:val="78EB1E02"/>
    <w:rsid w:val="78EB3FF3"/>
    <w:rsid w:val="790214B8"/>
    <w:rsid w:val="790357C0"/>
    <w:rsid w:val="790A2EFE"/>
    <w:rsid w:val="79100301"/>
    <w:rsid w:val="791F67E3"/>
    <w:rsid w:val="79430AA1"/>
    <w:rsid w:val="795758E1"/>
    <w:rsid w:val="79797B7F"/>
    <w:rsid w:val="799A287B"/>
    <w:rsid w:val="799E1808"/>
    <w:rsid w:val="79CC0EBE"/>
    <w:rsid w:val="79D074EE"/>
    <w:rsid w:val="79DA6E10"/>
    <w:rsid w:val="79F95D73"/>
    <w:rsid w:val="7A0A4977"/>
    <w:rsid w:val="7A105D33"/>
    <w:rsid w:val="7A150E78"/>
    <w:rsid w:val="7A2D7B93"/>
    <w:rsid w:val="7A33682E"/>
    <w:rsid w:val="7A34419C"/>
    <w:rsid w:val="7A3921CE"/>
    <w:rsid w:val="7A565DCF"/>
    <w:rsid w:val="7A607E56"/>
    <w:rsid w:val="7A8F18EA"/>
    <w:rsid w:val="7A9E4836"/>
    <w:rsid w:val="7AB22C6D"/>
    <w:rsid w:val="7AB46FBA"/>
    <w:rsid w:val="7ABA7F95"/>
    <w:rsid w:val="7ABC6EA6"/>
    <w:rsid w:val="7AD305FB"/>
    <w:rsid w:val="7B020E5F"/>
    <w:rsid w:val="7B041BB7"/>
    <w:rsid w:val="7B072949"/>
    <w:rsid w:val="7B17254F"/>
    <w:rsid w:val="7B1F2392"/>
    <w:rsid w:val="7B2313A2"/>
    <w:rsid w:val="7B2A2214"/>
    <w:rsid w:val="7B315242"/>
    <w:rsid w:val="7B3C709B"/>
    <w:rsid w:val="7B456FFB"/>
    <w:rsid w:val="7B5E6445"/>
    <w:rsid w:val="7B607AF4"/>
    <w:rsid w:val="7B617BB4"/>
    <w:rsid w:val="7B622FF7"/>
    <w:rsid w:val="7B651DFB"/>
    <w:rsid w:val="7B6E1C07"/>
    <w:rsid w:val="7B747E09"/>
    <w:rsid w:val="7BA5384E"/>
    <w:rsid w:val="7BC11F4C"/>
    <w:rsid w:val="7BC90381"/>
    <w:rsid w:val="7BCA702E"/>
    <w:rsid w:val="7BD6411B"/>
    <w:rsid w:val="7BE677C4"/>
    <w:rsid w:val="7BF061B2"/>
    <w:rsid w:val="7BF10BDA"/>
    <w:rsid w:val="7BF13F8D"/>
    <w:rsid w:val="7BFF1130"/>
    <w:rsid w:val="7C0A4FAD"/>
    <w:rsid w:val="7C167E7F"/>
    <w:rsid w:val="7C181F36"/>
    <w:rsid w:val="7C1A41F3"/>
    <w:rsid w:val="7C353E49"/>
    <w:rsid w:val="7C424320"/>
    <w:rsid w:val="7C512302"/>
    <w:rsid w:val="7C5232BC"/>
    <w:rsid w:val="7C541BAA"/>
    <w:rsid w:val="7C582FF9"/>
    <w:rsid w:val="7C5B2108"/>
    <w:rsid w:val="7C5F39A9"/>
    <w:rsid w:val="7C655B33"/>
    <w:rsid w:val="7C743144"/>
    <w:rsid w:val="7C8B347D"/>
    <w:rsid w:val="7CA40E73"/>
    <w:rsid w:val="7CA4558C"/>
    <w:rsid w:val="7CA52119"/>
    <w:rsid w:val="7CAE4849"/>
    <w:rsid w:val="7CB62BDC"/>
    <w:rsid w:val="7CDB0AF8"/>
    <w:rsid w:val="7CDE384E"/>
    <w:rsid w:val="7CE65EFE"/>
    <w:rsid w:val="7CE82909"/>
    <w:rsid w:val="7CFA4293"/>
    <w:rsid w:val="7CFC11CD"/>
    <w:rsid w:val="7D10042C"/>
    <w:rsid w:val="7D1577D7"/>
    <w:rsid w:val="7D165A42"/>
    <w:rsid w:val="7D175B43"/>
    <w:rsid w:val="7D1F4538"/>
    <w:rsid w:val="7D2832B7"/>
    <w:rsid w:val="7D292A96"/>
    <w:rsid w:val="7D3E27CA"/>
    <w:rsid w:val="7D434D5D"/>
    <w:rsid w:val="7D4F2CDF"/>
    <w:rsid w:val="7D52569F"/>
    <w:rsid w:val="7D580377"/>
    <w:rsid w:val="7D665D96"/>
    <w:rsid w:val="7D6A6A08"/>
    <w:rsid w:val="7D6D48DD"/>
    <w:rsid w:val="7D7A3EEC"/>
    <w:rsid w:val="7D9D3EFE"/>
    <w:rsid w:val="7DAF31B6"/>
    <w:rsid w:val="7DAF67E9"/>
    <w:rsid w:val="7DBC50C8"/>
    <w:rsid w:val="7DBE1B6A"/>
    <w:rsid w:val="7DC014A9"/>
    <w:rsid w:val="7DC120BE"/>
    <w:rsid w:val="7DDF0D67"/>
    <w:rsid w:val="7DE834E9"/>
    <w:rsid w:val="7DFB700F"/>
    <w:rsid w:val="7E1251D3"/>
    <w:rsid w:val="7E1851F2"/>
    <w:rsid w:val="7E266358"/>
    <w:rsid w:val="7E2717E2"/>
    <w:rsid w:val="7E453FFD"/>
    <w:rsid w:val="7E487969"/>
    <w:rsid w:val="7E4A4634"/>
    <w:rsid w:val="7E595D7B"/>
    <w:rsid w:val="7E6635D4"/>
    <w:rsid w:val="7E6F412A"/>
    <w:rsid w:val="7EA1405A"/>
    <w:rsid w:val="7EB07A2D"/>
    <w:rsid w:val="7EB46D21"/>
    <w:rsid w:val="7EB53CA2"/>
    <w:rsid w:val="7EB9778B"/>
    <w:rsid w:val="7EC54CC6"/>
    <w:rsid w:val="7ED05FD0"/>
    <w:rsid w:val="7EF85E73"/>
    <w:rsid w:val="7F1C2BB0"/>
    <w:rsid w:val="7F245B0C"/>
    <w:rsid w:val="7F395322"/>
    <w:rsid w:val="7F3E2A62"/>
    <w:rsid w:val="7F473B39"/>
    <w:rsid w:val="7F5F1889"/>
    <w:rsid w:val="7F645E05"/>
    <w:rsid w:val="7F675780"/>
    <w:rsid w:val="7F7A519B"/>
    <w:rsid w:val="7FA87043"/>
    <w:rsid w:val="7FB126CD"/>
    <w:rsid w:val="7FC30555"/>
    <w:rsid w:val="7FCE507C"/>
    <w:rsid w:val="7FD65946"/>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5">
    <w:name w:val="heading 1"/>
    <w:basedOn w:val="1"/>
    <w:next w:val="1"/>
    <w:link w:val="39"/>
    <w:qFormat/>
    <w:uiPriority w:val="0"/>
    <w:pPr>
      <w:spacing w:before="0" w:beforeAutospacing="0" w:after="0" w:afterAutospacing="0"/>
      <w:ind w:firstLine="0" w:firstLineChars="0"/>
      <w:jc w:val="center"/>
      <w:outlineLvl w:val="0"/>
    </w:pPr>
    <w:rPr>
      <w:rFonts w:hint="eastAsia" w:ascii="Times New Roman" w:hAnsi="Times New Roman" w:eastAsia="宋体" w:cs="Times New Roman"/>
      <w:b/>
      <w:bCs/>
      <w:sz w:val="44"/>
      <w:szCs w:val="44"/>
      <w:lang w:bidi="ar"/>
    </w:rPr>
  </w:style>
  <w:style w:type="paragraph" w:styleId="6">
    <w:name w:val="heading 2"/>
    <w:basedOn w:val="1"/>
    <w:next w:val="1"/>
    <w:link w:val="35"/>
    <w:unhideWhenUsed/>
    <w:qFormat/>
    <w:uiPriority w:val="0"/>
    <w:pPr>
      <w:keepNext/>
      <w:keepLines/>
      <w:spacing w:beforeLines="0" w:beforeAutospacing="0" w:afterLines="0" w:afterAutospacing="0" w:line="360" w:lineRule="auto"/>
      <w:ind w:firstLine="0" w:firstLineChars="0"/>
      <w:outlineLvl w:val="1"/>
    </w:pPr>
    <w:rPr>
      <w:rFonts w:ascii="Times New Roman" w:hAnsi="Times New Roman" w:eastAsia="宋体"/>
      <w:b/>
      <w:sz w:val="32"/>
      <w:szCs w:val="32"/>
    </w:rPr>
  </w:style>
  <w:style w:type="paragraph" w:styleId="7">
    <w:name w:val="heading 3"/>
    <w:basedOn w:val="8"/>
    <w:next w:val="8"/>
    <w:link w:val="33"/>
    <w:unhideWhenUsed/>
    <w:qFormat/>
    <w:uiPriority w:val="0"/>
    <w:pPr>
      <w:keepNext/>
      <w:keepLines/>
      <w:adjustRightInd/>
      <w:spacing w:line="360" w:lineRule="auto"/>
      <w:ind w:firstLine="0" w:firstLineChars="0"/>
      <w:outlineLvl w:val="2"/>
    </w:pPr>
    <w:rPr>
      <w:rFonts w:ascii="Times New Roman" w:hAnsi="Times New Roman" w:eastAsia="宋体" w:cs="Times New Roman"/>
      <w:b/>
      <w:bCs/>
      <w:kern w:val="0"/>
      <w:sz w:val="30"/>
      <w:szCs w:val="30"/>
    </w:rPr>
  </w:style>
  <w:style w:type="paragraph" w:styleId="9">
    <w:name w:val="heading 4"/>
    <w:basedOn w:val="1"/>
    <w:next w:val="1"/>
    <w:link w:val="40"/>
    <w:semiHidden/>
    <w:unhideWhenUsed/>
    <w:qFormat/>
    <w:uiPriority w:val="0"/>
    <w:pPr>
      <w:keepNext/>
      <w:keepLines/>
      <w:spacing w:line="360" w:lineRule="auto"/>
      <w:ind w:firstLine="643" w:firstLineChars="200"/>
      <w:outlineLvl w:val="3"/>
    </w:pPr>
    <w:rPr>
      <w:rFonts w:ascii="Times New Roman" w:hAnsi="Times New Roman" w:eastAsia="宋体" w:cs="Times New Roman"/>
      <w:b/>
      <w:bCs/>
      <w:sz w:val="28"/>
      <w:szCs w:val="28"/>
    </w:rPr>
  </w:style>
  <w:style w:type="paragraph" w:styleId="10">
    <w:name w:val="heading 5"/>
    <w:basedOn w:val="1"/>
    <w:next w:val="1"/>
    <w:semiHidden/>
    <w:unhideWhenUsed/>
    <w:qFormat/>
    <w:uiPriority w:val="0"/>
    <w:pPr>
      <w:keepNext/>
      <w:keepLines/>
      <w:spacing w:beforeLines="0" w:beforeAutospacing="0" w:afterLines="0" w:afterAutospacing="0" w:line="360" w:lineRule="auto"/>
      <w:outlineLvl w:val="4"/>
    </w:pPr>
    <w:rPr>
      <w:rFonts w:ascii="Times New Roman" w:hAnsi="Times New Roman" w:eastAsia="宋体" w:cs="Times New Roman"/>
      <w:b/>
      <w:bCs/>
    </w:rPr>
  </w:style>
  <w:style w:type="paragraph" w:styleId="11">
    <w:name w:val="heading 6"/>
    <w:basedOn w:val="1"/>
    <w:next w:val="1"/>
    <w:semiHidden/>
    <w:unhideWhenUsed/>
    <w:qFormat/>
    <w:uiPriority w:val="0"/>
    <w:pPr>
      <w:keepNext/>
      <w:keepLines/>
      <w:spacing w:beforeLines="0" w:beforeAutospacing="0" w:afterLines="0" w:afterAutospacing="0" w:line="360" w:lineRule="auto"/>
      <w:outlineLvl w:val="5"/>
    </w:pPr>
    <w:rPr>
      <w:rFonts w:ascii="Times New Roman" w:hAnsi="Times New Roman" w:eastAsia="宋体" w:cs="Times New Roman"/>
      <w:b/>
    </w:rPr>
  </w:style>
  <w:style w:type="character" w:default="1" w:styleId="30">
    <w:name w:val="Default Paragraph Font"/>
    <w:autoRedefine/>
    <w:unhideWhenUsed/>
    <w:qFormat/>
    <w:uiPriority w:val="1"/>
  </w:style>
  <w:style w:type="table" w:default="1" w:styleId="2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rPr>
      <w:sz w:val="21"/>
    </w:rPr>
  </w:style>
  <w:style w:type="paragraph" w:styleId="3">
    <w:name w:val="Body Text Indent"/>
    <w:basedOn w:val="1"/>
    <w:next w:val="4"/>
    <w:autoRedefine/>
    <w:qFormat/>
    <w:uiPriority w:val="0"/>
    <w:pPr>
      <w:spacing w:after="120"/>
      <w:ind w:left="420" w:leftChars="200"/>
    </w:pPr>
    <w:rPr>
      <w:kern w:val="0"/>
      <w:sz w:val="24"/>
      <w:szCs w:val="20"/>
    </w:r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sz w:val="24"/>
    </w:rPr>
  </w:style>
  <w:style w:type="paragraph" w:styleId="8">
    <w:name w:val="table of authorities"/>
    <w:basedOn w:val="1"/>
    <w:next w:val="1"/>
    <w:autoRedefine/>
    <w:qFormat/>
    <w:uiPriority w:val="0"/>
    <w:pPr>
      <w:ind w:left="200" w:leftChars="200"/>
    </w:pPr>
  </w:style>
  <w:style w:type="paragraph" w:styleId="12">
    <w:name w:val="Normal Indent"/>
    <w:basedOn w:val="1"/>
    <w:next w:val="1"/>
    <w:autoRedefine/>
    <w:qFormat/>
    <w:uiPriority w:val="0"/>
    <w:pPr>
      <w:ind w:firstLine="420"/>
    </w:pPr>
  </w:style>
  <w:style w:type="paragraph" w:styleId="13">
    <w:name w:val="annotation text"/>
    <w:basedOn w:val="1"/>
    <w:autoRedefine/>
    <w:qFormat/>
    <w:uiPriority w:val="0"/>
    <w:pPr>
      <w:jc w:val="left"/>
    </w:pPr>
  </w:style>
  <w:style w:type="paragraph" w:styleId="14">
    <w:name w:val="Salutation"/>
    <w:basedOn w:val="1"/>
    <w:next w:val="1"/>
    <w:autoRedefine/>
    <w:qFormat/>
    <w:uiPriority w:val="99"/>
  </w:style>
  <w:style w:type="paragraph" w:styleId="15">
    <w:name w:val="Body Text"/>
    <w:basedOn w:val="1"/>
    <w:next w:val="16"/>
    <w:autoRedefine/>
    <w:qFormat/>
    <w:uiPriority w:val="0"/>
    <w:pPr>
      <w:widowControl/>
      <w:snapToGrid w:val="0"/>
      <w:spacing w:before="60" w:after="160" w:line="259" w:lineRule="auto"/>
      <w:ind w:right="113"/>
    </w:pPr>
    <w:rPr>
      <w:kern w:val="0"/>
      <w:sz w:val="18"/>
      <w:szCs w:val="20"/>
    </w:rPr>
  </w:style>
  <w:style w:type="paragraph" w:customStyle="1" w:styleId="16">
    <w:name w:val="正文首行缩进 21"/>
    <w:basedOn w:val="17"/>
    <w:next w:val="15"/>
    <w:qFormat/>
    <w:uiPriority w:val="0"/>
    <w:pPr>
      <w:spacing w:after="120"/>
      <w:ind w:left="420" w:leftChars="200" w:firstLine="420" w:firstLineChars="200"/>
    </w:pPr>
    <w:rPr>
      <w:sz w:val="21"/>
    </w:rPr>
  </w:style>
  <w:style w:type="paragraph" w:customStyle="1" w:styleId="17">
    <w:name w:val="正文文本缩进1"/>
    <w:basedOn w:val="1"/>
    <w:qFormat/>
    <w:uiPriority w:val="0"/>
    <w:pPr>
      <w:ind w:firstLine="538" w:firstLineChars="192"/>
    </w:pPr>
    <w:rPr>
      <w:kern w:val="0"/>
      <w:sz w:val="28"/>
    </w:rPr>
  </w:style>
  <w:style w:type="paragraph" w:styleId="18">
    <w:name w:val="Block Text"/>
    <w:basedOn w:val="1"/>
    <w:autoRedefine/>
    <w:qFormat/>
    <w:uiPriority w:val="0"/>
    <w:pPr>
      <w:spacing w:line="540" w:lineRule="exact"/>
      <w:ind w:left="-3" w:right="-14" w:firstLine="524" w:firstLineChars="187"/>
    </w:pPr>
    <w:rPr>
      <w:rFonts w:eastAsia="方正仿宋简体"/>
      <w:sz w:val="28"/>
    </w:rPr>
  </w:style>
  <w:style w:type="paragraph" w:styleId="19">
    <w:name w:val="Plain Text"/>
    <w:basedOn w:val="1"/>
    <w:next w:val="20"/>
    <w:qFormat/>
    <w:uiPriority w:val="0"/>
    <w:rPr>
      <w:rFonts w:ascii="ˎ̥" w:hAnsi="ˎ̥" w:eastAsia="ˎ̥"/>
    </w:rPr>
  </w:style>
  <w:style w:type="paragraph" w:styleId="20">
    <w:name w:val="List Number 5"/>
    <w:basedOn w:val="1"/>
    <w:qFormat/>
    <w:uiPriority w:val="0"/>
    <w:pPr>
      <w:numPr>
        <w:ilvl w:val="0"/>
        <w:numId w:val="1"/>
      </w:numPr>
    </w:pPr>
  </w:style>
  <w:style w:type="paragraph" w:styleId="21">
    <w:name w:val="Body Text Indent 2"/>
    <w:basedOn w:val="1"/>
    <w:autoRedefine/>
    <w:qFormat/>
    <w:uiPriority w:val="0"/>
    <w:pPr>
      <w:spacing w:after="120" w:line="480" w:lineRule="auto"/>
      <w:ind w:left="420" w:leftChars="200"/>
    </w:pPr>
  </w:style>
  <w:style w:type="paragraph" w:styleId="22">
    <w:name w:val="footer"/>
    <w:basedOn w:val="1"/>
    <w:autoRedefine/>
    <w:qFormat/>
    <w:uiPriority w:val="99"/>
    <w:pPr>
      <w:tabs>
        <w:tab w:val="center" w:pos="4153"/>
        <w:tab w:val="right" w:pos="8306"/>
      </w:tabs>
      <w:snapToGrid w:val="0"/>
      <w:jc w:val="left"/>
    </w:pPr>
    <w:rPr>
      <w:kern w:val="0"/>
      <w:sz w:val="18"/>
      <w:szCs w:val="20"/>
    </w:rPr>
  </w:style>
  <w:style w:type="paragraph" w:styleId="2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4">
    <w:name w:val="toc 1"/>
    <w:basedOn w:val="1"/>
    <w:next w:val="1"/>
    <w:qFormat/>
    <w:uiPriority w:val="0"/>
  </w:style>
  <w:style w:type="paragraph" w:styleId="25">
    <w:name w:val="table of figures"/>
    <w:basedOn w:val="1"/>
    <w:next w:val="1"/>
    <w:qFormat/>
    <w:uiPriority w:val="0"/>
    <w:pPr>
      <w:ind w:left="200" w:leftChars="200" w:hanging="200" w:hangingChars="200"/>
    </w:pPr>
    <w:rPr>
      <w:rFonts w:ascii="Calibri" w:hAnsi="Calibri"/>
      <w:szCs w:val="22"/>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autoRedefine/>
    <w:qFormat/>
    <w:uiPriority w:val="0"/>
  </w:style>
  <w:style w:type="paragraph" w:customStyle="1" w:styleId="32">
    <w:name w:val="正文样式"/>
    <w:basedOn w:val="1"/>
    <w:autoRedefine/>
    <w:qFormat/>
    <w:uiPriority w:val="0"/>
    <w:pPr>
      <w:adjustRightInd w:val="0"/>
      <w:snapToGrid w:val="0"/>
      <w:spacing w:line="360" w:lineRule="auto"/>
      <w:ind w:firstLine="542" w:firstLineChars="225"/>
      <w:jc w:val="center"/>
    </w:pPr>
    <w:rPr>
      <w:b/>
      <w:color w:val="FF0000"/>
    </w:rPr>
  </w:style>
  <w:style w:type="character" w:customStyle="1" w:styleId="33">
    <w:name w:val="标题 3 Char"/>
    <w:link w:val="7"/>
    <w:autoRedefine/>
    <w:qFormat/>
    <w:uiPriority w:val="0"/>
    <w:rPr>
      <w:rFonts w:ascii="Times New Roman" w:hAnsi="Times New Roman" w:eastAsia="宋体" w:cs="Times New Roman"/>
      <w:b/>
      <w:bCs/>
      <w:sz w:val="30"/>
      <w:szCs w:val="30"/>
    </w:rPr>
  </w:style>
  <w:style w:type="paragraph" w:customStyle="1" w:styleId="34">
    <w:name w:val="Body Text 21"/>
    <w:basedOn w:val="1"/>
    <w:autoRedefine/>
    <w:qFormat/>
    <w:uiPriority w:val="0"/>
    <w:pPr>
      <w:spacing w:after="120" w:line="480" w:lineRule="auto"/>
    </w:pPr>
  </w:style>
  <w:style w:type="character" w:customStyle="1" w:styleId="35">
    <w:name w:val="标题 2 Char"/>
    <w:link w:val="6"/>
    <w:autoRedefine/>
    <w:qFormat/>
    <w:uiPriority w:val="0"/>
    <w:rPr>
      <w:rFonts w:ascii="Times New Roman" w:hAnsi="Times New Roman" w:eastAsia="宋体"/>
      <w:b/>
      <w:sz w:val="32"/>
      <w:szCs w:val="32"/>
    </w:rPr>
  </w:style>
  <w:style w:type="paragraph" w:customStyle="1" w:styleId="36">
    <w:name w:val="表格"/>
    <w:basedOn w:val="1"/>
    <w:next w:val="1"/>
    <w:autoRedefine/>
    <w:qFormat/>
    <w:uiPriority w:val="0"/>
    <w:pPr>
      <w:spacing w:line="240" w:lineRule="auto"/>
      <w:ind w:left="0" w:firstLine="0" w:firstLineChars="0"/>
      <w:jc w:val="center"/>
    </w:pPr>
    <w:rPr>
      <w:rFonts w:ascii="Times New Roman" w:hAnsi="Times New Roman" w:eastAsia="宋体"/>
      <w:sz w:val="21"/>
      <w:szCs w:val="21"/>
    </w:rPr>
  </w:style>
  <w:style w:type="paragraph" w:customStyle="1" w:styleId="37">
    <w:name w:val="正文（居中）"/>
    <w:basedOn w:val="1"/>
    <w:autoRedefine/>
    <w:qFormat/>
    <w:uiPriority w:val="0"/>
    <w:pPr>
      <w:spacing w:line="240" w:lineRule="auto"/>
      <w:ind w:firstLine="0" w:firstLineChars="0"/>
      <w:jc w:val="center"/>
    </w:pPr>
    <w:rPr>
      <w:rFonts w:ascii="Times New Roman" w:hAnsi="Times New Roman"/>
    </w:rPr>
  </w:style>
  <w:style w:type="paragraph" w:customStyle="1" w:styleId="38">
    <w:name w:val="正文（无缩进）"/>
    <w:basedOn w:val="1"/>
    <w:autoRedefine/>
    <w:qFormat/>
    <w:uiPriority w:val="0"/>
    <w:pPr>
      <w:spacing w:line="240" w:lineRule="auto"/>
      <w:ind w:firstLine="0" w:firstLineChars="0"/>
      <w:jc w:val="left"/>
    </w:pPr>
    <w:rPr>
      <w:rFonts w:ascii="Times New Roman" w:hAnsi="Times New Roman" w:eastAsia="宋体"/>
    </w:rPr>
  </w:style>
  <w:style w:type="character" w:customStyle="1" w:styleId="39">
    <w:name w:val=" Char Char5"/>
    <w:basedOn w:val="30"/>
    <w:link w:val="5"/>
    <w:autoRedefine/>
    <w:qFormat/>
    <w:uiPriority w:val="0"/>
    <w:rPr>
      <w:rFonts w:ascii="Times New Roman" w:hAnsi="Times New Roman" w:eastAsia="宋体" w:cs="Times New Roman"/>
      <w:b/>
      <w:kern w:val="2"/>
      <w:sz w:val="44"/>
      <w:szCs w:val="44"/>
      <w:lang w:val="en-US" w:eastAsia="zh-CN" w:bidi="ar-SA"/>
    </w:rPr>
  </w:style>
  <w:style w:type="character" w:customStyle="1" w:styleId="40">
    <w:name w:val="标题 4 Char"/>
    <w:link w:val="9"/>
    <w:autoRedefine/>
    <w:qFormat/>
    <w:uiPriority w:val="0"/>
    <w:rPr>
      <w:rFonts w:ascii="Times New Roman" w:hAnsi="Times New Roman" w:eastAsia="宋体" w:cs="Times New Roman"/>
      <w:b/>
      <w:sz w:val="28"/>
      <w:szCs w:val="28"/>
    </w:rPr>
  </w:style>
  <w:style w:type="table" w:customStyle="1" w:styleId="41">
    <w:name w:val="TableGrid"/>
    <w:basedOn w:val="28"/>
    <w:autoRedefine/>
    <w:qFormat/>
    <w:uiPriority w:val="0"/>
    <w:rPr>
      <w:rFonts w:hint="eastAsia" w:ascii="等线" w:hAnsi="等线" w:eastAsia="等线" w:cs="等线"/>
      <w:kern w:val="2"/>
      <w:sz w:val="21"/>
      <w:szCs w:val="22"/>
    </w:rPr>
    <w:tblPr>
      <w:tblCellMar>
        <w:top w:w="0" w:type="dxa"/>
        <w:left w:w="0" w:type="dxa"/>
        <w:bottom w:w="0" w:type="dxa"/>
        <w:right w:w="0" w:type="dxa"/>
      </w:tblCellMar>
    </w:tblPr>
  </w:style>
  <w:style w:type="paragraph" w:customStyle="1" w:styleId="42">
    <w:name w:val="表格内容"/>
    <w:basedOn w:val="1"/>
    <w:next w:val="1"/>
    <w:qFormat/>
    <w:uiPriority w:val="0"/>
    <w:pPr>
      <w:adjustRightInd/>
      <w:snapToGrid/>
      <w:spacing w:line="240" w:lineRule="auto"/>
      <w:ind w:firstLine="0" w:firstLineChars="0"/>
      <w:jc w:val="center"/>
    </w:pPr>
    <w:rPr>
      <w:rFonts w:ascii="Times New Roman" w:hAnsi="Times New Roman" w:eastAsia="宋体"/>
      <w:kern w:val="0"/>
      <w:szCs w:val="21"/>
    </w:rPr>
  </w:style>
  <w:style w:type="paragraph" w:customStyle="1" w:styleId="43">
    <w:name w:val="Default"/>
    <w:basedOn w:val="44"/>
    <w:qFormat/>
    <w:uiPriority w:val="0"/>
    <w:pPr>
      <w:widowControl w:val="0"/>
      <w:tabs>
        <w:tab w:val="left" w:pos="2760"/>
      </w:tabs>
      <w:autoSpaceDE w:val="0"/>
      <w:autoSpaceDN w:val="0"/>
      <w:adjustRightInd w:val="0"/>
    </w:pPr>
    <w:rPr>
      <w:rFonts w:ascii="宋体" w:cs="宋体"/>
      <w:color w:val="000000"/>
      <w:sz w:val="24"/>
      <w:szCs w:val="24"/>
      <w:lang w:val="en-US" w:eastAsia="zh-CN" w:bidi="ar-SA"/>
    </w:rPr>
  </w:style>
  <w:style w:type="paragraph" w:customStyle="1" w:styleId="44">
    <w:name w:val="1 表头"/>
    <w:basedOn w:val="1"/>
    <w:qFormat/>
    <w:uiPriority w:val="0"/>
    <w:pPr>
      <w:adjustRightInd w:val="0"/>
      <w:snapToGrid w:val="0"/>
      <w:jc w:val="center"/>
    </w:pPr>
    <w:rPr>
      <w:b/>
      <w:color w:val="000000"/>
      <w:szCs w:val="21"/>
    </w:rPr>
  </w:style>
  <w:style w:type="paragraph" w:customStyle="1" w:styleId="45">
    <w:name w:val="纯文本1"/>
    <w:basedOn w:val="1"/>
    <w:qFormat/>
    <w:uiPriority w:val="0"/>
    <w:pPr>
      <w:tabs>
        <w:tab w:val="left" w:pos="2760"/>
      </w:tabs>
      <w:adjustRightInd w:val="0"/>
    </w:pPr>
    <w:rPr>
      <w:rFonts w:ascii="宋体" w:hAnsi="Courier New"/>
      <w:szCs w:val="20"/>
    </w:rPr>
  </w:style>
  <w:style w:type="paragraph" w:customStyle="1" w:styleId="46">
    <w:name w:val="表格新"/>
    <w:basedOn w:val="1"/>
    <w:autoRedefine/>
    <w:qFormat/>
    <w:uiPriority w:val="0"/>
    <w:pPr>
      <w:jc w:val="center"/>
    </w:pPr>
    <w:rPr>
      <w:bCs/>
      <w:szCs w:val="21"/>
    </w:rPr>
  </w:style>
  <w:style w:type="paragraph" w:customStyle="1" w:styleId="47">
    <w:name w:val="11111"/>
    <w:basedOn w:val="1"/>
    <w:next w:val="1"/>
    <w:autoRedefine/>
    <w:qFormat/>
    <w:uiPriority w:val="0"/>
    <w:pPr>
      <w:spacing w:line="360" w:lineRule="auto"/>
      <w:ind w:firstLine="200" w:firstLineChars="200"/>
    </w:pPr>
    <w:rPr>
      <w:rFonts w:hAnsi="宋体" w:cs="宋体"/>
      <w:kern w:val="2"/>
      <w:szCs w:val="24"/>
    </w:rPr>
  </w:style>
  <w:style w:type="paragraph" w:customStyle="1" w:styleId="48">
    <w:name w:val="！正文"/>
    <w:basedOn w:val="1"/>
    <w:qFormat/>
    <w:uiPriority w:val="99"/>
    <w:pPr>
      <w:spacing w:line="460" w:lineRule="exact"/>
      <w:ind w:firstLine="200"/>
    </w:pPr>
    <w:rPr>
      <w:spacing w:val="-2"/>
      <w:szCs w:val="20"/>
    </w:rPr>
  </w:style>
  <w:style w:type="paragraph" w:customStyle="1" w:styleId="49">
    <w:name w:val="表格内文字 小5"/>
    <w:basedOn w:val="1"/>
    <w:next w:val="1"/>
    <w:qFormat/>
    <w:locked/>
    <w:uiPriority w:val="0"/>
    <w:pPr>
      <w:spacing w:line="240" w:lineRule="auto"/>
      <w:ind w:firstLine="0" w:firstLineChars="0"/>
      <w:jc w:val="center"/>
    </w:pPr>
    <w:rPr>
      <w:rFonts w:ascii="方正书宋" w:hAnsi="宋体" w:eastAsia="方正书宋"/>
      <w:color w:val="000000"/>
      <w:sz w:val="18"/>
      <w:szCs w:val="18"/>
      <w:lang w:eastAsia="zh-CN"/>
    </w:rPr>
  </w:style>
  <w:style w:type="character" w:customStyle="1" w:styleId="50">
    <w:name w:val="正文文本 (2) Exact"/>
    <w:autoRedefine/>
    <w:unhideWhenUsed/>
    <w:qFormat/>
    <w:uiPriority w:val="99"/>
    <w:rPr>
      <w:rFonts w:hint="eastAsia" w:ascii="MingLiU" w:hAnsi="MingLiU" w:eastAsia="MingLiU"/>
      <w:sz w:val="34"/>
    </w:rPr>
  </w:style>
  <w:style w:type="paragraph" w:customStyle="1" w:styleId="51">
    <w:name w:val="样式 首行缩进:  2 字符1"/>
    <w:basedOn w:val="1"/>
    <w:qFormat/>
    <w:uiPriority w:val="0"/>
    <w:pPr>
      <w:adjustRightInd w:val="0"/>
      <w:snapToGrid w:val="0"/>
      <w:spacing w:line="360" w:lineRule="auto"/>
      <w:ind w:firstLine="480" w:firstLineChars="200"/>
    </w:pPr>
    <w:rPr>
      <w:rFonts w:cs="宋体"/>
      <w:sz w:val="24"/>
    </w:rPr>
  </w:style>
  <w:style w:type="paragraph" w:customStyle="1" w:styleId="52">
    <w:name w:val="正文首行缩进:  2"/>
    <w:basedOn w:val="1"/>
    <w:qFormat/>
    <w:uiPriority w:val="0"/>
    <w:pPr>
      <w:overflowPunct w:val="0"/>
      <w:adjustRightInd w:val="0"/>
      <w:spacing w:line="360" w:lineRule="auto"/>
      <w:ind w:firstLine="480" w:firstLineChars="200"/>
    </w:pPr>
    <w:rPr>
      <w:rFonts w:cs="宋体"/>
    </w:rPr>
  </w:style>
  <w:style w:type="paragraph" w:customStyle="1" w:styleId="53">
    <w:name w:val="Table Paragraph"/>
    <w:basedOn w:val="1"/>
    <w:qFormat/>
    <w:uiPriority w:val="1"/>
    <w:rPr>
      <w:rFonts w:ascii="宋体" w:hAnsi="宋体" w:cs="宋体"/>
      <w:lang w:val="zh-CN" w:bidi="zh-CN"/>
    </w:rPr>
  </w:style>
  <w:style w:type="paragraph" w:customStyle="1" w:styleId="54">
    <w:name w:val="txt"/>
    <w:basedOn w:val="55"/>
    <w:qFormat/>
    <w:uiPriority w:val="0"/>
    <w:rPr>
      <w:sz w:val="21"/>
      <w:szCs w:val="21"/>
    </w:rPr>
  </w:style>
  <w:style w:type="paragraph" w:customStyle="1" w:styleId="55">
    <w:name w:val="text"/>
    <w:basedOn w:val="1"/>
    <w:qFormat/>
    <w:uiPriority w:val="0"/>
    <w:pPr>
      <w:wordWrap w:val="0"/>
      <w:spacing w:line="360" w:lineRule="auto"/>
      <w:ind w:firstLine="200" w:firstLineChars="200"/>
    </w:pPr>
    <w:rPr>
      <w:sz w:val="24"/>
      <w:szCs w:val="24"/>
    </w:rPr>
  </w:style>
  <w:style w:type="paragraph" w:customStyle="1" w:styleId="56">
    <w:name w:val="Other|1"/>
    <w:basedOn w:val="1"/>
    <w:qFormat/>
    <w:uiPriority w:val="0"/>
    <w:pPr>
      <w:widowControl w:val="0"/>
      <w:shd w:val="clear" w:color="auto" w:fill="auto"/>
      <w:spacing w:after="80" w:line="401" w:lineRule="auto"/>
      <w:ind w:firstLine="400"/>
    </w:pPr>
    <w:rPr>
      <w:rFonts w:ascii="MingLiU" w:hAnsi="MingLiU" w:eastAsia="MingLiU" w:cs="MingLiU"/>
      <w:sz w:val="20"/>
      <w:szCs w:val="20"/>
      <w:u w:val="none"/>
      <w:shd w:val="clear" w:color="auto" w:fill="FFFFFF"/>
      <w:lang w:val="zh-TW" w:eastAsia="zh-TW" w:bidi="zh-TW"/>
    </w:rPr>
  </w:style>
  <w:style w:type="paragraph" w:customStyle="1" w:styleId="57">
    <w:name w:val="Table caption|1"/>
    <w:basedOn w:val="1"/>
    <w:qFormat/>
    <w:uiPriority w:val="0"/>
    <w:rPr>
      <w:rFonts w:ascii="宋体" w:hAnsi="宋体" w:cs="宋体"/>
      <w:b/>
      <w:bCs/>
    </w:rPr>
  </w:style>
  <w:style w:type="paragraph" w:customStyle="1" w:styleId="58">
    <w:name w:val="Body text|2"/>
    <w:basedOn w:val="1"/>
    <w:qFormat/>
    <w:uiPriority w:val="0"/>
    <w:pPr>
      <w:spacing w:line="288" w:lineRule="auto"/>
      <w:jc w:val="center"/>
    </w:pPr>
    <w:rPr>
      <w:rFonts w:ascii="宋体" w:hAnsi="宋体" w:cs="宋体"/>
      <w:sz w:val="20"/>
      <w:szCs w:val="20"/>
    </w:rPr>
  </w:style>
  <w:style w:type="paragraph" w:customStyle="1" w:styleId="59">
    <w:name w:val="表头"/>
    <w:basedOn w:val="12"/>
    <w:next w:val="1"/>
    <w:qFormat/>
    <w:uiPriority w:val="0"/>
    <w:pPr>
      <w:jc w:val="center"/>
    </w:pPr>
    <w:rPr>
      <w:rFonts w:hint="eastAsia"/>
      <w:b/>
      <w:bCs/>
      <w:szCs w:val="21"/>
    </w:rPr>
  </w:style>
  <w:style w:type="paragraph" w:customStyle="1" w:styleId="60">
    <w:name w:val="表格字体"/>
    <w:basedOn w:val="1"/>
    <w:qFormat/>
    <w:uiPriority w:val="0"/>
    <w:pPr>
      <w:jc w:val="center"/>
    </w:pPr>
  </w:style>
  <w:style w:type="paragraph" w:customStyle="1" w:styleId="61">
    <w:name w:val="1正文"/>
    <w:basedOn w:val="1"/>
    <w:qFormat/>
    <w:uiPriority w:val="0"/>
    <w:pPr>
      <w:widowControl/>
      <w:spacing w:line="360" w:lineRule="auto"/>
      <w:ind w:firstLine="200" w:firstLineChars="200"/>
    </w:pPr>
    <w:rPr>
      <w:kern w:val="0"/>
      <w:sz w:val="24"/>
      <w:lang w:val="en-GB"/>
    </w:rPr>
  </w:style>
  <w:style w:type="paragraph" w:customStyle="1" w:styleId="62">
    <w:name w:val="表中文字"/>
    <w:basedOn w:val="1"/>
    <w:qFormat/>
    <w:uiPriority w:val="0"/>
    <w:pPr>
      <w:snapToGrid w:val="0"/>
      <w:spacing w:line="360" w:lineRule="exact"/>
      <w:jc w:val="center"/>
      <w:textAlignment w:val="center"/>
    </w:pPr>
    <w:rPr>
      <w:bCs/>
      <w:color w:val="000000"/>
      <w:kern w:val="0"/>
      <w:szCs w:val="18"/>
    </w:rPr>
  </w:style>
  <w:style w:type="paragraph" w:customStyle="1" w:styleId="63">
    <w:name w:val="任表格文字"/>
    <w:next w:val="1"/>
    <w:autoRedefine/>
    <w:qFormat/>
    <w:uiPriority w:val="0"/>
    <w:pPr>
      <w:tabs>
        <w:tab w:val="left" w:pos="1119"/>
      </w:tabs>
      <w:spacing w:line="360" w:lineRule="exact"/>
      <w:ind w:left="0" w:leftChars="0" w:firstLine="0" w:firstLineChars="0"/>
      <w:jc w:val="center"/>
    </w:pPr>
    <w:rPr>
      <w:rFonts w:ascii="Times New Roman" w:hAnsi="Times New Roman" w:eastAsia="宋体" w:cs="Times New Roman"/>
      <w:snapToGrid w:val="0"/>
      <w:color w:val="000000"/>
      <w:sz w:val="21"/>
      <w:szCs w:val="18"/>
    </w:rPr>
  </w:style>
  <w:style w:type="paragraph" w:customStyle="1" w:styleId="64">
    <w:name w:val="报告表正文"/>
    <w:basedOn w:val="65"/>
    <w:qFormat/>
    <w:uiPriority w:val="0"/>
    <w:pPr>
      <w:adjustRightInd w:val="0"/>
      <w:spacing w:line="360" w:lineRule="auto"/>
      <w:ind w:firstLine="640" w:firstLineChars="200"/>
      <w:textAlignment w:val="baseline"/>
    </w:pPr>
    <w:rPr>
      <w:color w:val="000000"/>
      <w:sz w:val="24"/>
    </w:rPr>
  </w:style>
  <w:style w:type="paragraph" w:customStyle="1" w:styleId="65">
    <w:name w:val="报告正文"/>
    <w:basedOn w:val="66"/>
    <w:qFormat/>
    <w:uiPriority w:val="0"/>
    <w:pPr>
      <w:widowControl w:val="0"/>
      <w:snapToGrid w:val="0"/>
      <w:spacing w:line="360" w:lineRule="auto"/>
      <w:ind w:firstLine="200" w:firstLineChars="200"/>
    </w:pPr>
    <w:rPr>
      <w:rFonts w:ascii="Times New Roman" w:hAnsi="Times New Roman" w:cs="Times New Roman"/>
      <w:snapToGrid w:val="0"/>
      <w:sz w:val="24"/>
      <w:szCs w:val="28"/>
    </w:rPr>
  </w:style>
  <w:style w:type="paragraph" w:customStyle="1" w:styleId="66">
    <w:name w:val="p17"/>
    <w:basedOn w:val="1"/>
    <w:qFormat/>
    <w:uiPriority w:val="0"/>
    <w:pPr>
      <w:widowControl/>
    </w:pPr>
    <w:rPr>
      <w:rFonts w:ascii="宋体" w:hAnsi="宋体" w:cs="宋体"/>
      <w:kern w:val="0"/>
      <w:szCs w:val="21"/>
    </w:rPr>
  </w:style>
  <w:style w:type="character" w:customStyle="1" w:styleId="67">
    <w:name w:val="font11"/>
    <w:basedOn w:val="30"/>
    <w:qFormat/>
    <w:uiPriority w:val="0"/>
    <w:rPr>
      <w:rFonts w:hint="default" w:ascii="Times New Roman" w:hAnsi="Times New Roman" w:cs="Times New Roman"/>
      <w:color w:val="000000"/>
      <w:sz w:val="21"/>
      <w:szCs w:val="21"/>
      <w:u w:val="none"/>
    </w:rPr>
  </w:style>
  <w:style w:type="character" w:customStyle="1" w:styleId="68">
    <w:name w:val="font21"/>
    <w:basedOn w:val="3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b372a0ac-70e8-4f40-8621-43598a29d9dd</errorID>
      <errorWord>、</errorWord>
      <group>L1_Punc</group>
      <groupName>标点问题</groupName>
      <ability>L2_Punc</ability>
      <abilityName>标点符号检查</abilityName>
      <candidateList/>
      <explain/>
      <paraID>42FA7893</paraID>
      <start>0</start>
      <end>1</end>
      <status>ignored</status>
      <modifiedWord/>
      <trackRevisions>false</trackRevisions>
    </reviewItem>
    <reviewItem>
      <errorID>562bdfbb-dd93-4607-9328-ff49da9bde07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7E91AF7D</paraID>
      <start>22</start>
      <end>23</end>
      <status>ignored</status>
      <modifiedWord/>
      <trackRevisions>false</trackRevisions>
    </reviewItem>
    <reviewItem>
      <errorID>f934f99e-c227-41ae-a4de-9905d1f742ad</errorID>
      <errorWord>.</errorWord>
      <group>L1_Format</group>
      <groupName>格式问题</groupName>
      <ability>L2_HalfPunc</ability>
      <abilityName>全半角检查</abilityName>
      <candidateList>
        <item>。</item>
      </candidateList>
      <explain>文本全半角错误。</explain>
      <paraID>7C46EB98</paraID>
      <start>21</start>
      <end>22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81ecba-a5f1-43de-8e32-89c6c6bd4127}">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14</Pages>
  <Words>217</Words>
  <Characters>248</Characters>
  <Lines>0</Lines>
  <Paragraphs>0</Paragraphs>
  <TotalTime>34</TotalTime>
  <ScaleCrop>false</ScaleCrop>
  <LinksUpToDate>false</LinksUpToDate>
  <CharactersWithSpaces>348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2021-03-22T08:12:00Z</dcterms:created>
  <dc:creator>张宏成</dc:creator>
  <cp:lastModifiedBy>ℳ๓₯㎕.老街。</cp:lastModifiedBy>
  <cp:lastPrinted>2025-06-13T04:20:00Z</cp:lastPrinted>
  <dcterms:modified xsi:type="dcterms:W3CDTF">2026-04-23T10:05:18Z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1BFFAA5E99A4479A94AB5395CD83F012_13</vt:lpwstr>
  </property>
  <property fmtid="{D5CDD505-2E9C-101B-9397-08002B2CF9AE}" pid="4" name="KSOTemplateDocerSaveRecord">
    <vt:lpwstr>eyJoZGlkIjoiMDE5MzY4NTVmNWNkM2FiOTE3MzcxMWViN2E1MTkyMzYiLCJ1c2VySWQiOiI1MDc3ODA1MzIifQ==</vt:lpwstr>
  </property>
</Properties>
</file>