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wmf" ContentType="image/x-wmf"/>
  <Default Extension="wdp" ContentType="image/vnd.ms-photo"/>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6"/>
          <w:szCs w:val="36"/>
          <w:highlight w:val="yellow"/>
        </w:rPr>
      </w:pPr>
      <w:r>
        <w:rPr>
          <w:rFonts w:hint="eastAsia"/>
          <w:sz w:val="36"/>
          <w:szCs w:val="36"/>
        </w:rPr>
        <w:t xml:space="preserve">  </w:t>
      </w:r>
    </w:p>
    <w:p>
      <w:pPr>
        <w:rPr>
          <w:color w:val="000000"/>
          <w:sz w:val="36"/>
          <w:szCs w:val="36"/>
          <w:highlight w:val="yellow"/>
        </w:rPr>
      </w:pPr>
    </w:p>
    <w:p>
      <w:pPr>
        <w:rPr>
          <w:color w:val="000000"/>
          <w:sz w:val="36"/>
          <w:szCs w:val="36"/>
          <w:highlight w:val="yellow"/>
        </w:rPr>
      </w:pPr>
    </w:p>
    <w:p>
      <w:pPr>
        <w:rPr>
          <w:color w:val="000000"/>
          <w:sz w:val="36"/>
          <w:szCs w:val="36"/>
          <w:highlight w:val="yellow"/>
        </w:rPr>
      </w:pPr>
    </w:p>
    <w:p>
      <w:pPr>
        <w:rPr>
          <w:color w:val="000000"/>
          <w:sz w:val="36"/>
          <w:szCs w:val="36"/>
          <w:highlight w:val="yellow"/>
        </w:rPr>
      </w:pPr>
    </w:p>
    <w:p>
      <w:pPr>
        <w:rPr>
          <w:color w:val="000000"/>
          <w:sz w:val="36"/>
          <w:szCs w:val="36"/>
          <w:highlight w:val="yellow"/>
        </w:rPr>
      </w:pPr>
    </w:p>
    <w:p>
      <w:pPr>
        <w:ind w:firstLine="361" w:firstLineChars="50"/>
        <w:rPr>
          <w:b/>
          <w:color w:val="000000"/>
          <w:sz w:val="72"/>
        </w:rPr>
      </w:pPr>
      <w:r>
        <w:rPr>
          <w:b/>
          <w:color w:val="000000"/>
          <w:sz w:val="72"/>
        </w:rPr>
        <w:t>建设项目环境影响报告表</w:t>
      </w:r>
    </w:p>
    <w:p>
      <w:pPr>
        <w:pStyle w:val="5"/>
        <w:ind w:firstLine="3" w:firstLineChars="0"/>
        <w:jc w:val="center"/>
        <w:rPr>
          <w:color w:val="000000"/>
          <w:sz w:val="44"/>
          <w:szCs w:val="44"/>
        </w:rPr>
      </w:pPr>
    </w:p>
    <w:p>
      <w:pPr>
        <w:pStyle w:val="5"/>
        <w:ind w:firstLine="3" w:firstLineChars="0"/>
        <w:jc w:val="center"/>
        <w:rPr>
          <w:rFonts w:hint="default" w:eastAsia="宋体"/>
          <w:color w:val="000000"/>
          <w:sz w:val="44"/>
          <w:szCs w:val="44"/>
          <w:lang w:val="en-US" w:eastAsia="zh-CN"/>
        </w:rPr>
      </w:pPr>
      <w:r>
        <w:rPr>
          <w:rFonts w:hint="eastAsia"/>
          <w:color w:val="000000"/>
          <w:sz w:val="44"/>
          <w:szCs w:val="44"/>
          <w:lang w:eastAsia="zh-CN"/>
        </w:rPr>
        <w:t>（</w:t>
      </w:r>
      <w:r>
        <w:rPr>
          <w:rFonts w:hint="eastAsia"/>
          <w:color w:val="000000"/>
          <w:sz w:val="44"/>
          <w:szCs w:val="44"/>
          <w:lang w:val="en-US" w:eastAsia="zh-CN"/>
        </w:rPr>
        <w:t>公示稿）</w:t>
      </w:r>
    </w:p>
    <w:p>
      <w:pPr>
        <w:pStyle w:val="5"/>
        <w:ind w:firstLine="3" w:firstLineChars="0"/>
        <w:jc w:val="center"/>
        <w:rPr>
          <w:color w:val="000000"/>
          <w:sz w:val="44"/>
          <w:szCs w:val="44"/>
        </w:rPr>
      </w:pPr>
    </w:p>
    <w:p>
      <w:pPr>
        <w:ind w:firstLine="280"/>
        <w:rPr>
          <w:rFonts w:eastAsia="仿宋_GB2312"/>
          <w:color w:val="000000"/>
          <w:sz w:val="28"/>
          <w:highlight w:val="yellow"/>
        </w:rPr>
      </w:pPr>
    </w:p>
    <w:p>
      <w:pPr>
        <w:ind w:firstLine="280"/>
        <w:rPr>
          <w:rFonts w:eastAsia="仿宋_GB2312"/>
          <w:color w:val="000000"/>
          <w:sz w:val="28"/>
          <w:highlight w:val="yellow"/>
        </w:rPr>
      </w:pPr>
    </w:p>
    <w:p>
      <w:pPr>
        <w:ind w:firstLine="360"/>
        <w:rPr>
          <w:color w:val="000000"/>
          <w:sz w:val="36"/>
        </w:rPr>
      </w:pPr>
    </w:p>
    <w:p>
      <w:pPr>
        <w:pStyle w:val="46"/>
        <w:rPr>
          <w:sz w:val="36"/>
        </w:rPr>
      </w:pPr>
    </w:p>
    <w:p>
      <w:pPr>
        <w:pStyle w:val="46"/>
        <w:rPr>
          <w:sz w:val="36"/>
        </w:rPr>
      </w:pPr>
    </w:p>
    <w:p>
      <w:pPr>
        <w:ind w:firstLine="360"/>
        <w:jc w:val="center"/>
        <w:rPr>
          <w:color w:val="000000"/>
          <w:sz w:val="36"/>
        </w:rPr>
      </w:pPr>
    </w:p>
    <w:p>
      <w:pPr>
        <w:ind w:firstLine="360"/>
        <w:jc w:val="right"/>
        <w:rPr>
          <w:color w:val="000000"/>
          <w:sz w:val="36"/>
        </w:rPr>
      </w:pPr>
    </w:p>
    <w:p>
      <w:pPr>
        <w:ind w:firstLine="360"/>
        <w:jc w:val="center"/>
        <w:rPr>
          <w:color w:val="000000"/>
          <w:sz w:val="36"/>
        </w:rPr>
      </w:pPr>
    </w:p>
    <w:p>
      <w:pPr>
        <w:ind w:left="210" w:leftChars="100" w:firstLine="360"/>
        <w:jc w:val="center"/>
        <w:rPr>
          <w:color w:val="000000"/>
          <w:sz w:val="36"/>
        </w:rPr>
      </w:pPr>
    </w:p>
    <w:tbl>
      <w:tblPr>
        <w:tblStyle w:val="37"/>
        <w:tblW w:w="9151" w:type="dxa"/>
        <w:jc w:val="center"/>
        <w:tblLayout w:type="autofit"/>
        <w:tblCellMar>
          <w:top w:w="0" w:type="dxa"/>
          <w:left w:w="108" w:type="dxa"/>
          <w:bottom w:w="0" w:type="dxa"/>
          <w:right w:w="108" w:type="dxa"/>
        </w:tblCellMar>
      </w:tblPr>
      <w:tblGrid>
        <w:gridCol w:w="1843"/>
        <w:gridCol w:w="7308"/>
      </w:tblGrid>
      <w:tr>
        <w:tblPrEx>
          <w:tblCellMar>
            <w:top w:w="0" w:type="dxa"/>
            <w:left w:w="108" w:type="dxa"/>
            <w:bottom w:w="0" w:type="dxa"/>
            <w:right w:w="108" w:type="dxa"/>
          </w:tblCellMar>
        </w:tblPrEx>
        <w:trPr>
          <w:jc w:val="center"/>
        </w:trPr>
        <w:tc>
          <w:tcPr>
            <w:tcW w:w="1843" w:type="dxa"/>
            <w:vAlign w:val="center"/>
          </w:tcPr>
          <w:p>
            <w:pPr>
              <w:spacing w:line="360" w:lineRule="auto"/>
              <w:jc w:val="center"/>
              <w:rPr>
                <w:rFonts w:ascii="宋体" w:hAnsi="宋体"/>
                <w:b/>
                <w:color w:val="000000"/>
                <w:sz w:val="32"/>
              </w:rPr>
            </w:pPr>
            <w:r>
              <w:rPr>
                <w:rFonts w:ascii="宋体" w:hAnsi="宋体"/>
                <w:b/>
                <w:color w:val="000000"/>
                <w:sz w:val="32"/>
              </w:rPr>
              <w:t>项目名称：</w:t>
            </w:r>
          </w:p>
        </w:tc>
        <w:tc>
          <w:tcPr>
            <w:tcW w:w="7308" w:type="dxa"/>
            <w:vAlign w:val="center"/>
          </w:tcPr>
          <w:p>
            <w:pPr>
              <w:spacing w:line="360" w:lineRule="auto"/>
              <w:jc w:val="distribute"/>
              <w:rPr>
                <w:bCs/>
                <w:snapToGrid w:val="0"/>
                <w:color w:val="000000"/>
                <w:kern w:val="0"/>
                <w:sz w:val="30"/>
                <w:szCs w:val="30"/>
              </w:rPr>
            </w:pPr>
            <w:r>
              <w:rPr>
                <w:rFonts w:hint="eastAsia"/>
                <w:bCs/>
                <w:snapToGrid w:val="0"/>
                <w:color w:val="000000"/>
                <w:kern w:val="0"/>
                <w:sz w:val="30"/>
                <w:szCs w:val="30"/>
              </w:rPr>
              <w:t>吐鲁番伊拉湖220千伏输变电工程</w:t>
            </w:r>
          </w:p>
        </w:tc>
      </w:tr>
      <w:tr>
        <w:tblPrEx>
          <w:tblCellMar>
            <w:top w:w="0" w:type="dxa"/>
            <w:left w:w="108" w:type="dxa"/>
            <w:bottom w:w="0" w:type="dxa"/>
            <w:right w:w="108" w:type="dxa"/>
          </w:tblCellMar>
        </w:tblPrEx>
        <w:trPr>
          <w:jc w:val="center"/>
        </w:trPr>
        <w:tc>
          <w:tcPr>
            <w:tcW w:w="1843" w:type="dxa"/>
            <w:vAlign w:val="center"/>
          </w:tcPr>
          <w:p>
            <w:pPr>
              <w:spacing w:line="360" w:lineRule="auto"/>
              <w:jc w:val="center"/>
              <w:rPr>
                <w:rFonts w:ascii="宋体" w:hAnsi="宋体"/>
                <w:b/>
                <w:color w:val="000000"/>
                <w:sz w:val="32"/>
              </w:rPr>
            </w:pPr>
            <w:r>
              <w:rPr>
                <w:rFonts w:ascii="宋体" w:hAnsi="宋体"/>
                <w:b/>
                <w:color w:val="000000"/>
                <w:sz w:val="32"/>
              </w:rPr>
              <w:t>建设单位：</w:t>
            </w:r>
          </w:p>
        </w:tc>
        <w:tc>
          <w:tcPr>
            <w:tcW w:w="7308" w:type="dxa"/>
            <w:vAlign w:val="center"/>
          </w:tcPr>
          <w:p>
            <w:pPr>
              <w:spacing w:line="360" w:lineRule="auto"/>
              <w:jc w:val="distribute"/>
              <w:rPr>
                <w:rFonts w:ascii="宋体" w:hAnsi="宋体"/>
                <w:bCs/>
                <w:snapToGrid w:val="0"/>
                <w:color w:val="000000"/>
                <w:kern w:val="0"/>
                <w:sz w:val="30"/>
                <w:szCs w:val="30"/>
              </w:rPr>
            </w:pPr>
            <w:r>
              <w:rPr>
                <w:rFonts w:hint="eastAsia" w:ascii="宋体" w:hAnsi="宋体"/>
                <w:bCs/>
                <w:snapToGrid w:val="0"/>
                <w:color w:val="000000"/>
                <w:kern w:val="0"/>
                <w:sz w:val="30"/>
                <w:szCs w:val="30"/>
              </w:rPr>
              <w:t>国网新疆电力有限公司吐鲁番供电公司</w:t>
            </w:r>
          </w:p>
        </w:tc>
      </w:tr>
    </w:tbl>
    <w:p>
      <w:pPr>
        <w:ind w:firstLine="280"/>
        <w:rPr>
          <w:rFonts w:eastAsia="仿宋_GB2312"/>
          <w:color w:val="000000"/>
          <w:sz w:val="28"/>
          <w:highlight w:val="yellow"/>
        </w:rPr>
      </w:pPr>
    </w:p>
    <w:p>
      <w:pPr>
        <w:ind w:firstLine="280"/>
        <w:rPr>
          <w:rFonts w:eastAsia="仿宋_GB2312"/>
          <w:color w:val="000000"/>
          <w:sz w:val="28"/>
          <w:highlight w:val="yellow"/>
        </w:rPr>
      </w:pPr>
    </w:p>
    <w:p>
      <w:pPr>
        <w:ind w:firstLine="280"/>
        <w:rPr>
          <w:color w:val="000000"/>
          <w:highlight w:val="yellow"/>
        </w:rPr>
      </w:pPr>
    </w:p>
    <w:p>
      <w:pPr>
        <w:ind w:firstLine="280"/>
        <w:rPr>
          <w:color w:val="000000"/>
          <w:highlight w:val="yellow"/>
        </w:rPr>
      </w:pPr>
    </w:p>
    <w:p>
      <w:pPr>
        <w:ind w:firstLine="280"/>
        <w:rPr>
          <w:color w:val="000000"/>
          <w:highlight w:val="yellow"/>
        </w:rPr>
      </w:pPr>
    </w:p>
    <w:p>
      <w:pPr>
        <w:ind w:firstLine="280"/>
        <w:rPr>
          <w:color w:val="000000"/>
          <w:highlight w:val="yellow"/>
        </w:rPr>
      </w:pPr>
    </w:p>
    <w:p>
      <w:pPr>
        <w:pStyle w:val="110"/>
        <w:spacing w:line="360" w:lineRule="auto"/>
        <w:jc w:val="left"/>
        <w:rPr>
          <w:color w:val="000000"/>
        </w:rPr>
      </w:pPr>
      <w:r>
        <w:rPr>
          <w:color w:val="000000"/>
        </w:rPr>
        <w:t>编制单位：中国电力工程顾问集团中南电力设计院有限公司</w:t>
      </w:r>
    </w:p>
    <w:p>
      <w:pPr>
        <w:pStyle w:val="110"/>
        <w:jc w:val="left"/>
        <w:rPr>
          <w:color w:val="000000"/>
          <w:highlight w:val="yellow"/>
        </w:rPr>
        <w:sectPr>
          <w:footerReference r:id="rId3" w:type="default"/>
          <w:footerReference r:id="rId4" w:type="even"/>
          <w:pgSz w:w="11906" w:h="16838"/>
          <w:pgMar w:top="1701" w:right="1531" w:bottom="1701" w:left="1531" w:header="851" w:footer="1077" w:gutter="0"/>
          <w:pgNumType w:start="21"/>
          <w:cols w:space="720" w:num="1"/>
          <w:docGrid w:linePitch="312" w:charSpace="0"/>
        </w:sectPr>
      </w:pPr>
      <w:r>
        <w:rPr>
          <w:color w:val="000000"/>
        </w:rPr>
        <w:t>编制日期：</w:t>
      </w:r>
      <w:r>
        <w:rPr>
          <w:rFonts w:hint="eastAsia"/>
          <w:color w:val="000000"/>
        </w:rPr>
        <w:t xml:space="preserve">          </w:t>
      </w:r>
      <w:r>
        <w:rPr>
          <w:color w:val="000000"/>
        </w:rPr>
        <w:t>二〇二</w:t>
      </w:r>
      <w:r>
        <w:rPr>
          <w:rFonts w:hint="eastAsia"/>
          <w:color w:val="000000"/>
        </w:rPr>
        <w:t>六</w:t>
      </w:r>
      <w:r>
        <w:rPr>
          <w:color w:val="000000"/>
        </w:rPr>
        <w:t>年</w:t>
      </w:r>
      <w:r>
        <w:rPr>
          <w:rFonts w:hint="eastAsia"/>
          <w:color w:val="000000"/>
          <w:lang w:val="en-US" w:eastAsia="zh-CN"/>
        </w:rPr>
        <w:t>五</w:t>
      </w:r>
      <w:r>
        <w:rPr>
          <w:color w:val="000000"/>
        </w:rPr>
        <w:t>月</w:t>
      </w:r>
    </w:p>
    <w:p>
      <w:pPr>
        <w:rPr>
          <w:color w:val="000000"/>
          <w:highlight w:val="yellow"/>
        </w:rPr>
      </w:pPr>
    </w:p>
    <w:p>
      <w:pPr>
        <w:pStyle w:val="26"/>
        <w:widowControl/>
        <w:tabs>
          <w:tab w:val="left" w:pos="469"/>
        </w:tabs>
        <w:spacing w:after="100"/>
        <w:jc w:val="center"/>
        <w:rPr>
          <w:rFonts w:ascii="Times New Roman" w:hAnsi="Times New Roman"/>
          <w:b/>
          <w:bCs/>
          <w:snapToGrid w:val="0"/>
          <w:color w:val="000000"/>
          <w:sz w:val="32"/>
          <w:szCs w:val="32"/>
        </w:rPr>
      </w:pPr>
      <w:bookmarkStart w:id="0" w:name="_Toc15694"/>
      <w:bookmarkStart w:id="1" w:name="_Toc111564269"/>
      <w:bookmarkStart w:id="2" w:name="_Toc28192"/>
      <w:r>
        <w:rPr>
          <w:rFonts w:ascii="Times New Roman" w:hAnsi="Times New Roman"/>
          <w:b/>
          <w:bCs/>
          <w:snapToGrid w:val="0"/>
          <w:color w:val="000000"/>
          <w:sz w:val="32"/>
          <w:szCs w:val="32"/>
        </w:rPr>
        <w:t>一、建设项目基本情况</w:t>
      </w:r>
      <w:bookmarkEnd w:id="0"/>
      <w:bookmarkEnd w:id="1"/>
      <w:bookmarkEnd w:id="2"/>
    </w:p>
    <w:tbl>
      <w:tblPr>
        <w:tblStyle w:val="37"/>
        <w:tblW w:w="90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276"/>
        <w:gridCol w:w="2400"/>
        <w:gridCol w:w="2361"/>
        <w:gridCol w:w="300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06" w:hRule="atLeast"/>
          <w:jc w:val="center"/>
        </w:trPr>
        <w:tc>
          <w:tcPr>
            <w:tcW w:w="1276" w:type="dxa"/>
            <w:tcMar>
              <w:top w:w="16" w:type="dxa"/>
              <w:left w:w="16" w:type="dxa"/>
              <w:right w:w="16" w:type="dxa"/>
            </w:tcMar>
            <w:vAlign w:val="center"/>
          </w:tcPr>
          <w:p>
            <w:pPr>
              <w:adjustRightInd w:val="0"/>
              <w:snapToGrid w:val="0"/>
              <w:jc w:val="center"/>
              <w:rPr>
                <w:rFonts w:ascii="宋体" w:hAnsi="宋体" w:cs="宋体"/>
                <w:b/>
                <w:color w:val="000000"/>
                <w:kern w:val="21"/>
                <w:sz w:val="24"/>
              </w:rPr>
            </w:pPr>
            <w:r>
              <w:rPr>
                <w:rFonts w:ascii="宋体" w:hAnsi="宋体" w:cs="宋体"/>
                <w:b/>
                <w:color w:val="000000"/>
                <w:kern w:val="21"/>
                <w:sz w:val="24"/>
              </w:rPr>
              <w:t>建设项目</w:t>
            </w:r>
          </w:p>
          <w:p>
            <w:pPr>
              <w:adjustRightInd w:val="0"/>
              <w:snapToGrid w:val="0"/>
              <w:jc w:val="center"/>
              <w:rPr>
                <w:rFonts w:ascii="宋体" w:hAnsi="宋体" w:cs="宋体"/>
                <w:b/>
                <w:color w:val="000000"/>
                <w:kern w:val="21"/>
                <w:sz w:val="24"/>
              </w:rPr>
            </w:pPr>
            <w:r>
              <w:rPr>
                <w:rFonts w:ascii="宋体" w:hAnsi="宋体" w:cs="宋体"/>
                <w:b/>
                <w:color w:val="000000"/>
                <w:kern w:val="21"/>
                <w:sz w:val="24"/>
              </w:rPr>
              <w:t>名称</w:t>
            </w:r>
          </w:p>
        </w:tc>
        <w:tc>
          <w:tcPr>
            <w:tcW w:w="7763" w:type="dxa"/>
            <w:gridSpan w:val="3"/>
            <w:vAlign w:val="center"/>
          </w:tcPr>
          <w:p>
            <w:pPr>
              <w:adjustRightInd w:val="0"/>
              <w:snapToGrid w:val="0"/>
              <w:jc w:val="center"/>
              <w:rPr>
                <w:color w:val="000000"/>
                <w:sz w:val="24"/>
              </w:rPr>
            </w:pPr>
            <w:r>
              <w:rPr>
                <w:rFonts w:hint="eastAsia"/>
                <w:color w:val="000000"/>
                <w:sz w:val="24"/>
              </w:rPr>
              <w:t>吐鲁番伊拉湖220千伏输变电工程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15" w:hRule="atLeast"/>
          <w:jc w:val="center"/>
        </w:trPr>
        <w:tc>
          <w:tcPr>
            <w:tcW w:w="1276" w:type="dxa"/>
            <w:tcMar>
              <w:top w:w="16" w:type="dxa"/>
              <w:left w:w="16" w:type="dxa"/>
              <w:right w:w="16" w:type="dxa"/>
            </w:tcMar>
            <w:vAlign w:val="center"/>
          </w:tcPr>
          <w:p>
            <w:pPr>
              <w:adjustRightInd w:val="0"/>
              <w:snapToGrid w:val="0"/>
              <w:jc w:val="center"/>
              <w:rPr>
                <w:rFonts w:ascii="宋体" w:hAnsi="宋体" w:cs="宋体"/>
                <w:b/>
                <w:color w:val="000000"/>
                <w:kern w:val="21"/>
                <w:sz w:val="24"/>
              </w:rPr>
            </w:pPr>
            <w:r>
              <w:rPr>
                <w:rFonts w:ascii="宋体" w:hAnsi="宋体" w:cs="宋体"/>
                <w:b/>
                <w:color w:val="000000"/>
                <w:kern w:val="21"/>
                <w:sz w:val="24"/>
              </w:rPr>
              <w:t>建设项目</w:t>
            </w:r>
          </w:p>
          <w:p>
            <w:pPr>
              <w:adjustRightInd w:val="0"/>
              <w:snapToGrid w:val="0"/>
              <w:jc w:val="center"/>
              <w:rPr>
                <w:rFonts w:ascii="宋体" w:hAnsi="宋体" w:cs="宋体"/>
                <w:b/>
                <w:color w:val="000000"/>
                <w:kern w:val="21"/>
                <w:sz w:val="24"/>
              </w:rPr>
            </w:pPr>
            <w:r>
              <w:rPr>
                <w:rFonts w:ascii="宋体" w:hAnsi="宋体" w:cs="宋体"/>
                <w:b/>
                <w:color w:val="000000"/>
                <w:kern w:val="21"/>
                <w:sz w:val="24"/>
              </w:rPr>
              <w:t>行业类别</w:t>
            </w:r>
          </w:p>
        </w:tc>
        <w:tc>
          <w:tcPr>
            <w:tcW w:w="2400" w:type="dxa"/>
            <w:vAlign w:val="center"/>
          </w:tcPr>
          <w:p>
            <w:pPr>
              <w:adjustRightInd w:val="0"/>
              <w:snapToGrid w:val="0"/>
              <w:jc w:val="center"/>
              <w:rPr>
                <w:color w:val="000000"/>
                <w:sz w:val="24"/>
              </w:rPr>
            </w:pPr>
            <w:r>
              <w:rPr>
                <w:rFonts w:hint="eastAsia"/>
                <w:color w:val="000000"/>
                <w:sz w:val="24"/>
              </w:rPr>
              <w:t>五十五</w:t>
            </w:r>
            <w:r>
              <w:rPr>
                <w:color w:val="000000"/>
                <w:sz w:val="24"/>
              </w:rPr>
              <w:t>-161输变电工程</w:t>
            </w:r>
          </w:p>
        </w:tc>
        <w:tc>
          <w:tcPr>
            <w:tcW w:w="2361" w:type="dxa"/>
            <w:vAlign w:val="center"/>
          </w:tcPr>
          <w:p>
            <w:pPr>
              <w:adjustRightInd w:val="0"/>
              <w:snapToGrid w:val="0"/>
              <w:jc w:val="center"/>
              <w:rPr>
                <w:b/>
                <w:color w:val="000000"/>
                <w:sz w:val="24"/>
              </w:rPr>
            </w:pPr>
            <w:r>
              <w:rPr>
                <w:b/>
                <w:color w:val="000000"/>
                <w:sz w:val="24"/>
              </w:rPr>
              <w:t>用地（用海）面积（m</w:t>
            </w:r>
            <w:r>
              <w:rPr>
                <w:b/>
                <w:color w:val="000000"/>
                <w:sz w:val="24"/>
                <w:vertAlign w:val="superscript"/>
              </w:rPr>
              <w:t>2</w:t>
            </w:r>
            <w:r>
              <w:rPr>
                <w:b/>
                <w:color w:val="000000"/>
                <w:sz w:val="24"/>
              </w:rPr>
              <w:t>）/长度（km）</w:t>
            </w:r>
          </w:p>
        </w:tc>
        <w:tc>
          <w:tcPr>
            <w:tcW w:w="3002" w:type="dxa"/>
            <w:vAlign w:val="center"/>
          </w:tcPr>
          <w:p>
            <w:pPr>
              <w:adjustRightInd w:val="0"/>
              <w:snapToGrid w:val="0"/>
              <w:jc w:val="center"/>
              <w:rPr>
                <w:color w:val="000000"/>
                <w:sz w:val="24"/>
                <w:vertAlign w:val="superscript"/>
              </w:rPr>
            </w:pPr>
            <w:r>
              <w:rPr>
                <w:rFonts w:hint="eastAsia"/>
                <w:color w:val="000000"/>
                <w:sz w:val="24"/>
              </w:rPr>
              <w:t>12.82hm</w:t>
            </w:r>
            <w:r>
              <w:rPr>
                <w:color w:val="000000"/>
                <w:sz w:val="24"/>
                <w:vertAlign w:val="superscript"/>
              </w:rPr>
              <w:t>2</w:t>
            </w:r>
          </w:p>
          <w:p>
            <w:pPr>
              <w:adjustRightInd w:val="0"/>
              <w:snapToGrid w:val="0"/>
              <w:jc w:val="center"/>
              <w:rPr>
                <w:color w:val="000000"/>
                <w:sz w:val="24"/>
                <w:highlight w:val="yellow"/>
              </w:rPr>
            </w:pPr>
            <w:r>
              <w:rPr>
                <w:rFonts w:hint="eastAsia"/>
                <w:color w:val="000000"/>
                <w:sz w:val="24"/>
              </w:rPr>
              <w:t>（其中永久占地1.79h</w:t>
            </w:r>
            <w:r>
              <w:rPr>
                <w:color w:val="000000"/>
                <w:sz w:val="24"/>
              </w:rPr>
              <w:t>m</w:t>
            </w:r>
            <w:r>
              <w:rPr>
                <w:color w:val="000000"/>
                <w:sz w:val="24"/>
                <w:vertAlign w:val="superscript"/>
              </w:rPr>
              <w:t>2</w:t>
            </w:r>
            <w:r>
              <w:rPr>
                <w:rFonts w:hint="eastAsia"/>
                <w:color w:val="000000"/>
                <w:sz w:val="24"/>
              </w:rPr>
              <w:t>，临时占地11.03hm</w:t>
            </w:r>
            <w:r>
              <w:rPr>
                <w:color w:val="000000"/>
                <w:sz w:val="24"/>
              </w:rPr>
              <w:t>²</w:t>
            </w:r>
            <w:r>
              <w:rPr>
                <w:rFonts w:hint="eastAsia"/>
                <w:color w:val="000000"/>
                <w:sz w:val="24"/>
              </w:rPr>
              <w:t>）</w:t>
            </w:r>
            <w:r>
              <w:rPr>
                <w:color w:val="000000"/>
                <w:sz w:val="28"/>
                <w:szCs w:val="28"/>
              </w:rPr>
              <w:t>/</w:t>
            </w:r>
            <w:r>
              <w:rPr>
                <w:rFonts w:hint="eastAsia"/>
                <w:color w:val="000000"/>
                <w:sz w:val="24"/>
              </w:rPr>
              <w:t>13.67km</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04" w:hRule="atLeast"/>
          <w:jc w:val="center"/>
        </w:trPr>
        <w:tc>
          <w:tcPr>
            <w:tcW w:w="1276" w:type="dxa"/>
            <w:tcBorders>
              <w:left w:val="single" w:color="auto" w:sz="4" w:space="0"/>
            </w:tcBorders>
            <w:tcMar>
              <w:top w:w="16" w:type="dxa"/>
              <w:left w:w="16" w:type="dxa"/>
              <w:right w:w="16" w:type="dxa"/>
            </w:tcMar>
            <w:vAlign w:val="center"/>
          </w:tcPr>
          <w:p>
            <w:pPr>
              <w:adjustRightInd w:val="0"/>
              <w:snapToGrid w:val="0"/>
              <w:jc w:val="center"/>
              <w:rPr>
                <w:rFonts w:ascii="宋体" w:hAnsi="宋体" w:cs="宋体"/>
                <w:b/>
                <w:color w:val="000000"/>
                <w:kern w:val="21"/>
                <w:sz w:val="24"/>
              </w:rPr>
            </w:pPr>
            <w:r>
              <w:rPr>
                <w:rFonts w:ascii="宋体" w:hAnsi="宋体" w:cs="宋体"/>
                <w:b/>
                <w:color w:val="000000"/>
                <w:kern w:val="21"/>
                <w:sz w:val="24"/>
              </w:rPr>
              <w:t>建设性质</w:t>
            </w:r>
          </w:p>
        </w:tc>
        <w:tc>
          <w:tcPr>
            <w:tcW w:w="2400" w:type="dxa"/>
            <w:vAlign w:val="center"/>
          </w:tcPr>
          <w:p>
            <w:pPr>
              <w:adjustRightInd w:val="0"/>
              <w:snapToGrid w:val="0"/>
              <w:spacing w:line="360" w:lineRule="auto"/>
              <w:jc w:val="left"/>
              <w:rPr>
                <w:color w:val="000000"/>
                <w:sz w:val="24"/>
                <w:u w:val="single"/>
              </w:rPr>
            </w:pPr>
            <w:r>
              <w:rPr>
                <w:rFonts w:hint="eastAsia" w:ascii="黑体" w:hAnsi="黑体" w:eastAsia="黑体" w:cs="黑体"/>
                <w:color w:val="000000"/>
                <w:sz w:val="24"/>
                <w:u w:val="single"/>
                <w:shd w:val="clear" w:color="FFFFFF" w:fill="D9D9D9"/>
              </w:rPr>
              <w:t>√</w:t>
            </w:r>
            <w:r>
              <w:rPr>
                <w:color w:val="000000"/>
                <w:sz w:val="24"/>
                <w:u w:val="single"/>
              </w:rPr>
              <w:t>新建（迁建）</w:t>
            </w:r>
          </w:p>
          <w:p>
            <w:pPr>
              <w:adjustRightInd w:val="0"/>
              <w:snapToGrid w:val="0"/>
              <w:spacing w:line="360" w:lineRule="auto"/>
              <w:jc w:val="left"/>
              <w:rPr>
                <w:color w:val="000000"/>
                <w:sz w:val="24"/>
              </w:rPr>
            </w:pPr>
            <w:r>
              <w:rPr>
                <w:color w:val="000000"/>
                <w:sz w:val="24"/>
              </w:rPr>
              <w:sym w:font="Wingdings 2" w:char="00A3"/>
            </w:r>
            <w:r>
              <w:rPr>
                <w:color w:val="000000"/>
                <w:sz w:val="24"/>
              </w:rPr>
              <w:t>改建</w:t>
            </w:r>
          </w:p>
          <w:p>
            <w:pPr>
              <w:adjustRightInd w:val="0"/>
              <w:snapToGrid w:val="0"/>
              <w:spacing w:line="360" w:lineRule="auto"/>
              <w:jc w:val="left"/>
              <w:rPr>
                <w:color w:val="000000"/>
                <w:sz w:val="24"/>
              </w:rPr>
            </w:pPr>
            <w:r>
              <w:rPr>
                <w:color w:val="000000"/>
                <w:sz w:val="24"/>
              </w:rPr>
              <w:sym w:font="Wingdings 2" w:char="00A3"/>
            </w:r>
            <w:r>
              <w:rPr>
                <w:color w:val="000000"/>
                <w:sz w:val="24"/>
              </w:rPr>
              <w:t>扩建</w:t>
            </w:r>
          </w:p>
          <w:p>
            <w:pPr>
              <w:adjustRightInd w:val="0"/>
              <w:snapToGrid w:val="0"/>
              <w:spacing w:line="360" w:lineRule="auto"/>
              <w:jc w:val="left"/>
              <w:rPr>
                <w:color w:val="000000"/>
                <w:sz w:val="24"/>
              </w:rPr>
            </w:pPr>
            <w:r>
              <w:rPr>
                <w:color w:val="000000"/>
                <w:sz w:val="24"/>
              </w:rPr>
              <w:sym w:font="Wingdings 2" w:char="00A3"/>
            </w:r>
            <w:r>
              <w:rPr>
                <w:color w:val="000000"/>
                <w:sz w:val="24"/>
              </w:rPr>
              <w:t>技术改造</w:t>
            </w:r>
          </w:p>
        </w:tc>
        <w:tc>
          <w:tcPr>
            <w:tcW w:w="2361" w:type="dxa"/>
            <w:vAlign w:val="center"/>
          </w:tcPr>
          <w:p>
            <w:pPr>
              <w:adjustRightInd w:val="0"/>
              <w:snapToGrid w:val="0"/>
              <w:spacing w:line="360" w:lineRule="auto"/>
              <w:jc w:val="center"/>
              <w:rPr>
                <w:b/>
                <w:color w:val="000000"/>
                <w:sz w:val="24"/>
              </w:rPr>
            </w:pPr>
            <w:r>
              <w:rPr>
                <w:b/>
                <w:color w:val="000000"/>
                <w:sz w:val="24"/>
              </w:rPr>
              <w:t>建设项目</w:t>
            </w:r>
          </w:p>
          <w:p>
            <w:pPr>
              <w:adjustRightInd w:val="0"/>
              <w:snapToGrid w:val="0"/>
              <w:spacing w:line="360" w:lineRule="auto"/>
              <w:jc w:val="center"/>
              <w:rPr>
                <w:b/>
                <w:color w:val="000000"/>
                <w:sz w:val="24"/>
              </w:rPr>
            </w:pPr>
            <w:r>
              <w:rPr>
                <w:b/>
                <w:color w:val="000000"/>
                <w:sz w:val="24"/>
              </w:rPr>
              <w:t>申报情形</w:t>
            </w:r>
          </w:p>
        </w:tc>
        <w:tc>
          <w:tcPr>
            <w:tcW w:w="3002" w:type="dxa"/>
            <w:tcBorders>
              <w:right w:val="single" w:color="auto" w:sz="4" w:space="0"/>
            </w:tcBorders>
            <w:vAlign w:val="center"/>
          </w:tcPr>
          <w:p>
            <w:pPr>
              <w:adjustRightInd w:val="0"/>
              <w:snapToGrid w:val="0"/>
              <w:spacing w:line="360" w:lineRule="auto"/>
              <w:rPr>
                <w:color w:val="000000"/>
                <w:sz w:val="24"/>
                <w:u w:val="single"/>
              </w:rPr>
            </w:pPr>
            <w:r>
              <w:rPr>
                <w:rFonts w:hint="eastAsia" w:ascii="黑体" w:hAnsi="黑体" w:eastAsia="黑体" w:cs="黑体"/>
                <w:color w:val="000000"/>
                <w:sz w:val="24"/>
                <w:u w:val="single"/>
                <w:shd w:val="clear" w:color="FFFFFF" w:fill="D9D9D9"/>
              </w:rPr>
              <w:t>√</w:t>
            </w:r>
            <w:r>
              <w:rPr>
                <w:color w:val="000000"/>
                <w:sz w:val="24"/>
                <w:u w:val="single"/>
              </w:rPr>
              <w:t>首次申报项目</w:t>
            </w:r>
          </w:p>
          <w:p>
            <w:pPr>
              <w:adjustRightInd w:val="0"/>
              <w:snapToGrid w:val="0"/>
              <w:spacing w:line="360" w:lineRule="auto"/>
              <w:rPr>
                <w:color w:val="000000"/>
                <w:sz w:val="24"/>
              </w:rPr>
            </w:pPr>
            <w:r>
              <w:rPr>
                <w:color w:val="000000"/>
                <w:sz w:val="24"/>
              </w:rPr>
              <w:sym w:font="Wingdings 2" w:char="00A3"/>
            </w:r>
            <w:r>
              <w:rPr>
                <w:color w:val="000000"/>
                <w:sz w:val="24"/>
              </w:rPr>
              <w:t>不予批准后再次申报项目</w:t>
            </w:r>
          </w:p>
          <w:p>
            <w:pPr>
              <w:adjustRightInd w:val="0"/>
              <w:snapToGrid w:val="0"/>
              <w:spacing w:line="360" w:lineRule="auto"/>
              <w:rPr>
                <w:color w:val="000000"/>
                <w:sz w:val="24"/>
              </w:rPr>
            </w:pPr>
            <w:r>
              <w:rPr>
                <w:color w:val="000000"/>
                <w:sz w:val="24"/>
              </w:rPr>
              <w:sym w:font="Wingdings 2" w:char="00A3"/>
            </w:r>
            <w:r>
              <w:rPr>
                <w:color w:val="000000"/>
                <w:sz w:val="24"/>
              </w:rPr>
              <w:t>超五年重新审核项目</w:t>
            </w:r>
          </w:p>
          <w:p>
            <w:pPr>
              <w:adjustRightInd w:val="0"/>
              <w:snapToGrid w:val="0"/>
              <w:spacing w:line="360" w:lineRule="auto"/>
              <w:rPr>
                <w:color w:val="000000"/>
                <w:sz w:val="24"/>
              </w:rPr>
            </w:pPr>
            <w:r>
              <w:rPr>
                <w:color w:val="000000"/>
                <w:sz w:val="24"/>
              </w:rPr>
              <w:sym w:font="Wingdings 2" w:char="00A3"/>
            </w:r>
            <w:r>
              <w:rPr>
                <w:color w:val="000000"/>
                <w:sz w:val="24"/>
              </w:rPr>
              <w:t>重大变动重新报批项目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78" w:hRule="atLeast"/>
          <w:jc w:val="center"/>
        </w:trPr>
        <w:tc>
          <w:tcPr>
            <w:tcW w:w="1276" w:type="dxa"/>
            <w:tcMar>
              <w:top w:w="16" w:type="dxa"/>
              <w:left w:w="16" w:type="dxa"/>
              <w:right w:w="16" w:type="dxa"/>
            </w:tcMar>
            <w:vAlign w:val="center"/>
          </w:tcPr>
          <w:p>
            <w:pPr>
              <w:adjustRightInd w:val="0"/>
              <w:snapToGrid w:val="0"/>
              <w:jc w:val="center"/>
              <w:rPr>
                <w:rFonts w:ascii="宋体" w:hAnsi="宋体" w:cs="宋体"/>
                <w:b/>
                <w:color w:val="000000"/>
                <w:kern w:val="21"/>
                <w:sz w:val="24"/>
              </w:rPr>
            </w:pPr>
            <w:r>
              <w:rPr>
                <w:rFonts w:ascii="宋体" w:hAnsi="宋体" w:cs="宋体"/>
                <w:b/>
                <w:color w:val="000000"/>
                <w:kern w:val="21"/>
                <w:sz w:val="24"/>
              </w:rPr>
              <w:t>是否开工</w:t>
            </w:r>
          </w:p>
          <w:p>
            <w:pPr>
              <w:adjustRightInd w:val="0"/>
              <w:snapToGrid w:val="0"/>
              <w:jc w:val="center"/>
              <w:rPr>
                <w:rFonts w:ascii="宋体" w:hAnsi="宋体" w:cs="宋体"/>
                <w:b/>
                <w:color w:val="000000"/>
                <w:kern w:val="21"/>
                <w:sz w:val="24"/>
              </w:rPr>
            </w:pPr>
            <w:r>
              <w:rPr>
                <w:rFonts w:ascii="宋体" w:hAnsi="宋体" w:cs="宋体"/>
                <w:b/>
                <w:color w:val="000000"/>
                <w:kern w:val="21"/>
                <w:sz w:val="24"/>
              </w:rPr>
              <w:t>建设</w:t>
            </w:r>
          </w:p>
        </w:tc>
        <w:tc>
          <w:tcPr>
            <w:tcW w:w="7763" w:type="dxa"/>
            <w:gridSpan w:val="3"/>
            <w:vAlign w:val="center"/>
          </w:tcPr>
          <w:p>
            <w:pPr>
              <w:adjustRightInd w:val="0"/>
              <w:snapToGrid w:val="0"/>
              <w:spacing w:line="360" w:lineRule="auto"/>
              <w:ind w:firstLine="105"/>
              <w:jc w:val="left"/>
              <w:rPr>
                <w:color w:val="000000"/>
                <w:sz w:val="24"/>
              </w:rPr>
            </w:pPr>
            <w:r>
              <w:rPr>
                <w:color w:val="000000"/>
                <w:sz w:val="24"/>
              </w:rPr>
              <w:sym w:font="Wingdings 2" w:char="0052"/>
            </w:r>
            <w:r>
              <w:rPr>
                <w:color w:val="000000"/>
                <w:sz w:val="24"/>
              </w:rPr>
              <w:t>否</w:t>
            </w:r>
          </w:p>
          <w:p>
            <w:pPr>
              <w:adjustRightInd w:val="0"/>
              <w:snapToGrid w:val="0"/>
              <w:spacing w:line="360" w:lineRule="auto"/>
              <w:ind w:firstLine="92"/>
              <w:jc w:val="left"/>
              <w:rPr>
                <w:color w:val="000000"/>
                <w:sz w:val="24"/>
              </w:rPr>
            </w:pPr>
            <w:r>
              <w:rPr>
                <w:color w:val="000000"/>
                <w:sz w:val="24"/>
              </w:rPr>
              <w:sym w:font="Wingdings 2" w:char="00A3"/>
            </w:r>
            <w:r>
              <w:rPr>
                <w:color w:val="000000"/>
                <w:sz w:val="24"/>
              </w:rPr>
              <w:t>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1276" w:type="dxa"/>
            <w:tcMar>
              <w:top w:w="16" w:type="dxa"/>
              <w:left w:w="16" w:type="dxa"/>
              <w:right w:w="16" w:type="dxa"/>
            </w:tcMar>
            <w:vAlign w:val="center"/>
          </w:tcPr>
          <w:p>
            <w:pPr>
              <w:adjustRightInd w:val="0"/>
              <w:snapToGrid w:val="0"/>
              <w:jc w:val="center"/>
              <w:rPr>
                <w:rFonts w:ascii="宋体" w:hAnsi="宋体" w:cs="宋体"/>
                <w:b/>
                <w:color w:val="000000"/>
                <w:kern w:val="21"/>
                <w:sz w:val="24"/>
              </w:rPr>
            </w:pPr>
            <w:r>
              <w:rPr>
                <w:rFonts w:ascii="宋体" w:hAnsi="宋体" w:cs="宋体"/>
                <w:b/>
                <w:color w:val="000000"/>
                <w:kern w:val="21"/>
                <w:sz w:val="24"/>
              </w:rPr>
              <w:t>专项评价</w:t>
            </w:r>
          </w:p>
          <w:p>
            <w:pPr>
              <w:adjustRightInd w:val="0"/>
              <w:snapToGrid w:val="0"/>
              <w:jc w:val="center"/>
              <w:rPr>
                <w:rFonts w:ascii="宋体" w:hAnsi="宋体" w:cs="宋体"/>
                <w:b/>
                <w:color w:val="000000"/>
                <w:kern w:val="21"/>
                <w:sz w:val="24"/>
              </w:rPr>
            </w:pPr>
            <w:r>
              <w:rPr>
                <w:rFonts w:ascii="宋体" w:hAnsi="宋体" w:cs="宋体"/>
                <w:b/>
                <w:color w:val="000000"/>
                <w:kern w:val="21"/>
                <w:sz w:val="24"/>
              </w:rPr>
              <w:t>设置情况</w:t>
            </w:r>
          </w:p>
        </w:tc>
        <w:tc>
          <w:tcPr>
            <w:tcW w:w="7763" w:type="dxa"/>
            <w:gridSpan w:val="3"/>
            <w:tcMar>
              <w:top w:w="16" w:type="dxa"/>
              <w:left w:w="16" w:type="dxa"/>
              <w:right w:w="16" w:type="dxa"/>
            </w:tcMar>
            <w:vAlign w:val="center"/>
          </w:tcPr>
          <w:p>
            <w:pPr>
              <w:autoSpaceDE w:val="0"/>
              <w:autoSpaceDN w:val="0"/>
              <w:adjustRightInd w:val="0"/>
              <w:snapToGrid w:val="0"/>
              <w:spacing w:line="360" w:lineRule="auto"/>
              <w:ind w:firstLine="480" w:firstLineChars="200"/>
              <w:rPr>
                <w:color w:val="000000"/>
                <w:kern w:val="0"/>
                <w:sz w:val="24"/>
              </w:rPr>
            </w:pPr>
            <w:r>
              <w:rPr>
                <w:rFonts w:hint="eastAsia" w:ascii="宋体" w:hAnsi="宋体" w:cs="宋体"/>
                <w:color w:val="000000"/>
                <w:kern w:val="0"/>
                <w:sz w:val="24"/>
              </w:rPr>
              <w:t>本工程为不涉及生态敏感区（不包括饮用水水源保护区，以居住、医疗卫生、文化教育、科研、行政办公为主要功能的区域，以及文物保护单位）的项目，根据《环境影响评价技术导则 输变电》（</w:t>
            </w:r>
            <w:r>
              <w:rPr>
                <w:color w:val="000000"/>
                <w:kern w:val="0"/>
                <w:sz w:val="24"/>
              </w:rPr>
              <w:t>HJ24-2020</w:t>
            </w:r>
            <w:r>
              <w:rPr>
                <w:rFonts w:hint="eastAsia" w:ascii="宋体" w:hAnsi="宋体" w:cs="宋体"/>
                <w:color w:val="000000"/>
                <w:kern w:val="0"/>
                <w:sz w:val="24"/>
              </w:rPr>
              <w:t>）及《建设项目环境影响报告表编制技术指南（生态影响类）</w:t>
            </w:r>
            <w:r>
              <w:rPr>
                <w:rFonts w:hint="eastAsia" w:ascii="宋体" w:hAnsi="宋体" w:cs="宋体"/>
                <w:color w:val="000000"/>
                <w:kern w:val="0"/>
                <w:sz w:val="24"/>
                <w:lang w:eastAsia="zh-CN"/>
              </w:rPr>
              <w:t>（试行）》</w:t>
            </w:r>
            <w:r>
              <w:rPr>
                <w:rFonts w:hint="eastAsia" w:ascii="宋体" w:hAnsi="宋体" w:cs="宋体"/>
                <w:color w:val="000000"/>
                <w:kern w:val="0"/>
                <w:sz w:val="24"/>
              </w:rPr>
              <w:t>中专项评价设置原则，本报告设电磁环境影响专题评价。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293" w:hRule="atLeast"/>
          <w:jc w:val="center"/>
        </w:trPr>
        <w:tc>
          <w:tcPr>
            <w:tcW w:w="1276" w:type="dxa"/>
            <w:tcMar>
              <w:top w:w="16" w:type="dxa"/>
              <w:left w:w="16" w:type="dxa"/>
              <w:right w:w="16" w:type="dxa"/>
            </w:tcMar>
            <w:vAlign w:val="center"/>
          </w:tcPr>
          <w:p>
            <w:pPr>
              <w:adjustRightInd w:val="0"/>
              <w:snapToGrid w:val="0"/>
              <w:jc w:val="center"/>
              <w:rPr>
                <w:rFonts w:ascii="宋体" w:hAnsi="宋体" w:cs="宋体"/>
                <w:b/>
                <w:color w:val="000000"/>
                <w:kern w:val="21"/>
                <w:sz w:val="24"/>
              </w:rPr>
            </w:pPr>
            <w:r>
              <w:rPr>
                <w:rFonts w:ascii="宋体" w:hAnsi="宋体" w:cs="宋体"/>
                <w:b/>
                <w:color w:val="000000"/>
                <w:kern w:val="21"/>
                <w:sz w:val="24"/>
              </w:rPr>
              <w:t>规划情况</w:t>
            </w:r>
          </w:p>
        </w:tc>
        <w:tc>
          <w:tcPr>
            <w:tcW w:w="7763" w:type="dxa"/>
            <w:gridSpan w:val="3"/>
            <w:tcMar>
              <w:top w:w="16" w:type="dxa"/>
              <w:left w:w="16" w:type="dxa"/>
              <w:right w:w="16" w:type="dxa"/>
            </w:tcMar>
            <w:vAlign w:val="center"/>
          </w:tcPr>
          <w:p>
            <w:pPr>
              <w:autoSpaceDE w:val="0"/>
              <w:autoSpaceDN w:val="0"/>
              <w:adjustRightInd w:val="0"/>
              <w:snapToGrid w:val="0"/>
              <w:spacing w:before="240" w:line="360" w:lineRule="auto"/>
              <w:jc w:val="center"/>
              <w:rPr>
                <w:color w:val="000000"/>
                <w:kern w:val="0"/>
                <w:sz w:val="24"/>
              </w:rPr>
            </w:pPr>
            <w:r>
              <w:rPr>
                <w:rFonts w:hint="eastAsia"/>
                <w:color w:val="000000"/>
                <w:kern w:val="0"/>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281" w:hRule="atLeast"/>
          <w:jc w:val="center"/>
        </w:trPr>
        <w:tc>
          <w:tcPr>
            <w:tcW w:w="1276" w:type="dxa"/>
            <w:tcMar>
              <w:top w:w="16" w:type="dxa"/>
              <w:left w:w="16" w:type="dxa"/>
              <w:right w:w="16" w:type="dxa"/>
            </w:tcMar>
            <w:vAlign w:val="center"/>
          </w:tcPr>
          <w:p>
            <w:pPr>
              <w:adjustRightInd w:val="0"/>
              <w:snapToGrid w:val="0"/>
              <w:jc w:val="center"/>
              <w:rPr>
                <w:rFonts w:ascii="宋体" w:hAnsi="宋体" w:cs="宋体"/>
                <w:b/>
                <w:color w:val="000000"/>
                <w:kern w:val="21"/>
                <w:sz w:val="24"/>
              </w:rPr>
            </w:pPr>
            <w:r>
              <w:rPr>
                <w:rFonts w:ascii="宋体" w:hAnsi="宋体" w:cs="宋体"/>
                <w:b/>
                <w:color w:val="000000"/>
                <w:kern w:val="21"/>
                <w:sz w:val="24"/>
              </w:rPr>
              <w:t>规划环境影响评价情况</w:t>
            </w:r>
          </w:p>
        </w:tc>
        <w:tc>
          <w:tcPr>
            <w:tcW w:w="7763" w:type="dxa"/>
            <w:gridSpan w:val="3"/>
            <w:tcMar>
              <w:top w:w="16" w:type="dxa"/>
              <w:left w:w="16" w:type="dxa"/>
              <w:right w:w="16" w:type="dxa"/>
            </w:tcMar>
            <w:vAlign w:val="center"/>
          </w:tcPr>
          <w:p>
            <w:pPr>
              <w:adjustRightInd w:val="0"/>
              <w:snapToGrid w:val="0"/>
              <w:spacing w:before="240" w:line="360" w:lineRule="auto"/>
              <w:jc w:val="center"/>
              <w:rPr>
                <w:color w:val="000000"/>
                <w:kern w:val="0"/>
                <w:sz w:val="24"/>
              </w:rPr>
            </w:pPr>
            <w:r>
              <w:rPr>
                <w:color w:val="000000"/>
                <w:kern w:val="0"/>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276" w:type="dxa"/>
            <w:tcMar>
              <w:top w:w="16" w:type="dxa"/>
              <w:left w:w="16" w:type="dxa"/>
              <w:right w:w="16" w:type="dxa"/>
            </w:tcMar>
            <w:vAlign w:val="center"/>
          </w:tcPr>
          <w:p>
            <w:pPr>
              <w:adjustRightInd w:val="0"/>
              <w:snapToGrid w:val="0"/>
              <w:jc w:val="center"/>
              <w:rPr>
                <w:rFonts w:ascii="宋体" w:hAnsi="宋体" w:cs="宋体"/>
                <w:b/>
                <w:color w:val="000000"/>
                <w:kern w:val="21"/>
                <w:sz w:val="24"/>
              </w:rPr>
            </w:pPr>
            <w:r>
              <w:rPr>
                <w:rFonts w:ascii="宋体" w:hAnsi="宋体" w:cs="宋体"/>
                <w:b/>
                <w:color w:val="000000"/>
                <w:kern w:val="21"/>
                <w:sz w:val="24"/>
              </w:rPr>
              <w:t>规划及规划环境影响评价符合性分析</w:t>
            </w:r>
          </w:p>
        </w:tc>
        <w:tc>
          <w:tcPr>
            <w:tcW w:w="7763" w:type="dxa"/>
            <w:gridSpan w:val="3"/>
            <w:tcMar>
              <w:top w:w="16" w:type="dxa"/>
              <w:left w:w="16" w:type="dxa"/>
              <w:right w:w="16" w:type="dxa"/>
            </w:tcMar>
            <w:vAlign w:val="center"/>
          </w:tcPr>
          <w:p>
            <w:pPr>
              <w:pStyle w:val="107"/>
              <w:snapToGrid w:val="0"/>
              <w:spacing w:line="360" w:lineRule="auto"/>
              <w:ind w:firstLine="0" w:firstLineChars="0"/>
              <w:jc w:val="center"/>
              <w:rPr>
                <w:color w:val="000000"/>
                <w:sz w:val="24"/>
              </w:rPr>
            </w:pPr>
            <w:r>
              <w:rPr>
                <w:rFonts w:hint="eastAsia"/>
                <w:color w:val="000000"/>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882" w:hRule="atLeast"/>
          <w:jc w:val="center"/>
        </w:trPr>
        <w:tc>
          <w:tcPr>
            <w:tcW w:w="1276" w:type="dxa"/>
            <w:tcMar>
              <w:top w:w="16" w:type="dxa"/>
              <w:left w:w="16" w:type="dxa"/>
              <w:right w:w="16" w:type="dxa"/>
            </w:tcMar>
            <w:vAlign w:val="center"/>
          </w:tcPr>
          <w:p>
            <w:pPr>
              <w:adjustRightInd w:val="0"/>
              <w:snapToGrid w:val="0"/>
              <w:jc w:val="center"/>
              <w:rPr>
                <w:rFonts w:ascii="宋体" w:hAnsi="宋体" w:cs="宋体"/>
                <w:b/>
                <w:color w:val="000000"/>
                <w:kern w:val="21"/>
                <w:sz w:val="24"/>
                <w:highlight w:val="yellow"/>
              </w:rPr>
            </w:pPr>
            <w:bookmarkStart w:id="3" w:name="_Hlk56690880"/>
            <w:r>
              <w:rPr>
                <w:rFonts w:ascii="宋体" w:hAnsi="宋体" w:cs="宋体"/>
                <w:b/>
                <w:color w:val="000000"/>
                <w:kern w:val="21"/>
                <w:sz w:val="24"/>
              </w:rPr>
              <w:t>其他符合性分析</w:t>
            </w:r>
            <w:bookmarkEnd w:id="3"/>
          </w:p>
        </w:tc>
        <w:tc>
          <w:tcPr>
            <w:tcW w:w="7763" w:type="dxa"/>
            <w:gridSpan w:val="3"/>
            <w:tcMar>
              <w:top w:w="16" w:type="dxa"/>
              <w:left w:w="16" w:type="dxa"/>
              <w:right w:w="16" w:type="dxa"/>
            </w:tcMar>
          </w:tcPr>
          <w:p>
            <w:pPr>
              <w:numPr>
                <w:ilvl w:val="0"/>
                <w:numId w:val="4"/>
              </w:numPr>
              <w:autoSpaceDE w:val="0"/>
              <w:autoSpaceDN w:val="0"/>
              <w:adjustRightInd w:val="0"/>
              <w:snapToGrid w:val="0"/>
              <w:spacing w:line="360" w:lineRule="auto"/>
              <w:rPr>
                <w:b/>
                <w:color w:val="000000"/>
                <w:sz w:val="24"/>
              </w:rPr>
            </w:pPr>
            <w:r>
              <w:rPr>
                <w:rFonts w:hint="eastAsia"/>
                <w:b/>
                <w:color w:val="000000"/>
                <w:sz w:val="24"/>
              </w:rPr>
              <w:t>与《新疆维吾尔自治区生态环境分区管控动态更新成果》（新环环评发〔2024〕157号）的符合性分析</w:t>
            </w:r>
          </w:p>
          <w:p>
            <w:pPr>
              <w:autoSpaceDE w:val="0"/>
              <w:autoSpaceDN w:val="0"/>
              <w:adjustRightInd w:val="0"/>
              <w:snapToGrid w:val="0"/>
              <w:spacing w:line="360" w:lineRule="auto"/>
              <w:ind w:firstLine="482" w:firstLineChars="200"/>
              <w:rPr>
                <w:b/>
                <w:sz w:val="24"/>
              </w:rPr>
            </w:pPr>
            <w:bookmarkStart w:id="4" w:name="OLE_LINK7"/>
            <w:r>
              <w:rPr>
                <w:rFonts w:hint="eastAsia"/>
                <w:b/>
                <w:sz w:val="24"/>
              </w:rPr>
              <w:t>①生态保护红线</w:t>
            </w:r>
          </w:p>
          <w:p>
            <w:pPr>
              <w:autoSpaceDE w:val="0"/>
              <w:autoSpaceDN w:val="0"/>
              <w:adjustRightInd w:val="0"/>
              <w:snapToGrid w:val="0"/>
              <w:spacing w:line="360" w:lineRule="auto"/>
              <w:ind w:firstLine="480" w:firstLineChars="200"/>
              <w:rPr>
                <w:sz w:val="24"/>
              </w:rPr>
            </w:pPr>
            <w:r>
              <w:rPr>
                <w:rFonts w:hint="eastAsia"/>
                <w:sz w:val="24"/>
              </w:rPr>
              <w:t>本工程位于新疆维吾尔自治区</w:t>
            </w:r>
            <w:r>
              <w:rPr>
                <w:rFonts w:hint="eastAsia"/>
                <w:color w:val="000000"/>
                <w:sz w:val="24"/>
              </w:rPr>
              <w:t>吐鲁番市托克逊县</w:t>
            </w:r>
            <w:r>
              <w:rPr>
                <w:rFonts w:hint="eastAsia"/>
                <w:color w:val="000000"/>
                <w:sz w:val="24"/>
                <w:lang w:eastAsia="zh-CN"/>
              </w:rPr>
              <w:t>，</w:t>
            </w:r>
            <w:r>
              <w:rPr>
                <w:rFonts w:hint="eastAsia"/>
                <w:sz w:val="24"/>
              </w:rPr>
              <w:t>周围不涉及生态保护红线区域，符合生态红线保护要求，不会导致辖区内生态服务功能明显下降。</w:t>
            </w:r>
          </w:p>
          <w:p>
            <w:pPr>
              <w:autoSpaceDE w:val="0"/>
              <w:autoSpaceDN w:val="0"/>
              <w:adjustRightInd w:val="0"/>
              <w:snapToGrid w:val="0"/>
              <w:spacing w:line="360" w:lineRule="auto"/>
              <w:ind w:firstLine="482" w:firstLineChars="200"/>
              <w:rPr>
                <w:b/>
                <w:sz w:val="24"/>
              </w:rPr>
            </w:pPr>
            <w:r>
              <w:rPr>
                <w:rFonts w:hint="eastAsia"/>
                <w:b/>
                <w:sz w:val="24"/>
              </w:rPr>
              <w:t>②环境质量底线</w:t>
            </w:r>
          </w:p>
          <w:p>
            <w:pPr>
              <w:autoSpaceDE w:val="0"/>
              <w:autoSpaceDN w:val="0"/>
              <w:adjustRightInd w:val="0"/>
              <w:snapToGrid w:val="0"/>
              <w:spacing w:line="360" w:lineRule="auto"/>
              <w:ind w:firstLine="480" w:firstLineChars="200"/>
              <w:rPr>
                <w:sz w:val="24"/>
              </w:rPr>
            </w:pPr>
            <w:r>
              <w:rPr>
                <w:rFonts w:hint="eastAsia"/>
                <w:sz w:val="24"/>
              </w:rPr>
              <w:t>工程建设对项目区周边环境影响不大，不会突破当地环境质量底线。</w:t>
            </w:r>
          </w:p>
          <w:p>
            <w:pPr>
              <w:autoSpaceDE w:val="0"/>
              <w:autoSpaceDN w:val="0"/>
              <w:adjustRightInd w:val="0"/>
              <w:snapToGrid w:val="0"/>
              <w:spacing w:line="360" w:lineRule="auto"/>
              <w:ind w:firstLine="482" w:firstLineChars="200"/>
              <w:rPr>
                <w:b/>
                <w:sz w:val="24"/>
              </w:rPr>
            </w:pPr>
            <w:r>
              <w:rPr>
                <w:rFonts w:hint="eastAsia"/>
                <w:b/>
                <w:sz w:val="24"/>
              </w:rPr>
              <w:t>③资源利用上线相符性</w:t>
            </w:r>
          </w:p>
          <w:p>
            <w:pPr>
              <w:autoSpaceDE w:val="0"/>
              <w:autoSpaceDN w:val="0"/>
              <w:adjustRightInd w:val="0"/>
              <w:snapToGrid w:val="0"/>
              <w:spacing w:line="360" w:lineRule="auto"/>
              <w:ind w:firstLine="480" w:firstLineChars="200"/>
              <w:rPr>
                <w:sz w:val="24"/>
              </w:rPr>
            </w:pPr>
            <w:r>
              <w:rPr>
                <w:rFonts w:hint="eastAsia"/>
                <w:sz w:val="24"/>
              </w:rPr>
              <w:t>本工程的建设符合资源利用上线要求。</w:t>
            </w:r>
          </w:p>
          <w:bookmarkEnd w:id="4"/>
          <w:p>
            <w:pPr>
              <w:numPr>
                <w:ilvl w:val="0"/>
                <w:numId w:val="4"/>
              </w:numPr>
              <w:autoSpaceDE w:val="0"/>
              <w:autoSpaceDN w:val="0"/>
              <w:adjustRightInd w:val="0"/>
              <w:snapToGrid w:val="0"/>
              <w:spacing w:line="360" w:lineRule="auto"/>
            </w:pPr>
            <w:r>
              <w:rPr>
                <w:rFonts w:hint="eastAsia"/>
                <w:b/>
                <w:color w:val="000000"/>
                <w:sz w:val="24"/>
              </w:rPr>
              <w:t>与《关于印发〈吐鲁番生态环境分区管控方案〉的通知的符合性分析</w:t>
            </w:r>
          </w:p>
          <w:p>
            <w:pPr>
              <w:pStyle w:val="46"/>
              <w:spacing w:before="120" w:beforeLines="50" w:line="360" w:lineRule="auto"/>
              <w:ind w:firstLine="480" w:firstLineChars="200"/>
              <w:jc w:val="both"/>
              <w:rPr>
                <w:rFonts w:eastAsia="黑体"/>
                <w:b/>
                <w:bCs/>
                <w:sz w:val="21"/>
                <w:szCs w:val="18"/>
              </w:rPr>
            </w:pPr>
            <w:r>
              <w:t>本工程建设</w:t>
            </w:r>
            <w:r>
              <w:rPr>
                <w:rFonts w:hint="eastAsia"/>
              </w:rPr>
              <w:t>与《新疆维吾尔自治区生态环境分区管控动态更新成果》（新环环评发〔2024〕157号）相符</w:t>
            </w:r>
            <w:r>
              <w:t>。</w:t>
            </w:r>
          </w:p>
          <w:p>
            <w:pPr>
              <w:numPr>
                <w:ilvl w:val="0"/>
                <w:numId w:val="4"/>
              </w:numPr>
              <w:autoSpaceDE w:val="0"/>
              <w:autoSpaceDN w:val="0"/>
              <w:adjustRightInd w:val="0"/>
              <w:snapToGrid w:val="0"/>
              <w:spacing w:line="360" w:lineRule="auto"/>
              <w:rPr>
                <w:b/>
                <w:color w:val="000000"/>
                <w:sz w:val="24"/>
              </w:rPr>
            </w:pPr>
            <w:r>
              <w:rPr>
                <w:b/>
                <w:color w:val="000000"/>
                <w:sz w:val="24"/>
              </w:rPr>
              <w:t>与</w:t>
            </w:r>
            <w:r>
              <w:rPr>
                <w:rFonts w:hint="eastAsia"/>
                <w:b/>
                <w:color w:val="000000"/>
                <w:sz w:val="24"/>
              </w:rPr>
              <w:t>《输变电建设项目环境保护技术要求》（HJ1113-2020）</w:t>
            </w:r>
            <w:r>
              <w:rPr>
                <w:b/>
                <w:color w:val="000000"/>
                <w:sz w:val="24"/>
              </w:rPr>
              <w:t>符合性分析</w:t>
            </w:r>
          </w:p>
          <w:p>
            <w:pPr>
              <w:autoSpaceDE w:val="0"/>
              <w:autoSpaceDN w:val="0"/>
              <w:adjustRightInd w:val="0"/>
              <w:snapToGrid w:val="0"/>
              <w:spacing w:before="120" w:beforeLines="50" w:line="360" w:lineRule="auto"/>
              <w:ind w:firstLine="480" w:firstLineChars="200"/>
              <w:rPr>
                <w:color w:val="000000"/>
                <w:sz w:val="24"/>
              </w:rPr>
            </w:pPr>
            <w:r>
              <w:rPr>
                <w:color w:val="000000"/>
                <w:sz w:val="24"/>
              </w:rPr>
              <w:t>本工程建设</w:t>
            </w:r>
            <w:r>
              <w:rPr>
                <w:rFonts w:hint="eastAsia"/>
                <w:color w:val="000000"/>
                <w:sz w:val="24"/>
              </w:rPr>
              <w:t>满足</w:t>
            </w:r>
            <w:r>
              <w:rPr>
                <w:color w:val="000000"/>
                <w:sz w:val="24"/>
              </w:rPr>
              <w:t>《输变电建设项目环境保护技术要求》（HJ1113-2020）相关要求。</w:t>
            </w:r>
          </w:p>
          <w:p>
            <w:pPr>
              <w:numPr>
                <w:ilvl w:val="0"/>
                <w:numId w:val="4"/>
              </w:numPr>
              <w:autoSpaceDE w:val="0"/>
              <w:autoSpaceDN w:val="0"/>
              <w:adjustRightInd w:val="0"/>
              <w:snapToGrid w:val="0"/>
              <w:spacing w:line="360" w:lineRule="auto"/>
              <w:rPr>
                <w:b/>
                <w:color w:val="000000"/>
                <w:sz w:val="24"/>
              </w:rPr>
            </w:pPr>
            <w:r>
              <w:rPr>
                <w:b/>
                <w:color w:val="000000"/>
                <w:sz w:val="24"/>
              </w:rPr>
              <w:t>与</w:t>
            </w:r>
            <w:r>
              <w:rPr>
                <w:rFonts w:hint="eastAsia"/>
                <w:b/>
                <w:color w:val="000000"/>
                <w:sz w:val="24"/>
              </w:rPr>
              <w:t>产业政策</w:t>
            </w:r>
            <w:r>
              <w:rPr>
                <w:b/>
                <w:color w:val="000000"/>
                <w:sz w:val="24"/>
              </w:rPr>
              <w:t>符合性分析</w:t>
            </w:r>
          </w:p>
          <w:p>
            <w:pPr>
              <w:pStyle w:val="5"/>
            </w:pPr>
            <w:r>
              <w:rPr>
                <w:rFonts w:hint="eastAsia"/>
              </w:rPr>
              <w:t>本工程</w:t>
            </w:r>
            <w:r>
              <w:t>符合国家产业政策。</w:t>
            </w:r>
          </w:p>
          <w:p>
            <w:pPr>
              <w:numPr>
                <w:ilvl w:val="0"/>
                <w:numId w:val="4"/>
              </w:numPr>
              <w:autoSpaceDE w:val="0"/>
              <w:autoSpaceDN w:val="0"/>
              <w:adjustRightInd w:val="0"/>
              <w:snapToGrid w:val="0"/>
              <w:spacing w:line="360" w:lineRule="auto"/>
              <w:rPr>
                <w:b/>
                <w:color w:val="000000"/>
                <w:sz w:val="24"/>
              </w:rPr>
            </w:pPr>
            <w:r>
              <w:rPr>
                <w:b/>
                <w:color w:val="000000"/>
                <w:sz w:val="24"/>
              </w:rPr>
              <w:t>与</w:t>
            </w:r>
            <w:r>
              <w:rPr>
                <w:rFonts w:hint="eastAsia"/>
                <w:b/>
                <w:color w:val="000000"/>
                <w:sz w:val="24"/>
              </w:rPr>
              <w:t>《新疆生态环境保护“十四五”规划》</w:t>
            </w:r>
            <w:r>
              <w:rPr>
                <w:b/>
                <w:color w:val="000000"/>
                <w:sz w:val="24"/>
              </w:rPr>
              <w:t>符合性分析</w:t>
            </w:r>
          </w:p>
          <w:p>
            <w:pPr>
              <w:pStyle w:val="5"/>
            </w:pPr>
            <w:r>
              <w:rPr>
                <w:rFonts w:hint="eastAsia"/>
              </w:rPr>
              <w:t>本工程为输变电工程，符合《新疆生态环境保护“十四五”规划》要求。</w:t>
            </w:r>
          </w:p>
          <w:p>
            <w:pPr>
              <w:pStyle w:val="5"/>
              <w:numPr>
                <w:ilvl w:val="0"/>
                <w:numId w:val="4"/>
              </w:numPr>
              <w:ind w:firstLineChars="0"/>
              <w:rPr>
                <w:b/>
                <w:color w:val="000000"/>
                <w:szCs w:val="24"/>
              </w:rPr>
            </w:pPr>
            <w:r>
              <w:rPr>
                <w:b/>
                <w:color w:val="000000"/>
                <w:szCs w:val="24"/>
              </w:rPr>
              <w:t>与《新疆维吾尔自治区</w:t>
            </w:r>
            <w:r>
              <w:rPr>
                <w:rFonts w:hint="eastAsia"/>
                <w:b/>
                <w:color w:val="000000"/>
                <w:szCs w:val="24"/>
              </w:rPr>
              <w:t>“</w:t>
            </w:r>
            <w:r>
              <w:rPr>
                <w:b/>
                <w:color w:val="000000"/>
                <w:szCs w:val="24"/>
              </w:rPr>
              <w:t>十四五</w:t>
            </w:r>
            <w:r>
              <w:rPr>
                <w:rFonts w:hint="eastAsia"/>
                <w:b/>
                <w:color w:val="000000"/>
                <w:szCs w:val="24"/>
              </w:rPr>
              <w:t>”</w:t>
            </w:r>
            <w:r>
              <w:rPr>
                <w:b/>
                <w:color w:val="000000"/>
                <w:szCs w:val="24"/>
              </w:rPr>
              <w:t>电力发展规划》相符性分析</w:t>
            </w:r>
          </w:p>
          <w:p>
            <w:pPr>
              <w:pStyle w:val="5"/>
            </w:pPr>
            <w:r>
              <w:rPr>
                <w:rFonts w:hint="eastAsia"/>
              </w:rPr>
              <w:t>本工程符合《新疆维吾尔自治区“十四五”电力发展规划》。</w:t>
            </w:r>
          </w:p>
          <w:p>
            <w:pPr>
              <w:pStyle w:val="5"/>
              <w:numPr>
                <w:ilvl w:val="0"/>
                <w:numId w:val="4"/>
              </w:numPr>
              <w:ind w:firstLineChars="0"/>
              <w:rPr>
                <w:b/>
                <w:color w:val="000000"/>
                <w:szCs w:val="24"/>
              </w:rPr>
            </w:pPr>
            <w:r>
              <w:rPr>
                <w:rFonts w:hint="eastAsia"/>
                <w:b/>
                <w:bCs/>
              </w:rPr>
              <w:t>与《新疆维吾尔自治区七大片区生态环境分区管控要求》符合性分析</w:t>
            </w:r>
          </w:p>
          <w:p>
            <w:pPr>
              <w:pStyle w:val="5"/>
              <w:numPr>
                <w:ilvl w:val="255"/>
                <w:numId w:val="0"/>
              </w:numPr>
              <w:spacing w:before="120" w:beforeLines="50"/>
              <w:ind w:firstLine="480" w:firstLineChars="200"/>
              <w:rPr>
                <w:rFonts w:ascii="宋体" w:hAnsi="宋体" w:cs="宋体"/>
              </w:rPr>
            </w:pPr>
            <w:r>
              <w:rPr>
                <w:rFonts w:hint="eastAsia" w:ascii="宋体" w:hAnsi="宋体" w:cs="宋体"/>
              </w:rPr>
              <w:t>本</w:t>
            </w:r>
            <w:r>
              <w:rPr>
                <w:rFonts w:ascii="宋体" w:hAnsi="宋体" w:cs="宋体"/>
              </w:rPr>
              <w:t>项目建设符合新疆维吾尔自治区七大片区生态环境分区管控要求。</w:t>
            </w:r>
          </w:p>
          <w:p>
            <w:pPr>
              <w:pStyle w:val="5"/>
              <w:numPr>
                <w:ilvl w:val="0"/>
                <w:numId w:val="4"/>
              </w:numPr>
              <w:ind w:firstLineChars="0"/>
              <w:rPr>
                <w:b/>
                <w:color w:val="000000"/>
                <w:szCs w:val="24"/>
              </w:rPr>
            </w:pPr>
            <w:r>
              <w:rPr>
                <w:b/>
                <w:color w:val="000000"/>
                <w:szCs w:val="24"/>
              </w:rPr>
              <w:t>与</w:t>
            </w:r>
            <w:r>
              <w:rPr>
                <w:rFonts w:hint="eastAsia"/>
                <w:b/>
                <w:color w:val="000000"/>
                <w:szCs w:val="24"/>
              </w:rPr>
              <w:t>地区规划相符性分析</w:t>
            </w:r>
          </w:p>
          <w:p>
            <w:pPr>
              <w:pStyle w:val="5"/>
              <w:rPr>
                <w:rFonts w:ascii="Segoe UI" w:hAnsi="Segoe UI" w:eastAsia="Segoe UI" w:cs="Segoe UI"/>
                <w:szCs w:val="24"/>
                <w:shd w:val="clear" w:color="auto" w:fill="FFFFFF"/>
              </w:rPr>
            </w:pPr>
            <w:r>
              <w:rPr>
                <w:rFonts w:hint="eastAsia"/>
              </w:rPr>
              <w:t>本工程在选址选线阶段，已充分征求相关部门的意见，工程建设不影响当地土地利用规划和城镇发展等相关地区规划。</w:t>
            </w:r>
          </w:p>
        </w:tc>
      </w:tr>
    </w:tbl>
    <w:p>
      <w:pPr>
        <w:tabs>
          <w:tab w:val="left" w:pos="1165"/>
        </w:tabs>
        <w:rPr>
          <w:color w:val="000000"/>
          <w:highlight w:val="yellow"/>
        </w:rPr>
        <w:sectPr>
          <w:footerReference r:id="rId5" w:type="default"/>
          <w:pgSz w:w="11906" w:h="16838"/>
          <w:pgMar w:top="1440" w:right="1800" w:bottom="1440" w:left="1800" w:header="851" w:footer="1077" w:gutter="0"/>
          <w:pgNumType w:start="1"/>
          <w:cols w:space="720" w:num="1"/>
          <w:docGrid w:linePitch="312" w:charSpace="0"/>
        </w:sectPr>
      </w:pPr>
    </w:p>
    <w:p>
      <w:pPr>
        <w:pStyle w:val="33"/>
        <w:spacing w:before="0" w:beforeAutospacing="0" w:after="0" w:afterAutospacing="0"/>
        <w:jc w:val="center"/>
        <w:outlineLvl w:val="0"/>
        <w:rPr>
          <w:rFonts w:ascii="Times New Roman" w:hAnsi="Times New Roman"/>
          <w:b/>
          <w:bCs/>
          <w:snapToGrid w:val="0"/>
          <w:color w:val="000000"/>
          <w:sz w:val="32"/>
          <w:szCs w:val="32"/>
        </w:rPr>
      </w:pPr>
      <w:bookmarkStart w:id="5" w:name="_Toc32690"/>
      <w:bookmarkStart w:id="6" w:name="_Toc111564270"/>
      <w:bookmarkStart w:id="7" w:name="_Toc27052"/>
      <w:bookmarkStart w:id="8" w:name="_Toc97290434"/>
      <w:bookmarkStart w:id="9" w:name="_Toc111564302"/>
      <w:r>
        <w:rPr>
          <w:rFonts w:ascii="Times New Roman" w:hAnsi="Times New Roman"/>
          <w:b/>
          <w:bCs/>
          <w:snapToGrid w:val="0"/>
          <w:color w:val="000000"/>
          <w:sz w:val="32"/>
          <w:szCs w:val="32"/>
        </w:rPr>
        <w:t>二、建设内容</w:t>
      </w:r>
      <w:bookmarkEnd w:id="5"/>
      <w:bookmarkEnd w:id="6"/>
      <w:bookmarkEnd w:id="7"/>
    </w:p>
    <w:tbl>
      <w:tblPr>
        <w:tblStyle w:val="37"/>
        <w:tblW w:w="909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45"/>
        <w:gridCol w:w="854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90" w:hRule="atLeast"/>
          <w:jc w:val="center"/>
        </w:trPr>
        <w:tc>
          <w:tcPr>
            <w:tcW w:w="545" w:type="dxa"/>
            <w:vAlign w:val="center"/>
          </w:tcPr>
          <w:p>
            <w:pPr>
              <w:adjustRightInd w:val="0"/>
              <w:snapToGrid w:val="0"/>
              <w:jc w:val="center"/>
              <w:rPr>
                <w:b/>
                <w:color w:val="000000"/>
                <w:kern w:val="0"/>
                <w:sz w:val="24"/>
              </w:rPr>
            </w:pPr>
            <w:r>
              <w:rPr>
                <w:b/>
                <w:color w:val="000000"/>
                <w:kern w:val="0"/>
                <w:sz w:val="24"/>
              </w:rPr>
              <w:t>项目组成及规模</w:t>
            </w:r>
          </w:p>
        </w:tc>
        <w:tc>
          <w:tcPr>
            <w:tcW w:w="8545" w:type="dxa"/>
          </w:tcPr>
          <w:p>
            <w:pPr>
              <w:pStyle w:val="2"/>
              <w:numPr>
                <w:ilvl w:val="0"/>
                <w:numId w:val="5"/>
              </w:numPr>
              <w:spacing w:before="0" w:after="0" w:line="360" w:lineRule="auto"/>
              <w:rPr>
                <w:rFonts w:eastAsia="宋体"/>
                <w:sz w:val="24"/>
                <w:szCs w:val="24"/>
              </w:rPr>
            </w:pPr>
            <w:r>
              <w:rPr>
                <w:rFonts w:eastAsia="宋体"/>
                <w:sz w:val="24"/>
                <w:szCs w:val="24"/>
              </w:rPr>
              <w:t>项目组成</w:t>
            </w:r>
          </w:p>
          <w:p>
            <w:pPr>
              <w:autoSpaceDE w:val="0"/>
              <w:autoSpaceDN w:val="0"/>
              <w:adjustRightInd w:val="0"/>
              <w:snapToGrid w:val="0"/>
              <w:spacing w:line="360" w:lineRule="auto"/>
              <w:ind w:firstLine="480" w:firstLineChars="200"/>
              <w:rPr>
                <w:color w:val="000000"/>
                <w:sz w:val="24"/>
              </w:rPr>
            </w:pPr>
            <w:r>
              <w:rPr>
                <w:rFonts w:hint="eastAsia"/>
                <w:color w:val="000000"/>
                <w:sz w:val="24"/>
              </w:rPr>
              <w:t>吐鲁番伊拉湖220千伏输变电工程项目</w:t>
            </w:r>
            <w:r>
              <w:rPr>
                <w:color w:val="000000"/>
                <w:sz w:val="24"/>
              </w:rPr>
              <w:t>组成包括：</w:t>
            </w:r>
          </w:p>
          <w:p>
            <w:pPr>
              <w:autoSpaceDE w:val="0"/>
              <w:autoSpaceDN w:val="0"/>
              <w:adjustRightInd w:val="0"/>
              <w:snapToGrid w:val="0"/>
              <w:spacing w:line="360" w:lineRule="auto"/>
              <w:ind w:firstLine="480" w:firstLineChars="200"/>
              <w:rPr>
                <w:color w:val="000000"/>
                <w:sz w:val="24"/>
              </w:rPr>
            </w:pPr>
            <w:r>
              <w:rPr>
                <w:rFonts w:hint="eastAsia"/>
                <w:color w:val="000000"/>
                <w:sz w:val="24"/>
              </w:rPr>
              <w:t>（1）伊拉湖</w:t>
            </w:r>
            <w:r>
              <w:rPr>
                <w:color w:val="000000"/>
                <w:sz w:val="24"/>
              </w:rPr>
              <w:t>220</w:t>
            </w:r>
            <w:r>
              <w:rPr>
                <w:rFonts w:hint="eastAsia"/>
                <w:color w:val="000000"/>
                <w:sz w:val="24"/>
              </w:rPr>
              <w:t>千伏</w:t>
            </w:r>
            <w:r>
              <w:rPr>
                <w:color w:val="000000"/>
                <w:sz w:val="24"/>
              </w:rPr>
              <w:t>变电站新建工程：</w:t>
            </w:r>
            <w:r>
              <w:rPr>
                <w:rFonts w:hint="eastAsia"/>
                <w:color w:val="000000"/>
                <w:sz w:val="24"/>
              </w:rPr>
              <w:t>变电站采用户内GIS布置</w:t>
            </w:r>
            <w:r>
              <w:rPr>
                <w:color w:val="000000"/>
                <w:sz w:val="24"/>
              </w:rPr>
              <w:t>，</w:t>
            </w:r>
            <w:r>
              <w:rPr>
                <w:rFonts w:hint="eastAsia"/>
                <w:color w:val="000000"/>
                <w:sz w:val="24"/>
              </w:rPr>
              <w:t>本期新建</w:t>
            </w:r>
            <w:r>
              <w:rPr>
                <w:color w:val="000000"/>
                <w:sz w:val="24"/>
              </w:rPr>
              <w:t>主变</w:t>
            </w:r>
            <w:r>
              <w:rPr>
                <w:rFonts w:hint="eastAsia"/>
                <w:color w:val="000000"/>
                <w:sz w:val="24"/>
              </w:rPr>
              <w:t>2</w:t>
            </w:r>
            <w:r>
              <w:rPr>
                <w:color w:val="000000"/>
                <w:sz w:val="24"/>
              </w:rPr>
              <w:t>×</w:t>
            </w:r>
            <w:r>
              <w:rPr>
                <w:rFonts w:hint="eastAsia"/>
                <w:color w:val="000000"/>
                <w:sz w:val="24"/>
              </w:rPr>
              <w:t>24</w:t>
            </w:r>
            <w:r>
              <w:rPr>
                <w:color w:val="000000"/>
                <w:sz w:val="24"/>
              </w:rPr>
              <w:t>0MVA，220</w:t>
            </w:r>
            <w:r>
              <w:rPr>
                <w:rFonts w:hint="eastAsia"/>
                <w:color w:val="000000"/>
                <w:sz w:val="24"/>
              </w:rPr>
              <w:t>千伏</w:t>
            </w:r>
            <w:r>
              <w:rPr>
                <w:color w:val="000000"/>
                <w:sz w:val="24"/>
              </w:rPr>
              <w:t>出线</w:t>
            </w:r>
            <w:r>
              <w:rPr>
                <w:rFonts w:hint="eastAsia"/>
                <w:color w:val="000000"/>
                <w:sz w:val="24"/>
              </w:rPr>
              <w:t>6</w:t>
            </w:r>
            <w:r>
              <w:rPr>
                <w:color w:val="000000"/>
                <w:sz w:val="24"/>
              </w:rPr>
              <w:t>回（</w:t>
            </w:r>
            <w:r>
              <w:rPr>
                <w:rFonts w:hint="eastAsia"/>
                <w:color w:val="000000"/>
                <w:sz w:val="24"/>
              </w:rPr>
              <w:t>至阿拉沟变2回、至托克逊220千伏变2回、备用至嘉信变2回</w:t>
            </w:r>
            <w:r>
              <w:rPr>
                <w:color w:val="000000"/>
                <w:sz w:val="24"/>
              </w:rPr>
              <w:t>），110</w:t>
            </w:r>
            <w:r>
              <w:rPr>
                <w:rFonts w:hint="eastAsia"/>
                <w:color w:val="000000"/>
                <w:sz w:val="24"/>
              </w:rPr>
              <w:t>千伏</w:t>
            </w:r>
            <w:r>
              <w:rPr>
                <w:color w:val="000000"/>
                <w:sz w:val="24"/>
              </w:rPr>
              <w:t>出线</w:t>
            </w:r>
            <w:r>
              <w:rPr>
                <w:rFonts w:hint="eastAsia"/>
                <w:color w:val="000000"/>
                <w:sz w:val="24"/>
              </w:rPr>
              <w:t>8</w:t>
            </w:r>
            <w:r>
              <w:rPr>
                <w:color w:val="000000"/>
                <w:sz w:val="24"/>
              </w:rPr>
              <w:t>回</w:t>
            </w:r>
            <w:r>
              <w:rPr>
                <w:rFonts w:hint="eastAsia"/>
                <w:color w:val="000000"/>
                <w:sz w:val="24"/>
              </w:rPr>
              <w:t>（至亿航变2回、至欧普变1回、至泰醇变1回、备用至信诺变2回、备用至众兴变2回）。每台主变低压侧装设3组15MVar并联电容器。</w:t>
            </w:r>
          </w:p>
          <w:p>
            <w:pPr>
              <w:autoSpaceDE w:val="0"/>
              <w:autoSpaceDN w:val="0"/>
              <w:adjustRightInd w:val="0"/>
              <w:snapToGrid w:val="0"/>
              <w:spacing w:line="360" w:lineRule="auto"/>
              <w:ind w:firstLine="480" w:firstLineChars="200"/>
              <w:rPr>
                <w:color w:val="000000"/>
                <w:sz w:val="24"/>
              </w:rPr>
            </w:pPr>
            <w:r>
              <w:rPr>
                <w:rFonts w:hint="eastAsia"/>
                <w:color w:val="000000"/>
                <w:sz w:val="24"/>
              </w:rPr>
              <w:t>（2）吐鲁番电厂-阿拉沟变Ⅰ、Ⅱ回π入伊拉湖变220千伏线路工程：路径全长约4.67km，</w:t>
            </w:r>
            <w:r>
              <w:rPr>
                <w:color w:val="000000"/>
                <w:sz w:val="24"/>
              </w:rPr>
              <w:t>全线架设双地线，一根采用JLB35-120型铝包钢绞线，一根采用OPGW复合光缆。</w:t>
            </w:r>
            <w:r>
              <w:rPr>
                <w:rFonts w:hint="eastAsia"/>
                <w:color w:val="000000"/>
                <w:sz w:val="24"/>
              </w:rPr>
              <w:t>分为两部分：</w:t>
            </w:r>
          </w:p>
          <w:p>
            <w:pPr>
              <w:spacing w:line="360" w:lineRule="auto"/>
              <w:ind w:firstLine="480" w:firstLineChars="200"/>
              <w:rPr>
                <w:color w:val="000000"/>
                <w:sz w:val="24"/>
              </w:rPr>
            </w:pPr>
            <w:r>
              <w:rPr>
                <w:rFonts w:hint="eastAsia"/>
                <w:color w:val="000000"/>
                <w:sz w:val="24"/>
              </w:rPr>
              <w:t>线路部分：</w:t>
            </w:r>
          </w:p>
          <w:p>
            <w:pPr>
              <w:spacing w:line="360" w:lineRule="auto"/>
              <w:ind w:firstLine="480" w:firstLineChars="200"/>
              <w:rPr>
                <w:color w:val="000000"/>
                <w:sz w:val="24"/>
              </w:rPr>
            </w:pPr>
            <w:r>
              <w:rPr>
                <w:sz w:val="24"/>
              </w:rPr>
              <w:t>①吐鲁番电厂</w:t>
            </w:r>
            <w:r>
              <w:rPr>
                <w:rFonts w:hint="eastAsia"/>
                <w:color w:val="000000"/>
                <w:sz w:val="24"/>
              </w:rPr>
              <w:t>-</w:t>
            </w:r>
            <w:r>
              <w:rPr>
                <w:sz w:val="24"/>
              </w:rPr>
              <w:t>阿拉沟变</w:t>
            </w:r>
            <w:r>
              <w:rPr>
                <w:rFonts w:eastAsia="微软雅黑"/>
                <w:sz w:val="24"/>
              </w:rPr>
              <w:t>Ⅰ</w:t>
            </w:r>
            <w:r>
              <w:rPr>
                <w:sz w:val="24"/>
              </w:rPr>
              <w:t>、</w:t>
            </w:r>
            <w:r>
              <w:rPr>
                <w:rFonts w:eastAsia="微软雅黑"/>
                <w:sz w:val="24"/>
              </w:rPr>
              <w:t>Ⅱ</w:t>
            </w:r>
            <w:r>
              <w:rPr>
                <w:sz w:val="24"/>
              </w:rPr>
              <w:t>回π入伊拉湖变220千伏线路工程（阿拉沟变侧）：新建2×1.1km单回架空线路，导线采用</w:t>
            </w:r>
            <w:r>
              <w:rPr>
                <w:color w:val="000000"/>
                <w:sz w:val="24"/>
              </w:rPr>
              <w:t>2×JL3/G1A-630/45型钢芯高导电率铝绞线。</w:t>
            </w:r>
          </w:p>
          <w:p>
            <w:pPr>
              <w:spacing w:line="360" w:lineRule="auto"/>
              <w:ind w:firstLine="480" w:firstLineChars="200"/>
              <w:rPr>
                <w:color w:val="000000"/>
                <w:sz w:val="24"/>
              </w:rPr>
            </w:pPr>
            <w:r>
              <w:rPr>
                <w:sz w:val="24"/>
              </w:rPr>
              <w:t>②吐鲁番电厂</w:t>
            </w:r>
            <w:r>
              <w:rPr>
                <w:rFonts w:hint="eastAsia"/>
                <w:color w:val="000000"/>
                <w:sz w:val="24"/>
              </w:rPr>
              <w:t>-</w:t>
            </w:r>
            <w:r>
              <w:rPr>
                <w:sz w:val="24"/>
              </w:rPr>
              <w:t>阿拉沟变</w:t>
            </w:r>
            <w:r>
              <w:rPr>
                <w:rFonts w:eastAsia="微软雅黑"/>
                <w:sz w:val="24"/>
              </w:rPr>
              <w:t>Ⅰ</w:t>
            </w:r>
            <w:r>
              <w:rPr>
                <w:sz w:val="24"/>
              </w:rPr>
              <w:t>、</w:t>
            </w:r>
            <w:r>
              <w:rPr>
                <w:rFonts w:eastAsia="微软雅黑"/>
                <w:sz w:val="24"/>
              </w:rPr>
              <w:t>Ⅱ</w:t>
            </w:r>
            <w:r>
              <w:rPr>
                <w:sz w:val="24"/>
              </w:rPr>
              <w:t>回π入伊拉湖变220千伏线路工程（托克逊变侧）：新建2×1.2km单回架空线路，导线采用</w:t>
            </w:r>
            <w:r>
              <w:rPr>
                <w:color w:val="000000"/>
                <w:sz w:val="24"/>
              </w:rPr>
              <w:t>2×JL3/G1A-400/35型钢芯高导电率铝绞线。</w:t>
            </w:r>
          </w:p>
          <w:p>
            <w:pPr>
              <w:autoSpaceDE w:val="0"/>
              <w:autoSpaceDN w:val="0"/>
              <w:adjustRightInd w:val="0"/>
              <w:snapToGrid w:val="0"/>
              <w:spacing w:line="360" w:lineRule="auto"/>
              <w:ind w:firstLine="480" w:firstLineChars="200"/>
              <w:rPr>
                <w:color w:val="000000"/>
                <w:sz w:val="24"/>
              </w:rPr>
            </w:pPr>
            <w:r>
              <w:rPr>
                <w:color w:val="000000"/>
                <w:sz w:val="24"/>
              </w:rPr>
              <w:t>电缆部分：新建电缆线路长约0.07km，双回路敷设（本期敷设一回电缆，预留一回通道）。电缆采用ZC-YJLW03-127/220-1×1600型电力电缆，采用电缆沟敷设方式。</w:t>
            </w:r>
          </w:p>
          <w:p>
            <w:pPr>
              <w:pStyle w:val="36"/>
              <w:spacing w:after="0" w:line="360" w:lineRule="auto"/>
              <w:ind w:left="0" w:leftChars="0" w:firstLine="480" w:firstLineChars="200"/>
            </w:pPr>
            <w:r>
              <w:t>本期需拆除原220kV鲁拉Ⅰ、Ⅱ线杆塔6基（鲁拉Ⅰ线85#、86#和87#；鲁拉Ⅱ线94#、95#和96#）。</w:t>
            </w:r>
          </w:p>
          <w:p>
            <w:pPr>
              <w:autoSpaceDE w:val="0"/>
              <w:autoSpaceDN w:val="0"/>
              <w:adjustRightInd w:val="0"/>
              <w:snapToGrid w:val="0"/>
              <w:spacing w:line="360" w:lineRule="auto"/>
              <w:ind w:firstLine="480" w:firstLineChars="200"/>
              <w:rPr>
                <w:color w:val="000000"/>
                <w:sz w:val="24"/>
              </w:rPr>
            </w:pPr>
            <w:r>
              <w:rPr>
                <w:color w:val="000000"/>
                <w:sz w:val="24"/>
              </w:rPr>
              <w:t>（3）吐鲁番电厂</w:t>
            </w:r>
            <w:r>
              <w:rPr>
                <w:rFonts w:hint="eastAsia"/>
                <w:color w:val="000000"/>
                <w:sz w:val="24"/>
              </w:rPr>
              <w:t>-</w:t>
            </w:r>
            <w:r>
              <w:rPr>
                <w:color w:val="000000"/>
                <w:sz w:val="24"/>
              </w:rPr>
              <w:t>阿拉沟变Ⅰ、Ⅱ回改接入托克逊变电站220千伏线路工程：路径全长约</w:t>
            </w:r>
            <w:r>
              <w:rPr>
                <w:rFonts w:hint="eastAsia"/>
                <w:color w:val="000000"/>
                <w:sz w:val="24"/>
              </w:rPr>
              <w:t>9</w:t>
            </w:r>
            <w:r>
              <w:rPr>
                <w:color w:val="000000"/>
                <w:sz w:val="24"/>
              </w:rPr>
              <w:t>km，单回路架设。全线架设双地线，一根采用OPGW复合光缆，一根采用JLB35-120型铝包钢绞线。</w:t>
            </w:r>
            <w:r>
              <w:rPr>
                <w:rFonts w:hint="eastAsia"/>
                <w:color w:val="000000"/>
                <w:sz w:val="24"/>
              </w:rPr>
              <w:t>分为三部分：</w:t>
            </w:r>
          </w:p>
          <w:p>
            <w:pPr>
              <w:autoSpaceDE w:val="0"/>
              <w:autoSpaceDN w:val="0"/>
              <w:adjustRightInd w:val="0"/>
              <w:snapToGrid w:val="0"/>
              <w:spacing w:line="360" w:lineRule="auto"/>
              <w:ind w:firstLine="480" w:firstLineChars="200"/>
              <w:rPr>
                <w:color w:val="000000"/>
                <w:sz w:val="24"/>
              </w:rPr>
            </w:pPr>
            <w:r>
              <w:rPr>
                <w:sz w:val="24"/>
              </w:rPr>
              <w:t>①</w:t>
            </w:r>
            <w:r>
              <w:rPr>
                <w:color w:val="000000"/>
                <w:sz w:val="24"/>
              </w:rPr>
              <w:t>吐鲁番电厂</w:t>
            </w:r>
            <w:r>
              <w:rPr>
                <w:rFonts w:hint="eastAsia"/>
                <w:color w:val="000000"/>
                <w:sz w:val="24"/>
              </w:rPr>
              <w:t>-</w:t>
            </w:r>
            <w:r>
              <w:rPr>
                <w:color w:val="000000"/>
                <w:sz w:val="24"/>
              </w:rPr>
              <w:t>阿拉沟变Ⅰ、Ⅱ回改接入托克逊变电站220千伏线路工程</w:t>
            </w:r>
            <w:r>
              <w:rPr>
                <w:rFonts w:hint="eastAsia"/>
                <w:color w:val="000000"/>
                <w:sz w:val="24"/>
              </w:rPr>
              <w:t>（阿拉沟变侧）：新建8.3km单回架空线路，</w:t>
            </w:r>
            <w:r>
              <w:rPr>
                <w:color w:val="000000"/>
                <w:sz w:val="24"/>
              </w:rPr>
              <w:t>导线采用JL3/G1A-400/35型钢芯高导电率铝绞线。</w:t>
            </w:r>
          </w:p>
          <w:p>
            <w:pPr>
              <w:autoSpaceDE w:val="0"/>
              <w:autoSpaceDN w:val="0"/>
              <w:adjustRightInd w:val="0"/>
              <w:snapToGrid w:val="0"/>
              <w:spacing w:line="360" w:lineRule="auto"/>
              <w:ind w:firstLine="480" w:firstLineChars="200"/>
              <w:rPr>
                <w:color w:val="000000"/>
                <w:sz w:val="24"/>
              </w:rPr>
            </w:pPr>
            <w:r>
              <w:rPr>
                <w:sz w:val="24"/>
              </w:rPr>
              <w:t>②</w:t>
            </w:r>
            <w:r>
              <w:rPr>
                <w:rFonts w:hint="eastAsia"/>
                <w:sz w:val="24"/>
              </w:rPr>
              <w:t>鲁拉一线</w:t>
            </w:r>
            <w:r>
              <w:rPr>
                <w:rFonts w:hint="eastAsia"/>
                <w:color w:val="000000"/>
                <w:sz w:val="24"/>
              </w:rPr>
              <w:t>-</w:t>
            </w:r>
            <w:r>
              <w:rPr>
                <w:rFonts w:hint="eastAsia"/>
                <w:sz w:val="24"/>
              </w:rPr>
              <w:t>鲁拉二线短接线路工程：新建0.3km单回架空线路，</w:t>
            </w:r>
            <w:r>
              <w:rPr>
                <w:color w:val="000000"/>
                <w:sz w:val="24"/>
              </w:rPr>
              <w:t>导线采用2×JL3/G1A-400/35型钢芯高导电率铝绞线。</w:t>
            </w:r>
          </w:p>
          <w:p>
            <w:pPr>
              <w:autoSpaceDE w:val="0"/>
              <w:autoSpaceDN w:val="0"/>
              <w:adjustRightInd w:val="0"/>
              <w:snapToGrid w:val="0"/>
              <w:spacing w:line="360" w:lineRule="auto"/>
              <w:ind w:firstLine="480" w:firstLineChars="200"/>
              <w:rPr>
                <w:color w:val="000000"/>
                <w:sz w:val="24"/>
              </w:rPr>
            </w:pPr>
            <w:r>
              <w:rPr>
                <w:color w:val="000000"/>
                <w:sz w:val="24"/>
              </w:rPr>
              <w:t>③</w:t>
            </w:r>
            <w:r>
              <w:rPr>
                <w:rFonts w:hint="eastAsia"/>
                <w:color w:val="000000"/>
                <w:sz w:val="24"/>
              </w:rPr>
              <w:t>鲁托二线-鲁拉二线短接线路工程：新建0.4km单回架空线路，</w:t>
            </w:r>
            <w:r>
              <w:rPr>
                <w:color w:val="000000"/>
                <w:sz w:val="24"/>
              </w:rPr>
              <w:t>导线采用2×JL3/G1A-400/35型钢芯高导电率铝绞线。</w:t>
            </w:r>
          </w:p>
          <w:p>
            <w:pPr>
              <w:autoSpaceDE w:val="0"/>
              <w:autoSpaceDN w:val="0"/>
              <w:adjustRightInd w:val="0"/>
              <w:snapToGrid w:val="0"/>
              <w:spacing w:line="360" w:lineRule="auto"/>
              <w:ind w:firstLine="480" w:firstLineChars="200"/>
              <w:rPr>
                <w:color w:val="000000"/>
                <w:sz w:val="24"/>
              </w:rPr>
            </w:pPr>
            <w:r>
              <w:rPr>
                <w:color w:val="000000"/>
                <w:sz w:val="24"/>
              </w:rPr>
              <w:t>拆除原220kV鲁拉Ⅱ线杆塔4基（2#、3#、4#和5#），拆除原220kV鲁托Ⅰ、Ⅱ线杆塔合计38基（220kV鲁托Ⅰ线1#~34#，其中水泥双杆15基、角钢塔19基，220kV鲁托Ⅱ线01#、02#、03#和04#）。</w:t>
            </w:r>
          </w:p>
          <w:p>
            <w:pPr>
              <w:autoSpaceDE w:val="0"/>
              <w:autoSpaceDN w:val="0"/>
              <w:adjustRightInd w:val="0"/>
              <w:snapToGrid w:val="0"/>
              <w:spacing w:line="360" w:lineRule="auto"/>
              <w:ind w:firstLine="480" w:firstLineChars="200"/>
              <w:rPr>
                <w:color w:val="000000"/>
                <w:sz w:val="24"/>
              </w:rPr>
            </w:pPr>
            <w:r>
              <w:rPr>
                <w:color w:val="000000"/>
                <w:sz w:val="24"/>
              </w:rPr>
              <w:t>本工程基本组成情况见</w:t>
            </w:r>
            <w:r>
              <w:rPr>
                <w:rFonts w:hint="default" w:ascii="Times New Roman" w:hAnsi="Times New Roman" w:cs="Times New Roman"/>
                <w:b w:val="0"/>
                <w:bCs w:val="0"/>
                <w:color w:val="000000"/>
                <w:sz w:val="24"/>
                <w:szCs w:val="24"/>
                <w:lang w:val="en-US"/>
              </w:rPr>
              <w:fldChar w:fldCharType="begin"/>
            </w:r>
            <w:r>
              <w:rPr>
                <w:rFonts w:hint="default" w:ascii="Times New Roman" w:hAnsi="Times New Roman" w:cs="Times New Roman"/>
                <w:b w:val="0"/>
                <w:bCs w:val="0"/>
                <w:sz w:val="24"/>
                <w:szCs w:val="24"/>
              </w:rPr>
              <w:instrText xml:space="preserve"> REF _Ref27357 \h  \* MERGEFORMAT</w:instrText>
            </w:r>
            <w:r>
              <w:rPr>
                <w:rFonts w:hint="default" w:ascii="Times New Roman" w:hAnsi="Times New Roman" w:cs="Times New Roman"/>
                <w:b w:val="0"/>
                <w:bCs w:val="0"/>
                <w:color w:val="000000"/>
                <w:sz w:val="24"/>
                <w:szCs w:val="24"/>
                <w:lang w:val="en-US"/>
              </w:rPr>
              <w:fldChar w:fldCharType="separate"/>
            </w:r>
            <w:r>
              <w:rPr>
                <w:rFonts w:hint="default" w:ascii="Times New Roman" w:hAnsi="Times New Roman" w:eastAsia="宋体" w:cs="Times New Roman"/>
                <w:b w:val="0"/>
                <w:bCs w:val="0"/>
                <w:sz w:val="24"/>
                <w:szCs w:val="24"/>
              </w:rPr>
              <w:t>表1</w:t>
            </w:r>
            <w:r>
              <w:rPr>
                <w:rFonts w:hint="default" w:ascii="Times New Roman" w:hAnsi="Times New Roman" w:cs="Times New Roman"/>
                <w:b w:val="0"/>
                <w:bCs w:val="0"/>
                <w:color w:val="000000"/>
                <w:sz w:val="24"/>
                <w:szCs w:val="24"/>
                <w:lang w:val="en-US"/>
              </w:rPr>
              <w:fldChar w:fldCharType="end"/>
            </w:r>
            <w:r>
              <w:rPr>
                <w:color w:val="000000"/>
                <w:sz w:val="24"/>
              </w:rPr>
              <w:t>。</w:t>
            </w:r>
          </w:p>
          <w:p>
            <w:pPr>
              <w:pStyle w:val="10"/>
              <w:keepNext/>
              <w:jc w:val="left"/>
              <w:rPr>
                <w:rFonts w:ascii="Times New Roman" w:hAnsi="Times New Roman"/>
                <w:b/>
              </w:rPr>
            </w:pPr>
            <w:bookmarkStart w:id="10" w:name="_Ref27357"/>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1</w:t>
            </w:r>
            <w:r>
              <w:rPr>
                <w:rFonts w:ascii="Times New Roman" w:hAnsi="Times New Roman" w:eastAsia="宋体"/>
                <w:b/>
              </w:rPr>
              <w:fldChar w:fldCharType="end"/>
            </w:r>
            <w:bookmarkEnd w:id="10"/>
            <w:r>
              <w:rPr>
                <w:rFonts w:ascii="Times New Roman" w:hAnsi="Times New Roman" w:eastAsia="宋体"/>
                <w:b/>
              </w:rPr>
              <w:t>项目基本组成</w:t>
            </w:r>
          </w:p>
          <w:tbl>
            <w:tblPr>
              <w:tblStyle w:val="37"/>
              <w:tblW w:w="839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38"/>
              <w:gridCol w:w="1433"/>
              <w:gridCol w:w="1791"/>
              <w:gridCol w:w="403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1530" w:type="pct"/>
                  <w:gridSpan w:val="2"/>
                  <w:tcMar>
                    <w:left w:w="57" w:type="dxa"/>
                    <w:right w:w="57" w:type="dxa"/>
                  </w:tcMar>
                  <w:vAlign w:val="center"/>
                </w:tcPr>
                <w:p>
                  <w:pPr>
                    <w:pStyle w:val="75"/>
                    <w:spacing w:before="50" w:after="50"/>
                    <w:rPr>
                      <w:b/>
                      <w:snapToGrid w:val="0"/>
                      <w:color w:val="000000"/>
                      <w:szCs w:val="21"/>
                    </w:rPr>
                  </w:pPr>
                  <w:r>
                    <w:rPr>
                      <w:b/>
                      <w:color w:val="000000"/>
                      <w:szCs w:val="21"/>
                    </w:rPr>
                    <w:t>建设内容</w:t>
                  </w:r>
                </w:p>
              </w:tc>
              <w:tc>
                <w:tcPr>
                  <w:tcW w:w="3469" w:type="pct"/>
                  <w:gridSpan w:val="2"/>
                  <w:tcMar>
                    <w:left w:w="57" w:type="dxa"/>
                    <w:right w:w="57" w:type="dxa"/>
                  </w:tcMar>
                  <w:vAlign w:val="center"/>
                </w:tcPr>
                <w:p>
                  <w:pPr>
                    <w:pStyle w:val="75"/>
                    <w:spacing w:before="50" w:after="50"/>
                    <w:rPr>
                      <w:b/>
                      <w:snapToGrid w:val="0"/>
                      <w:color w:val="000000"/>
                      <w:szCs w:val="21"/>
                    </w:rPr>
                  </w:pPr>
                  <w:r>
                    <w:rPr>
                      <w:b/>
                      <w:color w:val="000000"/>
                      <w:szCs w:val="21"/>
                    </w:rPr>
                    <w:t>规模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restart"/>
                  <w:tcMar>
                    <w:left w:w="57" w:type="dxa"/>
                    <w:right w:w="57" w:type="dxa"/>
                  </w:tcMar>
                  <w:vAlign w:val="center"/>
                </w:tcPr>
                <w:p>
                  <w:pPr>
                    <w:pStyle w:val="75"/>
                    <w:spacing w:before="50" w:after="50"/>
                    <w:rPr>
                      <w:color w:val="000000"/>
                      <w:szCs w:val="21"/>
                      <w:highlight w:val="yellow"/>
                    </w:rPr>
                  </w:pPr>
                  <w:r>
                    <w:rPr>
                      <w:color w:val="000000"/>
                      <w:szCs w:val="21"/>
                    </w:rPr>
                    <w:t>伊拉湖220千伏变电站新建工程</w:t>
                  </w:r>
                </w:p>
              </w:tc>
              <w:tc>
                <w:tcPr>
                  <w:tcW w:w="853" w:type="pct"/>
                  <w:vMerge w:val="restart"/>
                  <w:tcMar>
                    <w:left w:w="57" w:type="dxa"/>
                    <w:right w:w="57" w:type="dxa"/>
                  </w:tcMar>
                  <w:vAlign w:val="center"/>
                </w:tcPr>
                <w:p>
                  <w:pPr>
                    <w:pStyle w:val="75"/>
                    <w:spacing w:before="50" w:after="50"/>
                    <w:rPr>
                      <w:color w:val="000000"/>
                      <w:szCs w:val="21"/>
                    </w:rPr>
                  </w:pPr>
                  <w:r>
                    <w:rPr>
                      <w:color w:val="000000"/>
                      <w:szCs w:val="21"/>
                    </w:rPr>
                    <w:t>主体工程</w:t>
                  </w:r>
                </w:p>
              </w:tc>
              <w:tc>
                <w:tcPr>
                  <w:tcW w:w="1066" w:type="pct"/>
                  <w:tcMar>
                    <w:left w:w="57" w:type="dxa"/>
                    <w:right w:w="57" w:type="dxa"/>
                  </w:tcMar>
                  <w:vAlign w:val="center"/>
                </w:tcPr>
                <w:p>
                  <w:pPr>
                    <w:pStyle w:val="75"/>
                    <w:spacing w:before="50" w:after="50"/>
                    <w:rPr>
                      <w:color w:val="000000"/>
                      <w:szCs w:val="21"/>
                    </w:rPr>
                  </w:pPr>
                  <w:r>
                    <w:rPr>
                      <w:color w:val="000000"/>
                      <w:szCs w:val="21"/>
                    </w:rPr>
                    <w:t>布置方式</w:t>
                  </w:r>
                </w:p>
              </w:tc>
              <w:tc>
                <w:tcPr>
                  <w:tcW w:w="2403" w:type="pct"/>
                  <w:tcMar>
                    <w:left w:w="57" w:type="dxa"/>
                    <w:right w:w="57" w:type="dxa"/>
                  </w:tcMar>
                  <w:vAlign w:val="center"/>
                </w:tcPr>
                <w:p>
                  <w:pPr>
                    <w:pStyle w:val="75"/>
                    <w:spacing w:before="50" w:after="50"/>
                    <w:rPr>
                      <w:color w:val="000000"/>
                      <w:szCs w:val="21"/>
                    </w:rPr>
                  </w:pPr>
                  <w:r>
                    <w:rPr>
                      <w:color w:val="000000"/>
                      <w:szCs w:val="21"/>
                    </w:rPr>
                    <w:t>户内</w:t>
                  </w:r>
                  <w:r>
                    <w:rPr>
                      <w:rStyle w:val="44"/>
                    </w:rPr>
                    <w:t>GIS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color w:val="000000"/>
                      <w:szCs w:val="21"/>
                    </w:rPr>
                  </w:pPr>
                </w:p>
              </w:tc>
              <w:tc>
                <w:tcPr>
                  <w:tcW w:w="853" w:type="pct"/>
                  <w:vMerge w:val="continue"/>
                  <w:tcMar>
                    <w:left w:w="57" w:type="dxa"/>
                    <w:right w:w="57" w:type="dxa"/>
                  </w:tcMar>
                  <w:vAlign w:val="center"/>
                </w:tcPr>
                <w:p>
                  <w:pPr>
                    <w:pStyle w:val="75"/>
                    <w:spacing w:before="50" w:after="50"/>
                    <w:rPr>
                      <w:color w:val="000000"/>
                      <w:szCs w:val="21"/>
                    </w:rPr>
                  </w:pPr>
                </w:p>
              </w:tc>
              <w:tc>
                <w:tcPr>
                  <w:tcW w:w="1066" w:type="pct"/>
                  <w:tcMar>
                    <w:left w:w="57" w:type="dxa"/>
                    <w:right w:w="57" w:type="dxa"/>
                  </w:tcMar>
                  <w:vAlign w:val="center"/>
                </w:tcPr>
                <w:p>
                  <w:pPr>
                    <w:pStyle w:val="75"/>
                    <w:spacing w:before="50" w:after="50"/>
                    <w:rPr>
                      <w:color w:val="000000"/>
                      <w:szCs w:val="21"/>
                    </w:rPr>
                  </w:pPr>
                  <w:r>
                    <w:rPr>
                      <w:color w:val="000000"/>
                      <w:szCs w:val="21"/>
                    </w:rPr>
                    <w:t>主变压器</w:t>
                  </w:r>
                </w:p>
              </w:tc>
              <w:tc>
                <w:tcPr>
                  <w:tcW w:w="2403" w:type="pct"/>
                  <w:tcMar>
                    <w:left w:w="57" w:type="dxa"/>
                    <w:right w:w="57" w:type="dxa"/>
                  </w:tcMar>
                  <w:vAlign w:val="center"/>
                </w:tcPr>
                <w:p>
                  <w:pPr>
                    <w:pStyle w:val="75"/>
                    <w:spacing w:before="50" w:after="50"/>
                    <w:rPr>
                      <w:color w:val="000000"/>
                      <w:szCs w:val="21"/>
                    </w:rPr>
                  </w:pPr>
                  <w:r>
                    <w:rPr>
                      <w:color w:val="000000"/>
                      <w:szCs w:val="21"/>
                    </w:rPr>
                    <w:t>2×240MVA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color w:val="000000"/>
                      <w:szCs w:val="21"/>
                    </w:rPr>
                  </w:pPr>
                </w:p>
              </w:tc>
              <w:tc>
                <w:tcPr>
                  <w:tcW w:w="853" w:type="pct"/>
                  <w:vMerge w:val="continue"/>
                  <w:tcMar>
                    <w:left w:w="57" w:type="dxa"/>
                    <w:right w:w="57" w:type="dxa"/>
                  </w:tcMar>
                  <w:vAlign w:val="center"/>
                </w:tcPr>
                <w:p>
                  <w:pPr>
                    <w:pStyle w:val="75"/>
                    <w:spacing w:before="50" w:after="50"/>
                    <w:rPr>
                      <w:color w:val="000000"/>
                      <w:szCs w:val="21"/>
                    </w:rPr>
                  </w:pPr>
                </w:p>
              </w:tc>
              <w:tc>
                <w:tcPr>
                  <w:tcW w:w="1066" w:type="pct"/>
                  <w:tcMar>
                    <w:left w:w="57" w:type="dxa"/>
                    <w:right w:w="57" w:type="dxa"/>
                  </w:tcMar>
                  <w:vAlign w:val="center"/>
                </w:tcPr>
                <w:p>
                  <w:pPr>
                    <w:pStyle w:val="75"/>
                    <w:spacing w:before="50" w:after="50"/>
                    <w:rPr>
                      <w:color w:val="000000"/>
                      <w:szCs w:val="21"/>
                    </w:rPr>
                  </w:pPr>
                  <w:r>
                    <w:rPr>
                      <w:color w:val="000000"/>
                      <w:szCs w:val="21"/>
                    </w:rPr>
                    <w:t>220</w:t>
                  </w:r>
                  <w:r>
                    <w:rPr>
                      <w:rFonts w:hint="eastAsia"/>
                      <w:color w:val="000000"/>
                      <w:szCs w:val="21"/>
                    </w:rPr>
                    <w:t>千伏</w:t>
                  </w:r>
                  <w:r>
                    <w:rPr>
                      <w:color w:val="000000"/>
                      <w:szCs w:val="21"/>
                    </w:rPr>
                    <w:t>出线</w:t>
                  </w:r>
                </w:p>
              </w:tc>
              <w:tc>
                <w:tcPr>
                  <w:tcW w:w="2403" w:type="pct"/>
                  <w:tcMar>
                    <w:left w:w="57" w:type="dxa"/>
                    <w:right w:w="57" w:type="dxa"/>
                  </w:tcMar>
                  <w:vAlign w:val="center"/>
                </w:tcPr>
                <w:p>
                  <w:pPr>
                    <w:pStyle w:val="75"/>
                    <w:spacing w:before="50" w:after="50"/>
                    <w:rPr>
                      <w:color w:val="000000"/>
                      <w:szCs w:val="21"/>
                    </w:rPr>
                  </w:pPr>
                  <w:r>
                    <w:rPr>
                      <w:color w:val="000000"/>
                      <w:szCs w:val="21"/>
                    </w:rPr>
                    <w:t>6回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 w:hRule="atLeast"/>
              </w:trPr>
              <w:tc>
                <w:tcPr>
                  <w:tcW w:w="677" w:type="pct"/>
                  <w:vMerge w:val="continue"/>
                  <w:tcMar>
                    <w:left w:w="57" w:type="dxa"/>
                    <w:right w:w="57" w:type="dxa"/>
                  </w:tcMar>
                  <w:vAlign w:val="center"/>
                </w:tcPr>
                <w:p>
                  <w:pPr>
                    <w:pStyle w:val="75"/>
                    <w:spacing w:before="50" w:after="50"/>
                    <w:rPr>
                      <w:color w:val="000000"/>
                      <w:szCs w:val="21"/>
                    </w:rPr>
                  </w:pPr>
                </w:p>
              </w:tc>
              <w:tc>
                <w:tcPr>
                  <w:tcW w:w="853" w:type="pct"/>
                  <w:vMerge w:val="continue"/>
                  <w:tcMar>
                    <w:left w:w="57" w:type="dxa"/>
                    <w:right w:w="57" w:type="dxa"/>
                  </w:tcMar>
                  <w:vAlign w:val="center"/>
                </w:tcPr>
                <w:p>
                  <w:pPr>
                    <w:pStyle w:val="75"/>
                    <w:spacing w:before="50" w:after="50"/>
                    <w:rPr>
                      <w:color w:val="000000"/>
                      <w:szCs w:val="21"/>
                    </w:rPr>
                  </w:pPr>
                </w:p>
              </w:tc>
              <w:tc>
                <w:tcPr>
                  <w:tcW w:w="1066" w:type="pct"/>
                  <w:tcMar>
                    <w:left w:w="57" w:type="dxa"/>
                    <w:right w:w="57" w:type="dxa"/>
                  </w:tcMar>
                  <w:vAlign w:val="center"/>
                </w:tcPr>
                <w:p>
                  <w:pPr>
                    <w:pStyle w:val="75"/>
                    <w:spacing w:before="50" w:after="50"/>
                    <w:rPr>
                      <w:color w:val="000000"/>
                      <w:szCs w:val="21"/>
                    </w:rPr>
                  </w:pPr>
                  <w:r>
                    <w:rPr>
                      <w:color w:val="000000"/>
                      <w:szCs w:val="21"/>
                    </w:rPr>
                    <w:t>110</w:t>
                  </w:r>
                  <w:r>
                    <w:rPr>
                      <w:rFonts w:hint="eastAsia"/>
                      <w:color w:val="000000"/>
                      <w:szCs w:val="21"/>
                    </w:rPr>
                    <w:t>千伏</w:t>
                  </w:r>
                  <w:r>
                    <w:rPr>
                      <w:color w:val="000000"/>
                      <w:szCs w:val="21"/>
                    </w:rPr>
                    <w:t>出线</w:t>
                  </w:r>
                </w:p>
              </w:tc>
              <w:tc>
                <w:tcPr>
                  <w:tcW w:w="2403" w:type="pct"/>
                  <w:tcMar>
                    <w:left w:w="57" w:type="dxa"/>
                    <w:right w:w="57" w:type="dxa"/>
                  </w:tcMar>
                  <w:vAlign w:val="center"/>
                </w:tcPr>
                <w:p>
                  <w:pPr>
                    <w:pStyle w:val="75"/>
                    <w:spacing w:before="50" w:after="50"/>
                    <w:rPr>
                      <w:color w:val="000000"/>
                      <w:szCs w:val="21"/>
                    </w:rPr>
                  </w:pPr>
                  <w:r>
                    <w:rPr>
                      <w:color w:val="000000"/>
                      <w:szCs w:val="21"/>
                    </w:rPr>
                    <w:t>8回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color w:val="000000"/>
                      <w:szCs w:val="21"/>
                    </w:rPr>
                  </w:pPr>
                </w:p>
              </w:tc>
              <w:tc>
                <w:tcPr>
                  <w:tcW w:w="853" w:type="pct"/>
                  <w:vMerge w:val="continue"/>
                  <w:tcMar>
                    <w:left w:w="57" w:type="dxa"/>
                    <w:right w:w="57" w:type="dxa"/>
                  </w:tcMar>
                  <w:vAlign w:val="center"/>
                </w:tcPr>
                <w:p>
                  <w:pPr>
                    <w:pStyle w:val="75"/>
                    <w:spacing w:before="50" w:after="50"/>
                    <w:rPr>
                      <w:color w:val="000000"/>
                      <w:szCs w:val="21"/>
                    </w:rPr>
                  </w:pPr>
                </w:p>
              </w:tc>
              <w:tc>
                <w:tcPr>
                  <w:tcW w:w="1066" w:type="pct"/>
                  <w:tcMar>
                    <w:left w:w="57" w:type="dxa"/>
                    <w:right w:w="57" w:type="dxa"/>
                  </w:tcMar>
                  <w:vAlign w:val="center"/>
                </w:tcPr>
                <w:p>
                  <w:pPr>
                    <w:pStyle w:val="75"/>
                    <w:spacing w:before="50" w:after="50"/>
                    <w:rPr>
                      <w:color w:val="000000"/>
                      <w:szCs w:val="21"/>
                    </w:rPr>
                  </w:pPr>
                  <w:r>
                    <w:rPr>
                      <w:color w:val="000000"/>
                      <w:szCs w:val="21"/>
                    </w:rPr>
                    <w:t>无功补偿装置</w:t>
                  </w:r>
                </w:p>
              </w:tc>
              <w:tc>
                <w:tcPr>
                  <w:tcW w:w="2403" w:type="pct"/>
                  <w:tcMar>
                    <w:left w:w="57" w:type="dxa"/>
                    <w:right w:w="57" w:type="dxa"/>
                  </w:tcMar>
                  <w:vAlign w:val="center"/>
                </w:tcPr>
                <w:p>
                  <w:pPr>
                    <w:pStyle w:val="75"/>
                    <w:spacing w:before="50" w:after="50"/>
                    <w:rPr>
                      <w:color w:val="000000"/>
                      <w:szCs w:val="21"/>
                    </w:rPr>
                  </w:pPr>
                  <w:r>
                    <w:rPr>
                      <w:color w:val="000000"/>
                      <w:szCs w:val="21"/>
                    </w:rPr>
                    <w:t>每台主变安装3×15Mvar并联电容器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color w:val="000000"/>
                      <w:szCs w:val="21"/>
                      <w:highlight w:val="yellow"/>
                    </w:rPr>
                  </w:pPr>
                </w:p>
              </w:tc>
              <w:tc>
                <w:tcPr>
                  <w:tcW w:w="853" w:type="pct"/>
                  <w:vMerge w:val="restart"/>
                  <w:tcMar>
                    <w:left w:w="57" w:type="dxa"/>
                    <w:right w:w="57" w:type="dxa"/>
                  </w:tcMar>
                  <w:vAlign w:val="center"/>
                </w:tcPr>
                <w:p>
                  <w:pPr>
                    <w:pStyle w:val="75"/>
                    <w:spacing w:before="50" w:after="50"/>
                    <w:rPr>
                      <w:color w:val="000000"/>
                      <w:szCs w:val="21"/>
                    </w:rPr>
                  </w:pPr>
                  <w:r>
                    <w:rPr>
                      <w:color w:val="000000"/>
                      <w:szCs w:val="21"/>
                    </w:rPr>
                    <w:t>公用及辅助工程</w:t>
                  </w:r>
                </w:p>
              </w:tc>
              <w:tc>
                <w:tcPr>
                  <w:tcW w:w="1066" w:type="pct"/>
                  <w:tcMar>
                    <w:left w:w="57" w:type="dxa"/>
                    <w:right w:w="57" w:type="dxa"/>
                  </w:tcMar>
                  <w:vAlign w:val="center"/>
                </w:tcPr>
                <w:p>
                  <w:pPr>
                    <w:pStyle w:val="75"/>
                    <w:spacing w:before="50" w:after="50"/>
                    <w:rPr>
                      <w:color w:val="000000"/>
                      <w:szCs w:val="21"/>
                    </w:rPr>
                  </w:pPr>
                  <w:r>
                    <w:rPr>
                      <w:color w:val="000000"/>
                      <w:szCs w:val="21"/>
                    </w:rPr>
                    <w:t>进站道路</w:t>
                  </w:r>
                </w:p>
              </w:tc>
              <w:tc>
                <w:tcPr>
                  <w:tcW w:w="2403" w:type="pct"/>
                  <w:tcMar>
                    <w:left w:w="57" w:type="dxa"/>
                    <w:right w:w="57" w:type="dxa"/>
                  </w:tcMar>
                  <w:vAlign w:val="center"/>
                </w:tcPr>
                <w:p>
                  <w:pPr>
                    <w:pStyle w:val="75"/>
                    <w:spacing w:before="50" w:after="50"/>
                    <w:rPr>
                      <w:snapToGrid w:val="0"/>
                      <w:color w:val="000000"/>
                      <w:szCs w:val="21"/>
                    </w:rPr>
                  </w:pPr>
                  <w:r>
                    <w:rPr>
                      <w:snapToGrid w:val="0"/>
                      <w:color w:val="000000"/>
                      <w:szCs w:val="21"/>
                    </w:rPr>
                    <w:t>新建进站道路长约280m，宽约4.5m。</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color w:val="000000"/>
                      <w:szCs w:val="21"/>
                      <w:highlight w:val="yellow"/>
                    </w:rPr>
                  </w:pPr>
                </w:p>
              </w:tc>
              <w:tc>
                <w:tcPr>
                  <w:tcW w:w="853" w:type="pct"/>
                  <w:vMerge w:val="continue"/>
                  <w:tcMar>
                    <w:left w:w="57" w:type="dxa"/>
                    <w:right w:w="57" w:type="dxa"/>
                  </w:tcMar>
                  <w:vAlign w:val="center"/>
                </w:tcPr>
                <w:p>
                  <w:pPr>
                    <w:pStyle w:val="75"/>
                    <w:spacing w:before="50" w:after="50"/>
                    <w:rPr>
                      <w:color w:val="000000"/>
                      <w:szCs w:val="21"/>
                    </w:rPr>
                  </w:pPr>
                </w:p>
              </w:tc>
              <w:tc>
                <w:tcPr>
                  <w:tcW w:w="1066" w:type="pct"/>
                  <w:tcMar>
                    <w:left w:w="57" w:type="dxa"/>
                    <w:right w:w="57" w:type="dxa"/>
                  </w:tcMar>
                  <w:vAlign w:val="center"/>
                </w:tcPr>
                <w:p>
                  <w:pPr>
                    <w:pStyle w:val="75"/>
                    <w:spacing w:before="50" w:after="50"/>
                    <w:rPr>
                      <w:color w:val="000000"/>
                      <w:szCs w:val="21"/>
                    </w:rPr>
                  </w:pPr>
                  <w:r>
                    <w:rPr>
                      <w:color w:val="000000"/>
                      <w:szCs w:val="21"/>
                    </w:rPr>
                    <w:t>生活设施及辅助生产用房</w:t>
                  </w:r>
                </w:p>
              </w:tc>
              <w:tc>
                <w:tcPr>
                  <w:tcW w:w="2403" w:type="pct"/>
                  <w:tcMar>
                    <w:left w:w="57" w:type="dxa"/>
                    <w:right w:w="57" w:type="dxa"/>
                  </w:tcMar>
                  <w:vAlign w:val="center"/>
                </w:tcPr>
                <w:p>
                  <w:pPr>
                    <w:pStyle w:val="75"/>
                    <w:spacing w:before="50" w:after="50"/>
                    <w:jc w:val="both"/>
                    <w:rPr>
                      <w:snapToGrid w:val="0"/>
                      <w:color w:val="000000"/>
                      <w:szCs w:val="21"/>
                    </w:rPr>
                  </w:pPr>
                  <w:r>
                    <w:rPr>
                      <w:snapToGrid w:val="0"/>
                      <w:color w:val="000000"/>
                      <w:szCs w:val="21"/>
                    </w:rPr>
                    <w:t>新建1座110千伏配电装置楼、1座220千伏配电装置楼、1座运维班驻地用房、1座消防泵房等。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68" w:hRule="atLeast"/>
              </w:trPr>
              <w:tc>
                <w:tcPr>
                  <w:tcW w:w="677" w:type="pct"/>
                  <w:vMerge w:val="continue"/>
                  <w:tcMar>
                    <w:left w:w="57" w:type="dxa"/>
                    <w:right w:w="57" w:type="dxa"/>
                  </w:tcMar>
                  <w:vAlign w:val="center"/>
                </w:tcPr>
                <w:p>
                  <w:pPr>
                    <w:pStyle w:val="75"/>
                    <w:spacing w:before="50" w:after="50"/>
                    <w:rPr>
                      <w:color w:val="000000"/>
                      <w:szCs w:val="21"/>
                      <w:highlight w:val="yellow"/>
                    </w:rPr>
                  </w:pPr>
                </w:p>
              </w:tc>
              <w:tc>
                <w:tcPr>
                  <w:tcW w:w="853" w:type="pct"/>
                  <w:vMerge w:val="continue"/>
                  <w:tcMar>
                    <w:left w:w="57" w:type="dxa"/>
                    <w:right w:w="57" w:type="dxa"/>
                  </w:tcMar>
                  <w:vAlign w:val="center"/>
                </w:tcPr>
                <w:p>
                  <w:pPr>
                    <w:pStyle w:val="75"/>
                    <w:spacing w:before="50" w:after="50"/>
                    <w:rPr>
                      <w:color w:val="000000"/>
                      <w:szCs w:val="21"/>
                    </w:rPr>
                  </w:pPr>
                </w:p>
              </w:tc>
              <w:tc>
                <w:tcPr>
                  <w:tcW w:w="1066" w:type="pct"/>
                  <w:tcMar>
                    <w:left w:w="57" w:type="dxa"/>
                    <w:right w:w="57" w:type="dxa"/>
                  </w:tcMar>
                  <w:vAlign w:val="center"/>
                </w:tcPr>
                <w:p>
                  <w:pPr>
                    <w:pStyle w:val="75"/>
                    <w:spacing w:before="50" w:after="50"/>
                    <w:rPr>
                      <w:color w:val="000000"/>
                      <w:szCs w:val="21"/>
                    </w:rPr>
                  </w:pPr>
                  <w:r>
                    <w:rPr>
                      <w:color w:val="000000"/>
                      <w:szCs w:val="21"/>
                    </w:rPr>
                    <w:t>给排水</w:t>
                  </w:r>
                </w:p>
              </w:tc>
              <w:tc>
                <w:tcPr>
                  <w:tcW w:w="2403" w:type="pct"/>
                  <w:tcMar>
                    <w:left w:w="57" w:type="dxa"/>
                    <w:right w:w="57" w:type="dxa"/>
                  </w:tcMar>
                  <w:vAlign w:val="center"/>
                </w:tcPr>
                <w:p>
                  <w:pPr>
                    <w:pStyle w:val="75"/>
                    <w:jc w:val="both"/>
                    <w:rPr>
                      <w:snapToGrid w:val="0"/>
                      <w:color w:val="000000"/>
                      <w:szCs w:val="21"/>
                    </w:rPr>
                  </w:pPr>
                  <w:r>
                    <w:rPr>
                      <w:snapToGrid w:val="0"/>
                      <w:color w:val="000000"/>
                      <w:szCs w:val="21"/>
                    </w:rPr>
                    <w:t>给水：站址北侧敷设有工业园自来水公司敷设的自来水管网，主管距离本站直线距离为1km，可以满足本站用水需求。</w:t>
                  </w:r>
                </w:p>
                <w:p>
                  <w:pPr>
                    <w:pStyle w:val="75"/>
                    <w:jc w:val="both"/>
                    <w:rPr>
                      <w:color w:val="000000"/>
                    </w:rPr>
                  </w:pPr>
                  <w:r>
                    <w:rPr>
                      <w:snapToGrid w:val="0"/>
                      <w:color w:val="000000"/>
                      <w:szCs w:val="21"/>
                    </w:rPr>
                    <w:t>排水：站区排水采用雨污分流制，雨水经雨水泵站排至站址北侧地势较低处或站外水渠</w:t>
                  </w:r>
                  <w:r>
                    <w:rPr>
                      <w:rFonts w:hint="eastAsia"/>
                      <w:snapToGrid w:val="0"/>
                      <w:color w:val="000000"/>
                      <w:szCs w:val="21"/>
                    </w:rPr>
                    <w:t>；</w:t>
                  </w:r>
                  <w:r>
                    <w:rPr>
                      <w:snapToGrid w:val="0"/>
                      <w:color w:val="000000"/>
                      <w:szCs w:val="21"/>
                    </w:rPr>
                    <w:t>站区内生活污水经</w:t>
                  </w:r>
                  <w:r>
                    <w:rPr>
                      <w:rFonts w:hint="eastAsia"/>
                      <w:snapToGrid w:val="0"/>
                      <w:color w:val="000000"/>
                      <w:szCs w:val="21"/>
                    </w:rPr>
                    <w:t>地埋式污水处理设施</w:t>
                  </w:r>
                  <w:r>
                    <w:rPr>
                      <w:snapToGrid w:val="0"/>
                      <w:color w:val="000000"/>
                      <w:szCs w:val="21"/>
                    </w:rPr>
                    <w:t>处理后</w:t>
                  </w:r>
                  <w:r>
                    <w:rPr>
                      <w:rFonts w:hint="eastAsia"/>
                      <w:snapToGrid w:val="0"/>
                      <w:color w:val="000000"/>
                      <w:szCs w:val="21"/>
                    </w:rPr>
                    <w:t>，由环卫部门</w:t>
                  </w:r>
                  <w:r>
                    <w:rPr>
                      <w:snapToGrid w:val="0"/>
                      <w:color w:val="000000"/>
                      <w:szCs w:val="21"/>
                    </w:rPr>
                    <w:t>定期清理。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58" w:hRule="atLeast"/>
              </w:trPr>
              <w:tc>
                <w:tcPr>
                  <w:tcW w:w="677" w:type="pct"/>
                  <w:vMerge w:val="continue"/>
                  <w:tcMar>
                    <w:left w:w="57" w:type="dxa"/>
                    <w:right w:w="57" w:type="dxa"/>
                  </w:tcMar>
                  <w:vAlign w:val="center"/>
                </w:tcPr>
                <w:p>
                  <w:pPr>
                    <w:pStyle w:val="75"/>
                    <w:spacing w:before="50" w:after="50"/>
                    <w:rPr>
                      <w:color w:val="000000"/>
                      <w:szCs w:val="21"/>
                      <w:highlight w:val="yellow"/>
                    </w:rPr>
                  </w:pPr>
                </w:p>
              </w:tc>
              <w:tc>
                <w:tcPr>
                  <w:tcW w:w="853" w:type="pct"/>
                  <w:vMerge w:val="continue"/>
                  <w:tcMar>
                    <w:left w:w="57" w:type="dxa"/>
                    <w:right w:w="57" w:type="dxa"/>
                  </w:tcMar>
                  <w:vAlign w:val="center"/>
                </w:tcPr>
                <w:p>
                  <w:pPr>
                    <w:pStyle w:val="75"/>
                    <w:spacing w:before="50" w:after="50"/>
                    <w:rPr>
                      <w:color w:val="000000"/>
                      <w:szCs w:val="21"/>
                    </w:rPr>
                  </w:pPr>
                </w:p>
              </w:tc>
              <w:tc>
                <w:tcPr>
                  <w:tcW w:w="1066" w:type="pct"/>
                  <w:tcMar>
                    <w:left w:w="57" w:type="dxa"/>
                    <w:right w:w="57" w:type="dxa"/>
                  </w:tcMar>
                  <w:vAlign w:val="center"/>
                </w:tcPr>
                <w:p>
                  <w:pPr>
                    <w:pStyle w:val="75"/>
                    <w:spacing w:before="50" w:after="50"/>
                    <w:rPr>
                      <w:color w:val="000000"/>
                      <w:szCs w:val="21"/>
                    </w:rPr>
                  </w:pPr>
                  <w:r>
                    <w:rPr>
                      <w:color w:val="000000"/>
                      <w:szCs w:val="21"/>
                    </w:rPr>
                    <w:t>供暖</w:t>
                  </w:r>
                </w:p>
              </w:tc>
              <w:tc>
                <w:tcPr>
                  <w:tcW w:w="2403" w:type="pct"/>
                  <w:tcMar>
                    <w:left w:w="57" w:type="dxa"/>
                    <w:right w:w="57" w:type="dxa"/>
                  </w:tcMar>
                  <w:vAlign w:val="center"/>
                </w:tcPr>
                <w:p>
                  <w:pPr>
                    <w:pStyle w:val="75"/>
                    <w:jc w:val="both"/>
                    <w:rPr>
                      <w:snapToGrid w:val="0"/>
                      <w:color w:val="000000"/>
                      <w:szCs w:val="21"/>
                    </w:rPr>
                  </w:pPr>
                  <w:r>
                    <w:rPr>
                      <w:snapToGrid w:val="0"/>
                      <w:color w:val="000000"/>
                      <w:szCs w:val="21"/>
                    </w:rPr>
                    <w:t>站内建筑依靠冷暖两用分体式空调机和电暖器相结合的方式采暖。</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color w:val="000000"/>
                      <w:szCs w:val="21"/>
                      <w:highlight w:val="yellow"/>
                    </w:rPr>
                  </w:pPr>
                </w:p>
              </w:tc>
              <w:tc>
                <w:tcPr>
                  <w:tcW w:w="853" w:type="pct"/>
                  <w:vMerge w:val="restart"/>
                  <w:tcMar>
                    <w:left w:w="57" w:type="dxa"/>
                    <w:right w:w="57" w:type="dxa"/>
                  </w:tcMar>
                  <w:vAlign w:val="center"/>
                </w:tcPr>
                <w:p>
                  <w:pPr>
                    <w:pStyle w:val="75"/>
                    <w:spacing w:before="50" w:after="50"/>
                    <w:rPr>
                      <w:color w:val="000000"/>
                      <w:szCs w:val="21"/>
                    </w:rPr>
                  </w:pPr>
                  <w:r>
                    <w:rPr>
                      <w:color w:val="000000"/>
                      <w:szCs w:val="21"/>
                      <w:lang w:bidi="ar"/>
                    </w:rPr>
                    <w:t>环保工程</w:t>
                  </w:r>
                </w:p>
              </w:tc>
              <w:tc>
                <w:tcPr>
                  <w:tcW w:w="1066" w:type="pct"/>
                  <w:tcMar>
                    <w:left w:w="57" w:type="dxa"/>
                    <w:right w:w="57" w:type="dxa"/>
                  </w:tcMar>
                  <w:vAlign w:val="center"/>
                </w:tcPr>
                <w:p>
                  <w:pPr>
                    <w:pStyle w:val="75"/>
                    <w:spacing w:before="50" w:after="50"/>
                    <w:rPr>
                      <w:color w:val="000000"/>
                      <w:szCs w:val="21"/>
                    </w:rPr>
                  </w:pPr>
                  <w:r>
                    <w:rPr>
                      <w:color w:val="000000"/>
                      <w:szCs w:val="21"/>
                    </w:rPr>
                    <w:t>事故油池</w:t>
                  </w:r>
                </w:p>
              </w:tc>
              <w:tc>
                <w:tcPr>
                  <w:tcW w:w="2403" w:type="pct"/>
                  <w:tcMar>
                    <w:left w:w="57" w:type="dxa"/>
                    <w:right w:w="57" w:type="dxa"/>
                  </w:tcMar>
                  <w:vAlign w:val="center"/>
                </w:tcPr>
                <w:p>
                  <w:pPr>
                    <w:pStyle w:val="75"/>
                    <w:spacing w:before="50" w:after="50"/>
                    <w:jc w:val="both"/>
                    <w:rPr>
                      <w:snapToGrid w:val="0"/>
                      <w:color w:val="000000"/>
                      <w:szCs w:val="21"/>
                    </w:rPr>
                  </w:pPr>
                  <w:r>
                    <w:rPr>
                      <w:color w:val="000000"/>
                      <w:szCs w:val="21"/>
                    </w:rPr>
                    <w:t>新建1座有效容积约90m³的防渗主变事故油池。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jc w:val="both"/>
                    <w:rPr>
                      <w:color w:val="000000"/>
                      <w:szCs w:val="21"/>
                      <w:highlight w:val="yellow"/>
                    </w:rPr>
                  </w:pPr>
                </w:p>
              </w:tc>
              <w:tc>
                <w:tcPr>
                  <w:tcW w:w="853" w:type="pct"/>
                  <w:vMerge w:val="continue"/>
                  <w:tcMar>
                    <w:left w:w="57" w:type="dxa"/>
                    <w:right w:w="57" w:type="dxa"/>
                  </w:tcMar>
                  <w:vAlign w:val="center"/>
                </w:tcPr>
                <w:p>
                  <w:pPr>
                    <w:pStyle w:val="75"/>
                    <w:spacing w:before="50" w:after="50"/>
                    <w:jc w:val="both"/>
                    <w:rPr>
                      <w:color w:val="000000"/>
                      <w:szCs w:val="21"/>
                    </w:rPr>
                  </w:pPr>
                </w:p>
              </w:tc>
              <w:tc>
                <w:tcPr>
                  <w:tcW w:w="1066" w:type="pct"/>
                  <w:tcMar>
                    <w:left w:w="57" w:type="dxa"/>
                    <w:right w:w="57" w:type="dxa"/>
                  </w:tcMar>
                  <w:vAlign w:val="center"/>
                </w:tcPr>
                <w:p>
                  <w:pPr>
                    <w:pStyle w:val="75"/>
                    <w:spacing w:before="50" w:after="50"/>
                    <w:rPr>
                      <w:color w:val="000000"/>
                      <w:szCs w:val="21"/>
                    </w:rPr>
                  </w:pPr>
                  <w:r>
                    <w:rPr>
                      <w:color w:val="000000"/>
                      <w:szCs w:val="21"/>
                    </w:rPr>
                    <w:t>站内生活垃圾处置</w:t>
                  </w:r>
                </w:p>
              </w:tc>
              <w:tc>
                <w:tcPr>
                  <w:tcW w:w="2403" w:type="pct"/>
                  <w:tcMar>
                    <w:left w:w="57" w:type="dxa"/>
                    <w:right w:w="57" w:type="dxa"/>
                  </w:tcMar>
                  <w:vAlign w:val="center"/>
                </w:tcPr>
                <w:p>
                  <w:pPr>
                    <w:pStyle w:val="75"/>
                    <w:spacing w:before="50" w:after="50"/>
                    <w:jc w:val="both"/>
                    <w:rPr>
                      <w:snapToGrid w:val="0"/>
                      <w:color w:val="000000"/>
                      <w:szCs w:val="21"/>
                    </w:rPr>
                  </w:pPr>
                  <w:r>
                    <w:rPr>
                      <w:snapToGrid w:val="0"/>
                      <w:color w:val="000000"/>
                      <w:szCs w:val="21"/>
                    </w:rPr>
                    <w:t>站内设置垃圾桶、笤帚等生活垃圾收集设施，生活垃圾经收集后由运维检修人员运送至当地生活垃圾转运点，最终交由环卫部门妥善处置。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jc w:val="both"/>
                    <w:rPr>
                      <w:color w:val="000000"/>
                      <w:szCs w:val="21"/>
                      <w:highlight w:val="yellow"/>
                    </w:rPr>
                  </w:pPr>
                </w:p>
              </w:tc>
              <w:tc>
                <w:tcPr>
                  <w:tcW w:w="853" w:type="pct"/>
                  <w:vMerge w:val="continue"/>
                  <w:tcMar>
                    <w:left w:w="57" w:type="dxa"/>
                    <w:right w:w="57" w:type="dxa"/>
                  </w:tcMar>
                  <w:vAlign w:val="center"/>
                </w:tcPr>
                <w:p>
                  <w:pPr>
                    <w:pStyle w:val="75"/>
                    <w:spacing w:before="50" w:after="50"/>
                    <w:jc w:val="both"/>
                    <w:rPr>
                      <w:color w:val="000000"/>
                      <w:szCs w:val="21"/>
                    </w:rPr>
                  </w:pPr>
                </w:p>
              </w:tc>
              <w:tc>
                <w:tcPr>
                  <w:tcW w:w="1066" w:type="pct"/>
                  <w:tcMar>
                    <w:left w:w="57" w:type="dxa"/>
                    <w:right w:w="57" w:type="dxa"/>
                  </w:tcMar>
                  <w:vAlign w:val="center"/>
                </w:tcPr>
                <w:p>
                  <w:pPr>
                    <w:pStyle w:val="75"/>
                    <w:rPr>
                      <w:color w:val="000000"/>
                      <w:szCs w:val="21"/>
                    </w:rPr>
                  </w:pPr>
                  <w:r>
                    <w:rPr>
                      <w:color w:val="000000"/>
                      <w:szCs w:val="21"/>
                    </w:rPr>
                    <w:t>站内生活污水处置</w:t>
                  </w:r>
                </w:p>
              </w:tc>
              <w:tc>
                <w:tcPr>
                  <w:tcW w:w="2403" w:type="pct"/>
                  <w:tcMar>
                    <w:left w:w="57" w:type="dxa"/>
                    <w:right w:w="57" w:type="dxa"/>
                  </w:tcMar>
                  <w:vAlign w:val="center"/>
                </w:tcPr>
                <w:p>
                  <w:pPr>
                    <w:pStyle w:val="75"/>
                    <w:jc w:val="both"/>
                    <w:rPr>
                      <w:snapToGrid w:val="0"/>
                      <w:color w:val="000000"/>
                      <w:szCs w:val="21"/>
                    </w:rPr>
                  </w:pPr>
                  <w:r>
                    <w:rPr>
                      <w:snapToGrid w:val="0"/>
                      <w:color w:val="000000"/>
                      <w:szCs w:val="21"/>
                    </w:rPr>
                    <w:t>站区内生活污水经</w:t>
                  </w:r>
                  <w:r>
                    <w:rPr>
                      <w:rFonts w:hint="eastAsia"/>
                      <w:snapToGrid w:val="0"/>
                      <w:color w:val="000000"/>
                      <w:szCs w:val="21"/>
                    </w:rPr>
                    <w:t>地埋式污水处理设施</w:t>
                  </w:r>
                  <w:r>
                    <w:rPr>
                      <w:snapToGrid w:val="0"/>
                      <w:color w:val="000000"/>
                      <w:szCs w:val="21"/>
                    </w:rPr>
                    <w:t>处理后</w:t>
                  </w:r>
                  <w:r>
                    <w:rPr>
                      <w:rFonts w:hint="eastAsia"/>
                      <w:snapToGrid w:val="0"/>
                      <w:color w:val="000000"/>
                      <w:szCs w:val="21"/>
                    </w:rPr>
                    <w:t>，由环卫部门</w:t>
                  </w:r>
                  <w:r>
                    <w:rPr>
                      <w:snapToGrid w:val="0"/>
                      <w:color w:val="000000"/>
                      <w:szCs w:val="21"/>
                    </w:rPr>
                    <w:t>定期清理。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jc w:val="both"/>
                    <w:rPr>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rFonts w:hint="eastAsia"/>
                      <w:color w:val="000000"/>
                      <w:szCs w:val="21"/>
                    </w:rPr>
                    <w:t>临时工程</w:t>
                  </w:r>
                </w:p>
              </w:tc>
              <w:tc>
                <w:tcPr>
                  <w:tcW w:w="1066" w:type="pct"/>
                  <w:tcMar>
                    <w:left w:w="57" w:type="dxa"/>
                    <w:right w:w="57" w:type="dxa"/>
                  </w:tcMar>
                  <w:vAlign w:val="center"/>
                </w:tcPr>
                <w:p>
                  <w:pPr>
                    <w:pStyle w:val="75"/>
                    <w:rPr>
                      <w:color w:val="000000"/>
                      <w:szCs w:val="21"/>
                    </w:rPr>
                  </w:pPr>
                  <w:r>
                    <w:rPr>
                      <w:rFonts w:hint="eastAsia"/>
                      <w:color w:val="000000"/>
                      <w:szCs w:val="21"/>
                    </w:rPr>
                    <w:t>施工生产生活区</w:t>
                  </w:r>
                </w:p>
              </w:tc>
              <w:tc>
                <w:tcPr>
                  <w:tcW w:w="2403" w:type="pct"/>
                  <w:tcMar>
                    <w:left w:w="57" w:type="dxa"/>
                    <w:right w:w="57" w:type="dxa"/>
                  </w:tcMar>
                  <w:vAlign w:val="center"/>
                </w:tcPr>
                <w:p>
                  <w:pPr>
                    <w:pStyle w:val="75"/>
                    <w:jc w:val="both"/>
                    <w:rPr>
                      <w:snapToGrid w:val="0"/>
                      <w:color w:val="000000"/>
                      <w:szCs w:val="21"/>
                    </w:rPr>
                  </w:pPr>
                  <w:r>
                    <w:rPr>
                      <w:snapToGrid w:val="0"/>
                      <w:color w:val="000000"/>
                      <w:szCs w:val="21"/>
                    </w:rPr>
                    <w:t>设置施工生产生活区1处，占地面积为0.50hm</w:t>
                  </w:r>
                  <w:r>
                    <w:rPr>
                      <w:snapToGrid w:val="0"/>
                      <w:color w:val="000000"/>
                      <w:szCs w:val="21"/>
                      <w:vertAlign w:val="superscript"/>
                    </w:rPr>
                    <w:t>2</w:t>
                  </w:r>
                  <w:r>
                    <w:rPr>
                      <w:snapToGrid w:val="0"/>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jc w:val="both"/>
                    <w:rPr>
                      <w:color w:val="000000"/>
                      <w:szCs w:val="21"/>
                      <w:highlight w:val="yellow"/>
                    </w:rPr>
                  </w:pPr>
                </w:p>
              </w:tc>
              <w:tc>
                <w:tcPr>
                  <w:tcW w:w="1919" w:type="pct"/>
                  <w:gridSpan w:val="2"/>
                  <w:tcMar>
                    <w:left w:w="57" w:type="dxa"/>
                    <w:right w:w="57" w:type="dxa"/>
                  </w:tcMar>
                  <w:vAlign w:val="center"/>
                </w:tcPr>
                <w:p>
                  <w:pPr>
                    <w:pStyle w:val="75"/>
                    <w:rPr>
                      <w:color w:val="000000"/>
                      <w:szCs w:val="21"/>
                    </w:rPr>
                  </w:pPr>
                  <w:r>
                    <w:rPr>
                      <w:rFonts w:hint="eastAsia"/>
                      <w:color w:val="000000"/>
                      <w:szCs w:val="21"/>
                    </w:rPr>
                    <w:t>进站道路</w:t>
                  </w:r>
                </w:p>
              </w:tc>
              <w:tc>
                <w:tcPr>
                  <w:tcW w:w="2403" w:type="pct"/>
                  <w:tcMar>
                    <w:left w:w="57" w:type="dxa"/>
                    <w:right w:w="57" w:type="dxa"/>
                  </w:tcMar>
                  <w:vAlign w:val="center"/>
                </w:tcPr>
                <w:p>
                  <w:pPr>
                    <w:pStyle w:val="75"/>
                    <w:jc w:val="both"/>
                    <w:rPr>
                      <w:snapToGrid w:val="0"/>
                      <w:color w:val="000000"/>
                      <w:szCs w:val="21"/>
                    </w:rPr>
                  </w:pPr>
                  <w:r>
                    <w:rPr>
                      <w:snapToGrid w:val="0"/>
                      <w:color w:val="000000"/>
                      <w:szCs w:val="21"/>
                    </w:rPr>
                    <w:t>变电站进站道路从站址北侧土路引接，引接长度280m，道路宽度4.5m。</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1530" w:type="pct"/>
                  <w:gridSpan w:val="2"/>
                  <w:tcMar>
                    <w:left w:w="57" w:type="dxa"/>
                    <w:right w:w="57" w:type="dxa"/>
                  </w:tcMar>
                  <w:vAlign w:val="center"/>
                </w:tcPr>
                <w:p>
                  <w:pPr>
                    <w:pStyle w:val="75"/>
                    <w:spacing w:before="50" w:after="50"/>
                    <w:rPr>
                      <w:b/>
                      <w:color w:val="000000"/>
                      <w:szCs w:val="21"/>
                    </w:rPr>
                  </w:pPr>
                  <w:r>
                    <w:rPr>
                      <w:b/>
                      <w:color w:val="000000"/>
                      <w:szCs w:val="21"/>
                    </w:rPr>
                    <w:t>建设内容</w:t>
                  </w:r>
                </w:p>
              </w:tc>
              <w:tc>
                <w:tcPr>
                  <w:tcW w:w="3469" w:type="pct"/>
                  <w:gridSpan w:val="2"/>
                  <w:tcMar>
                    <w:left w:w="57" w:type="dxa"/>
                    <w:right w:w="57" w:type="dxa"/>
                  </w:tcMar>
                  <w:vAlign w:val="center"/>
                </w:tcPr>
                <w:p>
                  <w:pPr>
                    <w:pStyle w:val="75"/>
                    <w:spacing w:before="50" w:after="50"/>
                    <w:rPr>
                      <w:b/>
                      <w:snapToGrid w:val="0"/>
                      <w:color w:val="000000"/>
                      <w:szCs w:val="21"/>
                    </w:rPr>
                  </w:pPr>
                  <w:r>
                    <w:rPr>
                      <w:b/>
                      <w:snapToGrid w:val="0"/>
                      <w:color w:val="000000"/>
                      <w:szCs w:val="21"/>
                    </w:rPr>
                    <w:t>规模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restart"/>
                  <w:tcMar>
                    <w:left w:w="57" w:type="dxa"/>
                    <w:right w:w="57" w:type="dxa"/>
                  </w:tcMar>
                  <w:vAlign w:val="center"/>
                </w:tcPr>
                <w:p>
                  <w:pPr>
                    <w:pStyle w:val="75"/>
                    <w:spacing w:before="50" w:after="50"/>
                    <w:rPr>
                      <w:snapToGrid w:val="0"/>
                      <w:color w:val="000000"/>
                      <w:szCs w:val="21"/>
                      <w:highlight w:val="yellow"/>
                    </w:rPr>
                  </w:pPr>
                  <w:r>
                    <w:rPr>
                      <w:color w:val="000000"/>
                      <w:szCs w:val="16"/>
                    </w:rPr>
                    <w:t>吐鲁番电厂</w:t>
                  </w:r>
                  <w:r>
                    <w:rPr>
                      <w:rFonts w:hint="eastAsia"/>
                      <w:color w:val="000000"/>
                      <w:szCs w:val="16"/>
                    </w:rPr>
                    <w:t>-</w:t>
                  </w:r>
                  <w:r>
                    <w:rPr>
                      <w:color w:val="000000"/>
                      <w:szCs w:val="16"/>
                    </w:rPr>
                    <w:t>阿拉沟变Ⅰ、Ⅱ回π入伊拉湖变电站220千伏线路工程</w:t>
                  </w:r>
                </w:p>
              </w:tc>
              <w:tc>
                <w:tcPr>
                  <w:tcW w:w="853" w:type="pct"/>
                  <w:tcMar>
                    <w:left w:w="57" w:type="dxa"/>
                    <w:right w:w="57" w:type="dxa"/>
                  </w:tcMar>
                  <w:vAlign w:val="center"/>
                </w:tcPr>
                <w:p>
                  <w:pPr>
                    <w:pStyle w:val="75"/>
                    <w:spacing w:before="50" w:after="50"/>
                    <w:rPr>
                      <w:color w:val="000000"/>
                      <w:szCs w:val="21"/>
                    </w:rPr>
                  </w:pPr>
                  <w:r>
                    <w:rPr>
                      <w:color w:val="000000"/>
                      <w:szCs w:val="21"/>
                    </w:rPr>
                    <w:t>电压等级</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220kV</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snapToGrid w:val="0"/>
                      <w:color w:val="000000"/>
                      <w:szCs w:val="21"/>
                    </w:rPr>
                  </w:pPr>
                  <w:r>
                    <w:rPr>
                      <w:color w:val="000000"/>
                      <w:szCs w:val="21"/>
                    </w:rPr>
                    <w:t>线路路径长度</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4.67km</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新建铁塔数量</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19基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铁塔型式</w:t>
                  </w:r>
                </w:p>
              </w:tc>
              <w:tc>
                <w:tcPr>
                  <w:tcW w:w="3469" w:type="pct"/>
                  <w:gridSpan w:val="2"/>
                  <w:tcMar>
                    <w:left w:w="57" w:type="dxa"/>
                    <w:right w:w="57" w:type="dxa"/>
                  </w:tcMar>
                  <w:vAlign w:val="center"/>
                </w:tcPr>
                <w:p>
                  <w:pPr>
                    <w:pStyle w:val="75"/>
                    <w:spacing w:before="50" w:after="50"/>
                    <w:jc w:val="both"/>
                    <w:rPr>
                      <w:color w:val="000000"/>
                      <w:szCs w:val="21"/>
                    </w:rPr>
                  </w:pPr>
                  <w:r>
                    <w:rPr>
                      <w:snapToGrid w:val="0"/>
                      <w:color w:val="000000"/>
                      <w:szCs w:val="21"/>
                    </w:rPr>
                    <w:t>220-HG-ZB、220-HG-J、220-HG-DJ、220-CYT、220-TLF-ZB、220-TLF-J、220-HH11S-DJ</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基础型式</w:t>
                  </w:r>
                </w:p>
              </w:tc>
              <w:tc>
                <w:tcPr>
                  <w:tcW w:w="3469" w:type="pct"/>
                  <w:gridSpan w:val="2"/>
                  <w:tcMar>
                    <w:left w:w="57" w:type="dxa"/>
                    <w:right w:w="57" w:type="dxa"/>
                  </w:tcMar>
                  <w:vAlign w:val="center"/>
                </w:tcPr>
                <w:p>
                  <w:pPr>
                    <w:pStyle w:val="75"/>
                    <w:spacing w:before="50" w:after="50"/>
                    <w:rPr>
                      <w:color w:val="000000"/>
                      <w:szCs w:val="21"/>
                    </w:rPr>
                  </w:pPr>
                  <w:r>
                    <w:rPr>
                      <w:snapToGrid w:val="0"/>
                      <w:color w:val="000000"/>
                      <w:szCs w:val="21"/>
                    </w:rPr>
                    <w:t>直柱板式基础、挖孔基础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导线型号</w:t>
                  </w:r>
                </w:p>
              </w:tc>
              <w:tc>
                <w:tcPr>
                  <w:tcW w:w="3469" w:type="pct"/>
                  <w:gridSpan w:val="2"/>
                  <w:tcMar>
                    <w:left w:w="57" w:type="dxa"/>
                    <w:right w:w="57" w:type="dxa"/>
                  </w:tcMar>
                  <w:vAlign w:val="center"/>
                </w:tcPr>
                <w:p>
                  <w:pPr>
                    <w:pStyle w:val="75"/>
                    <w:spacing w:before="50" w:after="50"/>
                    <w:jc w:val="both"/>
                    <w:rPr>
                      <w:color w:val="000000"/>
                      <w:szCs w:val="21"/>
                    </w:rPr>
                  </w:pPr>
                  <w:r>
                    <w:rPr>
                      <w:color w:val="000000"/>
                      <w:szCs w:val="21"/>
                    </w:rPr>
                    <w:t>JL3/G1A-630/45型钢芯高导电率铝绞线、</w:t>
                  </w:r>
                  <w:r>
                    <w:rPr>
                      <w:rFonts w:hint="eastAsia"/>
                      <w:color w:val="000000"/>
                      <w:szCs w:val="21"/>
                    </w:rPr>
                    <w:t>J</w:t>
                  </w:r>
                  <w:r>
                    <w:rPr>
                      <w:color w:val="000000"/>
                      <w:szCs w:val="21"/>
                    </w:rPr>
                    <w:t>L3/G1A-400/35型钢芯高导电率铝绞线。</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 w:hRule="atLeast"/>
              </w:trPr>
              <w:tc>
                <w:tcPr>
                  <w:tcW w:w="677" w:type="pct"/>
                  <w:vMerge w:val="continue"/>
                  <w:tcMar>
                    <w:left w:w="57" w:type="dxa"/>
                    <w:right w:w="57" w:type="dxa"/>
                  </w:tcMar>
                  <w:vAlign w:val="center"/>
                </w:tcPr>
                <w:p>
                  <w:pPr>
                    <w:pStyle w:val="75"/>
                    <w:spacing w:before="50" w:after="50"/>
                    <w:jc w:val="both"/>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地线型号</w:t>
                  </w:r>
                </w:p>
              </w:tc>
              <w:tc>
                <w:tcPr>
                  <w:tcW w:w="3469" w:type="pct"/>
                  <w:gridSpan w:val="2"/>
                  <w:tcMar>
                    <w:left w:w="57" w:type="dxa"/>
                    <w:right w:w="57" w:type="dxa"/>
                  </w:tcMar>
                  <w:vAlign w:val="center"/>
                </w:tcPr>
                <w:p>
                  <w:pPr>
                    <w:pStyle w:val="75"/>
                    <w:spacing w:before="50" w:after="50"/>
                    <w:jc w:val="both"/>
                    <w:rPr>
                      <w:color w:val="000000"/>
                      <w:szCs w:val="21"/>
                    </w:rPr>
                  </w:pPr>
                  <w:r>
                    <w:rPr>
                      <w:color w:val="000000"/>
                      <w:szCs w:val="21"/>
                    </w:rPr>
                    <w:t>全线架设双地线，一根采用JLB35-120型铝包钢绞线，一根采用OPGW复合光缆。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jc w:val="both"/>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架设方式</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单回路架设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jc w:val="both"/>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拆除工程</w:t>
                  </w:r>
                </w:p>
              </w:tc>
              <w:tc>
                <w:tcPr>
                  <w:tcW w:w="3469" w:type="pct"/>
                  <w:gridSpan w:val="2"/>
                  <w:tcMar>
                    <w:left w:w="57" w:type="dxa"/>
                    <w:right w:w="57" w:type="dxa"/>
                  </w:tcMar>
                  <w:vAlign w:val="center"/>
                </w:tcPr>
                <w:p>
                  <w:pPr>
                    <w:pStyle w:val="75"/>
                    <w:spacing w:before="50" w:after="50"/>
                    <w:jc w:val="both"/>
                    <w:rPr>
                      <w:color w:val="000000"/>
                      <w:szCs w:val="21"/>
                    </w:rPr>
                  </w:pPr>
                  <w:r>
                    <w:rPr>
                      <w:color w:val="000000"/>
                      <w:szCs w:val="21"/>
                    </w:rPr>
                    <w:t>本期需拆除原220kV鲁拉Ⅰ、Ⅱ线杆塔6基（鲁拉Ⅰ线85#、86#和87#；鲁拉Ⅱ线94#、95#和96#）。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jc w:val="both"/>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rFonts w:hint="eastAsia"/>
                      <w:color w:val="000000"/>
                      <w:szCs w:val="21"/>
                    </w:rPr>
                    <w:t>电缆工程</w:t>
                  </w:r>
                </w:p>
              </w:tc>
              <w:tc>
                <w:tcPr>
                  <w:tcW w:w="3469" w:type="pct"/>
                  <w:gridSpan w:val="2"/>
                  <w:tcMar>
                    <w:left w:w="57" w:type="dxa"/>
                    <w:right w:w="57" w:type="dxa"/>
                  </w:tcMar>
                  <w:vAlign w:val="center"/>
                </w:tcPr>
                <w:p>
                  <w:pPr>
                    <w:pStyle w:val="75"/>
                    <w:spacing w:before="50" w:after="50"/>
                    <w:jc w:val="both"/>
                    <w:rPr>
                      <w:color w:val="000000"/>
                      <w:szCs w:val="21"/>
                    </w:rPr>
                  </w:pPr>
                  <w:r>
                    <w:rPr>
                      <w:color w:val="000000"/>
                      <w:szCs w:val="21"/>
                    </w:rPr>
                    <w:t>新建电缆线路长约0.07km，双回路敷设（本期敷设一回电缆，预留一回通道）。电缆采用ZC-YJLW03-127/220-1×1600型电力电缆，采用电缆沟敷设方式。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restart"/>
                  <w:tcMar>
                    <w:left w:w="57" w:type="dxa"/>
                    <w:right w:w="57" w:type="dxa"/>
                  </w:tcMar>
                  <w:vAlign w:val="center"/>
                </w:tcPr>
                <w:p>
                  <w:pPr>
                    <w:pStyle w:val="75"/>
                    <w:spacing w:before="50" w:after="50"/>
                    <w:rPr>
                      <w:snapToGrid w:val="0"/>
                      <w:color w:val="000000"/>
                      <w:szCs w:val="21"/>
                      <w:highlight w:val="yellow"/>
                    </w:rPr>
                  </w:pPr>
                  <w:r>
                    <w:rPr>
                      <w:color w:val="000000"/>
                      <w:szCs w:val="21"/>
                    </w:rPr>
                    <w:t>吐鲁番电厂</w:t>
                  </w:r>
                  <w:r>
                    <w:rPr>
                      <w:rFonts w:hint="eastAsia"/>
                      <w:color w:val="000000"/>
                      <w:szCs w:val="21"/>
                    </w:rPr>
                    <w:t>-</w:t>
                  </w:r>
                  <w:r>
                    <w:rPr>
                      <w:color w:val="000000"/>
                      <w:szCs w:val="21"/>
                    </w:rPr>
                    <w:t>阿拉沟变Ⅰ、Ⅱ回改接入托克逊变电站220千伏线路工程</w:t>
                  </w:r>
                </w:p>
              </w:tc>
              <w:tc>
                <w:tcPr>
                  <w:tcW w:w="853" w:type="pct"/>
                  <w:tcMar>
                    <w:left w:w="57" w:type="dxa"/>
                    <w:right w:w="57" w:type="dxa"/>
                  </w:tcMar>
                  <w:vAlign w:val="center"/>
                </w:tcPr>
                <w:p>
                  <w:pPr>
                    <w:pStyle w:val="75"/>
                    <w:spacing w:before="50" w:after="50"/>
                    <w:rPr>
                      <w:color w:val="000000"/>
                      <w:szCs w:val="21"/>
                    </w:rPr>
                  </w:pPr>
                  <w:r>
                    <w:rPr>
                      <w:color w:val="000000"/>
                      <w:szCs w:val="21"/>
                    </w:rPr>
                    <w:t>电压等级</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220kV</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snapToGrid w:val="0"/>
                      <w:color w:val="000000"/>
                      <w:szCs w:val="21"/>
                    </w:rPr>
                  </w:pPr>
                  <w:r>
                    <w:rPr>
                      <w:color w:val="000000"/>
                      <w:szCs w:val="21"/>
                    </w:rPr>
                    <w:t>线路路径长度</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9.0km</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新建铁塔数量</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30基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铁塔型式</w:t>
                  </w:r>
                </w:p>
              </w:tc>
              <w:tc>
                <w:tcPr>
                  <w:tcW w:w="3469" w:type="pct"/>
                  <w:gridSpan w:val="2"/>
                  <w:tcMar>
                    <w:left w:w="57" w:type="dxa"/>
                    <w:right w:w="57" w:type="dxa"/>
                  </w:tcMar>
                  <w:vAlign w:val="center"/>
                </w:tcPr>
                <w:p>
                  <w:pPr>
                    <w:widowControl/>
                    <w:rPr>
                      <w:snapToGrid w:val="0"/>
                      <w:color w:val="000000"/>
                      <w:kern w:val="0"/>
                      <w:szCs w:val="21"/>
                    </w:rPr>
                  </w:pPr>
                  <w:r>
                    <w:rPr>
                      <w:snapToGrid w:val="0"/>
                      <w:color w:val="000000"/>
                      <w:szCs w:val="21"/>
                    </w:rPr>
                    <w:t>220-HG-ZB、220-HG-J、220-HG-DJ、220-CYT、220-TLF-ZB、220-TLF-J、220-HH11S-DJ</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基础型式</w:t>
                  </w:r>
                </w:p>
              </w:tc>
              <w:tc>
                <w:tcPr>
                  <w:tcW w:w="3469" w:type="pct"/>
                  <w:gridSpan w:val="2"/>
                  <w:tcMar>
                    <w:left w:w="57" w:type="dxa"/>
                    <w:right w:w="57" w:type="dxa"/>
                  </w:tcMar>
                  <w:vAlign w:val="center"/>
                </w:tcPr>
                <w:p>
                  <w:pPr>
                    <w:pStyle w:val="75"/>
                    <w:spacing w:before="50" w:after="50"/>
                    <w:rPr>
                      <w:snapToGrid w:val="0"/>
                      <w:color w:val="000000"/>
                      <w:szCs w:val="21"/>
                    </w:rPr>
                  </w:pPr>
                  <w:r>
                    <w:rPr>
                      <w:snapToGrid w:val="0"/>
                      <w:color w:val="000000"/>
                      <w:szCs w:val="21"/>
                    </w:rPr>
                    <w:t>直柱板式基础、挖孔基础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导线型号</w:t>
                  </w:r>
                </w:p>
              </w:tc>
              <w:tc>
                <w:tcPr>
                  <w:tcW w:w="3469" w:type="pct"/>
                  <w:gridSpan w:val="2"/>
                  <w:tcMar>
                    <w:left w:w="57" w:type="dxa"/>
                    <w:right w:w="57" w:type="dxa"/>
                  </w:tcMar>
                  <w:vAlign w:val="center"/>
                </w:tcPr>
                <w:p>
                  <w:pPr>
                    <w:pStyle w:val="75"/>
                    <w:spacing w:before="50" w:after="50"/>
                    <w:rPr>
                      <w:snapToGrid w:val="0"/>
                      <w:color w:val="000000"/>
                      <w:szCs w:val="21"/>
                    </w:rPr>
                  </w:pPr>
                  <w:r>
                    <w:rPr>
                      <w:color w:val="000000"/>
                      <w:szCs w:val="21"/>
                    </w:rPr>
                    <w:t>JL3/G1A-400/35型钢芯高导电率铝绞线</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地线型号</w:t>
                  </w:r>
                </w:p>
              </w:tc>
              <w:tc>
                <w:tcPr>
                  <w:tcW w:w="3469" w:type="pct"/>
                  <w:gridSpan w:val="2"/>
                  <w:tcMar>
                    <w:left w:w="57" w:type="dxa"/>
                    <w:right w:w="57" w:type="dxa"/>
                  </w:tcMar>
                  <w:vAlign w:val="center"/>
                </w:tcPr>
                <w:p>
                  <w:pPr>
                    <w:pStyle w:val="75"/>
                    <w:spacing w:before="50" w:after="50"/>
                    <w:jc w:val="both"/>
                    <w:rPr>
                      <w:snapToGrid w:val="0"/>
                      <w:color w:val="000000"/>
                      <w:szCs w:val="21"/>
                    </w:rPr>
                  </w:pPr>
                  <w:r>
                    <w:rPr>
                      <w:snapToGrid w:val="0"/>
                      <w:color w:val="000000"/>
                      <w:szCs w:val="21"/>
                    </w:rPr>
                    <w:t>全线架设双地线，一根采用OPGW复合光缆，一根采用JLB35-120型铝包钢绞线。</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架设方式</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单回</w:t>
                  </w:r>
                  <w:r>
                    <w:rPr>
                      <w:rFonts w:hint="eastAsia"/>
                      <w:color w:val="000000"/>
                      <w:szCs w:val="21"/>
                    </w:rPr>
                    <w:t>路</w:t>
                  </w:r>
                  <w:r>
                    <w:rPr>
                      <w:color w:val="000000"/>
                      <w:szCs w:val="21"/>
                    </w:rPr>
                    <w:t>架设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拆除工程</w:t>
                  </w:r>
                </w:p>
              </w:tc>
              <w:tc>
                <w:tcPr>
                  <w:tcW w:w="3469" w:type="pct"/>
                  <w:gridSpan w:val="2"/>
                  <w:tcMar>
                    <w:left w:w="57" w:type="dxa"/>
                    <w:right w:w="57" w:type="dxa"/>
                  </w:tcMar>
                  <w:vAlign w:val="center"/>
                </w:tcPr>
                <w:p>
                  <w:pPr>
                    <w:pStyle w:val="75"/>
                    <w:spacing w:before="50" w:after="50"/>
                    <w:jc w:val="both"/>
                    <w:rPr>
                      <w:color w:val="000000"/>
                      <w:szCs w:val="21"/>
                    </w:rPr>
                  </w:pPr>
                  <w:r>
                    <w:rPr>
                      <w:color w:val="000000"/>
                      <w:szCs w:val="21"/>
                    </w:rPr>
                    <w:t>拆除原220kV鲁拉Ⅱ线杆塔4基（2#、3#、4#和5#），拆除原220kV鲁托Ⅰ、Ⅱ线杆塔合计38基（220kV鲁托Ⅰ线1#~34#，其中水泥双杆15基、角钢塔19基，220kV鲁托Ⅱ线01#、02#、03#和04#）。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restart"/>
                  <w:tcMar>
                    <w:left w:w="57" w:type="dxa"/>
                    <w:right w:w="57" w:type="dxa"/>
                  </w:tcMar>
                  <w:vAlign w:val="center"/>
                </w:tcPr>
                <w:p>
                  <w:pPr>
                    <w:pStyle w:val="75"/>
                    <w:spacing w:before="50" w:after="50"/>
                    <w:rPr>
                      <w:snapToGrid w:val="0"/>
                      <w:color w:val="000000"/>
                      <w:szCs w:val="21"/>
                      <w:highlight w:val="yellow"/>
                    </w:rPr>
                  </w:pPr>
                  <w:r>
                    <w:rPr>
                      <w:snapToGrid w:val="0"/>
                      <w:color w:val="000000"/>
                      <w:szCs w:val="21"/>
                    </w:rPr>
                    <w:t>线路辅助工程</w:t>
                  </w:r>
                </w:p>
              </w:tc>
              <w:tc>
                <w:tcPr>
                  <w:tcW w:w="853" w:type="pct"/>
                  <w:tcMar>
                    <w:left w:w="57" w:type="dxa"/>
                    <w:right w:w="57" w:type="dxa"/>
                  </w:tcMar>
                  <w:vAlign w:val="center"/>
                </w:tcPr>
                <w:p>
                  <w:pPr>
                    <w:pStyle w:val="75"/>
                    <w:spacing w:before="50" w:after="50"/>
                    <w:rPr>
                      <w:color w:val="000000"/>
                      <w:szCs w:val="21"/>
                    </w:rPr>
                  </w:pPr>
                  <w:r>
                    <w:rPr>
                      <w:color w:val="000000"/>
                      <w:szCs w:val="21"/>
                    </w:rPr>
                    <w:t>临时施工道路</w:t>
                  </w:r>
                </w:p>
              </w:tc>
              <w:tc>
                <w:tcPr>
                  <w:tcW w:w="3469" w:type="pct"/>
                  <w:gridSpan w:val="2"/>
                  <w:tcMar>
                    <w:left w:w="57" w:type="dxa"/>
                    <w:right w:w="57" w:type="dxa"/>
                  </w:tcMar>
                  <w:vAlign w:val="center"/>
                </w:tcPr>
                <w:p>
                  <w:pPr>
                    <w:pStyle w:val="75"/>
                    <w:spacing w:before="50" w:after="50"/>
                    <w:rPr>
                      <w:color w:val="000000"/>
                      <w:szCs w:val="21"/>
                      <w:highlight w:val="yellow"/>
                    </w:rPr>
                  </w:pPr>
                  <w:r>
                    <w:rPr>
                      <w:color w:val="000000"/>
                      <w:szCs w:val="21"/>
                    </w:rPr>
                    <w:t>长约4.0km、宽3.5m，占地面积约1.40hm</w:t>
                  </w:r>
                  <w:r>
                    <w:rPr>
                      <w:color w:val="000000"/>
                      <w:szCs w:val="21"/>
                      <w:vertAlign w:val="superscript"/>
                    </w:rPr>
                    <w:t>2</w:t>
                  </w:r>
                  <w:r>
                    <w:rPr>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塔基施工场地</w:t>
                  </w:r>
                </w:p>
              </w:tc>
              <w:tc>
                <w:tcPr>
                  <w:tcW w:w="3469" w:type="pct"/>
                  <w:gridSpan w:val="2"/>
                  <w:tcMar>
                    <w:left w:w="57" w:type="dxa"/>
                    <w:right w:w="57" w:type="dxa"/>
                  </w:tcMar>
                  <w:vAlign w:val="center"/>
                </w:tcPr>
                <w:p>
                  <w:pPr>
                    <w:pStyle w:val="75"/>
                    <w:spacing w:before="50" w:after="50"/>
                    <w:rPr>
                      <w:color w:val="000000"/>
                      <w:szCs w:val="21"/>
                      <w:highlight w:val="yellow"/>
                    </w:rPr>
                  </w:pPr>
                  <w:r>
                    <w:rPr>
                      <w:color w:val="000000"/>
                      <w:szCs w:val="21"/>
                    </w:rPr>
                    <w:t>共设置49处塔基施工场地区，占地面积约3.70hm</w:t>
                  </w:r>
                  <w:r>
                    <w:rPr>
                      <w:color w:val="000000"/>
                      <w:szCs w:val="21"/>
                      <w:vertAlign w:val="superscript"/>
                    </w:rPr>
                    <w:t>2</w:t>
                  </w:r>
                  <w:r>
                    <w:rPr>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牵张场</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共设置7处牵张场地区，占地面积约0.84hm</w:t>
                  </w:r>
                  <w:r>
                    <w:rPr>
                      <w:color w:val="000000"/>
                      <w:szCs w:val="21"/>
                      <w:vertAlign w:val="superscript"/>
                    </w:rPr>
                    <w:t>2</w:t>
                  </w:r>
                  <w:r>
                    <w:rPr>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跨越施工场地</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共设置16处跨越施工场地区，占地面积约0.64hm</w:t>
                  </w:r>
                  <w:r>
                    <w:rPr>
                      <w:color w:val="000000"/>
                      <w:szCs w:val="21"/>
                      <w:vertAlign w:val="superscript"/>
                    </w:rPr>
                    <w:t>2</w:t>
                  </w:r>
                  <w:r>
                    <w:rPr>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杆塔拆除施工场地</w:t>
                  </w:r>
                </w:p>
              </w:tc>
              <w:tc>
                <w:tcPr>
                  <w:tcW w:w="3469" w:type="pct"/>
                  <w:gridSpan w:val="2"/>
                  <w:tcMar>
                    <w:left w:w="57" w:type="dxa"/>
                    <w:right w:w="57" w:type="dxa"/>
                  </w:tcMar>
                  <w:vAlign w:val="center"/>
                </w:tcPr>
                <w:p>
                  <w:pPr>
                    <w:pStyle w:val="75"/>
                    <w:spacing w:before="50" w:after="50"/>
                    <w:rPr>
                      <w:color w:val="000000"/>
                      <w:szCs w:val="21"/>
                    </w:rPr>
                  </w:pPr>
                  <w:r>
                    <w:rPr>
                      <w:color w:val="000000"/>
                      <w:szCs w:val="21"/>
                    </w:rPr>
                    <w:t>本工程共拆除杆塔48基，占地面积约为3.00hm</w:t>
                  </w:r>
                  <w:r>
                    <w:rPr>
                      <w:color w:val="000000"/>
                      <w:szCs w:val="21"/>
                      <w:vertAlign w:val="superscript"/>
                    </w:rPr>
                    <w:t>2</w:t>
                  </w:r>
                  <w:r>
                    <w:rPr>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材料站</w:t>
                  </w:r>
                </w:p>
              </w:tc>
              <w:tc>
                <w:tcPr>
                  <w:tcW w:w="3469" w:type="pct"/>
                  <w:gridSpan w:val="2"/>
                  <w:tcMar>
                    <w:left w:w="57" w:type="dxa"/>
                    <w:right w:w="57" w:type="dxa"/>
                  </w:tcMar>
                  <w:vAlign w:val="center"/>
                </w:tcPr>
                <w:p>
                  <w:pPr>
                    <w:pStyle w:val="75"/>
                    <w:spacing w:before="50" w:after="50"/>
                    <w:jc w:val="both"/>
                    <w:rPr>
                      <w:color w:val="000000"/>
                      <w:szCs w:val="21"/>
                    </w:rPr>
                  </w:pPr>
                  <w:r>
                    <w:rPr>
                      <w:color w:val="000000"/>
                      <w:szCs w:val="21"/>
                    </w:rPr>
                    <w:t>本工程材料堆放在施工场地的空闲区域内，不单独设置材料站场地。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7" w:type="pct"/>
                  <w:vMerge w:val="continue"/>
                  <w:tcMar>
                    <w:left w:w="57" w:type="dxa"/>
                    <w:right w:w="57" w:type="dxa"/>
                  </w:tcMar>
                  <w:vAlign w:val="center"/>
                </w:tcPr>
                <w:p>
                  <w:pPr>
                    <w:pStyle w:val="75"/>
                    <w:spacing w:before="50" w:after="50"/>
                    <w:rPr>
                      <w:snapToGrid w:val="0"/>
                      <w:color w:val="000000"/>
                      <w:szCs w:val="21"/>
                      <w:highlight w:val="yellow"/>
                    </w:rPr>
                  </w:pPr>
                </w:p>
              </w:tc>
              <w:tc>
                <w:tcPr>
                  <w:tcW w:w="853" w:type="pct"/>
                  <w:tcMar>
                    <w:left w:w="57" w:type="dxa"/>
                    <w:right w:w="57" w:type="dxa"/>
                  </w:tcMar>
                  <w:vAlign w:val="center"/>
                </w:tcPr>
                <w:p>
                  <w:pPr>
                    <w:pStyle w:val="75"/>
                    <w:spacing w:before="50" w:after="50"/>
                    <w:rPr>
                      <w:color w:val="000000"/>
                      <w:szCs w:val="21"/>
                    </w:rPr>
                  </w:pPr>
                  <w:r>
                    <w:rPr>
                      <w:color w:val="000000"/>
                      <w:szCs w:val="21"/>
                    </w:rPr>
                    <w:t>施工营地</w:t>
                  </w:r>
                </w:p>
              </w:tc>
              <w:tc>
                <w:tcPr>
                  <w:tcW w:w="3469" w:type="pct"/>
                  <w:gridSpan w:val="2"/>
                  <w:tcMar>
                    <w:left w:w="57" w:type="dxa"/>
                    <w:right w:w="57" w:type="dxa"/>
                  </w:tcMar>
                  <w:vAlign w:val="center"/>
                </w:tcPr>
                <w:p>
                  <w:pPr>
                    <w:pStyle w:val="75"/>
                    <w:spacing w:before="50" w:after="50"/>
                    <w:jc w:val="both"/>
                    <w:rPr>
                      <w:color w:val="000000"/>
                      <w:szCs w:val="21"/>
                    </w:rPr>
                  </w:pPr>
                  <w:r>
                    <w:rPr>
                      <w:color w:val="000000"/>
                      <w:szCs w:val="21"/>
                    </w:rPr>
                    <w:t>临时施工生活采用租用民房的方式解决，不需单独布设施工营地。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1530" w:type="pct"/>
                  <w:gridSpan w:val="2"/>
                  <w:tcMar>
                    <w:left w:w="57" w:type="dxa"/>
                    <w:right w:w="57" w:type="dxa"/>
                  </w:tcMar>
                  <w:vAlign w:val="center"/>
                </w:tcPr>
                <w:p>
                  <w:pPr>
                    <w:pStyle w:val="75"/>
                    <w:spacing w:before="50" w:after="50"/>
                    <w:rPr>
                      <w:color w:val="000000"/>
                      <w:szCs w:val="21"/>
                    </w:rPr>
                  </w:pPr>
                  <w:r>
                    <w:rPr>
                      <w:snapToGrid w:val="0"/>
                      <w:color w:val="000000"/>
                      <w:szCs w:val="21"/>
                    </w:rPr>
                    <w:t>环保工程</w:t>
                  </w:r>
                </w:p>
              </w:tc>
              <w:tc>
                <w:tcPr>
                  <w:tcW w:w="3469" w:type="pct"/>
                  <w:gridSpan w:val="2"/>
                  <w:tcMar>
                    <w:left w:w="57" w:type="dxa"/>
                    <w:right w:w="57" w:type="dxa"/>
                  </w:tcMar>
                  <w:vAlign w:val="center"/>
                </w:tcPr>
                <w:p>
                  <w:pPr>
                    <w:pStyle w:val="75"/>
                    <w:spacing w:before="50" w:after="50"/>
                    <w:jc w:val="both"/>
                    <w:rPr>
                      <w:color w:val="000000"/>
                      <w:szCs w:val="21"/>
                    </w:rPr>
                  </w:pPr>
                  <w:r>
                    <w:rPr>
                      <w:snapToGrid w:val="0"/>
                    </w:rPr>
                    <w:t>输电线路工程施工结束后及时清理施工场地，对施工区进行地表恢复或绿化。</w:t>
                  </w:r>
                </w:p>
              </w:tc>
            </w:tr>
          </w:tbl>
          <w:p>
            <w:pPr>
              <w:pStyle w:val="2"/>
              <w:numPr>
                <w:ilvl w:val="0"/>
                <w:numId w:val="5"/>
              </w:numPr>
              <w:spacing w:before="0" w:after="0" w:line="360" w:lineRule="auto"/>
              <w:rPr>
                <w:rFonts w:eastAsia="宋体"/>
                <w:sz w:val="24"/>
                <w:szCs w:val="24"/>
              </w:rPr>
            </w:pPr>
            <w:r>
              <w:rPr>
                <w:rFonts w:hint="eastAsia" w:eastAsia="宋体"/>
                <w:sz w:val="24"/>
                <w:szCs w:val="24"/>
              </w:rPr>
              <w:t>工程概况</w:t>
            </w:r>
          </w:p>
          <w:p>
            <w:pPr>
              <w:pStyle w:val="2"/>
              <w:numPr>
                <w:ilvl w:val="1"/>
                <w:numId w:val="5"/>
              </w:numPr>
              <w:spacing w:before="0" w:after="0" w:line="360" w:lineRule="auto"/>
              <w:rPr>
                <w:rFonts w:eastAsia="宋体"/>
                <w:sz w:val="24"/>
                <w:szCs w:val="24"/>
              </w:rPr>
            </w:pPr>
            <w:r>
              <w:rPr>
                <w:rFonts w:hint="eastAsia" w:eastAsia="宋体"/>
                <w:sz w:val="24"/>
                <w:szCs w:val="24"/>
              </w:rPr>
              <w:t>伊拉湖220千伏变电站新建工程</w:t>
            </w:r>
          </w:p>
          <w:p>
            <w:pPr>
              <w:pStyle w:val="2"/>
              <w:numPr>
                <w:ilvl w:val="2"/>
                <w:numId w:val="5"/>
              </w:numPr>
              <w:spacing w:before="0" w:after="0" w:line="360" w:lineRule="auto"/>
              <w:rPr>
                <w:rFonts w:eastAsia="宋体"/>
                <w:sz w:val="24"/>
                <w:szCs w:val="24"/>
              </w:rPr>
            </w:pPr>
            <w:r>
              <w:rPr>
                <w:rFonts w:hint="eastAsia" w:eastAsia="宋体"/>
                <w:sz w:val="24"/>
                <w:szCs w:val="24"/>
              </w:rPr>
              <w:t>主体工程规模</w:t>
            </w:r>
          </w:p>
          <w:p>
            <w:pPr>
              <w:autoSpaceDE w:val="0"/>
              <w:autoSpaceDN w:val="0"/>
              <w:adjustRightInd w:val="0"/>
              <w:snapToGrid w:val="0"/>
              <w:spacing w:line="360" w:lineRule="auto"/>
              <w:ind w:firstLine="480" w:firstLineChars="200"/>
              <w:rPr>
                <w:color w:val="000000"/>
                <w:sz w:val="24"/>
              </w:rPr>
            </w:pPr>
            <w:r>
              <w:rPr>
                <w:rFonts w:hint="eastAsia"/>
                <w:color w:val="000000"/>
                <w:sz w:val="24"/>
              </w:rPr>
              <w:t>新建伊拉湖220千伏变电站</w:t>
            </w:r>
            <w:r>
              <w:rPr>
                <w:color w:val="000000"/>
                <w:sz w:val="24"/>
              </w:rPr>
              <w:t>，</w:t>
            </w:r>
            <w:r>
              <w:rPr>
                <w:rFonts w:hint="eastAsia"/>
                <w:color w:val="000000"/>
                <w:sz w:val="24"/>
              </w:rPr>
              <w:t>主变</w:t>
            </w:r>
            <w:r>
              <w:rPr>
                <w:color w:val="000000"/>
                <w:sz w:val="24"/>
              </w:rPr>
              <w:t>采取</w:t>
            </w:r>
            <w:r>
              <w:rPr>
                <w:rFonts w:hint="eastAsia"/>
                <w:color w:val="000000"/>
                <w:sz w:val="24"/>
              </w:rPr>
              <w:t>户内GIS</w:t>
            </w:r>
            <w:r>
              <w:rPr>
                <w:color w:val="000000"/>
                <w:sz w:val="24"/>
              </w:rPr>
              <w:t>布置，</w:t>
            </w:r>
            <w:r>
              <w:rPr>
                <w:rFonts w:hint="eastAsia"/>
                <w:color w:val="000000"/>
                <w:sz w:val="24"/>
              </w:rPr>
              <w:t>变电站总征地面积1.31hm</w:t>
            </w:r>
            <w:r>
              <w:rPr>
                <w:rFonts w:hint="eastAsia"/>
                <w:color w:val="000000"/>
                <w:sz w:val="24"/>
                <w:vertAlign w:val="superscript"/>
              </w:rPr>
              <w:t>2</w:t>
            </w:r>
            <w:r>
              <w:rPr>
                <w:rFonts w:hint="eastAsia"/>
                <w:color w:val="000000"/>
                <w:sz w:val="24"/>
              </w:rPr>
              <w:t>，其中围墙内占地面积0.92hm</w:t>
            </w:r>
            <w:r>
              <w:rPr>
                <w:rFonts w:hint="eastAsia"/>
                <w:color w:val="000000"/>
                <w:sz w:val="24"/>
                <w:vertAlign w:val="superscript"/>
              </w:rPr>
              <w:t>2</w:t>
            </w:r>
            <w:r>
              <w:rPr>
                <w:rFonts w:hint="eastAsia"/>
                <w:color w:val="000000"/>
                <w:sz w:val="24"/>
              </w:rPr>
              <w:t>。本期新建2台240MVA的主变，220千伏出线6回，110千伏出线8回，每台主变低压侧装设3组15MVar并联电容器及相关配套附属设施。</w:t>
            </w:r>
          </w:p>
          <w:p>
            <w:pPr>
              <w:pStyle w:val="2"/>
              <w:numPr>
                <w:ilvl w:val="2"/>
                <w:numId w:val="5"/>
              </w:numPr>
              <w:spacing w:before="0" w:after="0" w:line="360" w:lineRule="auto"/>
              <w:rPr>
                <w:rFonts w:eastAsia="宋体"/>
                <w:sz w:val="24"/>
                <w:szCs w:val="24"/>
              </w:rPr>
            </w:pPr>
            <w:r>
              <w:rPr>
                <w:rFonts w:hint="eastAsia" w:eastAsia="宋体"/>
                <w:sz w:val="24"/>
                <w:szCs w:val="24"/>
              </w:rPr>
              <w:t>公用设施及辅助工程</w:t>
            </w:r>
          </w:p>
          <w:p>
            <w:pPr>
              <w:autoSpaceDE w:val="0"/>
              <w:autoSpaceDN w:val="0"/>
              <w:adjustRightInd w:val="0"/>
              <w:snapToGrid w:val="0"/>
              <w:spacing w:line="360" w:lineRule="auto"/>
              <w:ind w:firstLine="480" w:firstLineChars="200"/>
              <w:rPr>
                <w:color w:val="000000"/>
                <w:sz w:val="24"/>
              </w:rPr>
            </w:pPr>
            <w:r>
              <w:rPr>
                <w:rFonts w:hint="eastAsia"/>
                <w:color w:val="000000"/>
                <w:sz w:val="24"/>
              </w:rPr>
              <w:t>（1）进站道路</w:t>
            </w:r>
          </w:p>
          <w:p>
            <w:pPr>
              <w:autoSpaceDE w:val="0"/>
              <w:autoSpaceDN w:val="0"/>
              <w:adjustRightInd w:val="0"/>
              <w:snapToGrid w:val="0"/>
              <w:spacing w:line="360" w:lineRule="auto"/>
              <w:ind w:firstLine="480" w:firstLineChars="200"/>
              <w:rPr>
                <w:color w:val="000000"/>
                <w:sz w:val="24"/>
              </w:rPr>
            </w:pPr>
            <w:r>
              <w:rPr>
                <w:rFonts w:hint="eastAsia"/>
                <w:color w:val="000000"/>
                <w:sz w:val="24"/>
              </w:rPr>
              <w:t>变电站进站道路从站址北侧土路引接，引接长度280m，道路宽度4.5m。</w:t>
            </w:r>
          </w:p>
          <w:p>
            <w:pPr>
              <w:autoSpaceDE w:val="0"/>
              <w:autoSpaceDN w:val="0"/>
              <w:adjustRightInd w:val="0"/>
              <w:snapToGrid w:val="0"/>
              <w:spacing w:line="360" w:lineRule="auto"/>
              <w:ind w:firstLine="480" w:firstLineChars="200"/>
              <w:rPr>
                <w:sz w:val="24"/>
              </w:rPr>
            </w:pPr>
            <w:r>
              <w:rPr>
                <w:rFonts w:hint="eastAsia"/>
                <w:sz w:val="24"/>
              </w:rPr>
              <w:t>（2）生活设施及辅助生产用房</w:t>
            </w:r>
          </w:p>
          <w:p>
            <w:pPr>
              <w:autoSpaceDE w:val="0"/>
              <w:autoSpaceDN w:val="0"/>
              <w:adjustRightInd w:val="0"/>
              <w:snapToGrid w:val="0"/>
              <w:spacing w:line="360" w:lineRule="auto"/>
              <w:ind w:firstLine="480" w:firstLineChars="200"/>
              <w:rPr>
                <w:color w:val="000000"/>
                <w:sz w:val="24"/>
              </w:rPr>
            </w:pPr>
            <w:r>
              <w:rPr>
                <w:rFonts w:hint="eastAsia"/>
                <w:color w:val="000000"/>
                <w:sz w:val="24"/>
              </w:rPr>
              <w:t>新建1座110千伏配电装置楼、1座220千伏配电装置楼、1座运维班驻地用房、1座消防泵房等。</w:t>
            </w:r>
          </w:p>
          <w:p>
            <w:pPr>
              <w:autoSpaceDE w:val="0"/>
              <w:autoSpaceDN w:val="0"/>
              <w:adjustRightInd w:val="0"/>
              <w:snapToGrid w:val="0"/>
              <w:spacing w:line="360" w:lineRule="auto"/>
              <w:ind w:firstLine="480" w:firstLineChars="200"/>
              <w:rPr>
                <w:sz w:val="24"/>
              </w:rPr>
            </w:pPr>
            <w:r>
              <w:rPr>
                <w:rFonts w:hint="eastAsia"/>
                <w:sz w:val="24"/>
              </w:rPr>
              <w:t>（3）给排水工程</w:t>
            </w:r>
          </w:p>
          <w:p>
            <w:pPr>
              <w:autoSpaceDE w:val="0"/>
              <w:autoSpaceDN w:val="0"/>
              <w:adjustRightInd w:val="0"/>
              <w:snapToGrid w:val="0"/>
              <w:spacing w:line="360" w:lineRule="auto"/>
              <w:ind w:firstLine="480" w:firstLineChars="200"/>
              <w:rPr>
                <w:sz w:val="24"/>
              </w:rPr>
            </w:pPr>
            <w:r>
              <w:rPr>
                <w:sz w:val="24"/>
              </w:rPr>
              <w:t>给水：站址北侧敷设有工业园自来水公司敷设的自来水管网，主管距离本站直线距离为1km，可以满足本站用水需求。</w:t>
            </w:r>
          </w:p>
          <w:p>
            <w:pPr>
              <w:autoSpaceDE w:val="0"/>
              <w:autoSpaceDN w:val="0"/>
              <w:adjustRightInd w:val="0"/>
              <w:snapToGrid w:val="0"/>
              <w:spacing w:line="360" w:lineRule="auto"/>
              <w:ind w:firstLine="480" w:firstLineChars="200"/>
              <w:rPr>
                <w:sz w:val="24"/>
              </w:rPr>
            </w:pPr>
            <w:r>
              <w:rPr>
                <w:sz w:val="24"/>
              </w:rPr>
              <w:t>排水：站区排水采用雨污分流制，雨水经雨水泵站排至站址北侧地势较低处或站外水渠</w:t>
            </w:r>
            <w:r>
              <w:rPr>
                <w:rFonts w:hint="eastAsia"/>
                <w:sz w:val="24"/>
              </w:rPr>
              <w:t>；</w:t>
            </w:r>
            <w:r>
              <w:rPr>
                <w:sz w:val="24"/>
              </w:rPr>
              <w:t>站区内生活污水经地埋式污水处理设施处理后，由环卫部门定期清理。</w:t>
            </w:r>
          </w:p>
          <w:p>
            <w:pPr>
              <w:autoSpaceDE w:val="0"/>
              <w:autoSpaceDN w:val="0"/>
              <w:adjustRightInd w:val="0"/>
              <w:snapToGrid w:val="0"/>
              <w:spacing w:line="360" w:lineRule="auto"/>
              <w:ind w:firstLine="480" w:firstLineChars="200"/>
              <w:rPr>
                <w:sz w:val="24"/>
              </w:rPr>
            </w:pPr>
            <w:r>
              <w:rPr>
                <w:rFonts w:hint="eastAsia"/>
                <w:sz w:val="24"/>
              </w:rPr>
              <w:t>（4）供暖工程</w:t>
            </w:r>
          </w:p>
          <w:p>
            <w:pPr>
              <w:pStyle w:val="36"/>
              <w:ind w:firstLine="0"/>
            </w:pPr>
            <w:r>
              <w:t>站内建筑依靠冷暖两用分体式空调机和电暖器相结合的方式采暖。</w:t>
            </w:r>
          </w:p>
          <w:p>
            <w:pPr>
              <w:pStyle w:val="2"/>
              <w:numPr>
                <w:ilvl w:val="2"/>
                <w:numId w:val="5"/>
              </w:numPr>
              <w:spacing w:before="0" w:after="0" w:line="360" w:lineRule="auto"/>
              <w:rPr>
                <w:rFonts w:eastAsia="宋体"/>
                <w:sz w:val="24"/>
                <w:szCs w:val="24"/>
              </w:rPr>
            </w:pPr>
            <w:r>
              <w:rPr>
                <w:rFonts w:hint="eastAsia" w:eastAsia="宋体"/>
                <w:sz w:val="24"/>
                <w:szCs w:val="24"/>
              </w:rPr>
              <w:t>临时工程</w:t>
            </w:r>
          </w:p>
          <w:p>
            <w:pPr>
              <w:autoSpaceDE w:val="0"/>
              <w:autoSpaceDN w:val="0"/>
              <w:adjustRightInd w:val="0"/>
              <w:snapToGrid w:val="0"/>
              <w:spacing w:line="360" w:lineRule="auto"/>
              <w:ind w:firstLine="480" w:firstLineChars="200"/>
              <w:rPr>
                <w:color w:val="000000"/>
                <w:sz w:val="24"/>
              </w:rPr>
            </w:pPr>
            <w:r>
              <w:rPr>
                <w:rFonts w:hint="eastAsia"/>
                <w:color w:val="000000"/>
                <w:sz w:val="24"/>
              </w:rPr>
              <w:t>（1）施工生产生活区</w:t>
            </w:r>
          </w:p>
          <w:p>
            <w:pPr>
              <w:autoSpaceDE w:val="0"/>
              <w:autoSpaceDN w:val="0"/>
              <w:adjustRightInd w:val="0"/>
              <w:snapToGrid w:val="0"/>
              <w:spacing w:line="360" w:lineRule="auto"/>
              <w:ind w:firstLine="480" w:firstLineChars="200"/>
              <w:rPr>
                <w:color w:val="000000"/>
                <w:sz w:val="24"/>
              </w:rPr>
            </w:pPr>
            <w:r>
              <w:rPr>
                <w:rFonts w:hint="eastAsia"/>
                <w:color w:val="000000"/>
                <w:sz w:val="24"/>
              </w:rPr>
              <w:t>为满足施工材料堆放及施工人员办公、居住，本工程设置施工生产生活区1处，占地面积为0.50hm</w:t>
            </w:r>
            <w:r>
              <w:rPr>
                <w:rFonts w:hint="eastAsia"/>
                <w:color w:val="000000"/>
                <w:sz w:val="24"/>
                <w:vertAlign w:val="superscript"/>
              </w:rPr>
              <w:t>2</w:t>
            </w:r>
            <w:r>
              <w:rPr>
                <w:rFonts w:hint="eastAsia"/>
                <w:color w:val="000000"/>
                <w:sz w:val="24"/>
              </w:rPr>
              <w:t>。</w:t>
            </w:r>
          </w:p>
          <w:p>
            <w:pPr>
              <w:pStyle w:val="2"/>
              <w:numPr>
                <w:ilvl w:val="2"/>
                <w:numId w:val="5"/>
              </w:numPr>
              <w:spacing w:before="0" w:after="0" w:line="360" w:lineRule="auto"/>
            </w:pPr>
            <w:r>
              <w:rPr>
                <w:rFonts w:hint="eastAsia" w:eastAsia="宋体"/>
                <w:sz w:val="24"/>
                <w:szCs w:val="24"/>
              </w:rPr>
              <w:t>环保工程</w:t>
            </w:r>
          </w:p>
          <w:p>
            <w:pPr>
              <w:autoSpaceDE w:val="0"/>
              <w:autoSpaceDN w:val="0"/>
              <w:adjustRightInd w:val="0"/>
              <w:snapToGrid w:val="0"/>
              <w:spacing w:line="360" w:lineRule="auto"/>
              <w:ind w:firstLine="480" w:firstLineChars="200"/>
            </w:pPr>
            <w:r>
              <w:rPr>
                <w:rFonts w:hint="eastAsia"/>
                <w:sz w:val="24"/>
              </w:rPr>
              <w:t>（1）事故油池</w:t>
            </w:r>
          </w:p>
          <w:p>
            <w:pPr>
              <w:pStyle w:val="36"/>
              <w:ind w:firstLine="0"/>
            </w:pPr>
            <w:r>
              <w:t>新建1座有效容积约90m³的防渗主变事故油池。</w:t>
            </w:r>
          </w:p>
          <w:p>
            <w:pPr>
              <w:pStyle w:val="15"/>
            </w:pPr>
            <w:r>
              <w:rPr>
                <w:rFonts w:hint="eastAsia"/>
              </w:rPr>
              <w:t>（2）站内生活垃圾处置设施</w:t>
            </w:r>
          </w:p>
          <w:p>
            <w:pPr>
              <w:pStyle w:val="36"/>
              <w:spacing w:after="0" w:line="360" w:lineRule="auto"/>
              <w:ind w:left="0" w:leftChars="0" w:firstLine="480" w:firstLineChars="200"/>
            </w:pPr>
            <w:r>
              <w:t>站内设置垃圾桶、笤帚等生活垃圾收集设施，生活垃圾经收集后由运维检修人员运送至当地生活垃圾转运点，最终交由环卫部门妥善处置。</w:t>
            </w:r>
          </w:p>
          <w:p>
            <w:pPr>
              <w:pStyle w:val="15"/>
            </w:pPr>
            <w:r>
              <w:rPr>
                <w:rFonts w:hint="eastAsia"/>
              </w:rPr>
              <w:t>（3）站内生活污水处置设施</w:t>
            </w:r>
          </w:p>
          <w:p>
            <w:pPr>
              <w:pStyle w:val="36"/>
              <w:spacing w:after="0" w:line="360" w:lineRule="auto"/>
              <w:ind w:left="0" w:leftChars="0" w:firstLine="480" w:firstLineChars="200"/>
            </w:pPr>
            <w:r>
              <w:t>站区内生活污水经地埋式污水处理设施处理后，由环卫部门定期清理。</w:t>
            </w:r>
          </w:p>
          <w:p>
            <w:pPr>
              <w:pStyle w:val="2"/>
              <w:numPr>
                <w:ilvl w:val="1"/>
                <w:numId w:val="5"/>
              </w:numPr>
              <w:spacing w:before="0" w:after="0" w:line="360" w:lineRule="auto"/>
              <w:rPr>
                <w:rFonts w:eastAsia="宋体"/>
                <w:sz w:val="24"/>
                <w:szCs w:val="24"/>
              </w:rPr>
            </w:pPr>
            <w:r>
              <w:rPr>
                <w:rFonts w:hint="eastAsia" w:eastAsia="宋体"/>
                <w:sz w:val="24"/>
                <w:szCs w:val="24"/>
              </w:rPr>
              <w:t>吐鲁番电厂-阿拉沟变Ⅰ、Ⅱ回π入伊拉湖变220千伏线路工程</w:t>
            </w:r>
          </w:p>
          <w:p>
            <w:pPr>
              <w:pStyle w:val="2"/>
              <w:numPr>
                <w:ilvl w:val="2"/>
                <w:numId w:val="5"/>
              </w:numPr>
              <w:spacing w:before="0" w:after="0" w:line="360" w:lineRule="auto"/>
              <w:rPr>
                <w:rFonts w:eastAsia="宋体"/>
                <w:sz w:val="24"/>
                <w:szCs w:val="24"/>
              </w:rPr>
            </w:pPr>
            <w:r>
              <w:rPr>
                <w:rFonts w:hint="eastAsia" w:eastAsia="宋体"/>
                <w:sz w:val="24"/>
                <w:szCs w:val="24"/>
              </w:rPr>
              <w:t>项目概况</w:t>
            </w:r>
          </w:p>
          <w:p>
            <w:pPr>
              <w:autoSpaceDE w:val="0"/>
              <w:autoSpaceDN w:val="0"/>
              <w:adjustRightInd w:val="0"/>
              <w:snapToGrid w:val="0"/>
              <w:spacing w:line="360" w:lineRule="auto"/>
              <w:ind w:firstLine="480" w:firstLineChars="200"/>
              <w:rPr>
                <w:color w:val="000000"/>
                <w:sz w:val="24"/>
              </w:rPr>
            </w:pPr>
            <w:r>
              <w:rPr>
                <w:rFonts w:hint="eastAsia"/>
                <w:color w:val="000000"/>
                <w:sz w:val="24"/>
              </w:rPr>
              <w:t>路径全长约4.67km，单回路架设。</w:t>
            </w:r>
            <w:r>
              <w:rPr>
                <w:color w:val="000000"/>
                <w:sz w:val="24"/>
              </w:rPr>
              <w:t>全线架设双地线，一根采用JLB35-120型铝包钢绞线，一根采用OPGW复合光缆。</w:t>
            </w:r>
            <w:r>
              <w:rPr>
                <w:rFonts w:hint="eastAsia"/>
                <w:color w:val="000000"/>
                <w:sz w:val="24"/>
              </w:rPr>
              <w:t>工程分为两部分：</w:t>
            </w:r>
          </w:p>
          <w:p>
            <w:pPr>
              <w:spacing w:line="360" w:lineRule="auto"/>
              <w:ind w:firstLine="480" w:firstLineChars="200"/>
              <w:rPr>
                <w:color w:val="000000"/>
                <w:sz w:val="24"/>
              </w:rPr>
            </w:pPr>
            <w:r>
              <w:rPr>
                <w:rFonts w:hint="eastAsia"/>
                <w:color w:val="000000"/>
                <w:sz w:val="24"/>
              </w:rPr>
              <w:t>线路部分：</w:t>
            </w:r>
          </w:p>
          <w:p>
            <w:pPr>
              <w:spacing w:line="360" w:lineRule="auto"/>
              <w:ind w:firstLine="480" w:firstLineChars="200"/>
              <w:rPr>
                <w:color w:val="000000"/>
                <w:sz w:val="24"/>
              </w:rPr>
            </w:pPr>
            <w:r>
              <w:rPr>
                <w:sz w:val="24"/>
              </w:rPr>
              <w:t>①吐鲁番电厂-阿拉沟变</w:t>
            </w:r>
            <w:r>
              <w:rPr>
                <w:rFonts w:eastAsia="微软雅黑"/>
                <w:sz w:val="24"/>
              </w:rPr>
              <w:t>Ⅰ</w:t>
            </w:r>
            <w:r>
              <w:rPr>
                <w:sz w:val="24"/>
              </w:rPr>
              <w:t>、</w:t>
            </w:r>
            <w:r>
              <w:rPr>
                <w:rFonts w:eastAsia="微软雅黑"/>
                <w:sz w:val="24"/>
              </w:rPr>
              <w:t>Ⅱ</w:t>
            </w:r>
            <w:r>
              <w:rPr>
                <w:sz w:val="24"/>
              </w:rPr>
              <w:t>回π入伊拉湖变220千伏线路工程（阿拉沟变</w:t>
            </w:r>
            <w:r>
              <w:rPr>
                <w:rFonts w:hint="eastAsia"/>
                <w:sz w:val="24"/>
              </w:rPr>
              <w:t xml:space="preserve"> </w:t>
            </w:r>
            <w:r>
              <w:rPr>
                <w:sz w:val="24"/>
              </w:rPr>
              <w:t>侧）：新建2×1.1km单回架空线路，导线采用</w:t>
            </w:r>
            <w:r>
              <w:rPr>
                <w:color w:val="000000"/>
                <w:sz w:val="24"/>
              </w:rPr>
              <w:t>2×JL3/G1A-630/45型钢芯高导电率铝绞线。</w:t>
            </w:r>
          </w:p>
          <w:p>
            <w:pPr>
              <w:spacing w:line="360" w:lineRule="auto"/>
              <w:ind w:firstLine="480" w:firstLineChars="200"/>
              <w:rPr>
                <w:color w:val="000000"/>
                <w:sz w:val="24"/>
              </w:rPr>
            </w:pPr>
            <w:r>
              <w:rPr>
                <w:sz w:val="24"/>
              </w:rPr>
              <w:t>②吐鲁番电厂-阿拉沟变</w:t>
            </w:r>
            <w:r>
              <w:rPr>
                <w:rFonts w:eastAsia="微软雅黑"/>
                <w:sz w:val="24"/>
              </w:rPr>
              <w:t>Ⅰ</w:t>
            </w:r>
            <w:r>
              <w:rPr>
                <w:sz w:val="24"/>
              </w:rPr>
              <w:t>、</w:t>
            </w:r>
            <w:r>
              <w:rPr>
                <w:rFonts w:eastAsia="微软雅黑"/>
                <w:sz w:val="24"/>
              </w:rPr>
              <w:t>Ⅱ</w:t>
            </w:r>
            <w:r>
              <w:rPr>
                <w:sz w:val="24"/>
              </w:rPr>
              <w:t>回π入伊拉湖变220千伏线路工程（托克逊变侧）：新建2×1.2km单回架空线路，导线采用</w:t>
            </w:r>
            <w:r>
              <w:rPr>
                <w:color w:val="000000"/>
                <w:sz w:val="24"/>
              </w:rPr>
              <w:t>2×JL3/G1A-400/35型钢芯高导电率铝绞线。</w:t>
            </w:r>
          </w:p>
          <w:p>
            <w:pPr>
              <w:autoSpaceDE w:val="0"/>
              <w:autoSpaceDN w:val="0"/>
              <w:adjustRightInd w:val="0"/>
              <w:snapToGrid w:val="0"/>
              <w:spacing w:line="360" w:lineRule="auto"/>
              <w:ind w:firstLine="480" w:firstLineChars="200"/>
              <w:rPr>
                <w:color w:val="000000"/>
                <w:sz w:val="24"/>
              </w:rPr>
            </w:pPr>
            <w:r>
              <w:rPr>
                <w:color w:val="000000"/>
                <w:sz w:val="24"/>
              </w:rPr>
              <w:t>电缆部分：新建电缆线路长约0.07km，双回路敷设（本期敷设一回电缆，预留一回通道）。电缆采用ZC-YJLW03-127/220-1×1600型电力电缆，采用电缆沟敷设方式。</w:t>
            </w:r>
          </w:p>
          <w:p>
            <w:pPr>
              <w:autoSpaceDE w:val="0"/>
              <w:autoSpaceDN w:val="0"/>
              <w:adjustRightInd w:val="0"/>
              <w:snapToGrid w:val="0"/>
              <w:spacing w:line="360" w:lineRule="auto"/>
              <w:ind w:firstLine="480" w:firstLineChars="200"/>
              <w:rPr>
                <w:color w:val="000000"/>
              </w:rPr>
            </w:pPr>
            <w:r>
              <w:rPr>
                <w:sz w:val="24"/>
              </w:rPr>
              <w:t>本期需拆除原220kV鲁拉Ⅰ、Ⅱ线杆塔6基（鲁拉Ⅰ线85#、86#和87#；鲁拉Ⅱ线94#、95#和96#）。</w:t>
            </w:r>
          </w:p>
          <w:p>
            <w:pPr>
              <w:pStyle w:val="2"/>
              <w:numPr>
                <w:ilvl w:val="2"/>
                <w:numId w:val="5"/>
              </w:numPr>
              <w:spacing w:before="0" w:after="0" w:line="360" w:lineRule="auto"/>
              <w:rPr>
                <w:rFonts w:eastAsia="宋体"/>
                <w:sz w:val="24"/>
                <w:szCs w:val="24"/>
              </w:rPr>
            </w:pPr>
            <w:r>
              <w:rPr>
                <w:rFonts w:hint="eastAsia" w:eastAsia="宋体"/>
                <w:sz w:val="24"/>
                <w:szCs w:val="24"/>
              </w:rPr>
              <w:t>导线、杆塔、基础</w:t>
            </w:r>
          </w:p>
          <w:p>
            <w:pPr>
              <w:autoSpaceDE w:val="0"/>
              <w:autoSpaceDN w:val="0"/>
              <w:adjustRightInd w:val="0"/>
              <w:snapToGrid w:val="0"/>
              <w:spacing w:line="360" w:lineRule="auto"/>
              <w:ind w:firstLine="480" w:firstLineChars="200"/>
              <w:rPr>
                <w:color w:val="000000"/>
                <w:sz w:val="24"/>
              </w:rPr>
            </w:pPr>
            <w:r>
              <w:rPr>
                <w:color w:val="000000"/>
                <w:sz w:val="24"/>
              </w:rPr>
              <w:t>（1）导线</w:t>
            </w:r>
          </w:p>
          <w:p>
            <w:pPr>
              <w:autoSpaceDE w:val="0"/>
              <w:autoSpaceDN w:val="0"/>
              <w:adjustRightInd w:val="0"/>
              <w:snapToGrid w:val="0"/>
              <w:spacing w:line="360" w:lineRule="auto"/>
              <w:ind w:firstLine="480" w:firstLineChars="200"/>
              <w:rPr>
                <w:color w:val="000000"/>
                <w:sz w:val="24"/>
              </w:rPr>
            </w:pPr>
            <w:r>
              <w:rPr>
                <w:color w:val="000000"/>
                <w:sz w:val="24"/>
              </w:rPr>
              <w:t>本期拟建220</w:t>
            </w:r>
            <w:r>
              <w:rPr>
                <w:rFonts w:hint="eastAsia"/>
                <w:color w:val="000000"/>
                <w:sz w:val="24"/>
              </w:rPr>
              <w:t>千伏</w:t>
            </w:r>
            <w:r>
              <w:rPr>
                <w:color w:val="000000"/>
                <w:sz w:val="24"/>
              </w:rPr>
              <w:t>线路导线选用JL3/G1A-630/45</w:t>
            </w:r>
            <w:r>
              <w:rPr>
                <w:rFonts w:hint="eastAsia"/>
                <w:color w:val="000000"/>
                <w:sz w:val="24"/>
              </w:rPr>
              <w:t>型高导电率钢芯铝绞线和JL3/G1A-400/35型高导电率钢芯铝绞线</w:t>
            </w:r>
            <w:r>
              <w:rPr>
                <w:color w:val="000000"/>
                <w:sz w:val="24"/>
              </w:rPr>
              <w:t>。架空线路导线基本参数见</w:t>
            </w:r>
            <w:r>
              <w:rPr>
                <w:rFonts w:hint="default"/>
                <w:b w:val="0"/>
                <w:bCs w:val="0"/>
                <w:color w:val="000000"/>
                <w:sz w:val="24"/>
                <w:szCs w:val="24"/>
                <w:lang w:val="en-US"/>
              </w:rPr>
              <w:fldChar w:fldCharType="begin"/>
            </w:r>
            <w:r>
              <w:rPr>
                <w:b w:val="0"/>
                <w:bCs w:val="0"/>
                <w:sz w:val="24"/>
                <w:szCs w:val="24"/>
              </w:rPr>
              <w:instrText xml:space="preserve"> REF _Ref27481 \h  \* MERGEFORMAT</w:instrText>
            </w:r>
            <w:r>
              <w:rPr>
                <w:rFonts w:hint="default"/>
                <w:b w:val="0"/>
                <w:bCs w:val="0"/>
                <w:color w:val="000000"/>
                <w:sz w:val="24"/>
                <w:szCs w:val="24"/>
                <w:lang w:val="en-US"/>
              </w:rPr>
              <w:fldChar w:fldCharType="separate"/>
            </w:r>
            <w:r>
              <w:rPr>
                <w:rFonts w:ascii="Times New Roman" w:hAnsi="Times New Roman" w:eastAsia="宋体"/>
                <w:b w:val="0"/>
                <w:bCs w:val="0"/>
                <w:sz w:val="24"/>
                <w:szCs w:val="24"/>
              </w:rPr>
              <w:t>表2</w:t>
            </w:r>
            <w:r>
              <w:rPr>
                <w:rFonts w:hint="default"/>
                <w:b w:val="0"/>
                <w:bCs w:val="0"/>
                <w:color w:val="000000"/>
                <w:sz w:val="24"/>
                <w:szCs w:val="24"/>
                <w:lang w:val="en-US"/>
              </w:rPr>
              <w:fldChar w:fldCharType="end"/>
            </w:r>
            <w:r>
              <w:rPr>
                <w:color w:val="000000"/>
                <w:sz w:val="24"/>
              </w:rPr>
              <w:t>。</w:t>
            </w:r>
          </w:p>
          <w:p>
            <w:pPr>
              <w:pStyle w:val="10"/>
              <w:keepNext/>
              <w:jc w:val="left"/>
              <w:rPr>
                <w:rFonts w:ascii="Times New Roman" w:hAnsi="Times New Roman"/>
                <w:b/>
              </w:rPr>
            </w:pPr>
            <w:bookmarkStart w:id="11" w:name="_Ref27481"/>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2</w:t>
            </w:r>
            <w:r>
              <w:rPr>
                <w:rFonts w:ascii="Times New Roman" w:hAnsi="Times New Roman" w:eastAsia="宋体"/>
                <w:b/>
              </w:rPr>
              <w:fldChar w:fldCharType="end"/>
            </w:r>
            <w:bookmarkEnd w:id="11"/>
            <w:r>
              <w:rPr>
                <w:rFonts w:ascii="Times New Roman" w:hAnsi="Times New Roman" w:eastAsia="宋体"/>
                <w:b/>
              </w:rPr>
              <w:t>输电线路工程导线基本参数一览表</w:t>
            </w:r>
          </w:p>
          <w:tbl>
            <w:tblPr>
              <w:tblStyle w:val="37"/>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0"/>
              <w:gridCol w:w="2602"/>
              <w:gridCol w:w="2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4" w:hRule="atLeast"/>
              </w:trPr>
              <w:tc>
                <w:tcPr>
                  <w:tcW w:w="1894" w:type="pct"/>
                  <w:vAlign w:val="center"/>
                </w:tcPr>
                <w:p>
                  <w:pPr>
                    <w:pStyle w:val="75"/>
                    <w:rPr>
                      <w:b/>
                      <w:bCs/>
                      <w:color w:val="000000"/>
                      <w:szCs w:val="21"/>
                    </w:rPr>
                  </w:pPr>
                  <w:r>
                    <w:rPr>
                      <w:b/>
                      <w:bCs/>
                      <w:color w:val="000000"/>
                      <w:szCs w:val="21"/>
                    </w:rPr>
                    <w:t>项目</w:t>
                  </w:r>
                </w:p>
              </w:tc>
              <w:tc>
                <w:tcPr>
                  <w:tcW w:w="3105" w:type="pct"/>
                  <w:gridSpan w:val="2"/>
                  <w:vAlign w:val="center"/>
                </w:tcPr>
                <w:p>
                  <w:pPr>
                    <w:pStyle w:val="75"/>
                    <w:rPr>
                      <w:b/>
                      <w:bCs/>
                      <w:color w:val="000000"/>
                      <w:szCs w:val="21"/>
                    </w:rPr>
                  </w:pPr>
                  <w:r>
                    <w:rPr>
                      <w:b/>
                      <w:bCs/>
                      <w:color w:val="000000"/>
                      <w:szCs w:val="21"/>
                    </w:rPr>
                    <w:t>架空线路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4" w:hRule="atLeast"/>
              </w:trPr>
              <w:tc>
                <w:tcPr>
                  <w:tcW w:w="1894" w:type="pct"/>
                  <w:vAlign w:val="center"/>
                </w:tcPr>
                <w:p>
                  <w:pPr>
                    <w:pStyle w:val="75"/>
                    <w:rPr>
                      <w:color w:val="000000"/>
                      <w:szCs w:val="21"/>
                    </w:rPr>
                  </w:pPr>
                  <w:r>
                    <w:rPr>
                      <w:color w:val="000000"/>
                      <w:szCs w:val="21"/>
                    </w:rPr>
                    <w:t>导线型号</w:t>
                  </w:r>
                </w:p>
              </w:tc>
              <w:tc>
                <w:tcPr>
                  <w:tcW w:w="1560" w:type="pct"/>
                  <w:vAlign w:val="center"/>
                </w:tcPr>
                <w:p>
                  <w:pPr>
                    <w:pStyle w:val="75"/>
                    <w:rPr>
                      <w:color w:val="000000"/>
                      <w:szCs w:val="21"/>
                    </w:rPr>
                  </w:pPr>
                  <w:r>
                    <w:rPr>
                      <w:rFonts w:hint="eastAsia"/>
                      <w:color w:val="000000"/>
                      <w:szCs w:val="21"/>
                    </w:rPr>
                    <w:t>JL3/G1A-630/45</w:t>
                  </w:r>
                </w:p>
              </w:tc>
              <w:tc>
                <w:tcPr>
                  <w:tcW w:w="1545" w:type="pct"/>
                  <w:vAlign w:val="center"/>
                </w:tcPr>
                <w:p>
                  <w:pPr>
                    <w:pStyle w:val="75"/>
                    <w:rPr>
                      <w:color w:val="000000"/>
                      <w:szCs w:val="21"/>
                    </w:rPr>
                  </w:pPr>
                  <w:r>
                    <w:rPr>
                      <w:rFonts w:hint="eastAsia"/>
                      <w:color w:val="000000"/>
                      <w:szCs w:val="21"/>
                    </w:rPr>
                    <w:t>JL3/G1A-400/35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1894" w:type="pct"/>
                  <w:vAlign w:val="center"/>
                </w:tcPr>
                <w:p>
                  <w:pPr>
                    <w:pStyle w:val="75"/>
                    <w:rPr>
                      <w:color w:val="000000"/>
                      <w:szCs w:val="21"/>
                    </w:rPr>
                  </w:pPr>
                  <w:r>
                    <w:rPr>
                      <w:color w:val="000000"/>
                      <w:szCs w:val="21"/>
                    </w:rPr>
                    <w:t>计算截面（mm</w:t>
                  </w:r>
                  <w:r>
                    <w:rPr>
                      <w:color w:val="000000"/>
                      <w:szCs w:val="21"/>
                      <w:vertAlign w:val="superscript"/>
                    </w:rPr>
                    <w:t>2</w:t>
                  </w:r>
                  <w:r>
                    <w:rPr>
                      <w:color w:val="000000"/>
                      <w:szCs w:val="21"/>
                    </w:rPr>
                    <w:t>）</w:t>
                  </w:r>
                </w:p>
              </w:tc>
              <w:tc>
                <w:tcPr>
                  <w:tcW w:w="1560" w:type="pct"/>
                  <w:vAlign w:val="center"/>
                </w:tcPr>
                <w:p>
                  <w:pPr>
                    <w:pStyle w:val="75"/>
                    <w:rPr>
                      <w:color w:val="000000"/>
                      <w:szCs w:val="21"/>
                    </w:rPr>
                  </w:pPr>
                  <w:r>
                    <w:rPr>
                      <w:rFonts w:hint="eastAsia"/>
                      <w:color w:val="000000"/>
                      <w:szCs w:val="21"/>
                    </w:rPr>
                    <w:t>630</w:t>
                  </w:r>
                </w:p>
              </w:tc>
              <w:tc>
                <w:tcPr>
                  <w:tcW w:w="1545" w:type="pct"/>
                  <w:vAlign w:val="center"/>
                </w:tcPr>
                <w:p>
                  <w:pPr>
                    <w:pStyle w:val="75"/>
                    <w:rPr>
                      <w:color w:val="000000"/>
                      <w:szCs w:val="21"/>
                    </w:rPr>
                  </w:pPr>
                  <w:r>
                    <w:rPr>
                      <w:rFonts w:hint="eastAsia"/>
                      <w:color w:val="000000"/>
                      <w:szCs w:val="21"/>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894" w:type="pct"/>
                  <w:vAlign w:val="center"/>
                </w:tcPr>
                <w:p>
                  <w:pPr>
                    <w:pStyle w:val="75"/>
                    <w:rPr>
                      <w:color w:val="000000"/>
                      <w:szCs w:val="21"/>
                    </w:rPr>
                  </w:pPr>
                  <w:r>
                    <w:rPr>
                      <w:color w:val="000000"/>
                      <w:szCs w:val="21"/>
                    </w:rPr>
                    <w:t>外径（mm）</w:t>
                  </w:r>
                </w:p>
              </w:tc>
              <w:tc>
                <w:tcPr>
                  <w:tcW w:w="1560" w:type="pct"/>
                  <w:vAlign w:val="center"/>
                </w:tcPr>
                <w:p>
                  <w:pPr>
                    <w:jc w:val="center"/>
                  </w:pPr>
                  <w:r>
                    <w:rPr>
                      <w:rFonts w:hint="eastAsia"/>
                      <w:color w:val="000000"/>
                      <w:szCs w:val="21"/>
                    </w:rPr>
                    <w:t>33.8</w:t>
                  </w:r>
                </w:p>
              </w:tc>
              <w:tc>
                <w:tcPr>
                  <w:tcW w:w="1545" w:type="pct"/>
                  <w:vAlign w:val="center"/>
                </w:tcPr>
                <w:p>
                  <w:pPr>
                    <w:jc w:val="center"/>
                    <w:rPr>
                      <w:color w:val="000000"/>
                      <w:szCs w:val="21"/>
                    </w:rPr>
                  </w:pPr>
                  <w:r>
                    <w:rPr>
                      <w:rFonts w:hint="eastAsia"/>
                      <w:color w:val="000000"/>
                      <w:szCs w:val="21"/>
                    </w:rPr>
                    <w:t>26.8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894" w:type="pct"/>
                  <w:vAlign w:val="center"/>
                </w:tcPr>
                <w:p>
                  <w:pPr>
                    <w:pStyle w:val="75"/>
                    <w:rPr>
                      <w:color w:val="000000"/>
                      <w:szCs w:val="21"/>
                    </w:rPr>
                  </w:pPr>
                  <w:r>
                    <w:rPr>
                      <w:rFonts w:hint="eastAsia"/>
                      <w:color w:val="000000"/>
                      <w:szCs w:val="21"/>
                    </w:rPr>
                    <w:t>分裂间距（mm）</w:t>
                  </w:r>
                </w:p>
              </w:tc>
              <w:tc>
                <w:tcPr>
                  <w:tcW w:w="1560" w:type="pct"/>
                  <w:vAlign w:val="center"/>
                </w:tcPr>
                <w:p>
                  <w:pPr>
                    <w:jc w:val="center"/>
                    <w:rPr>
                      <w:color w:val="000000"/>
                      <w:szCs w:val="21"/>
                    </w:rPr>
                  </w:pPr>
                  <w:r>
                    <w:rPr>
                      <w:rFonts w:hint="eastAsia"/>
                      <w:color w:val="000000"/>
                      <w:szCs w:val="21"/>
                    </w:rPr>
                    <w:t>500</w:t>
                  </w:r>
                </w:p>
              </w:tc>
              <w:tc>
                <w:tcPr>
                  <w:tcW w:w="1545" w:type="pct"/>
                  <w:vAlign w:val="center"/>
                </w:tcPr>
                <w:p>
                  <w:pPr>
                    <w:jc w:val="center"/>
                    <w:rPr>
                      <w:color w:val="000000"/>
                      <w:szCs w:val="21"/>
                    </w:rPr>
                  </w:pPr>
                  <w:r>
                    <w:rPr>
                      <w:rFonts w:hint="eastAsia"/>
                      <w:color w:val="000000"/>
                      <w:szCs w:val="21"/>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894" w:type="pct"/>
                  <w:vAlign w:val="center"/>
                </w:tcPr>
                <w:p>
                  <w:pPr>
                    <w:pStyle w:val="75"/>
                    <w:rPr>
                      <w:color w:val="000000"/>
                      <w:szCs w:val="21"/>
                    </w:rPr>
                  </w:pPr>
                  <w:r>
                    <w:rPr>
                      <w:rFonts w:hint="eastAsia"/>
                      <w:color w:val="000000"/>
                      <w:szCs w:val="21"/>
                    </w:rPr>
                    <w:t>分裂数</w:t>
                  </w:r>
                </w:p>
              </w:tc>
              <w:tc>
                <w:tcPr>
                  <w:tcW w:w="1560" w:type="pct"/>
                  <w:vAlign w:val="center"/>
                </w:tcPr>
                <w:p>
                  <w:pPr>
                    <w:jc w:val="center"/>
                    <w:rPr>
                      <w:color w:val="000000"/>
                      <w:szCs w:val="21"/>
                    </w:rPr>
                  </w:pPr>
                  <w:r>
                    <w:rPr>
                      <w:rFonts w:hint="eastAsia"/>
                      <w:color w:val="000000"/>
                      <w:szCs w:val="21"/>
                    </w:rPr>
                    <w:t>2</w:t>
                  </w:r>
                </w:p>
              </w:tc>
              <w:tc>
                <w:tcPr>
                  <w:tcW w:w="1545" w:type="pct"/>
                  <w:vAlign w:val="center"/>
                </w:tcPr>
                <w:p>
                  <w:pPr>
                    <w:jc w:val="center"/>
                    <w:rPr>
                      <w:color w:val="000000"/>
                      <w:szCs w:val="21"/>
                    </w:rPr>
                  </w:pPr>
                  <w:r>
                    <w:rPr>
                      <w:rFonts w:hint="eastAsia"/>
                      <w:color w:val="00000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 w:hRule="atLeast"/>
              </w:trPr>
              <w:tc>
                <w:tcPr>
                  <w:tcW w:w="1894" w:type="pct"/>
                  <w:vAlign w:val="center"/>
                </w:tcPr>
                <w:p>
                  <w:pPr>
                    <w:pStyle w:val="75"/>
                    <w:rPr>
                      <w:color w:val="000000"/>
                      <w:szCs w:val="21"/>
                    </w:rPr>
                  </w:pPr>
                  <w:r>
                    <w:rPr>
                      <w:color w:val="000000"/>
                      <w:szCs w:val="21"/>
                    </w:rPr>
                    <w:t>80℃长期允许载流量（A）</w:t>
                  </w:r>
                </w:p>
              </w:tc>
              <w:tc>
                <w:tcPr>
                  <w:tcW w:w="1560" w:type="pct"/>
                  <w:vAlign w:val="center"/>
                </w:tcPr>
                <w:p>
                  <w:pPr>
                    <w:jc w:val="center"/>
                  </w:pPr>
                  <w:r>
                    <w:rPr>
                      <w:rFonts w:hint="eastAsia"/>
                      <w:color w:val="000000"/>
                      <w:szCs w:val="21"/>
                    </w:rPr>
                    <w:t>2364</w:t>
                  </w:r>
                </w:p>
              </w:tc>
              <w:tc>
                <w:tcPr>
                  <w:tcW w:w="1545" w:type="pct"/>
                  <w:vAlign w:val="center"/>
                </w:tcPr>
                <w:p>
                  <w:pPr>
                    <w:jc w:val="center"/>
                    <w:rPr>
                      <w:color w:val="000000"/>
                      <w:szCs w:val="21"/>
                    </w:rPr>
                  </w:pPr>
                  <w:r>
                    <w:rPr>
                      <w:rFonts w:hint="eastAsia"/>
                      <w:color w:val="000000"/>
                      <w:szCs w:val="21"/>
                    </w:rPr>
                    <w:t>1520</w:t>
                  </w:r>
                </w:p>
              </w:tc>
            </w:tr>
          </w:tbl>
          <w:p>
            <w:pPr>
              <w:autoSpaceDE w:val="0"/>
              <w:autoSpaceDN w:val="0"/>
              <w:adjustRightInd w:val="0"/>
              <w:snapToGrid w:val="0"/>
              <w:spacing w:before="240" w:line="360" w:lineRule="auto"/>
              <w:ind w:firstLine="480" w:firstLineChars="200"/>
              <w:rPr>
                <w:color w:val="000000"/>
                <w:sz w:val="24"/>
              </w:rPr>
            </w:pPr>
            <w:r>
              <w:rPr>
                <w:color w:val="000000"/>
                <w:sz w:val="24"/>
              </w:rPr>
              <w:t>（2）杆塔</w:t>
            </w:r>
          </w:p>
          <w:p>
            <w:pPr>
              <w:autoSpaceDE w:val="0"/>
              <w:autoSpaceDN w:val="0"/>
              <w:adjustRightInd w:val="0"/>
              <w:snapToGrid w:val="0"/>
              <w:spacing w:line="360" w:lineRule="auto"/>
              <w:ind w:firstLine="480" w:firstLineChars="200"/>
              <w:rPr>
                <w:color w:val="000000"/>
                <w:sz w:val="24"/>
              </w:rPr>
            </w:pPr>
            <w:r>
              <w:rPr>
                <w:rFonts w:hint="eastAsia"/>
                <w:sz w:val="24"/>
              </w:rPr>
              <w:t>参照《国家电网公司标准化建设成果（输变电工程通用设计、通用设备）应用目录（2024年版）》中主要设计原则，本工程单回路铁塔均采用自立式铁塔，</w:t>
            </w:r>
            <w:r>
              <w:rPr>
                <w:rFonts w:hint="eastAsia"/>
                <w:color w:val="000000"/>
                <w:sz w:val="24"/>
              </w:rPr>
              <w:t>新建铁塔19</w:t>
            </w:r>
            <w:r>
              <w:rPr>
                <w:color w:val="000000"/>
                <w:sz w:val="24"/>
              </w:rPr>
              <w:t>基</w:t>
            </w:r>
            <w:r>
              <w:rPr>
                <w:rFonts w:hint="eastAsia"/>
                <w:color w:val="000000"/>
                <w:sz w:val="24"/>
              </w:rPr>
              <w:t>。杆塔型号一览表见</w:t>
            </w:r>
            <w:r>
              <w:rPr>
                <w:rFonts w:hint="eastAsia"/>
                <w:b w:val="0"/>
                <w:bCs w:val="0"/>
                <w:color w:val="000000"/>
                <w:sz w:val="24"/>
                <w:szCs w:val="24"/>
                <w:lang w:eastAsia="zh-CN"/>
              </w:rPr>
              <w:fldChar w:fldCharType="begin"/>
            </w:r>
            <w:r>
              <w:rPr>
                <w:b w:val="0"/>
                <w:bCs w:val="0"/>
                <w:sz w:val="24"/>
                <w:szCs w:val="24"/>
              </w:rPr>
              <w:instrText xml:space="preserve"> REF _Ref11371 \h  \* MERGEFORMAT</w:instrText>
            </w:r>
            <w:r>
              <w:rPr>
                <w:rFonts w:hint="eastAsia"/>
                <w:b w:val="0"/>
                <w:bCs w:val="0"/>
                <w:color w:val="000000"/>
                <w:sz w:val="24"/>
                <w:szCs w:val="24"/>
                <w:lang w:eastAsia="zh-CN"/>
              </w:rPr>
              <w:fldChar w:fldCharType="separate"/>
            </w:r>
            <w:r>
              <w:rPr>
                <w:rFonts w:ascii="Times New Roman" w:hAnsi="Times New Roman" w:eastAsia="宋体"/>
                <w:b w:val="0"/>
                <w:bCs w:val="0"/>
                <w:sz w:val="24"/>
                <w:szCs w:val="24"/>
              </w:rPr>
              <w:t>表3</w:t>
            </w:r>
            <w:r>
              <w:rPr>
                <w:rFonts w:hint="eastAsia"/>
                <w:b w:val="0"/>
                <w:bCs w:val="0"/>
                <w:color w:val="000000"/>
                <w:sz w:val="24"/>
                <w:szCs w:val="24"/>
                <w:lang w:eastAsia="zh-CN"/>
              </w:rPr>
              <w:fldChar w:fldCharType="end"/>
            </w:r>
            <w:r>
              <w:rPr>
                <w:rFonts w:hint="eastAsia"/>
                <w:color w:val="000000"/>
                <w:sz w:val="24"/>
              </w:rPr>
              <w:t>。</w:t>
            </w:r>
          </w:p>
          <w:p>
            <w:pPr>
              <w:pStyle w:val="10"/>
              <w:jc w:val="left"/>
              <w:rPr>
                <w:rFonts w:ascii="Times New Roman" w:hAnsi="Times New Roman" w:eastAsia="宋体"/>
                <w:b/>
                <w:bCs/>
              </w:rPr>
            </w:pPr>
            <w:bookmarkStart w:id="12" w:name="_Ref11371"/>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3</w:t>
            </w:r>
            <w:r>
              <w:rPr>
                <w:rFonts w:ascii="Times New Roman" w:hAnsi="Times New Roman" w:eastAsia="宋体"/>
                <w:b/>
                <w:bCs/>
              </w:rPr>
              <w:fldChar w:fldCharType="end"/>
            </w:r>
            <w:bookmarkEnd w:id="12"/>
            <w:r>
              <w:rPr>
                <w:rFonts w:ascii="Times New Roman" w:hAnsi="Times New Roman" w:eastAsia="宋体"/>
                <w:b/>
                <w:bCs/>
              </w:rPr>
              <w:t>杆塔型号一览表</w:t>
            </w:r>
          </w:p>
          <w:tbl>
            <w:tblPr>
              <w:tblStyle w:val="38"/>
              <w:tblW w:w="8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0"/>
              <w:gridCol w:w="2148"/>
              <w:gridCol w:w="1680"/>
              <w:gridCol w:w="1680"/>
              <w:gridCol w:w="1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210" w:type="dxa"/>
                  <w:vAlign w:val="center"/>
                </w:tcPr>
                <w:p>
                  <w:pPr>
                    <w:pStyle w:val="23"/>
                    <w:jc w:val="center"/>
                    <w:rPr>
                      <w:sz w:val="21"/>
                      <w:szCs w:val="21"/>
                    </w:rPr>
                  </w:pPr>
                  <w:r>
                    <w:rPr>
                      <w:sz w:val="21"/>
                      <w:szCs w:val="21"/>
                    </w:rPr>
                    <w:t>序号</w:t>
                  </w:r>
                </w:p>
              </w:tc>
              <w:tc>
                <w:tcPr>
                  <w:tcW w:w="2148" w:type="dxa"/>
                  <w:vAlign w:val="center"/>
                </w:tcPr>
                <w:p>
                  <w:pPr>
                    <w:pStyle w:val="23"/>
                    <w:jc w:val="center"/>
                    <w:rPr>
                      <w:sz w:val="21"/>
                      <w:szCs w:val="21"/>
                    </w:rPr>
                  </w:pPr>
                  <w:r>
                    <w:rPr>
                      <w:sz w:val="21"/>
                      <w:szCs w:val="21"/>
                    </w:rPr>
                    <w:t>塔型</w:t>
                  </w:r>
                </w:p>
              </w:tc>
              <w:tc>
                <w:tcPr>
                  <w:tcW w:w="1680" w:type="dxa"/>
                  <w:vAlign w:val="center"/>
                </w:tcPr>
                <w:p>
                  <w:pPr>
                    <w:pStyle w:val="23"/>
                    <w:jc w:val="center"/>
                    <w:rPr>
                      <w:sz w:val="21"/>
                      <w:szCs w:val="21"/>
                    </w:rPr>
                  </w:pPr>
                  <w:r>
                    <w:rPr>
                      <w:sz w:val="21"/>
                      <w:szCs w:val="21"/>
                    </w:rPr>
                    <w:t>呼称高（m）</w:t>
                  </w:r>
                </w:p>
              </w:tc>
              <w:tc>
                <w:tcPr>
                  <w:tcW w:w="1680" w:type="dxa"/>
                  <w:vAlign w:val="center"/>
                </w:tcPr>
                <w:p>
                  <w:pPr>
                    <w:pStyle w:val="23"/>
                    <w:jc w:val="center"/>
                    <w:rPr>
                      <w:sz w:val="21"/>
                      <w:szCs w:val="21"/>
                    </w:rPr>
                  </w:pPr>
                  <w:r>
                    <w:rPr>
                      <w:sz w:val="21"/>
                      <w:szCs w:val="21"/>
                    </w:rPr>
                    <w:t>转角度数（°）</w:t>
                  </w:r>
                </w:p>
              </w:tc>
              <w:tc>
                <w:tcPr>
                  <w:tcW w:w="1680" w:type="dxa"/>
                  <w:vAlign w:val="center"/>
                </w:tcPr>
                <w:p>
                  <w:pPr>
                    <w:pStyle w:val="23"/>
                    <w:jc w:val="center"/>
                    <w:rPr>
                      <w:sz w:val="21"/>
                      <w:szCs w:val="21"/>
                    </w:rPr>
                  </w:pPr>
                  <w:r>
                    <w:rPr>
                      <w:sz w:val="21"/>
                      <w:szCs w:val="21"/>
                    </w:rPr>
                    <w:t>数量（基）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210" w:type="dxa"/>
                  <w:vAlign w:val="center"/>
                </w:tcPr>
                <w:p>
                  <w:pPr>
                    <w:pStyle w:val="23"/>
                    <w:jc w:val="center"/>
                    <w:rPr>
                      <w:sz w:val="21"/>
                      <w:szCs w:val="21"/>
                    </w:rPr>
                  </w:pPr>
                  <w:r>
                    <w:rPr>
                      <w:sz w:val="21"/>
                      <w:szCs w:val="21"/>
                    </w:rPr>
                    <w:t>1</w:t>
                  </w:r>
                </w:p>
              </w:tc>
              <w:tc>
                <w:tcPr>
                  <w:tcW w:w="2148" w:type="dxa"/>
                  <w:vAlign w:val="center"/>
                </w:tcPr>
                <w:p>
                  <w:pPr>
                    <w:widowControl/>
                    <w:jc w:val="center"/>
                    <w:textAlignment w:val="center"/>
                    <w:rPr>
                      <w:szCs w:val="21"/>
                    </w:rPr>
                  </w:pPr>
                  <w:r>
                    <w:rPr>
                      <w:color w:val="000000"/>
                      <w:kern w:val="0"/>
                      <w:szCs w:val="21"/>
                      <w:lang w:bidi="ar"/>
                    </w:rPr>
                    <w:t>220-GH-ZB1</w:t>
                  </w:r>
                </w:p>
              </w:tc>
              <w:tc>
                <w:tcPr>
                  <w:tcW w:w="1680" w:type="dxa"/>
                  <w:vAlign w:val="center"/>
                </w:tcPr>
                <w:p>
                  <w:pPr>
                    <w:pStyle w:val="126"/>
                    <w:spacing w:line="240" w:lineRule="auto"/>
                    <w:ind w:firstLine="0"/>
                    <w:jc w:val="center"/>
                    <w:rPr>
                      <w:rFonts w:ascii="Times New Roman" w:hAnsi="Times New Roman" w:cs="Times New Roman"/>
                      <w:szCs w:val="21"/>
                    </w:rPr>
                  </w:pPr>
                  <w:r>
                    <w:rPr>
                      <w:rFonts w:ascii="Times New Roman" w:hAnsi="Times New Roman" w:cs="Times New Roman"/>
                      <w:szCs w:val="21"/>
                    </w:rPr>
                    <w:t>18-36</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210" w:type="dxa"/>
                  <w:vAlign w:val="center"/>
                </w:tcPr>
                <w:p>
                  <w:pPr>
                    <w:pStyle w:val="23"/>
                    <w:jc w:val="center"/>
                    <w:rPr>
                      <w:sz w:val="21"/>
                      <w:szCs w:val="21"/>
                    </w:rPr>
                  </w:pPr>
                  <w:r>
                    <w:rPr>
                      <w:sz w:val="21"/>
                      <w:szCs w:val="21"/>
                    </w:rPr>
                    <w:t>2</w:t>
                  </w:r>
                </w:p>
              </w:tc>
              <w:tc>
                <w:tcPr>
                  <w:tcW w:w="2148" w:type="dxa"/>
                  <w:vAlign w:val="center"/>
                </w:tcPr>
                <w:p>
                  <w:pPr>
                    <w:widowControl/>
                    <w:jc w:val="center"/>
                    <w:textAlignment w:val="center"/>
                    <w:rPr>
                      <w:szCs w:val="21"/>
                    </w:rPr>
                  </w:pPr>
                  <w:r>
                    <w:rPr>
                      <w:color w:val="000000"/>
                      <w:kern w:val="0"/>
                      <w:szCs w:val="21"/>
                      <w:lang w:bidi="ar"/>
                    </w:rPr>
                    <w:t>220-GH-J1</w:t>
                  </w:r>
                </w:p>
              </w:tc>
              <w:tc>
                <w:tcPr>
                  <w:tcW w:w="1680" w:type="dxa"/>
                  <w:vAlign w:val="center"/>
                </w:tcPr>
                <w:p>
                  <w:pPr>
                    <w:pStyle w:val="126"/>
                    <w:spacing w:line="240" w:lineRule="auto"/>
                    <w:ind w:firstLine="0"/>
                    <w:jc w:val="center"/>
                    <w:rPr>
                      <w:rFonts w:ascii="Times New Roman" w:hAnsi="Times New Roman" w:cs="Times New Roman"/>
                      <w:szCs w:val="21"/>
                    </w:rPr>
                  </w:pPr>
                  <w:r>
                    <w:rPr>
                      <w:rFonts w:ascii="Times New Roman" w:hAnsi="Times New Roman" w:cs="Times New Roman"/>
                      <w:szCs w:val="21"/>
                    </w:rPr>
                    <w:t>21-45</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210" w:type="dxa"/>
                  <w:vAlign w:val="center"/>
                </w:tcPr>
                <w:p>
                  <w:pPr>
                    <w:pStyle w:val="23"/>
                    <w:jc w:val="center"/>
                    <w:rPr>
                      <w:sz w:val="21"/>
                      <w:szCs w:val="21"/>
                    </w:rPr>
                  </w:pPr>
                  <w:r>
                    <w:rPr>
                      <w:sz w:val="21"/>
                      <w:szCs w:val="21"/>
                    </w:rPr>
                    <w:t>3</w:t>
                  </w:r>
                </w:p>
              </w:tc>
              <w:tc>
                <w:tcPr>
                  <w:tcW w:w="2148" w:type="dxa"/>
                  <w:vAlign w:val="center"/>
                </w:tcPr>
                <w:p>
                  <w:pPr>
                    <w:widowControl/>
                    <w:jc w:val="center"/>
                    <w:textAlignment w:val="center"/>
                    <w:rPr>
                      <w:szCs w:val="21"/>
                    </w:rPr>
                  </w:pPr>
                  <w:r>
                    <w:rPr>
                      <w:color w:val="000000"/>
                      <w:kern w:val="0"/>
                      <w:szCs w:val="21"/>
                      <w:lang w:bidi="ar"/>
                    </w:rPr>
                    <w:t>220-GH-J4</w:t>
                  </w:r>
                </w:p>
              </w:tc>
              <w:tc>
                <w:tcPr>
                  <w:tcW w:w="1680" w:type="dxa"/>
                  <w:vAlign w:val="center"/>
                </w:tcPr>
                <w:p>
                  <w:pPr>
                    <w:pStyle w:val="126"/>
                    <w:spacing w:line="240" w:lineRule="auto"/>
                    <w:ind w:firstLine="0"/>
                    <w:jc w:val="center"/>
                    <w:rPr>
                      <w:rFonts w:ascii="Times New Roman" w:hAnsi="Times New Roman" w:cs="Times New Roman"/>
                      <w:szCs w:val="21"/>
                    </w:rPr>
                  </w:pPr>
                  <w:r>
                    <w:rPr>
                      <w:rFonts w:ascii="Times New Roman" w:hAnsi="Times New Roman" w:cs="Times New Roman"/>
                      <w:szCs w:val="21"/>
                    </w:rPr>
                    <w:t>21-45</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210" w:type="dxa"/>
                  <w:vAlign w:val="center"/>
                </w:tcPr>
                <w:p>
                  <w:pPr>
                    <w:pStyle w:val="23"/>
                    <w:jc w:val="center"/>
                    <w:rPr>
                      <w:sz w:val="21"/>
                      <w:szCs w:val="21"/>
                    </w:rPr>
                  </w:pPr>
                  <w:r>
                    <w:rPr>
                      <w:sz w:val="21"/>
                      <w:szCs w:val="21"/>
                    </w:rPr>
                    <w:t>4</w:t>
                  </w:r>
                </w:p>
              </w:tc>
              <w:tc>
                <w:tcPr>
                  <w:tcW w:w="2148" w:type="dxa"/>
                  <w:vAlign w:val="center"/>
                </w:tcPr>
                <w:p>
                  <w:pPr>
                    <w:widowControl/>
                    <w:jc w:val="center"/>
                    <w:textAlignment w:val="center"/>
                    <w:rPr>
                      <w:szCs w:val="21"/>
                    </w:rPr>
                  </w:pPr>
                  <w:r>
                    <w:rPr>
                      <w:color w:val="000000"/>
                      <w:kern w:val="0"/>
                      <w:szCs w:val="21"/>
                      <w:lang w:bidi="ar"/>
                    </w:rPr>
                    <w:t>220-GH-DJ1</w:t>
                  </w:r>
                </w:p>
              </w:tc>
              <w:tc>
                <w:tcPr>
                  <w:tcW w:w="1680" w:type="dxa"/>
                  <w:vAlign w:val="center"/>
                </w:tcPr>
                <w:p>
                  <w:pPr>
                    <w:pStyle w:val="126"/>
                    <w:spacing w:line="240" w:lineRule="auto"/>
                    <w:ind w:firstLine="0"/>
                    <w:jc w:val="center"/>
                    <w:rPr>
                      <w:rFonts w:ascii="Times New Roman" w:hAnsi="Times New Roman" w:cs="Times New Roman"/>
                      <w:szCs w:val="21"/>
                    </w:rPr>
                  </w:pPr>
                  <w:r>
                    <w:rPr>
                      <w:rFonts w:ascii="Times New Roman" w:hAnsi="Times New Roman" w:cs="Times New Roman"/>
                      <w:szCs w:val="21"/>
                    </w:rPr>
                    <w:t>15-30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0-20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210" w:type="dxa"/>
                  <w:vAlign w:val="center"/>
                </w:tcPr>
                <w:p>
                  <w:pPr>
                    <w:pStyle w:val="23"/>
                    <w:jc w:val="center"/>
                    <w:rPr>
                      <w:sz w:val="21"/>
                      <w:szCs w:val="21"/>
                    </w:rPr>
                  </w:pPr>
                  <w:r>
                    <w:rPr>
                      <w:sz w:val="21"/>
                      <w:szCs w:val="21"/>
                    </w:rPr>
                    <w:t>5</w:t>
                  </w:r>
                </w:p>
              </w:tc>
              <w:tc>
                <w:tcPr>
                  <w:tcW w:w="2148" w:type="dxa"/>
                  <w:vAlign w:val="center"/>
                </w:tcPr>
                <w:p>
                  <w:pPr>
                    <w:widowControl/>
                    <w:jc w:val="center"/>
                    <w:textAlignment w:val="center"/>
                    <w:rPr>
                      <w:szCs w:val="21"/>
                    </w:rPr>
                  </w:pPr>
                  <w:r>
                    <w:rPr>
                      <w:color w:val="000000"/>
                      <w:kern w:val="0"/>
                      <w:szCs w:val="21"/>
                      <w:lang w:bidi="ar"/>
                    </w:rPr>
                    <w:t>220-GH-DJ1</w:t>
                  </w:r>
                </w:p>
              </w:tc>
              <w:tc>
                <w:tcPr>
                  <w:tcW w:w="1680" w:type="dxa"/>
                  <w:vAlign w:val="center"/>
                </w:tcPr>
                <w:p>
                  <w:pPr>
                    <w:pStyle w:val="126"/>
                    <w:spacing w:line="240" w:lineRule="auto"/>
                    <w:ind w:firstLine="0"/>
                    <w:jc w:val="center"/>
                    <w:rPr>
                      <w:rFonts w:ascii="Times New Roman" w:hAnsi="Times New Roman" w:cs="Times New Roman"/>
                      <w:szCs w:val="21"/>
                    </w:rPr>
                  </w:pPr>
                  <w:r>
                    <w:rPr>
                      <w:rFonts w:ascii="Times New Roman" w:hAnsi="Times New Roman" w:cs="Times New Roman"/>
                      <w:szCs w:val="21"/>
                    </w:rPr>
                    <w:t>15-30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20-40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210" w:type="dxa"/>
                  <w:vAlign w:val="center"/>
                </w:tcPr>
                <w:p>
                  <w:pPr>
                    <w:pStyle w:val="23"/>
                    <w:jc w:val="center"/>
                    <w:rPr>
                      <w:sz w:val="21"/>
                      <w:szCs w:val="21"/>
                    </w:rPr>
                  </w:pPr>
                  <w:r>
                    <w:rPr>
                      <w:sz w:val="21"/>
                      <w:szCs w:val="21"/>
                    </w:rPr>
                    <w:t>6</w:t>
                  </w:r>
                </w:p>
              </w:tc>
              <w:tc>
                <w:tcPr>
                  <w:tcW w:w="2148" w:type="dxa"/>
                  <w:vAlign w:val="center"/>
                </w:tcPr>
                <w:p>
                  <w:pPr>
                    <w:widowControl/>
                    <w:jc w:val="center"/>
                    <w:textAlignment w:val="center"/>
                    <w:rPr>
                      <w:szCs w:val="21"/>
                    </w:rPr>
                  </w:pPr>
                  <w:r>
                    <w:rPr>
                      <w:color w:val="000000"/>
                      <w:kern w:val="0"/>
                      <w:szCs w:val="21"/>
                      <w:lang w:bidi="ar"/>
                    </w:rPr>
                    <w:t>220-TLF-ZB1</w:t>
                  </w:r>
                </w:p>
              </w:tc>
              <w:tc>
                <w:tcPr>
                  <w:tcW w:w="1680" w:type="dxa"/>
                  <w:vAlign w:val="center"/>
                </w:tcPr>
                <w:p>
                  <w:pPr>
                    <w:pStyle w:val="126"/>
                    <w:spacing w:line="240" w:lineRule="auto"/>
                    <w:ind w:firstLine="0"/>
                    <w:jc w:val="center"/>
                    <w:rPr>
                      <w:rFonts w:ascii="Times New Roman" w:hAnsi="Times New Roman" w:cs="Times New Roman"/>
                      <w:szCs w:val="21"/>
                    </w:rPr>
                  </w:pPr>
                  <w:r>
                    <w:rPr>
                      <w:rFonts w:ascii="Times New Roman" w:hAnsi="Times New Roman" w:cs="Times New Roman"/>
                      <w:szCs w:val="21"/>
                    </w:rPr>
                    <w:t>15-30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60-90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210" w:type="dxa"/>
                  <w:vAlign w:val="center"/>
                </w:tcPr>
                <w:p>
                  <w:pPr>
                    <w:pStyle w:val="23"/>
                    <w:jc w:val="center"/>
                    <w:rPr>
                      <w:sz w:val="21"/>
                      <w:szCs w:val="21"/>
                    </w:rPr>
                  </w:pPr>
                  <w:r>
                    <w:rPr>
                      <w:sz w:val="21"/>
                      <w:szCs w:val="21"/>
                    </w:rPr>
                    <w:t>7</w:t>
                  </w:r>
                </w:p>
              </w:tc>
              <w:tc>
                <w:tcPr>
                  <w:tcW w:w="2148" w:type="dxa"/>
                  <w:vAlign w:val="center"/>
                </w:tcPr>
                <w:p>
                  <w:pPr>
                    <w:widowControl/>
                    <w:jc w:val="center"/>
                    <w:textAlignment w:val="center"/>
                    <w:rPr>
                      <w:szCs w:val="21"/>
                    </w:rPr>
                  </w:pPr>
                  <w:r>
                    <w:rPr>
                      <w:color w:val="000000"/>
                      <w:kern w:val="0"/>
                      <w:szCs w:val="21"/>
                      <w:lang w:bidi="ar"/>
                    </w:rPr>
                    <w:t>220-TLF-J2</w:t>
                  </w:r>
                </w:p>
              </w:tc>
              <w:tc>
                <w:tcPr>
                  <w:tcW w:w="1680" w:type="dxa"/>
                  <w:vAlign w:val="center"/>
                </w:tcPr>
                <w:p>
                  <w:pPr>
                    <w:pStyle w:val="126"/>
                    <w:spacing w:line="240" w:lineRule="auto"/>
                    <w:ind w:firstLine="0"/>
                    <w:jc w:val="center"/>
                    <w:rPr>
                      <w:rFonts w:ascii="Times New Roman" w:hAnsi="Times New Roman" w:cs="Times New Roman"/>
                      <w:szCs w:val="21"/>
                    </w:rPr>
                  </w:pPr>
                  <w:r>
                    <w:rPr>
                      <w:rFonts w:ascii="Times New Roman" w:hAnsi="Times New Roman" w:cs="Times New Roman"/>
                      <w:szCs w:val="21"/>
                    </w:rPr>
                    <w:t>15-18</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0-40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210" w:type="dxa"/>
                  <w:vAlign w:val="center"/>
                </w:tcPr>
                <w:p>
                  <w:pPr>
                    <w:pStyle w:val="23"/>
                    <w:jc w:val="center"/>
                    <w:rPr>
                      <w:sz w:val="21"/>
                      <w:szCs w:val="21"/>
                    </w:rPr>
                  </w:pPr>
                  <w:r>
                    <w:rPr>
                      <w:sz w:val="21"/>
                      <w:szCs w:val="21"/>
                    </w:rPr>
                    <w:t>8</w:t>
                  </w:r>
                </w:p>
              </w:tc>
              <w:tc>
                <w:tcPr>
                  <w:tcW w:w="2148" w:type="dxa"/>
                  <w:vAlign w:val="center"/>
                </w:tcPr>
                <w:p>
                  <w:pPr>
                    <w:widowControl/>
                    <w:jc w:val="center"/>
                    <w:textAlignment w:val="center"/>
                    <w:rPr>
                      <w:szCs w:val="21"/>
                    </w:rPr>
                  </w:pPr>
                  <w:r>
                    <w:rPr>
                      <w:color w:val="000000"/>
                      <w:kern w:val="0"/>
                      <w:szCs w:val="21"/>
                      <w:lang w:bidi="ar"/>
                    </w:rPr>
                    <w:t>220-TLF-J4</w:t>
                  </w:r>
                </w:p>
              </w:tc>
              <w:tc>
                <w:tcPr>
                  <w:tcW w:w="1680" w:type="dxa"/>
                  <w:vAlign w:val="center"/>
                </w:tcPr>
                <w:p>
                  <w:pPr>
                    <w:pStyle w:val="126"/>
                    <w:spacing w:line="240" w:lineRule="auto"/>
                    <w:ind w:firstLine="0"/>
                    <w:jc w:val="center"/>
                    <w:rPr>
                      <w:rFonts w:ascii="Times New Roman" w:hAnsi="Times New Roman" w:cs="Times New Roman"/>
                      <w:szCs w:val="21"/>
                    </w:rPr>
                  </w:pPr>
                  <w:r>
                    <w:rPr>
                      <w:rFonts w:ascii="Times New Roman" w:hAnsi="Times New Roman" w:cs="Times New Roman"/>
                      <w:szCs w:val="21"/>
                    </w:rPr>
                    <w:t>15-30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0-40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210" w:type="dxa"/>
                  <w:vAlign w:val="center"/>
                </w:tcPr>
                <w:p>
                  <w:pPr>
                    <w:pStyle w:val="23"/>
                    <w:jc w:val="center"/>
                    <w:rPr>
                      <w:sz w:val="21"/>
                      <w:szCs w:val="21"/>
                    </w:rPr>
                  </w:pPr>
                  <w:r>
                    <w:rPr>
                      <w:sz w:val="21"/>
                      <w:szCs w:val="21"/>
                    </w:rPr>
                    <w:t>9</w:t>
                  </w:r>
                </w:p>
              </w:tc>
              <w:tc>
                <w:tcPr>
                  <w:tcW w:w="2148" w:type="dxa"/>
                  <w:vAlign w:val="center"/>
                </w:tcPr>
                <w:p>
                  <w:pPr>
                    <w:widowControl/>
                    <w:jc w:val="center"/>
                    <w:textAlignment w:val="center"/>
                    <w:rPr>
                      <w:szCs w:val="21"/>
                    </w:rPr>
                  </w:pPr>
                  <w:r>
                    <w:rPr>
                      <w:color w:val="000000"/>
                      <w:kern w:val="0"/>
                      <w:szCs w:val="21"/>
                      <w:lang w:bidi="ar"/>
                    </w:rPr>
                    <w:t>220-HH11S-DJ1</w:t>
                  </w:r>
                </w:p>
              </w:tc>
              <w:tc>
                <w:tcPr>
                  <w:tcW w:w="1680" w:type="dxa"/>
                  <w:vAlign w:val="center"/>
                </w:tcPr>
                <w:p>
                  <w:pPr>
                    <w:pStyle w:val="126"/>
                    <w:spacing w:line="240" w:lineRule="auto"/>
                    <w:ind w:firstLine="0"/>
                    <w:jc w:val="center"/>
                    <w:rPr>
                      <w:rFonts w:ascii="Times New Roman" w:hAnsi="Times New Roman" w:cs="Times New Roman"/>
                      <w:szCs w:val="21"/>
                    </w:rPr>
                  </w:pPr>
                  <w:r>
                    <w:rPr>
                      <w:rFonts w:ascii="Times New Roman" w:hAnsi="Times New Roman" w:cs="Times New Roman"/>
                      <w:szCs w:val="21"/>
                    </w:rPr>
                    <w:t>18-36</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0</w:t>
                  </w:r>
                </w:p>
              </w:tc>
              <w:tc>
                <w:tcPr>
                  <w:tcW w:w="1680" w:type="dxa"/>
                  <w:vAlign w:val="center"/>
                </w:tcPr>
                <w:p>
                  <w:pPr>
                    <w:pStyle w:val="126"/>
                    <w:spacing w:line="240" w:lineRule="auto"/>
                    <w:ind w:firstLine="0"/>
                    <w:jc w:val="center"/>
                    <w:rPr>
                      <w:rFonts w:ascii="Times New Roman" w:hAnsi="Times New Roman" w:cs="Times New Roman"/>
                      <w:szCs w:val="21"/>
                    </w:rPr>
                  </w:pPr>
                  <w:r>
                    <w:rPr>
                      <w:rFonts w:hint="eastAsia" w:ascii="Times New Roman" w:hAnsi="Times New Roman" w:cs="Times New Roman"/>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6718" w:type="dxa"/>
                  <w:gridSpan w:val="4"/>
                  <w:vAlign w:val="center"/>
                </w:tcPr>
                <w:p>
                  <w:pPr>
                    <w:pStyle w:val="23"/>
                    <w:jc w:val="center"/>
                    <w:rPr>
                      <w:sz w:val="21"/>
                      <w:szCs w:val="21"/>
                    </w:rPr>
                  </w:pPr>
                  <w:r>
                    <w:rPr>
                      <w:sz w:val="21"/>
                      <w:szCs w:val="21"/>
                    </w:rPr>
                    <w:t>合计</w:t>
                  </w:r>
                </w:p>
              </w:tc>
              <w:tc>
                <w:tcPr>
                  <w:tcW w:w="1680" w:type="dxa"/>
                  <w:vAlign w:val="center"/>
                </w:tcPr>
                <w:p>
                  <w:pPr>
                    <w:pStyle w:val="23"/>
                    <w:jc w:val="center"/>
                    <w:rPr>
                      <w:sz w:val="21"/>
                      <w:szCs w:val="21"/>
                    </w:rPr>
                  </w:pPr>
                  <w:r>
                    <w:rPr>
                      <w:rFonts w:hint="eastAsia"/>
                      <w:sz w:val="21"/>
                      <w:szCs w:val="21"/>
                    </w:rPr>
                    <w:t>19</w:t>
                  </w:r>
                </w:p>
              </w:tc>
            </w:tr>
          </w:tbl>
          <w:p>
            <w:pPr>
              <w:autoSpaceDE w:val="0"/>
              <w:autoSpaceDN w:val="0"/>
              <w:adjustRightInd w:val="0"/>
              <w:snapToGrid w:val="0"/>
              <w:spacing w:line="360" w:lineRule="auto"/>
              <w:ind w:firstLine="480" w:firstLineChars="200"/>
              <w:rPr>
                <w:color w:val="000000"/>
                <w:sz w:val="24"/>
              </w:rPr>
            </w:pPr>
            <w:r>
              <w:rPr>
                <w:rFonts w:hint="eastAsia"/>
                <w:color w:val="000000"/>
                <w:sz w:val="24"/>
              </w:rPr>
              <w:t>（3）基础</w:t>
            </w:r>
          </w:p>
          <w:p>
            <w:pPr>
              <w:pStyle w:val="46"/>
              <w:spacing w:line="360" w:lineRule="auto"/>
              <w:ind w:firstLine="480" w:firstLineChars="200"/>
              <w:jc w:val="both"/>
            </w:pPr>
            <w:r>
              <w:t>根据本工程线路地形、地质特点、水文情况、施工条件和杆塔型式，经技术经济比较，</w:t>
            </w:r>
            <w:r>
              <w:rPr>
                <w:rFonts w:hint="eastAsia"/>
              </w:rPr>
              <w:t>本工程</w:t>
            </w:r>
            <w:r>
              <w:t>铁塔基础采用</w:t>
            </w:r>
            <w:r>
              <w:rPr>
                <w:rFonts w:hint="eastAsia"/>
                <w:snapToGrid w:val="0"/>
                <w:szCs w:val="21"/>
              </w:rPr>
              <w:t>直柱板式基础、挖孔基础</w:t>
            </w:r>
            <w:r>
              <w:rPr>
                <w:rFonts w:hint="eastAsia"/>
              </w:rPr>
              <w:t>。</w:t>
            </w:r>
          </w:p>
          <w:p>
            <w:pPr>
              <w:pStyle w:val="2"/>
              <w:numPr>
                <w:ilvl w:val="1"/>
                <w:numId w:val="5"/>
              </w:numPr>
              <w:spacing w:before="0" w:after="0" w:line="360" w:lineRule="auto"/>
              <w:rPr>
                <w:rFonts w:eastAsia="宋体"/>
                <w:sz w:val="24"/>
                <w:szCs w:val="24"/>
              </w:rPr>
            </w:pPr>
            <w:r>
              <w:rPr>
                <w:rFonts w:hint="eastAsia" w:eastAsia="宋体"/>
                <w:sz w:val="24"/>
                <w:szCs w:val="24"/>
              </w:rPr>
              <w:t>吐鲁番电厂-阿拉沟变Ⅰ、Ⅱ回改接入托克逊变电站220千伏线路工程</w:t>
            </w:r>
          </w:p>
          <w:p>
            <w:pPr>
              <w:pStyle w:val="2"/>
              <w:numPr>
                <w:ilvl w:val="2"/>
                <w:numId w:val="5"/>
              </w:numPr>
              <w:spacing w:before="0" w:after="0" w:line="360" w:lineRule="auto"/>
              <w:rPr>
                <w:rFonts w:eastAsia="宋体"/>
                <w:sz w:val="24"/>
                <w:szCs w:val="24"/>
              </w:rPr>
            </w:pPr>
            <w:r>
              <w:rPr>
                <w:rFonts w:hint="eastAsia" w:eastAsia="宋体"/>
                <w:sz w:val="24"/>
                <w:szCs w:val="24"/>
              </w:rPr>
              <w:t>项目概况</w:t>
            </w:r>
          </w:p>
          <w:p>
            <w:pPr>
              <w:autoSpaceDE w:val="0"/>
              <w:autoSpaceDN w:val="0"/>
              <w:adjustRightInd w:val="0"/>
              <w:snapToGrid w:val="0"/>
              <w:spacing w:line="360" w:lineRule="auto"/>
              <w:ind w:firstLine="480" w:firstLineChars="200"/>
              <w:rPr>
                <w:color w:val="000000"/>
                <w:sz w:val="24"/>
              </w:rPr>
            </w:pPr>
            <w:r>
              <w:rPr>
                <w:rFonts w:hint="eastAsia"/>
                <w:color w:val="000000"/>
                <w:sz w:val="24"/>
              </w:rPr>
              <w:t>路径全长约9km，单回路架设。全线架设双地线，一根采用OPGW复合光缆，一根采用JLB35-120型铝包钢绞线。分为三部分：</w:t>
            </w:r>
          </w:p>
          <w:p>
            <w:pPr>
              <w:autoSpaceDE w:val="0"/>
              <w:autoSpaceDN w:val="0"/>
              <w:adjustRightInd w:val="0"/>
              <w:snapToGrid w:val="0"/>
              <w:spacing w:line="360" w:lineRule="auto"/>
              <w:ind w:firstLine="480" w:firstLineChars="200"/>
              <w:rPr>
                <w:color w:val="000000"/>
                <w:sz w:val="24"/>
              </w:rPr>
            </w:pPr>
            <w:r>
              <w:rPr>
                <w:rFonts w:hint="eastAsia"/>
                <w:color w:val="000000"/>
                <w:sz w:val="24"/>
              </w:rPr>
              <w:t>①吐鲁番电厂-阿拉沟变Ⅰ、Ⅱ回改接入托克逊变电站220千伏线路工程（阿拉沟变侧）：新建8.3km单回架空线路，导线采用JL3/G1A-400/35型钢芯高导电率铝绞线。</w:t>
            </w:r>
          </w:p>
          <w:p>
            <w:pPr>
              <w:autoSpaceDE w:val="0"/>
              <w:autoSpaceDN w:val="0"/>
              <w:adjustRightInd w:val="0"/>
              <w:snapToGrid w:val="0"/>
              <w:spacing w:line="360" w:lineRule="auto"/>
              <w:ind w:firstLine="480" w:firstLineChars="200"/>
              <w:rPr>
                <w:color w:val="000000"/>
                <w:sz w:val="24"/>
              </w:rPr>
            </w:pPr>
            <w:r>
              <w:rPr>
                <w:rFonts w:hint="eastAsia"/>
                <w:color w:val="000000"/>
                <w:sz w:val="24"/>
              </w:rPr>
              <w:t>②鲁拉一线-鲁拉二线短接线路工程：新建0.3km单回架空线路，导线采用JL3/G1A-400/35型钢芯高导电率铝绞线。</w:t>
            </w:r>
          </w:p>
          <w:p>
            <w:pPr>
              <w:autoSpaceDE w:val="0"/>
              <w:autoSpaceDN w:val="0"/>
              <w:adjustRightInd w:val="0"/>
              <w:snapToGrid w:val="0"/>
              <w:spacing w:line="360" w:lineRule="auto"/>
              <w:ind w:firstLine="480" w:firstLineChars="200"/>
              <w:rPr>
                <w:color w:val="000000"/>
                <w:sz w:val="24"/>
              </w:rPr>
            </w:pPr>
            <w:r>
              <w:rPr>
                <w:rFonts w:hint="eastAsia"/>
                <w:color w:val="000000"/>
                <w:sz w:val="24"/>
              </w:rPr>
              <w:t>③鲁托二线-鲁拉二线短接线路工程：新建0.4km单回架空线路，导线采用JL3/G1A-400/35型钢芯高导电率铝绞线。</w:t>
            </w:r>
          </w:p>
          <w:p>
            <w:pPr>
              <w:autoSpaceDE w:val="0"/>
              <w:autoSpaceDN w:val="0"/>
              <w:adjustRightInd w:val="0"/>
              <w:snapToGrid w:val="0"/>
              <w:spacing w:line="360" w:lineRule="auto"/>
              <w:ind w:firstLine="480" w:firstLineChars="200"/>
              <w:rPr>
                <w:color w:val="000000"/>
              </w:rPr>
            </w:pPr>
            <w:r>
              <w:rPr>
                <w:rFonts w:hint="eastAsia"/>
                <w:color w:val="000000"/>
                <w:sz w:val="24"/>
              </w:rPr>
              <w:t>本期需拆除原220kV鲁拉Ⅱ线杆塔4基（2#、3#、4#和5#），拆除原220kV鲁托Ⅰ、Ⅱ线杆塔合计38基（220kV鲁托Ⅰ线1#~34#，其中水泥双杆15基、角钢塔19基，220kV鲁托Ⅱ线01#、02#、03#和04#）。</w:t>
            </w:r>
          </w:p>
          <w:p>
            <w:pPr>
              <w:pStyle w:val="2"/>
              <w:numPr>
                <w:ilvl w:val="2"/>
                <w:numId w:val="5"/>
              </w:numPr>
              <w:spacing w:before="0" w:after="0" w:line="360" w:lineRule="auto"/>
              <w:rPr>
                <w:rFonts w:eastAsia="宋体"/>
                <w:sz w:val="24"/>
                <w:szCs w:val="24"/>
              </w:rPr>
            </w:pPr>
            <w:r>
              <w:rPr>
                <w:rFonts w:hint="eastAsia" w:eastAsia="宋体"/>
                <w:sz w:val="24"/>
                <w:szCs w:val="24"/>
              </w:rPr>
              <w:t>导线、杆塔、基础</w:t>
            </w:r>
          </w:p>
          <w:p>
            <w:pPr>
              <w:autoSpaceDE w:val="0"/>
              <w:autoSpaceDN w:val="0"/>
              <w:adjustRightInd w:val="0"/>
              <w:snapToGrid w:val="0"/>
              <w:spacing w:line="360" w:lineRule="auto"/>
              <w:ind w:firstLine="480" w:firstLineChars="200"/>
              <w:rPr>
                <w:color w:val="000000"/>
                <w:sz w:val="24"/>
              </w:rPr>
            </w:pPr>
            <w:r>
              <w:rPr>
                <w:color w:val="000000"/>
                <w:sz w:val="24"/>
              </w:rPr>
              <w:t>（1）导线</w:t>
            </w:r>
          </w:p>
          <w:p>
            <w:pPr>
              <w:autoSpaceDE w:val="0"/>
              <w:autoSpaceDN w:val="0"/>
              <w:adjustRightInd w:val="0"/>
              <w:snapToGrid w:val="0"/>
              <w:spacing w:line="360" w:lineRule="auto"/>
              <w:ind w:firstLine="480" w:firstLineChars="200"/>
              <w:rPr>
                <w:color w:val="000000"/>
                <w:sz w:val="24"/>
              </w:rPr>
            </w:pPr>
            <w:r>
              <w:rPr>
                <w:color w:val="000000"/>
                <w:sz w:val="24"/>
              </w:rPr>
              <w:t>本期拟建220</w:t>
            </w:r>
            <w:r>
              <w:rPr>
                <w:rFonts w:hint="eastAsia"/>
                <w:color w:val="000000"/>
                <w:sz w:val="24"/>
              </w:rPr>
              <w:t>千伏</w:t>
            </w:r>
            <w:r>
              <w:rPr>
                <w:color w:val="000000"/>
                <w:sz w:val="24"/>
              </w:rPr>
              <w:t>线路导线选用</w:t>
            </w:r>
            <w:r>
              <w:rPr>
                <w:rFonts w:hint="eastAsia"/>
                <w:color w:val="000000"/>
                <w:sz w:val="24"/>
              </w:rPr>
              <w:t>JL3/G1A-400/35型钢芯高导电率铝绞线</w:t>
            </w:r>
            <w:r>
              <w:rPr>
                <w:color w:val="000000"/>
                <w:sz w:val="24"/>
              </w:rPr>
              <w:t>。架空线路导线基本参数见</w:t>
            </w:r>
            <w:r>
              <w:rPr>
                <w:rFonts w:hint="default"/>
                <w:b w:val="0"/>
                <w:bCs w:val="0"/>
                <w:color w:val="000000"/>
                <w:sz w:val="24"/>
                <w:szCs w:val="24"/>
                <w:lang w:val="en-US"/>
              </w:rPr>
              <w:fldChar w:fldCharType="begin"/>
            </w:r>
            <w:r>
              <w:rPr>
                <w:b w:val="0"/>
                <w:bCs w:val="0"/>
              </w:rPr>
              <w:instrText xml:space="preserve"> REF _Ref6450 \h  \* MERGEFORMAT</w:instrText>
            </w:r>
            <w:r>
              <w:rPr>
                <w:rFonts w:hint="default"/>
                <w:b w:val="0"/>
                <w:bCs w:val="0"/>
                <w:color w:val="000000"/>
                <w:sz w:val="24"/>
                <w:szCs w:val="24"/>
                <w:lang w:val="en-US"/>
              </w:rPr>
              <w:fldChar w:fldCharType="separate"/>
            </w:r>
            <w:r>
              <w:rPr>
                <w:rFonts w:ascii="Times New Roman" w:hAnsi="Times New Roman" w:eastAsia="宋体"/>
                <w:b w:val="0"/>
                <w:bCs w:val="0"/>
                <w:sz w:val="24"/>
                <w:szCs w:val="24"/>
              </w:rPr>
              <w:t>表4</w:t>
            </w:r>
            <w:r>
              <w:rPr>
                <w:rFonts w:hint="default"/>
                <w:b w:val="0"/>
                <w:bCs w:val="0"/>
                <w:color w:val="000000"/>
                <w:sz w:val="24"/>
                <w:szCs w:val="24"/>
                <w:lang w:val="en-US"/>
              </w:rPr>
              <w:fldChar w:fldCharType="end"/>
            </w:r>
            <w:r>
              <w:rPr>
                <w:color w:val="000000"/>
                <w:sz w:val="24"/>
              </w:rPr>
              <w:t>。</w:t>
            </w:r>
          </w:p>
          <w:p>
            <w:pPr>
              <w:pStyle w:val="10"/>
              <w:jc w:val="left"/>
              <w:rPr>
                <w:rFonts w:eastAsia="宋体"/>
              </w:rPr>
            </w:pPr>
            <w:bookmarkStart w:id="13" w:name="_Ref6450"/>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4</w:t>
            </w:r>
            <w:r>
              <w:rPr>
                <w:rFonts w:ascii="Times New Roman" w:hAnsi="Times New Roman" w:eastAsia="宋体"/>
                <w:b/>
                <w:bCs/>
              </w:rPr>
              <w:fldChar w:fldCharType="end"/>
            </w:r>
            <w:bookmarkEnd w:id="13"/>
            <w:r>
              <w:rPr>
                <w:rFonts w:ascii="Times New Roman" w:hAnsi="Times New Roman" w:eastAsia="宋体"/>
                <w:b/>
                <w:bCs/>
              </w:rPr>
              <w:t>输电线路工程导线基本参数一览表</w:t>
            </w:r>
          </w:p>
          <w:tbl>
            <w:tblPr>
              <w:tblStyle w:val="37"/>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1"/>
              <w:gridCol w:w="5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trPr>
              <w:tc>
                <w:tcPr>
                  <w:tcW w:w="2701" w:type="dxa"/>
                  <w:vAlign w:val="center"/>
                </w:tcPr>
                <w:p>
                  <w:pPr>
                    <w:pStyle w:val="75"/>
                    <w:rPr>
                      <w:color w:val="000000"/>
                      <w:szCs w:val="21"/>
                    </w:rPr>
                  </w:pPr>
                  <w:r>
                    <w:rPr>
                      <w:color w:val="000000"/>
                      <w:szCs w:val="21"/>
                    </w:rPr>
                    <w:t>项目</w:t>
                  </w:r>
                </w:p>
              </w:tc>
              <w:tc>
                <w:tcPr>
                  <w:tcW w:w="5718" w:type="dxa"/>
                  <w:vAlign w:val="center"/>
                </w:tcPr>
                <w:p>
                  <w:pPr>
                    <w:pStyle w:val="75"/>
                    <w:rPr>
                      <w:color w:val="000000"/>
                      <w:szCs w:val="21"/>
                    </w:rPr>
                  </w:pPr>
                  <w:r>
                    <w:rPr>
                      <w:rFonts w:hint="eastAsia"/>
                      <w:color w:val="000000"/>
                      <w:szCs w:val="21"/>
                    </w:rPr>
                    <w:t>吐鲁番电厂-阿拉沟变Ⅰ、Ⅱ回改接入托克逊变电站220千伏线路工程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 w:hRule="atLeast"/>
              </w:trPr>
              <w:tc>
                <w:tcPr>
                  <w:tcW w:w="2701" w:type="dxa"/>
                  <w:vAlign w:val="center"/>
                </w:tcPr>
                <w:p>
                  <w:pPr>
                    <w:pStyle w:val="75"/>
                    <w:rPr>
                      <w:color w:val="000000"/>
                      <w:szCs w:val="21"/>
                    </w:rPr>
                  </w:pPr>
                  <w:r>
                    <w:rPr>
                      <w:color w:val="000000"/>
                      <w:szCs w:val="21"/>
                    </w:rPr>
                    <w:t>导线型号</w:t>
                  </w:r>
                </w:p>
              </w:tc>
              <w:tc>
                <w:tcPr>
                  <w:tcW w:w="5718" w:type="dxa"/>
                  <w:vAlign w:val="center"/>
                </w:tcPr>
                <w:p>
                  <w:pPr>
                    <w:pStyle w:val="75"/>
                    <w:rPr>
                      <w:color w:val="000000"/>
                      <w:szCs w:val="21"/>
                    </w:rPr>
                  </w:pPr>
                  <w:r>
                    <w:rPr>
                      <w:rFonts w:hint="eastAsia"/>
                      <w:color w:val="000000"/>
                      <w:szCs w:val="21"/>
                    </w:rPr>
                    <w:t>JL3/G1A-400/35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trPr>
              <w:tc>
                <w:tcPr>
                  <w:tcW w:w="2701" w:type="dxa"/>
                  <w:vAlign w:val="center"/>
                </w:tcPr>
                <w:p>
                  <w:pPr>
                    <w:pStyle w:val="75"/>
                    <w:rPr>
                      <w:color w:val="000000"/>
                      <w:szCs w:val="21"/>
                    </w:rPr>
                  </w:pPr>
                  <w:r>
                    <w:rPr>
                      <w:color w:val="000000"/>
                      <w:szCs w:val="21"/>
                    </w:rPr>
                    <w:t>计算截面（mm</w:t>
                  </w:r>
                  <w:r>
                    <w:rPr>
                      <w:color w:val="000000"/>
                      <w:szCs w:val="21"/>
                      <w:vertAlign w:val="superscript"/>
                    </w:rPr>
                    <w:t>2</w:t>
                  </w:r>
                  <w:r>
                    <w:rPr>
                      <w:color w:val="000000"/>
                      <w:szCs w:val="21"/>
                    </w:rPr>
                    <w:t>）</w:t>
                  </w:r>
                </w:p>
              </w:tc>
              <w:tc>
                <w:tcPr>
                  <w:tcW w:w="5718" w:type="dxa"/>
                  <w:vAlign w:val="center"/>
                </w:tcPr>
                <w:p>
                  <w:pPr>
                    <w:pStyle w:val="75"/>
                    <w:rPr>
                      <w:color w:val="000000"/>
                      <w:szCs w:val="21"/>
                    </w:rPr>
                  </w:pPr>
                  <w:r>
                    <w:rPr>
                      <w:rFonts w:hint="eastAsia"/>
                      <w:color w:val="000000"/>
                      <w:szCs w:val="21"/>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2701" w:type="dxa"/>
                  <w:vAlign w:val="center"/>
                </w:tcPr>
                <w:p>
                  <w:pPr>
                    <w:pStyle w:val="75"/>
                    <w:rPr>
                      <w:color w:val="000000"/>
                      <w:szCs w:val="21"/>
                    </w:rPr>
                  </w:pPr>
                  <w:r>
                    <w:rPr>
                      <w:color w:val="000000"/>
                      <w:szCs w:val="21"/>
                    </w:rPr>
                    <w:t>外径（mm）</w:t>
                  </w:r>
                </w:p>
              </w:tc>
              <w:tc>
                <w:tcPr>
                  <w:tcW w:w="5718" w:type="dxa"/>
                  <w:vAlign w:val="center"/>
                </w:tcPr>
                <w:p>
                  <w:pPr>
                    <w:jc w:val="center"/>
                    <w:rPr>
                      <w:highlight w:val="yellow"/>
                    </w:rPr>
                  </w:pPr>
                  <w:r>
                    <w:rPr>
                      <w:rFonts w:hint="eastAsia"/>
                      <w:color w:val="000000"/>
                      <w:szCs w:val="21"/>
                    </w:rPr>
                    <w:t>33.8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2701" w:type="dxa"/>
                  <w:vAlign w:val="center"/>
                </w:tcPr>
                <w:p>
                  <w:pPr>
                    <w:pStyle w:val="75"/>
                    <w:rPr>
                      <w:color w:val="000000"/>
                      <w:szCs w:val="21"/>
                    </w:rPr>
                  </w:pPr>
                  <w:r>
                    <w:rPr>
                      <w:rFonts w:hint="eastAsia"/>
                      <w:color w:val="000000"/>
                      <w:szCs w:val="21"/>
                    </w:rPr>
                    <w:t>分裂间距（mm）</w:t>
                  </w:r>
                </w:p>
              </w:tc>
              <w:tc>
                <w:tcPr>
                  <w:tcW w:w="5718" w:type="dxa"/>
                  <w:vAlign w:val="center"/>
                </w:tcPr>
                <w:p>
                  <w:pPr>
                    <w:jc w:val="center"/>
                    <w:rPr>
                      <w:color w:val="000000"/>
                      <w:szCs w:val="21"/>
                    </w:rPr>
                  </w:pPr>
                  <w:r>
                    <w:rPr>
                      <w:rFonts w:hint="eastAsia"/>
                      <w:color w:val="000000"/>
                      <w:szCs w:val="21"/>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2701" w:type="dxa"/>
                  <w:vAlign w:val="center"/>
                </w:tcPr>
                <w:p>
                  <w:pPr>
                    <w:pStyle w:val="75"/>
                    <w:rPr>
                      <w:color w:val="000000"/>
                      <w:szCs w:val="21"/>
                    </w:rPr>
                  </w:pPr>
                  <w:r>
                    <w:rPr>
                      <w:rFonts w:hint="eastAsia"/>
                      <w:color w:val="000000"/>
                      <w:szCs w:val="21"/>
                    </w:rPr>
                    <w:t>分裂数</w:t>
                  </w:r>
                </w:p>
              </w:tc>
              <w:tc>
                <w:tcPr>
                  <w:tcW w:w="5718" w:type="dxa"/>
                  <w:vAlign w:val="center"/>
                </w:tcPr>
                <w:p>
                  <w:pPr>
                    <w:jc w:val="center"/>
                    <w:rPr>
                      <w:color w:val="000000"/>
                      <w:szCs w:val="21"/>
                    </w:rPr>
                  </w:pPr>
                  <w:r>
                    <w:rPr>
                      <w:rFonts w:hint="eastAsia"/>
                      <w:color w:val="00000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2701" w:type="dxa"/>
                  <w:vAlign w:val="center"/>
                </w:tcPr>
                <w:p>
                  <w:pPr>
                    <w:pStyle w:val="75"/>
                    <w:rPr>
                      <w:color w:val="000000"/>
                      <w:szCs w:val="21"/>
                    </w:rPr>
                  </w:pPr>
                  <w:r>
                    <w:rPr>
                      <w:color w:val="000000"/>
                      <w:szCs w:val="21"/>
                    </w:rPr>
                    <w:t>80℃长期允许载流量（A）</w:t>
                  </w:r>
                </w:p>
              </w:tc>
              <w:tc>
                <w:tcPr>
                  <w:tcW w:w="5718" w:type="dxa"/>
                  <w:vAlign w:val="center"/>
                </w:tcPr>
                <w:p>
                  <w:pPr>
                    <w:jc w:val="center"/>
                    <w:rPr>
                      <w:highlight w:val="yellow"/>
                    </w:rPr>
                  </w:pPr>
                  <w:r>
                    <w:rPr>
                      <w:rFonts w:hint="eastAsia"/>
                      <w:color w:val="000000"/>
                      <w:szCs w:val="21"/>
                    </w:rPr>
                    <w:t>1520</w:t>
                  </w:r>
                </w:p>
              </w:tc>
            </w:tr>
          </w:tbl>
          <w:p>
            <w:pPr>
              <w:autoSpaceDE w:val="0"/>
              <w:autoSpaceDN w:val="0"/>
              <w:adjustRightInd w:val="0"/>
              <w:snapToGrid w:val="0"/>
              <w:spacing w:line="360" w:lineRule="auto"/>
              <w:ind w:firstLine="480" w:firstLineChars="200"/>
              <w:rPr>
                <w:color w:val="000000"/>
                <w:sz w:val="24"/>
              </w:rPr>
            </w:pPr>
            <w:r>
              <w:rPr>
                <w:color w:val="000000"/>
                <w:sz w:val="24"/>
              </w:rPr>
              <w:t>（2）杆塔</w:t>
            </w:r>
          </w:p>
          <w:p>
            <w:pPr>
              <w:autoSpaceDE w:val="0"/>
              <w:autoSpaceDN w:val="0"/>
              <w:adjustRightInd w:val="0"/>
              <w:snapToGrid w:val="0"/>
              <w:spacing w:line="360" w:lineRule="auto"/>
              <w:ind w:firstLine="480" w:firstLineChars="200"/>
              <w:rPr>
                <w:sz w:val="24"/>
              </w:rPr>
            </w:pPr>
            <w:r>
              <w:rPr>
                <w:rFonts w:hint="eastAsia"/>
                <w:sz w:val="24"/>
              </w:rPr>
              <w:t>参照《国家电网公司标准化建设成果（输变电工程通用设计、通用设备）应用目录（2024年版）》中主要设计原则，本工程单回路铁塔采用自立式铁塔，新建铁塔30</w:t>
            </w:r>
            <w:r>
              <w:rPr>
                <w:sz w:val="24"/>
              </w:rPr>
              <w:t>基</w:t>
            </w:r>
            <w:r>
              <w:rPr>
                <w:rFonts w:hint="eastAsia"/>
                <w:sz w:val="24"/>
              </w:rPr>
              <w:t>。杆塔型号一览表见</w:t>
            </w:r>
            <w:r>
              <w:rPr>
                <w:rFonts w:hint="eastAsia"/>
                <w:b w:val="0"/>
                <w:bCs w:val="0"/>
                <w:sz w:val="24"/>
                <w:szCs w:val="24"/>
                <w:lang w:eastAsia="zh-CN"/>
              </w:rPr>
              <w:fldChar w:fldCharType="begin"/>
            </w:r>
            <w:r>
              <w:rPr>
                <w:b w:val="0"/>
                <w:bCs w:val="0"/>
              </w:rPr>
              <w:instrText xml:space="preserve"> REF _Ref16524 \h  \* MERGEFORMAT</w:instrText>
            </w:r>
            <w:r>
              <w:rPr>
                <w:rFonts w:hint="eastAsia"/>
                <w:b w:val="0"/>
                <w:bCs w:val="0"/>
                <w:sz w:val="24"/>
                <w:szCs w:val="24"/>
                <w:lang w:eastAsia="zh-CN"/>
              </w:rPr>
              <w:fldChar w:fldCharType="separate"/>
            </w:r>
            <w:r>
              <w:rPr>
                <w:rFonts w:ascii="Times New Roman" w:hAnsi="Times New Roman" w:eastAsia="宋体"/>
                <w:b w:val="0"/>
                <w:bCs w:val="0"/>
                <w:sz w:val="24"/>
                <w:szCs w:val="24"/>
              </w:rPr>
              <w:t>表5</w:t>
            </w:r>
            <w:r>
              <w:rPr>
                <w:rFonts w:hint="eastAsia"/>
                <w:b w:val="0"/>
                <w:bCs w:val="0"/>
                <w:sz w:val="24"/>
                <w:szCs w:val="24"/>
                <w:lang w:eastAsia="zh-CN"/>
              </w:rPr>
              <w:fldChar w:fldCharType="end"/>
            </w:r>
            <w:r>
              <w:rPr>
                <w:rFonts w:hint="eastAsia"/>
                <w:sz w:val="24"/>
              </w:rPr>
              <w:t>。</w:t>
            </w:r>
          </w:p>
          <w:p>
            <w:pPr>
              <w:pStyle w:val="10"/>
              <w:jc w:val="left"/>
              <w:rPr>
                <w:rFonts w:eastAsia="宋体"/>
              </w:rPr>
            </w:pPr>
            <w:bookmarkStart w:id="14" w:name="_Ref16524"/>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5</w:t>
            </w:r>
            <w:r>
              <w:rPr>
                <w:rFonts w:ascii="Times New Roman" w:hAnsi="Times New Roman" w:eastAsia="宋体"/>
                <w:b/>
                <w:bCs/>
              </w:rPr>
              <w:fldChar w:fldCharType="end"/>
            </w:r>
            <w:bookmarkEnd w:id="14"/>
            <w:r>
              <w:rPr>
                <w:rFonts w:ascii="Times New Roman" w:hAnsi="Times New Roman" w:eastAsia="宋体"/>
                <w:b/>
                <w:bCs/>
              </w:rPr>
              <w:t>杆塔型号一览表</w:t>
            </w:r>
          </w:p>
          <w:tbl>
            <w:tblPr>
              <w:tblStyle w:val="38"/>
              <w:tblW w:w="8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3"/>
              <w:gridCol w:w="1678"/>
              <w:gridCol w:w="1676"/>
              <w:gridCol w:w="1676"/>
              <w:gridCol w:w="1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1673" w:type="dxa"/>
                  <w:vAlign w:val="center"/>
                </w:tcPr>
                <w:p>
                  <w:pPr>
                    <w:pStyle w:val="23"/>
                    <w:jc w:val="center"/>
                    <w:rPr>
                      <w:sz w:val="21"/>
                      <w:szCs w:val="21"/>
                    </w:rPr>
                  </w:pPr>
                  <w:r>
                    <w:rPr>
                      <w:sz w:val="21"/>
                      <w:szCs w:val="21"/>
                    </w:rPr>
                    <w:t>序号</w:t>
                  </w:r>
                </w:p>
              </w:tc>
              <w:tc>
                <w:tcPr>
                  <w:tcW w:w="1678" w:type="dxa"/>
                  <w:vAlign w:val="center"/>
                </w:tcPr>
                <w:p>
                  <w:pPr>
                    <w:pStyle w:val="23"/>
                    <w:jc w:val="center"/>
                    <w:rPr>
                      <w:sz w:val="21"/>
                      <w:szCs w:val="21"/>
                    </w:rPr>
                  </w:pPr>
                  <w:r>
                    <w:rPr>
                      <w:sz w:val="21"/>
                      <w:szCs w:val="21"/>
                    </w:rPr>
                    <w:t>塔型</w:t>
                  </w:r>
                </w:p>
              </w:tc>
              <w:tc>
                <w:tcPr>
                  <w:tcW w:w="1676" w:type="dxa"/>
                  <w:vAlign w:val="center"/>
                </w:tcPr>
                <w:p>
                  <w:pPr>
                    <w:pStyle w:val="23"/>
                    <w:jc w:val="center"/>
                    <w:rPr>
                      <w:sz w:val="21"/>
                      <w:szCs w:val="21"/>
                    </w:rPr>
                  </w:pPr>
                  <w:r>
                    <w:rPr>
                      <w:sz w:val="21"/>
                      <w:szCs w:val="21"/>
                    </w:rPr>
                    <w:t>呼称高（m）</w:t>
                  </w:r>
                </w:p>
              </w:tc>
              <w:tc>
                <w:tcPr>
                  <w:tcW w:w="1676" w:type="dxa"/>
                  <w:vAlign w:val="center"/>
                </w:tcPr>
                <w:p>
                  <w:pPr>
                    <w:pStyle w:val="23"/>
                    <w:jc w:val="center"/>
                    <w:rPr>
                      <w:sz w:val="21"/>
                      <w:szCs w:val="21"/>
                    </w:rPr>
                  </w:pPr>
                  <w:r>
                    <w:rPr>
                      <w:sz w:val="21"/>
                      <w:szCs w:val="21"/>
                    </w:rPr>
                    <w:t>转角度数（°）</w:t>
                  </w:r>
                </w:p>
              </w:tc>
              <w:tc>
                <w:tcPr>
                  <w:tcW w:w="1676" w:type="dxa"/>
                  <w:vAlign w:val="center"/>
                </w:tcPr>
                <w:p>
                  <w:pPr>
                    <w:pStyle w:val="23"/>
                    <w:jc w:val="center"/>
                    <w:rPr>
                      <w:sz w:val="21"/>
                      <w:szCs w:val="21"/>
                    </w:rPr>
                  </w:pPr>
                  <w:r>
                    <w:rPr>
                      <w:sz w:val="21"/>
                      <w:szCs w:val="21"/>
                    </w:rPr>
                    <w:t>数量（基）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1</w:t>
                  </w:r>
                </w:p>
              </w:tc>
              <w:tc>
                <w:tcPr>
                  <w:tcW w:w="1678" w:type="dxa"/>
                  <w:vAlign w:val="center"/>
                </w:tcPr>
                <w:p>
                  <w:pPr>
                    <w:pStyle w:val="23"/>
                    <w:jc w:val="center"/>
                    <w:rPr>
                      <w:sz w:val="21"/>
                      <w:szCs w:val="21"/>
                    </w:rPr>
                  </w:pPr>
                  <w:r>
                    <w:rPr>
                      <w:rFonts w:hint="eastAsia"/>
                      <w:sz w:val="21"/>
                      <w:szCs w:val="21"/>
                    </w:rPr>
                    <w:t>220-GH-ZB1-24</w:t>
                  </w:r>
                </w:p>
              </w:tc>
              <w:tc>
                <w:tcPr>
                  <w:tcW w:w="1676" w:type="dxa"/>
                  <w:vAlign w:val="center"/>
                </w:tcPr>
                <w:p>
                  <w:pPr>
                    <w:pStyle w:val="23"/>
                    <w:jc w:val="center"/>
                    <w:rPr>
                      <w:sz w:val="21"/>
                      <w:szCs w:val="21"/>
                    </w:rPr>
                  </w:pPr>
                  <w:r>
                    <w:rPr>
                      <w:rFonts w:hint="eastAsia"/>
                      <w:sz w:val="21"/>
                      <w:szCs w:val="21"/>
                    </w:rPr>
                    <w:t>18-36</w:t>
                  </w:r>
                </w:p>
              </w:tc>
              <w:tc>
                <w:tcPr>
                  <w:tcW w:w="1676" w:type="dxa"/>
                  <w:vAlign w:val="center"/>
                </w:tcPr>
                <w:p>
                  <w:pPr>
                    <w:pStyle w:val="23"/>
                    <w:jc w:val="center"/>
                    <w:rPr>
                      <w:sz w:val="21"/>
                      <w:szCs w:val="21"/>
                    </w:rPr>
                  </w:pPr>
                  <w:r>
                    <w:rPr>
                      <w:rFonts w:hint="eastAsia"/>
                      <w:sz w:val="21"/>
                      <w:szCs w:val="21"/>
                    </w:rPr>
                    <w:t>0</w:t>
                  </w:r>
                </w:p>
              </w:tc>
              <w:tc>
                <w:tcPr>
                  <w:tcW w:w="1676" w:type="dxa"/>
                  <w:vAlign w:val="center"/>
                </w:tcPr>
                <w:p>
                  <w:pPr>
                    <w:pStyle w:val="23"/>
                    <w:jc w:val="center"/>
                    <w:rPr>
                      <w:sz w:val="21"/>
                      <w:szCs w:val="21"/>
                    </w:rPr>
                  </w:pPr>
                  <w:r>
                    <w:rPr>
                      <w:rFonts w:hint="eastAsia"/>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2</w:t>
                  </w:r>
                </w:p>
              </w:tc>
              <w:tc>
                <w:tcPr>
                  <w:tcW w:w="1678" w:type="dxa"/>
                  <w:vAlign w:val="center"/>
                </w:tcPr>
                <w:p>
                  <w:pPr>
                    <w:pStyle w:val="23"/>
                    <w:jc w:val="center"/>
                    <w:rPr>
                      <w:sz w:val="21"/>
                      <w:szCs w:val="21"/>
                    </w:rPr>
                  </w:pPr>
                  <w:r>
                    <w:rPr>
                      <w:rFonts w:hint="eastAsia"/>
                      <w:sz w:val="21"/>
                      <w:szCs w:val="21"/>
                    </w:rPr>
                    <w:t>220-GH-ZB1-27</w:t>
                  </w:r>
                </w:p>
              </w:tc>
              <w:tc>
                <w:tcPr>
                  <w:tcW w:w="1676" w:type="dxa"/>
                  <w:vAlign w:val="center"/>
                </w:tcPr>
                <w:p>
                  <w:pPr>
                    <w:pStyle w:val="23"/>
                    <w:jc w:val="center"/>
                    <w:rPr>
                      <w:sz w:val="21"/>
                      <w:szCs w:val="21"/>
                    </w:rPr>
                  </w:pPr>
                  <w:r>
                    <w:rPr>
                      <w:rFonts w:hint="eastAsia"/>
                      <w:sz w:val="21"/>
                      <w:szCs w:val="21"/>
                    </w:rPr>
                    <w:t>21-45</w:t>
                  </w:r>
                </w:p>
              </w:tc>
              <w:tc>
                <w:tcPr>
                  <w:tcW w:w="1676" w:type="dxa"/>
                  <w:vAlign w:val="center"/>
                </w:tcPr>
                <w:p>
                  <w:pPr>
                    <w:pStyle w:val="23"/>
                    <w:jc w:val="center"/>
                    <w:rPr>
                      <w:sz w:val="21"/>
                      <w:szCs w:val="21"/>
                    </w:rPr>
                  </w:pPr>
                  <w:r>
                    <w:rPr>
                      <w:rFonts w:hint="eastAsia"/>
                      <w:sz w:val="21"/>
                      <w:szCs w:val="21"/>
                    </w:rPr>
                    <w:t>0</w:t>
                  </w:r>
                </w:p>
              </w:tc>
              <w:tc>
                <w:tcPr>
                  <w:tcW w:w="1676" w:type="dxa"/>
                  <w:vAlign w:val="center"/>
                </w:tcPr>
                <w:p>
                  <w:pPr>
                    <w:pStyle w:val="23"/>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3</w:t>
                  </w:r>
                </w:p>
              </w:tc>
              <w:tc>
                <w:tcPr>
                  <w:tcW w:w="1678" w:type="dxa"/>
                  <w:vAlign w:val="center"/>
                </w:tcPr>
                <w:p>
                  <w:pPr>
                    <w:pStyle w:val="23"/>
                    <w:jc w:val="center"/>
                    <w:rPr>
                      <w:sz w:val="21"/>
                      <w:szCs w:val="21"/>
                    </w:rPr>
                  </w:pPr>
                  <w:r>
                    <w:rPr>
                      <w:rFonts w:hint="eastAsia"/>
                      <w:sz w:val="21"/>
                      <w:szCs w:val="21"/>
                    </w:rPr>
                    <w:t>220-GH-ZB1-36</w:t>
                  </w:r>
                </w:p>
              </w:tc>
              <w:tc>
                <w:tcPr>
                  <w:tcW w:w="1676" w:type="dxa"/>
                  <w:vAlign w:val="center"/>
                </w:tcPr>
                <w:p>
                  <w:pPr>
                    <w:pStyle w:val="23"/>
                    <w:jc w:val="center"/>
                    <w:rPr>
                      <w:sz w:val="21"/>
                      <w:szCs w:val="21"/>
                    </w:rPr>
                  </w:pPr>
                  <w:r>
                    <w:rPr>
                      <w:rFonts w:hint="eastAsia"/>
                      <w:sz w:val="21"/>
                      <w:szCs w:val="21"/>
                    </w:rPr>
                    <w:t>15-30</w:t>
                  </w:r>
                </w:p>
              </w:tc>
              <w:tc>
                <w:tcPr>
                  <w:tcW w:w="1676" w:type="dxa"/>
                  <w:vAlign w:val="center"/>
                </w:tcPr>
                <w:p>
                  <w:pPr>
                    <w:pStyle w:val="23"/>
                    <w:jc w:val="center"/>
                    <w:rPr>
                      <w:sz w:val="21"/>
                      <w:szCs w:val="21"/>
                    </w:rPr>
                  </w:pPr>
                  <w:r>
                    <w:rPr>
                      <w:rFonts w:hint="eastAsia"/>
                      <w:sz w:val="21"/>
                      <w:szCs w:val="21"/>
                    </w:rPr>
                    <w:t>0-20</w:t>
                  </w:r>
                </w:p>
              </w:tc>
              <w:tc>
                <w:tcPr>
                  <w:tcW w:w="1676" w:type="dxa"/>
                  <w:vAlign w:val="center"/>
                </w:tcPr>
                <w:p>
                  <w:pPr>
                    <w:pStyle w:val="23"/>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4</w:t>
                  </w:r>
                </w:p>
              </w:tc>
              <w:tc>
                <w:tcPr>
                  <w:tcW w:w="1678" w:type="dxa"/>
                  <w:vAlign w:val="center"/>
                </w:tcPr>
                <w:p>
                  <w:pPr>
                    <w:pStyle w:val="23"/>
                    <w:jc w:val="center"/>
                    <w:rPr>
                      <w:sz w:val="21"/>
                      <w:szCs w:val="21"/>
                    </w:rPr>
                  </w:pPr>
                  <w:r>
                    <w:rPr>
                      <w:rFonts w:hint="eastAsia"/>
                      <w:sz w:val="21"/>
                      <w:szCs w:val="21"/>
                    </w:rPr>
                    <w:t>220-GH-ZB2-24</w:t>
                  </w:r>
                </w:p>
              </w:tc>
              <w:tc>
                <w:tcPr>
                  <w:tcW w:w="1676" w:type="dxa"/>
                  <w:vAlign w:val="center"/>
                </w:tcPr>
                <w:p>
                  <w:pPr>
                    <w:pStyle w:val="23"/>
                    <w:jc w:val="center"/>
                    <w:rPr>
                      <w:sz w:val="21"/>
                      <w:szCs w:val="21"/>
                    </w:rPr>
                  </w:pPr>
                  <w:r>
                    <w:rPr>
                      <w:rFonts w:hint="eastAsia"/>
                      <w:sz w:val="21"/>
                      <w:szCs w:val="21"/>
                    </w:rPr>
                    <w:t>15-30</w:t>
                  </w:r>
                </w:p>
              </w:tc>
              <w:tc>
                <w:tcPr>
                  <w:tcW w:w="1676" w:type="dxa"/>
                  <w:vAlign w:val="center"/>
                </w:tcPr>
                <w:p>
                  <w:pPr>
                    <w:pStyle w:val="23"/>
                    <w:jc w:val="center"/>
                    <w:rPr>
                      <w:sz w:val="21"/>
                      <w:szCs w:val="21"/>
                    </w:rPr>
                  </w:pPr>
                  <w:r>
                    <w:rPr>
                      <w:rFonts w:hint="eastAsia"/>
                      <w:sz w:val="21"/>
                      <w:szCs w:val="21"/>
                    </w:rPr>
                    <w:t>20-40</w:t>
                  </w:r>
                </w:p>
              </w:tc>
              <w:tc>
                <w:tcPr>
                  <w:tcW w:w="1676" w:type="dxa"/>
                  <w:vAlign w:val="center"/>
                </w:tcPr>
                <w:p>
                  <w:pPr>
                    <w:pStyle w:val="23"/>
                    <w:jc w:val="center"/>
                    <w:rPr>
                      <w:sz w:val="21"/>
                      <w:szCs w:val="21"/>
                    </w:rPr>
                  </w:pPr>
                  <w:r>
                    <w:rPr>
                      <w:rFonts w:hint="eastAsia"/>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5</w:t>
                  </w:r>
                </w:p>
              </w:tc>
              <w:tc>
                <w:tcPr>
                  <w:tcW w:w="1678" w:type="dxa"/>
                  <w:vAlign w:val="center"/>
                </w:tcPr>
                <w:p>
                  <w:pPr>
                    <w:pStyle w:val="23"/>
                    <w:jc w:val="center"/>
                    <w:rPr>
                      <w:sz w:val="21"/>
                      <w:szCs w:val="21"/>
                    </w:rPr>
                  </w:pPr>
                  <w:r>
                    <w:rPr>
                      <w:rFonts w:hint="eastAsia"/>
                      <w:sz w:val="21"/>
                      <w:szCs w:val="21"/>
                    </w:rPr>
                    <w:t>220-GH-ZB2-27</w:t>
                  </w:r>
                </w:p>
              </w:tc>
              <w:tc>
                <w:tcPr>
                  <w:tcW w:w="1676" w:type="dxa"/>
                  <w:vAlign w:val="center"/>
                </w:tcPr>
                <w:p>
                  <w:pPr>
                    <w:pStyle w:val="23"/>
                    <w:jc w:val="center"/>
                    <w:rPr>
                      <w:sz w:val="21"/>
                      <w:szCs w:val="21"/>
                    </w:rPr>
                  </w:pPr>
                  <w:r>
                    <w:rPr>
                      <w:rFonts w:hint="eastAsia"/>
                      <w:sz w:val="21"/>
                      <w:szCs w:val="21"/>
                    </w:rPr>
                    <w:t>15-30</w:t>
                  </w:r>
                </w:p>
              </w:tc>
              <w:tc>
                <w:tcPr>
                  <w:tcW w:w="1676" w:type="dxa"/>
                  <w:vAlign w:val="center"/>
                </w:tcPr>
                <w:p>
                  <w:pPr>
                    <w:pStyle w:val="23"/>
                    <w:jc w:val="center"/>
                    <w:rPr>
                      <w:sz w:val="21"/>
                      <w:szCs w:val="21"/>
                    </w:rPr>
                  </w:pPr>
                  <w:r>
                    <w:rPr>
                      <w:rFonts w:hint="eastAsia"/>
                      <w:sz w:val="21"/>
                      <w:szCs w:val="21"/>
                    </w:rPr>
                    <w:t>40-60</w:t>
                  </w:r>
                </w:p>
              </w:tc>
              <w:tc>
                <w:tcPr>
                  <w:tcW w:w="1676" w:type="dxa"/>
                  <w:vAlign w:val="center"/>
                </w:tcPr>
                <w:p>
                  <w:pPr>
                    <w:pStyle w:val="23"/>
                    <w:jc w:val="center"/>
                    <w:rPr>
                      <w:sz w:val="21"/>
                      <w:szCs w:val="21"/>
                    </w:rPr>
                  </w:pPr>
                  <w:r>
                    <w:rPr>
                      <w:rFonts w:hint="eastAsia"/>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6</w:t>
                  </w:r>
                </w:p>
              </w:tc>
              <w:tc>
                <w:tcPr>
                  <w:tcW w:w="1678" w:type="dxa"/>
                  <w:vAlign w:val="center"/>
                </w:tcPr>
                <w:p>
                  <w:pPr>
                    <w:pStyle w:val="23"/>
                    <w:jc w:val="center"/>
                    <w:rPr>
                      <w:sz w:val="21"/>
                      <w:szCs w:val="21"/>
                    </w:rPr>
                  </w:pPr>
                  <w:r>
                    <w:rPr>
                      <w:rFonts w:hint="eastAsia"/>
                      <w:sz w:val="21"/>
                      <w:szCs w:val="21"/>
                    </w:rPr>
                    <w:t>220-GH-ZB2-42</w:t>
                  </w:r>
                </w:p>
              </w:tc>
              <w:tc>
                <w:tcPr>
                  <w:tcW w:w="1676" w:type="dxa"/>
                  <w:vAlign w:val="center"/>
                </w:tcPr>
                <w:p>
                  <w:pPr>
                    <w:pStyle w:val="23"/>
                    <w:jc w:val="center"/>
                    <w:rPr>
                      <w:sz w:val="21"/>
                      <w:szCs w:val="21"/>
                    </w:rPr>
                  </w:pPr>
                  <w:r>
                    <w:rPr>
                      <w:rFonts w:hint="eastAsia"/>
                      <w:sz w:val="21"/>
                      <w:szCs w:val="21"/>
                    </w:rPr>
                    <w:t>15-30</w:t>
                  </w:r>
                </w:p>
              </w:tc>
              <w:tc>
                <w:tcPr>
                  <w:tcW w:w="1676" w:type="dxa"/>
                  <w:vAlign w:val="center"/>
                </w:tcPr>
                <w:p>
                  <w:pPr>
                    <w:pStyle w:val="23"/>
                    <w:jc w:val="center"/>
                    <w:rPr>
                      <w:sz w:val="21"/>
                      <w:szCs w:val="21"/>
                    </w:rPr>
                  </w:pPr>
                  <w:r>
                    <w:rPr>
                      <w:rFonts w:hint="eastAsia"/>
                      <w:sz w:val="21"/>
                      <w:szCs w:val="21"/>
                    </w:rPr>
                    <w:t>60-90</w:t>
                  </w:r>
                </w:p>
              </w:tc>
              <w:tc>
                <w:tcPr>
                  <w:tcW w:w="1676" w:type="dxa"/>
                  <w:vAlign w:val="center"/>
                </w:tcPr>
                <w:p>
                  <w:pPr>
                    <w:pStyle w:val="23"/>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7</w:t>
                  </w:r>
                </w:p>
              </w:tc>
              <w:tc>
                <w:tcPr>
                  <w:tcW w:w="1678" w:type="dxa"/>
                  <w:vAlign w:val="center"/>
                </w:tcPr>
                <w:p>
                  <w:pPr>
                    <w:pStyle w:val="23"/>
                    <w:jc w:val="center"/>
                    <w:rPr>
                      <w:sz w:val="21"/>
                      <w:szCs w:val="21"/>
                    </w:rPr>
                  </w:pPr>
                  <w:r>
                    <w:rPr>
                      <w:rFonts w:hint="eastAsia"/>
                      <w:sz w:val="21"/>
                      <w:szCs w:val="21"/>
                    </w:rPr>
                    <w:t>220-CYT-15</w:t>
                  </w:r>
                </w:p>
              </w:tc>
              <w:tc>
                <w:tcPr>
                  <w:tcW w:w="1676" w:type="dxa"/>
                  <w:vAlign w:val="center"/>
                </w:tcPr>
                <w:p>
                  <w:pPr>
                    <w:pStyle w:val="23"/>
                    <w:jc w:val="center"/>
                    <w:rPr>
                      <w:sz w:val="21"/>
                      <w:szCs w:val="21"/>
                    </w:rPr>
                  </w:pPr>
                  <w:r>
                    <w:rPr>
                      <w:rFonts w:hint="eastAsia"/>
                      <w:sz w:val="21"/>
                      <w:szCs w:val="21"/>
                    </w:rPr>
                    <w:t>15-18</w:t>
                  </w:r>
                </w:p>
              </w:tc>
              <w:tc>
                <w:tcPr>
                  <w:tcW w:w="1676" w:type="dxa"/>
                  <w:vAlign w:val="center"/>
                </w:tcPr>
                <w:p>
                  <w:pPr>
                    <w:pStyle w:val="23"/>
                    <w:jc w:val="center"/>
                    <w:rPr>
                      <w:sz w:val="21"/>
                      <w:szCs w:val="21"/>
                    </w:rPr>
                  </w:pPr>
                  <w:r>
                    <w:rPr>
                      <w:rFonts w:hint="eastAsia"/>
                      <w:sz w:val="21"/>
                      <w:szCs w:val="21"/>
                    </w:rPr>
                    <w:t>0-40</w:t>
                  </w:r>
                </w:p>
              </w:tc>
              <w:tc>
                <w:tcPr>
                  <w:tcW w:w="1676" w:type="dxa"/>
                  <w:vAlign w:val="center"/>
                </w:tcPr>
                <w:p>
                  <w:pPr>
                    <w:pStyle w:val="23"/>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8</w:t>
                  </w:r>
                </w:p>
              </w:tc>
              <w:tc>
                <w:tcPr>
                  <w:tcW w:w="1678" w:type="dxa"/>
                  <w:vAlign w:val="center"/>
                </w:tcPr>
                <w:p>
                  <w:pPr>
                    <w:pStyle w:val="23"/>
                    <w:jc w:val="center"/>
                    <w:rPr>
                      <w:sz w:val="21"/>
                      <w:szCs w:val="21"/>
                    </w:rPr>
                  </w:pPr>
                  <w:r>
                    <w:rPr>
                      <w:rFonts w:hint="eastAsia"/>
                      <w:sz w:val="21"/>
                      <w:szCs w:val="21"/>
                    </w:rPr>
                    <w:t>220-CYT-18</w:t>
                  </w:r>
                </w:p>
              </w:tc>
              <w:tc>
                <w:tcPr>
                  <w:tcW w:w="1676" w:type="dxa"/>
                  <w:vAlign w:val="center"/>
                </w:tcPr>
                <w:p>
                  <w:pPr>
                    <w:pStyle w:val="23"/>
                    <w:jc w:val="center"/>
                    <w:rPr>
                      <w:sz w:val="21"/>
                      <w:szCs w:val="21"/>
                    </w:rPr>
                  </w:pPr>
                  <w:r>
                    <w:rPr>
                      <w:rFonts w:hint="eastAsia"/>
                      <w:sz w:val="21"/>
                      <w:szCs w:val="21"/>
                    </w:rPr>
                    <w:t>15-30</w:t>
                  </w:r>
                </w:p>
              </w:tc>
              <w:tc>
                <w:tcPr>
                  <w:tcW w:w="1676" w:type="dxa"/>
                  <w:vAlign w:val="center"/>
                </w:tcPr>
                <w:p>
                  <w:pPr>
                    <w:pStyle w:val="23"/>
                    <w:jc w:val="center"/>
                    <w:rPr>
                      <w:sz w:val="21"/>
                      <w:szCs w:val="21"/>
                    </w:rPr>
                  </w:pPr>
                  <w:r>
                    <w:rPr>
                      <w:rFonts w:hint="eastAsia"/>
                      <w:sz w:val="21"/>
                      <w:szCs w:val="21"/>
                    </w:rPr>
                    <w:t>0-40</w:t>
                  </w:r>
                </w:p>
              </w:tc>
              <w:tc>
                <w:tcPr>
                  <w:tcW w:w="1676" w:type="dxa"/>
                  <w:vAlign w:val="center"/>
                </w:tcPr>
                <w:p>
                  <w:pPr>
                    <w:pStyle w:val="23"/>
                    <w:jc w:val="center"/>
                    <w:rPr>
                      <w:sz w:val="21"/>
                      <w:szCs w:val="21"/>
                    </w:rPr>
                  </w:pPr>
                  <w:r>
                    <w:rPr>
                      <w:rFonts w:hint="eastAsia"/>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9</w:t>
                  </w:r>
                </w:p>
              </w:tc>
              <w:tc>
                <w:tcPr>
                  <w:tcW w:w="1678" w:type="dxa"/>
                  <w:vAlign w:val="center"/>
                </w:tcPr>
                <w:p>
                  <w:pPr>
                    <w:pStyle w:val="23"/>
                    <w:jc w:val="center"/>
                    <w:rPr>
                      <w:sz w:val="21"/>
                      <w:szCs w:val="21"/>
                    </w:rPr>
                  </w:pPr>
                  <w:r>
                    <w:rPr>
                      <w:rFonts w:hint="eastAsia"/>
                      <w:sz w:val="21"/>
                      <w:szCs w:val="21"/>
                    </w:rPr>
                    <w:t>220-GH-J1-21</w:t>
                  </w:r>
                </w:p>
              </w:tc>
              <w:tc>
                <w:tcPr>
                  <w:tcW w:w="1676" w:type="dxa"/>
                  <w:vAlign w:val="center"/>
                </w:tcPr>
                <w:p>
                  <w:pPr>
                    <w:pStyle w:val="23"/>
                    <w:jc w:val="center"/>
                    <w:rPr>
                      <w:sz w:val="21"/>
                      <w:szCs w:val="21"/>
                    </w:rPr>
                  </w:pPr>
                  <w:r>
                    <w:rPr>
                      <w:rFonts w:hint="eastAsia"/>
                      <w:sz w:val="21"/>
                      <w:szCs w:val="21"/>
                    </w:rPr>
                    <w:t>18-36</w:t>
                  </w:r>
                </w:p>
              </w:tc>
              <w:tc>
                <w:tcPr>
                  <w:tcW w:w="1676" w:type="dxa"/>
                  <w:vAlign w:val="center"/>
                </w:tcPr>
                <w:p>
                  <w:pPr>
                    <w:pStyle w:val="23"/>
                    <w:jc w:val="center"/>
                    <w:rPr>
                      <w:sz w:val="21"/>
                      <w:szCs w:val="21"/>
                    </w:rPr>
                  </w:pPr>
                  <w:r>
                    <w:rPr>
                      <w:rFonts w:hint="eastAsia"/>
                      <w:sz w:val="21"/>
                      <w:szCs w:val="21"/>
                    </w:rPr>
                    <w:t>0</w:t>
                  </w:r>
                </w:p>
              </w:tc>
              <w:tc>
                <w:tcPr>
                  <w:tcW w:w="1676" w:type="dxa"/>
                  <w:vAlign w:val="center"/>
                </w:tcPr>
                <w:p>
                  <w:pPr>
                    <w:pStyle w:val="23"/>
                    <w:jc w:val="center"/>
                    <w:rPr>
                      <w:sz w:val="21"/>
                      <w:szCs w:val="21"/>
                    </w:rPr>
                  </w:pPr>
                  <w:r>
                    <w:rPr>
                      <w:rFonts w:hint="eastAsia"/>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10</w:t>
                  </w:r>
                </w:p>
              </w:tc>
              <w:tc>
                <w:tcPr>
                  <w:tcW w:w="1678" w:type="dxa"/>
                  <w:vAlign w:val="center"/>
                </w:tcPr>
                <w:p>
                  <w:pPr>
                    <w:pStyle w:val="23"/>
                    <w:jc w:val="center"/>
                    <w:rPr>
                      <w:sz w:val="21"/>
                      <w:szCs w:val="21"/>
                    </w:rPr>
                  </w:pPr>
                  <w:r>
                    <w:rPr>
                      <w:rFonts w:hint="eastAsia"/>
                      <w:sz w:val="21"/>
                      <w:szCs w:val="21"/>
                    </w:rPr>
                    <w:t>220-GH-J1-24</w:t>
                  </w:r>
                </w:p>
              </w:tc>
              <w:tc>
                <w:tcPr>
                  <w:tcW w:w="1676" w:type="dxa"/>
                  <w:vAlign w:val="center"/>
                </w:tcPr>
                <w:p>
                  <w:pPr>
                    <w:pStyle w:val="23"/>
                    <w:jc w:val="center"/>
                    <w:rPr>
                      <w:sz w:val="21"/>
                      <w:szCs w:val="21"/>
                    </w:rPr>
                  </w:pPr>
                  <w:r>
                    <w:rPr>
                      <w:rFonts w:hint="eastAsia"/>
                      <w:sz w:val="21"/>
                      <w:szCs w:val="21"/>
                    </w:rPr>
                    <w:t>21-45</w:t>
                  </w:r>
                </w:p>
              </w:tc>
              <w:tc>
                <w:tcPr>
                  <w:tcW w:w="1676" w:type="dxa"/>
                  <w:vAlign w:val="center"/>
                </w:tcPr>
                <w:p>
                  <w:pPr>
                    <w:pStyle w:val="23"/>
                    <w:jc w:val="center"/>
                    <w:rPr>
                      <w:sz w:val="21"/>
                      <w:szCs w:val="21"/>
                    </w:rPr>
                  </w:pPr>
                  <w:r>
                    <w:rPr>
                      <w:rFonts w:hint="eastAsia"/>
                      <w:sz w:val="21"/>
                      <w:szCs w:val="21"/>
                    </w:rPr>
                    <w:t>0</w:t>
                  </w:r>
                </w:p>
              </w:tc>
              <w:tc>
                <w:tcPr>
                  <w:tcW w:w="1676" w:type="dxa"/>
                  <w:vAlign w:val="center"/>
                </w:tcPr>
                <w:p>
                  <w:pPr>
                    <w:pStyle w:val="23"/>
                    <w:jc w:val="center"/>
                    <w:rPr>
                      <w:sz w:val="21"/>
                      <w:szCs w:val="21"/>
                    </w:rPr>
                  </w:pPr>
                  <w:r>
                    <w:rPr>
                      <w:rFonts w:hint="eastAsia"/>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11</w:t>
                  </w:r>
                </w:p>
              </w:tc>
              <w:tc>
                <w:tcPr>
                  <w:tcW w:w="1678" w:type="dxa"/>
                  <w:vAlign w:val="center"/>
                </w:tcPr>
                <w:p>
                  <w:pPr>
                    <w:pStyle w:val="23"/>
                    <w:jc w:val="center"/>
                    <w:rPr>
                      <w:sz w:val="21"/>
                      <w:szCs w:val="21"/>
                    </w:rPr>
                  </w:pPr>
                  <w:r>
                    <w:rPr>
                      <w:rFonts w:hint="eastAsia"/>
                      <w:sz w:val="21"/>
                      <w:szCs w:val="21"/>
                    </w:rPr>
                    <w:t>220-GH-J2-21</w:t>
                  </w:r>
                </w:p>
              </w:tc>
              <w:tc>
                <w:tcPr>
                  <w:tcW w:w="1676" w:type="dxa"/>
                  <w:vAlign w:val="center"/>
                </w:tcPr>
                <w:p>
                  <w:pPr>
                    <w:pStyle w:val="23"/>
                    <w:jc w:val="center"/>
                    <w:rPr>
                      <w:sz w:val="21"/>
                      <w:szCs w:val="21"/>
                    </w:rPr>
                  </w:pPr>
                  <w:r>
                    <w:rPr>
                      <w:rFonts w:hint="eastAsia"/>
                      <w:sz w:val="21"/>
                      <w:szCs w:val="21"/>
                    </w:rPr>
                    <w:t>15-30</w:t>
                  </w:r>
                </w:p>
              </w:tc>
              <w:tc>
                <w:tcPr>
                  <w:tcW w:w="1676" w:type="dxa"/>
                  <w:vAlign w:val="center"/>
                </w:tcPr>
                <w:p>
                  <w:pPr>
                    <w:pStyle w:val="23"/>
                    <w:jc w:val="center"/>
                    <w:rPr>
                      <w:sz w:val="21"/>
                      <w:szCs w:val="21"/>
                    </w:rPr>
                  </w:pPr>
                  <w:r>
                    <w:rPr>
                      <w:rFonts w:hint="eastAsia"/>
                      <w:sz w:val="21"/>
                      <w:szCs w:val="21"/>
                    </w:rPr>
                    <w:t>0-20</w:t>
                  </w:r>
                </w:p>
              </w:tc>
              <w:tc>
                <w:tcPr>
                  <w:tcW w:w="1676" w:type="dxa"/>
                  <w:vAlign w:val="center"/>
                </w:tcPr>
                <w:p>
                  <w:pPr>
                    <w:pStyle w:val="23"/>
                    <w:jc w:val="center"/>
                    <w:rPr>
                      <w:sz w:val="21"/>
                      <w:szCs w:val="21"/>
                    </w:rPr>
                  </w:pPr>
                  <w:r>
                    <w:rPr>
                      <w:rFonts w:hint="eastAsia"/>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sz w:val="21"/>
                      <w:szCs w:val="21"/>
                    </w:rPr>
                    <w:t>12</w:t>
                  </w:r>
                </w:p>
              </w:tc>
              <w:tc>
                <w:tcPr>
                  <w:tcW w:w="1678" w:type="dxa"/>
                  <w:vAlign w:val="center"/>
                </w:tcPr>
                <w:p>
                  <w:pPr>
                    <w:pStyle w:val="23"/>
                    <w:jc w:val="center"/>
                    <w:rPr>
                      <w:sz w:val="21"/>
                      <w:szCs w:val="21"/>
                    </w:rPr>
                  </w:pPr>
                  <w:r>
                    <w:rPr>
                      <w:rFonts w:hint="eastAsia"/>
                      <w:sz w:val="21"/>
                      <w:szCs w:val="21"/>
                    </w:rPr>
                    <w:t>220-GH-J3-24</w:t>
                  </w:r>
                </w:p>
              </w:tc>
              <w:tc>
                <w:tcPr>
                  <w:tcW w:w="1676" w:type="dxa"/>
                  <w:vAlign w:val="center"/>
                </w:tcPr>
                <w:p>
                  <w:pPr>
                    <w:pStyle w:val="23"/>
                    <w:jc w:val="center"/>
                    <w:rPr>
                      <w:sz w:val="21"/>
                      <w:szCs w:val="21"/>
                    </w:rPr>
                  </w:pPr>
                  <w:r>
                    <w:rPr>
                      <w:rFonts w:hint="eastAsia"/>
                      <w:sz w:val="21"/>
                      <w:szCs w:val="21"/>
                    </w:rPr>
                    <w:t>15-30</w:t>
                  </w:r>
                </w:p>
              </w:tc>
              <w:tc>
                <w:tcPr>
                  <w:tcW w:w="1676" w:type="dxa"/>
                  <w:vAlign w:val="center"/>
                </w:tcPr>
                <w:p>
                  <w:pPr>
                    <w:pStyle w:val="23"/>
                    <w:jc w:val="center"/>
                    <w:rPr>
                      <w:sz w:val="21"/>
                      <w:szCs w:val="21"/>
                    </w:rPr>
                  </w:pPr>
                  <w:r>
                    <w:rPr>
                      <w:rFonts w:hint="eastAsia"/>
                      <w:sz w:val="21"/>
                      <w:szCs w:val="21"/>
                    </w:rPr>
                    <w:t>20-40</w:t>
                  </w:r>
                </w:p>
              </w:tc>
              <w:tc>
                <w:tcPr>
                  <w:tcW w:w="1676" w:type="dxa"/>
                  <w:vAlign w:val="center"/>
                </w:tcPr>
                <w:p>
                  <w:pPr>
                    <w:pStyle w:val="23"/>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rFonts w:hint="eastAsia"/>
                      <w:sz w:val="21"/>
                      <w:szCs w:val="21"/>
                    </w:rPr>
                    <w:t>13</w:t>
                  </w:r>
                </w:p>
              </w:tc>
              <w:tc>
                <w:tcPr>
                  <w:tcW w:w="1678" w:type="dxa"/>
                  <w:vAlign w:val="center"/>
                </w:tcPr>
                <w:p>
                  <w:pPr>
                    <w:pStyle w:val="23"/>
                    <w:jc w:val="center"/>
                    <w:rPr>
                      <w:sz w:val="21"/>
                      <w:szCs w:val="21"/>
                    </w:rPr>
                  </w:pPr>
                  <w:r>
                    <w:rPr>
                      <w:rFonts w:hint="eastAsia"/>
                      <w:sz w:val="21"/>
                      <w:szCs w:val="21"/>
                    </w:rPr>
                    <w:t>220-GH-J4-21</w:t>
                  </w:r>
                </w:p>
              </w:tc>
              <w:tc>
                <w:tcPr>
                  <w:tcW w:w="1676" w:type="dxa"/>
                  <w:vAlign w:val="center"/>
                </w:tcPr>
                <w:p>
                  <w:pPr>
                    <w:pStyle w:val="23"/>
                    <w:jc w:val="center"/>
                    <w:rPr>
                      <w:sz w:val="21"/>
                      <w:szCs w:val="21"/>
                    </w:rPr>
                  </w:pPr>
                  <w:r>
                    <w:rPr>
                      <w:rFonts w:hint="eastAsia"/>
                      <w:sz w:val="21"/>
                      <w:szCs w:val="21"/>
                    </w:rPr>
                    <w:t>15-30</w:t>
                  </w:r>
                </w:p>
              </w:tc>
              <w:tc>
                <w:tcPr>
                  <w:tcW w:w="1676" w:type="dxa"/>
                  <w:vAlign w:val="center"/>
                </w:tcPr>
                <w:p>
                  <w:pPr>
                    <w:pStyle w:val="23"/>
                    <w:jc w:val="center"/>
                    <w:rPr>
                      <w:sz w:val="21"/>
                      <w:szCs w:val="21"/>
                    </w:rPr>
                  </w:pPr>
                  <w:r>
                    <w:rPr>
                      <w:rFonts w:hint="eastAsia"/>
                      <w:sz w:val="21"/>
                      <w:szCs w:val="21"/>
                    </w:rPr>
                    <w:t>40-60</w:t>
                  </w:r>
                </w:p>
              </w:tc>
              <w:tc>
                <w:tcPr>
                  <w:tcW w:w="1676" w:type="dxa"/>
                  <w:vAlign w:val="center"/>
                </w:tcPr>
                <w:p>
                  <w:pPr>
                    <w:pStyle w:val="23"/>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rFonts w:hint="eastAsia"/>
                      <w:sz w:val="21"/>
                      <w:szCs w:val="21"/>
                    </w:rPr>
                    <w:t>14</w:t>
                  </w:r>
                </w:p>
              </w:tc>
              <w:tc>
                <w:tcPr>
                  <w:tcW w:w="1678" w:type="dxa"/>
                  <w:vAlign w:val="center"/>
                </w:tcPr>
                <w:p>
                  <w:pPr>
                    <w:pStyle w:val="23"/>
                    <w:jc w:val="center"/>
                    <w:rPr>
                      <w:sz w:val="21"/>
                      <w:szCs w:val="21"/>
                    </w:rPr>
                  </w:pPr>
                  <w:r>
                    <w:rPr>
                      <w:rFonts w:hint="eastAsia"/>
                      <w:sz w:val="21"/>
                      <w:szCs w:val="21"/>
                    </w:rPr>
                    <w:t>220-GH-J4-24</w:t>
                  </w:r>
                </w:p>
              </w:tc>
              <w:tc>
                <w:tcPr>
                  <w:tcW w:w="1676" w:type="dxa"/>
                  <w:vAlign w:val="center"/>
                </w:tcPr>
                <w:p>
                  <w:pPr>
                    <w:pStyle w:val="23"/>
                    <w:jc w:val="center"/>
                    <w:rPr>
                      <w:sz w:val="21"/>
                      <w:szCs w:val="21"/>
                    </w:rPr>
                  </w:pPr>
                  <w:r>
                    <w:rPr>
                      <w:rFonts w:hint="eastAsia"/>
                      <w:sz w:val="21"/>
                      <w:szCs w:val="21"/>
                    </w:rPr>
                    <w:t>15-30</w:t>
                  </w:r>
                </w:p>
              </w:tc>
              <w:tc>
                <w:tcPr>
                  <w:tcW w:w="1676" w:type="dxa"/>
                  <w:vAlign w:val="center"/>
                </w:tcPr>
                <w:p>
                  <w:pPr>
                    <w:pStyle w:val="23"/>
                    <w:jc w:val="center"/>
                    <w:rPr>
                      <w:sz w:val="21"/>
                      <w:szCs w:val="21"/>
                    </w:rPr>
                  </w:pPr>
                  <w:r>
                    <w:rPr>
                      <w:rFonts w:hint="eastAsia"/>
                      <w:sz w:val="21"/>
                      <w:szCs w:val="21"/>
                    </w:rPr>
                    <w:t>60-90</w:t>
                  </w:r>
                </w:p>
              </w:tc>
              <w:tc>
                <w:tcPr>
                  <w:tcW w:w="1676" w:type="dxa"/>
                  <w:vAlign w:val="center"/>
                </w:tcPr>
                <w:p>
                  <w:pPr>
                    <w:pStyle w:val="23"/>
                    <w:jc w:val="center"/>
                    <w:rPr>
                      <w:sz w:val="21"/>
                      <w:szCs w:val="21"/>
                    </w:rPr>
                  </w:pPr>
                  <w:r>
                    <w:rPr>
                      <w:rFonts w:hint="eastAsia"/>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73" w:type="dxa"/>
                  <w:vAlign w:val="center"/>
                </w:tcPr>
                <w:p>
                  <w:pPr>
                    <w:pStyle w:val="23"/>
                    <w:jc w:val="center"/>
                    <w:rPr>
                      <w:sz w:val="21"/>
                      <w:szCs w:val="21"/>
                    </w:rPr>
                  </w:pPr>
                  <w:r>
                    <w:rPr>
                      <w:rFonts w:hint="eastAsia"/>
                      <w:sz w:val="21"/>
                      <w:szCs w:val="21"/>
                    </w:rPr>
                    <w:t>15</w:t>
                  </w:r>
                </w:p>
              </w:tc>
              <w:tc>
                <w:tcPr>
                  <w:tcW w:w="1678" w:type="dxa"/>
                  <w:vAlign w:val="center"/>
                </w:tcPr>
                <w:p>
                  <w:pPr>
                    <w:pStyle w:val="23"/>
                    <w:jc w:val="center"/>
                    <w:rPr>
                      <w:sz w:val="21"/>
                      <w:szCs w:val="21"/>
                    </w:rPr>
                  </w:pPr>
                  <w:r>
                    <w:rPr>
                      <w:rFonts w:hint="eastAsia"/>
                      <w:sz w:val="21"/>
                      <w:szCs w:val="21"/>
                    </w:rPr>
                    <w:t>220-GH-DJ1-24</w:t>
                  </w:r>
                </w:p>
              </w:tc>
              <w:tc>
                <w:tcPr>
                  <w:tcW w:w="1676" w:type="dxa"/>
                  <w:vAlign w:val="center"/>
                </w:tcPr>
                <w:p>
                  <w:pPr>
                    <w:pStyle w:val="23"/>
                    <w:jc w:val="center"/>
                    <w:rPr>
                      <w:sz w:val="21"/>
                      <w:szCs w:val="21"/>
                    </w:rPr>
                  </w:pPr>
                  <w:r>
                    <w:rPr>
                      <w:rFonts w:hint="eastAsia"/>
                      <w:sz w:val="21"/>
                      <w:szCs w:val="21"/>
                    </w:rPr>
                    <w:t>15-18</w:t>
                  </w:r>
                </w:p>
              </w:tc>
              <w:tc>
                <w:tcPr>
                  <w:tcW w:w="1676" w:type="dxa"/>
                  <w:vAlign w:val="center"/>
                </w:tcPr>
                <w:p>
                  <w:pPr>
                    <w:pStyle w:val="23"/>
                    <w:jc w:val="center"/>
                    <w:rPr>
                      <w:sz w:val="21"/>
                      <w:szCs w:val="21"/>
                    </w:rPr>
                  </w:pPr>
                  <w:r>
                    <w:rPr>
                      <w:rFonts w:hint="eastAsia"/>
                      <w:sz w:val="21"/>
                      <w:szCs w:val="21"/>
                    </w:rPr>
                    <w:t>0-40</w:t>
                  </w:r>
                </w:p>
              </w:tc>
              <w:tc>
                <w:tcPr>
                  <w:tcW w:w="1676" w:type="dxa"/>
                  <w:vAlign w:val="center"/>
                </w:tcPr>
                <w:p>
                  <w:pPr>
                    <w:pStyle w:val="23"/>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03" w:type="dxa"/>
                  <w:gridSpan w:val="4"/>
                  <w:vAlign w:val="center"/>
                </w:tcPr>
                <w:p>
                  <w:pPr>
                    <w:pStyle w:val="23"/>
                    <w:jc w:val="center"/>
                    <w:rPr>
                      <w:sz w:val="21"/>
                      <w:szCs w:val="21"/>
                    </w:rPr>
                  </w:pPr>
                  <w:r>
                    <w:rPr>
                      <w:sz w:val="21"/>
                      <w:szCs w:val="21"/>
                    </w:rPr>
                    <w:t>合计</w:t>
                  </w:r>
                </w:p>
              </w:tc>
              <w:tc>
                <w:tcPr>
                  <w:tcW w:w="1676" w:type="dxa"/>
                  <w:vAlign w:val="center"/>
                </w:tcPr>
                <w:p>
                  <w:pPr>
                    <w:pStyle w:val="23"/>
                    <w:jc w:val="center"/>
                    <w:rPr>
                      <w:sz w:val="21"/>
                      <w:szCs w:val="21"/>
                    </w:rPr>
                  </w:pPr>
                  <w:r>
                    <w:rPr>
                      <w:rFonts w:hint="eastAsia"/>
                      <w:sz w:val="21"/>
                      <w:szCs w:val="21"/>
                    </w:rPr>
                    <w:t>30</w:t>
                  </w:r>
                </w:p>
              </w:tc>
            </w:tr>
          </w:tbl>
          <w:p>
            <w:pPr>
              <w:pStyle w:val="23"/>
            </w:pPr>
          </w:p>
          <w:p>
            <w:pPr>
              <w:autoSpaceDE w:val="0"/>
              <w:autoSpaceDN w:val="0"/>
              <w:adjustRightInd w:val="0"/>
              <w:snapToGrid w:val="0"/>
              <w:spacing w:line="360" w:lineRule="auto"/>
              <w:ind w:firstLine="480" w:firstLineChars="200"/>
              <w:rPr>
                <w:color w:val="000000"/>
                <w:sz w:val="24"/>
              </w:rPr>
            </w:pPr>
            <w:r>
              <w:rPr>
                <w:rFonts w:hint="eastAsia"/>
                <w:color w:val="000000"/>
                <w:sz w:val="24"/>
              </w:rPr>
              <w:t>（3）基础</w:t>
            </w:r>
          </w:p>
          <w:p>
            <w:pPr>
              <w:autoSpaceDE w:val="0"/>
              <w:autoSpaceDN w:val="0"/>
              <w:adjustRightInd w:val="0"/>
              <w:snapToGrid w:val="0"/>
              <w:spacing w:line="360" w:lineRule="auto"/>
              <w:ind w:firstLine="480" w:firstLineChars="200"/>
              <w:rPr>
                <w:color w:val="000000"/>
                <w:sz w:val="24"/>
              </w:rPr>
            </w:pPr>
            <w:r>
              <w:rPr>
                <w:color w:val="000000"/>
                <w:sz w:val="24"/>
              </w:rPr>
              <w:t>根据本工程线路地形、地质特点、水文情况、施工条件和杆塔型式，经技术经济比较，</w:t>
            </w:r>
            <w:r>
              <w:rPr>
                <w:rFonts w:hint="eastAsia"/>
                <w:color w:val="000000"/>
                <w:sz w:val="24"/>
              </w:rPr>
              <w:t>本工程</w:t>
            </w:r>
            <w:r>
              <w:rPr>
                <w:color w:val="000000"/>
                <w:sz w:val="24"/>
              </w:rPr>
              <w:t>铁塔基础采用</w:t>
            </w:r>
            <w:r>
              <w:rPr>
                <w:rFonts w:hint="eastAsia"/>
                <w:snapToGrid w:val="0"/>
                <w:sz w:val="24"/>
              </w:rPr>
              <w:t>直柱板式基础、挖孔基础</w:t>
            </w:r>
            <w:r>
              <w:rPr>
                <w:rFonts w:hint="eastAsia"/>
                <w:color w:val="000000"/>
                <w:sz w:val="24"/>
              </w:rPr>
              <w:t>。</w:t>
            </w:r>
          </w:p>
          <w:p>
            <w:pPr>
              <w:pStyle w:val="2"/>
              <w:numPr>
                <w:ilvl w:val="1"/>
                <w:numId w:val="5"/>
              </w:numPr>
              <w:spacing w:before="0" w:after="0" w:line="360" w:lineRule="auto"/>
              <w:rPr>
                <w:rFonts w:eastAsia="宋体"/>
                <w:sz w:val="24"/>
                <w:szCs w:val="24"/>
              </w:rPr>
            </w:pPr>
            <w:r>
              <w:rPr>
                <w:rFonts w:hint="eastAsia" w:eastAsia="宋体"/>
                <w:sz w:val="24"/>
                <w:szCs w:val="24"/>
              </w:rPr>
              <w:t>导线对地距离和交叉跨越</w:t>
            </w:r>
          </w:p>
          <w:p>
            <w:pPr>
              <w:autoSpaceDE w:val="0"/>
              <w:autoSpaceDN w:val="0"/>
              <w:adjustRightInd w:val="0"/>
              <w:snapToGrid w:val="0"/>
              <w:spacing w:line="360" w:lineRule="auto"/>
              <w:ind w:firstLine="480" w:firstLineChars="200"/>
              <w:rPr>
                <w:sz w:val="24"/>
              </w:rPr>
            </w:pPr>
            <w:r>
              <w:rPr>
                <w:color w:val="000000"/>
                <w:sz w:val="24"/>
              </w:rPr>
              <w:t>本工程线路</w:t>
            </w:r>
            <w:r>
              <w:rPr>
                <w:rFonts w:hint="eastAsia"/>
                <w:color w:val="000000"/>
                <w:sz w:val="24"/>
              </w:rPr>
              <w:t>根据最低线高标准，居民区</w:t>
            </w:r>
            <w:r>
              <w:rPr>
                <w:color w:val="000000"/>
                <w:sz w:val="24"/>
              </w:rPr>
              <w:t>导线对地距离</w:t>
            </w:r>
            <w:r>
              <w:rPr>
                <w:rFonts w:hint="eastAsia"/>
                <w:color w:val="000000"/>
                <w:sz w:val="24"/>
              </w:rPr>
              <w:t>为7</w:t>
            </w:r>
            <w:r>
              <w:rPr>
                <w:color w:val="000000"/>
                <w:sz w:val="24"/>
              </w:rPr>
              <w:t>.5</w:t>
            </w:r>
            <w:r>
              <w:rPr>
                <w:rFonts w:hint="eastAsia"/>
                <w:color w:val="000000"/>
                <w:sz w:val="24"/>
              </w:rPr>
              <w:t>m，</w:t>
            </w:r>
            <w:r>
              <w:rPr>
                <w:color w:val="000000"/>
                <w:sz w:val="24"/>
              </w:rPr>
              <w:t>非居民区导线对地距离</w:t>
            </w:r>
            <w:r>
              <w:rPr>
                <w:rFonts w:hint="eastAsia"/>
                <w:color w:val="000000"/>
                <w:sz w:val="24"/>
              </w:rPr>
              <w:t>为6</w:t>
            </w:r>
            <w:r>
              <w:rPr>
                <w:color w:val="000000"/>
                <w:sz w:val="24"/>
              </w:rPr>
              <w:t>.5m</w:t>
            </w:r>
            <w:r>
              <w:rPr>
                <w:rFonts w:hint="eastAsia"/>
                <w:color w:val="000000"/>
                <w:sz w:val="24"/>
              </w:rPr>
              <w:t>，</w:t>
            </w:r>
            <w:r>
              <w:rPr>
                <w:color w:val="000000"/>
                <w:sz w:val="24"/>
              </w:rPr>
              <w:t>跨越公路等其它设施时</w:t>
            </w:r>
            <w:r>
              <w:rPr>
                <w:rFonts w:hint="eastAsia"/>
                <w:color w:val="000000"/>
                <w:sz w:val="24"/>
              </w:rPr>
              <w:t>，</w:t>
            </w:r>
            <w:r>
              <w:rPr>
                <w:color w:val="000000"/>
                <w:sz w:val="24"/>
              </w:rPr>
              <w:t>按相应设计规范执行</w:t>
            </w:r>
            <w:r>
              <w:rPr>
                <w:rFonts w:hint="eastAsia"/>
                <w:color w:val="000000"/>
                <w:sz w:val="24"/>
              </w:rPr>
              <w:t>，导线对地最小距离一览表</w:t>
            </w:r>
            <w:r>
              <w:rPr>
                <w:color w:val="000000"/>
                <w:sz w:val="24"/>
              </w:rPr>
              <w:t>见</w:t>
            </w:r>
            <w:r>
              <w:rPr>
                <w:rFonts w:hint="default"/>
                <w:b w:val="0"/>
                <w:bCs w:val="0"/>
                <w:color w:val="000000"/>
                <w:sz w:val="24"/>
                <w:szCs w:val="24"/>
                <w:lang w:val="en-US"/>
              </w:rPr>
              <w:fldChar w:fldCharType="begin"/>
            </w:r>
            <w:r>
              <w:rPr>
                <w:b w:val="0"/>
                <w:bCs w:val="0"/>
              </w:rPr>
              <w:instrText xml:space="preserve"> REF _Ref21293 \h  \* MERGEFORMAT</w:instrText>
            </w:r>
            <w:r>
              <w:rPr>
                <w:rFonts w:hint="default"/>
                <w:b w:val="0"/>
                <w:bCs w:val="0"/>
                <w:color w:val="000000"/>
                <w:sz w:val="24"/>
                <w:szCs w:val="24"/>
                <w:lang w:val="en-US"/>
              </w:rPr>
              <w:fldChar w:fldCharType="separate"/>
            </w:r>
            <w:r>
              <w:rPr>
                <w:rFonts w:ascii="Times New Roman" w:hAnsi="Times New Roman" w:eastAsia="宋体"/>
                <w:b w:val="0"/>
                <w:bCs w:val="0"/>
                <w:sz w:val="24"/>
                <w:szCs w:val="24"/>
              </w:rPr>
              <w:t>表6</w:t>
            </w:r>
            <w:r>
              <w:rPr>
                <w:rFonts w:hint="default"/>
                <w:b w:val="0"/>
                <w:bCs w:val="0"/>
                <w:color w:val="000000"/>
                <w:sz w:val="24"/>
                <w:szCs w:val="24"/>
                <w:lang w:val="en-US"/>
              </w:rPr>
              <w:fldChar w:fldCharType="end"/>
            </w:r>
            <w:r>
              <w:rPr>
                <w:color w:val="000000"/>
                <w:sz w:val="24"/>
              </w:rPr>
              <w:t>，交叉跨越情况一览表见</w:t>
            </w:r>
            <w:r>
              <w:rPr>
                <w:rFonts w:hint="default"/>
                <w:b w:val="0"/>
                <w:bCs w:val="0"/>
                <w:color w:val="000000"/>
                <w:sz w:val="24"/>
                <w:szCs w:val="24"/>
                <w:lang w:val="en-US"/>
              </w:rPr>
              <w:fldChar w:fldCharType="begin"/>
            </w:r>
            <w:r>
              <w:rPr>
                <w:b w:val="0"/>
                <w:bCs w:val="0"/>
              </w:rPr>
              <w:instrText xml:space="preserve"> REF _Ref17018 \h  \* MERGEFORMAT</w:instrText>
            </w:r>
            <w:r>
              <w:rPr>
                <w:rFonts w:hint="default"/>
                <w:b w:val="0"/>
                <w:bCs w:val="0"/>
                <w:color w:val="000000"/>
                <w:sz w:val="24"/>
                <w:szCs w:val="24"/>
                <w:lang w:val="en-US"/>
              </w:rPr>
              <w:fldChar w:fldCharType="separate"/>
            </w:r>
            <w:r>
              <w:rPr>
                <w:rFonts w:ascii="Times New Roman" w:hAnsi="Times New Roman" w:eastAsia="宋体"/>
                <w:b w:val="0"/>
                <w:bCs w:val="0"/>
                <w:sz w:val="24"/>
                <w:szCs w:val="24"/>
              </w:rPr>
              <w:t>表7</w:t>
            </w:r>
            <w:r>
              <w:rPr>
                <w:rFonts w:hint="default"/>
                <w:b w:val="0"/>
                <w:bCs w:val="0"/>
                <w:color w:val="000000"/>
                <w:sz w:val="24"/>
                <w:szCs w:val="24"/>
                <w:lang w:val="en-US"/>
              </w:rPr>
              <w:fldChar w:fldCharType="end"/>
            </w:r>
            <w:r>
              <w:rPr>
                <w:rFonts w:hint="eastAsia"/>
                <w:color w:val="000000"/>
                <w:sz w:val="24"/>
              </w:rPr>
              <w:t>。</w:t>
            </w:r>
          </w:p>
          <w:p>
            <w:pPr>
              <w:pStyle w:val="10"/>
              <w:jc w:val="left"/>
              <w:rPr>
                <w:rFonts w:eastAsia="宋体"/>
              </w:rPr>
            </w:pPr>
            <w:bookmarkStart w:id="15" w:name="_Ref21293"/>
            <w:r>
              <w:rPr>
                <w:rFonts w:ascii="Times New Roman" w:hAnsi="Times New Roman" w:eastAsia="宋体"/>
                <w:b/>
                <w:bCs/>
              </w:rPr>
              <w:t xml:space="preserve">表 </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6</w:t>
            </w:r>
            <w:r>
              <w:rPr>
                <w:rFonts w:ascii="Times New Roman" w:hAnsi="Times New Roman" w:eastAsia="宋体"/>
                <w:b/>
                <w:bCs/>
              </w:rPr>
              <w:fldChar w:fldCharType="end"/>
            </w:r>
            <w:bookmarkEnd w:id="15"/>
            <w:r>
              <w:rPr>
                <w:rFonts w:ascii="Times New Roman" w:hAnsi="Times New Roman" w:eastAsia="宋体"/>
                <w:b/>
                <w:bCs/>
              </w:rPr>
              <w:t xml:space="preserve"> 导线对地距离一览表</w:t>
            </w:r>
          </w:p>
          <w:tbl>
            <w:tblPr>
              <w:tblStyle w:val="37"/>
              <w:tblW w:w="8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4565"/>
              <w:gridCol w:w="2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1020" w:type="dxa"/>
                  <w:vAlign w:val="center"/>
                </w:tcPr>
                <w:p>
                  <w:pPr>
                    <w:jc w:val="center"/>
                    <w:rPr>
                      <w:b/>
                      <w:bCs/>
                      <w:color w:val="000000"/>
                    </w:rPr>
                  </w:pPr>
                  <w:r>
                    <w:rPr>
                      <w:b/>
                      <w:bCs/>
                      <w:color w:val="000000"/>
                    </w:rPr>
                    <w:t>序号</w:t>
                  </w:r>
                </w:p>
              </w:tc>
              <w:tc>
                <w:tcPr>
                  <w:tcW w:w="4565" w:type="dxa"/>
                  <w:vAlign w:val="center"/>
                </w:tcPr>
                <w:p>
                  <w:pPr>
                    <w:jc w:val="center"/>
                    <w:rPr>
                      <w:b/>
                      <w:bCs/>
                      <w:color w:val="000000"/>
                    </w:rPr>
                  </w:pPr>
                  <w:r>
                    <w:rPr>
                      <w:b/>
                      <w:bCs/>
                      <w:color w:val="000000"/>
                    </w:rPr>
                    <w:t>被交叉跨越物</w:t>
                  </w:r>
                </w:p>
              </w:tc>
              <w:tc>
                <w:tcPr>
                  <w:tcW w:w="2794" w:type="dxa"/>
                  <w:vAlign w:val="center"/>
                </w:tcPr>
                <w:p>
                  <w:pPr>
                    <w:jc w:val="center"/>
                    <w:rPr>
                      <w:b/>
                      <w:bCs/>
                      <w:color w:val="000000"/>
                    </w:rPr>
                  </w:pPr>
                  <w:r>
                    <w:rPr>
                      <w:b/>
                      <w:bCs/>
                      <w:color w:val="000000"/>
                    </w:rPr>
                    <w:t>最小允许垂直距离（m）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1020" w:type="dxa"/>
                  <w:vAlign w:val="center"/>
                </w:tcPr>
                <w:p>
                  <w:pPr>
                    <w:jc w:val="center"/>
                    <w:rPr>
                      <w:color w:val="000000"/>
                    </w:rPr>
                  </w:pPr>
                  <w:r>
                    <w:rPr>
                      <w:color w:val="000000"/>
                    </w:rPr>
                    <w:t>1</w:t>
                  </w:r>
                </w:p>
              </w:tc>
              <w:tc>
                <w:tcPr>
                  <w:tcW w:w="4565" w:type="dxa"/>
                  <w:vAlign w:val="center"/>
                </w:tcPr>
                <w:p>
                  <w:pPr>
                    <w:jc w:val="center"/>
                    <w:rPr>
                      <w:color w:val="000000"/>
                    </w:rPr>
                  </w:pPr>
                  <w:r>
                    <w:rPr>
                      <w:color w:val="000000"/>
                    </w:rPr>
                    <w:t>居民区</w:t>
                  </w:r>
                </w:p>
              </w:tc>
              <w:tc>
                <w:tcPr>
                  <w:tcW w:w="2794" w:type="dxa"/>
                  <w:vAlign w:val="center"/>
                </w:tcPr>
                <w:p>
                  <w:pPr>
                    <w:jc w:val="center"/>
                    <w:rPr>
                      <w:color w:val="000000"/>
                    </w:rPr>
                  </w:pPr>
                  <w:r>
                    <w:rPr>
                      <w:color w:val="000000"/>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1020" w:type="dxa"/>
                  <w:vAlign w:val="center"/>
                </w:tcPr>
                <w:p>
                  <w:pPr>
                    <w:jc w:val="center"/>
                    <w:rPr>
                      <w:color w:val="000000"/>
                    </w:rPr>
                  </w:pPr>
                  <w:r>
                    <w:rPr>
                      <w:color w:val="000000"/>
                    </w:rPr>
                    <w:t>2</w:t>
                  </w:r>
                </w:p>
              </w:tc>
              <w:tc>
                <w:tcPr>
                  <w:tcW w:w="4565" w:type="dxa"/>
                  <w:vAlign w:val="center"/>
                </w:tcPr>
                <w:p>
                  <w:pPr>
                    <w:jc w:val="center"/>
                    <w:rPr>
                      <w:color w:val="000000"/>
                    </w:rPr>
                  </w:pPr>
                  <w:r>
                    <w:rPr>
                      <w:color w:val="000000"/>
                    </w:rPr>
                    <w:t>非居民区</w:t>
                  </w:r>
                </w:p>
              </w:tc>
              <w:tc>
                <w:tcPr>
                  <w:tcW w:w="2794" w:type="dxa"/>
                  <w:vAlign w:val="center"/>
                </w:tcPr>
                <w:p>
                  <w:pPr>
                    <w:jc w:val="center"/>
                    <w:rPr>
                      <w:color w:val="000000"/>
                    </w:rPr>
                  </w:pPr>
                  <w:r>
                    <w:rPr>
                      <w:color w:val="000000"/>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1020" w:type="dxa"/>
                  <w:vAlign w:val="center"/>
                </w:tcPr>
                <w:p>
                  <w:pPr>
                    <w:jc w:val="center"/>
                    <w:rPr>
                      <w:color w:val="000000"/>
                    </w:rPr>
                  </w:pPr>
                  <w:r>
                    <w:rPr>
                      <w:color w:val="000000"/>
                    </w:rPr>
                    <w:t>3</w:t>
                  </w:r>
                </w:p>
              </w:tc>
              <w:tc>
                <w:tcPr>
                  <w:tcW w:w="4565" w:type="dxa"/>
                  <w:vAlign w:val="center"/>
                </w:tcPr>
                <w:p>
                  <w:pPr>
                    <w:jc w:val="center"/>
                    <w:rPr>
                      <w:color w:val="000000"/>
                    </w:rPr>
                  </w:pPr>
                  <w:r>
                    <w:rPr>
                      <w:color w:val="000000"/>
                    </w:rPr>
                    <w:t>交通困难区</w:t>
                  </w:r>
                </w:p>
              </w:tc>
              <w:tc>
                <w:tcPr>
                  <w:tcW w:w="2794" w:type="dxa"/>
                  <w:vAlign w:val="center"/>
                </w:tcPr>
                <w:p>
                  <w:pPr>
                    <w:jc w:val="center"/>
                    <w:rPr>
                      <w:color w:val="000000"/>
                    </w:rPr>
                  </w:pPr>
                  <w:r>
                    <w:rPr>
                      <w:color w:val="000000"/>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1020" w:type="dxa"/>
                  <w:vAlign w:val="center"/>
                </w:tcPr>
                <w:p>
                  <w:pPr>
                    <w:jc w:val="center"/>
                    <w:rPr>
                      <w:color w:val="000000"/>
                    </w:rPr>
                  </w:pPr>
                  <w:r>
                    <w:rPr>
                      <w:color w:val="000000"/>
                    </w:rPr>
                    <w:t>4</w:t>
                  </w:r>
                </w:p>
              </w:tc>
              <w:tc>
                <w:tcPr>
                  <w:tcW w:w="4565" w:type="dxa"/>
                  <w:vAlign w:val="center"/>
                </w:tcPr>
                <w:p>
                  <w:pPr>
                    <w:jc w:val="center"/>
                    <w:rPr>
                      <w:color w:val="000000"/>
                    </w:rPr>
                  </w:pPr>
                  <w:r>
                    <w:rPr>
                      <w:color w:val="000000"/>
                    </w:rPr>
                    <w:t>公路</w:t>
                  </w:r>
                </w:p>
              </w:tc>
              <w:tc>
                <w:tcPr>
                  <w:tcW w:w="2794" w:type="dxa"/>
                  <w:vAlign w:val="center"/>
                </w:tcPr>
                <w:p>
                  <w:pPr>
                    <w:jc w:val="center"/>
                    <w:rPr>
                      <w:color w:val="000000"/>
                    </w:rPr>
                  </w:pPr>
                  <w:r>
                    <w:rPr>
                      <w:color w:val="000000"/>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020" w:type="dxa"/>
                  <w:vAlign w:val="center"/>
                </w:tcPr>
                <w:p>
                  <w:pPr>
                    <w:jc w:val="center"/>
                    <w:rPr>
                      <w:color w:val="000000"/>
                    </w:rPr>
                  </w:pPr>
                  <w:r>
                    <w:rPr>
                      <w:color w:val="000000"/>
                    </w:rPr>
                    <w:t>5</w:t>
                  </w:r>
                </w:p>
              </w:tc>
              <w:tc>
                <w:tcPr>
                  <w:tcW w:w="4565" w:type="dxa"/>
                  <w:vAlign w:val="center"/>
                </w:tcPr>
                <w:p>
                  <w:pPr>
                    <w:jc w:val="center"/>
                    <w:rPr>
                      <w:color w:val="000000"/>
                    </w:rPr>
                  </w:pPr>
                  <w:r>
                    <w:rPr>
                      <w:color w:val="000000"/>
                    </w:rPr>
                    <w:t>电力线路</w:t>
                  </w:r>
                </w:p>
              </w:tc>
              <w:tc>
                <w:tcPr>
                  <w:tcW w:w="2794" w:type="dxa"/>
                  <w:vAlign w:val="center"/>
                </w:tcPr>
                <w:p>
                  <w:pPr>
                    <w:jc w:val="center"/>
                    <w:rPr>
                      <w:color w:val="000000"/>
                    </w:rPr>
                  </w:pPr>
                  <w:r>
                    <w:rPr>
                      <w:color w:val="000000"/>
                    </w:rPr>
                    <w:t>4.0</w:t>
                  </w:r>
                </w:p>
              </w:tc>
            </w:tr>
          </w:tbl>
          <w:p>
            <w:pPr>
              <w:pStyle w:val="10"/>
              <w:keepNext/>
              <w:jc w:val="left"/>
              <w:rPr>
                <w:rFonts w:ascii="Times New Roman" w:hAnsi="Times New Roman"/>
                <w:b/>
              </w:rPr>
            </w:pPr>
            <w:bookmarkStart w:id="16" w:name="_Ref17018"/>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7</w:t>
            </w:r>
            <w:r>
              <w:rPr>
                <w:rFonts w:ascii="Times New Roman" w:hAnsi="Times New Roman" w:eastAsia="宋体"/>
                <w:b/>
              </w:rPr>
              <w:fldChar w:fldCharType="end"/>
            </w:r>
            <w:bookmarkEnd w:id="16"/>
            <w:r>
              <w:rPr>
                <w:rFonts w:ascii="Times New Roman" w:hAnsi="Times New Roman" w:eastAsia="宋体"/>
                <w:b/>
              </w:rPr>
              <w:t>本工程输电线路交叉跨越情况一览表</w:t>
            </w:r>
          </w:p>
          <w:tbl>
            <w:tblPr>
              <w:tblStyle w:val="38"/>
              <w:tblW w:w="8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0"/>
              <w:gridCol w:w="4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180" w:type="dxa"/>
                  <w:vAlign w:val="center"/>
                </w:tcPr>
                <w:p>
                  <w:pPr>
                    <w:pStyle w:val="36"/>
                    <w:spacing w:after="0"/>
                    <w:ind w:left="0" w:leftChars="0" w:firstLine="0"/>
                    <w:jc w:val="center"/>
                    <w:rPr>
                      <w:b/>
                      <w:bCs/>
                      <w:sz w:val="21"/>
                      <w:szCs w:val="21"/>
                    </w:rPr>
                  </w:pPr>
                  <w:r>
                    <w:rPr>
                      <w:rFonts w:hint="eastAsia"/>
                      <w:b/>
                      <w:bCs/>
                      <w:sz w:val="21"/>
                      <w:szCs w:val="21"/>
                    </w:rPr>
                    <w:t>交叉跨越设施</w:t>
                  </w:r>
                </w:p>
              </w:tc>
              <w:tc>
                <w:tcPr>
                  <w:tcW w:w="4180" w:type="dxa"/>
                  <w:vAlign w:val="center"/>
                </w:tcPr>
                <w:p>
                  <w:pPr>
                    <w:pStyle w:val="36"/>
                    <w:spacing w:after="0"/>
                    <w:ind w:left="0" w:leftChars="0" w:firstLine="0"/>
                    <w:jc w:val="center"/>
                    <w:rPr>
                      <w:b/>
                      <w:bCs/>
                      <w:sz w:val="21"/>
                      <w:szCs w:val="21"/>
                    </w:rPr>
                  </w:pPr>
                  <w:r>
                    <w:rPr>
                      <w:rFonts w:hint="eastAsia"/>
                      <w:b/>
                      <w:bCs/>
                      <w:sz w:val="21"/>
                      <w:szCs w:val="21"/>
                    </w:rPr>
                    <w:t>交叉跨越次数（次）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180" w:type="dxa"/>
                  <w:vAlign w:val="center"/>
                </w:tcPr>
                <w:p>
                  <w:pPr>
                    <w:pStyle w:val="36"/>
                    <w:spacing w:after="0"/>
                    <w:ind w:left="0" w:leftChars="0" w:firstLine="0"/>
                    <w:jc w:val="center"/>
                    <w:rPr>
                      <w:sz w:val="21"/>
                      <w:szCs w:val="21"/>
                    </w:rPr>
                  </w:pPr>
                  <w:r>
                    <w:rPr>
                      <w:rFonts w:hint="eastAsia"/>
                      <w:sz w:val="21"/>
                      <w:szCs w:val="21"/>
                    </w:rPr>
                    <w:t>220千伏电力线（跨越）</w:t>
                  </w:r>
                </w:p>
              </w:tc>
              <w:tc>
                <w:tcPr>
                  <w:tcW w:w="4180" w:type="dxa"/>
                  <w:vAlign w:val="center"/>
                </w:tcPr>
                <w:p>
                  <w:pPr>
                    <w:pStyle w:val="36"/>
                    <w:spacing w:after="0"/>
                    <w:ind w:left="0" w:leftChars="0" w:firstLine="0"/>
                    <w:jc w:val="center"/>
                    <w:rPr>
                      <w:sz w:val="21"/>
                      <w:szCs w:val="21"/>
                    </w:rPr>
                  </w:pPr>
                  <w:r>
                    <w:rPr>
                      <w:rFonts w:hint="eastAsia"/>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4180" w:type="dxa"/>
                  <w:vAlign w:val="center"/>
                </w:tcPr>
                <w:p>
                  <w:pPr>
                    <w:pStyle w:val="36"/>
                    <w:spacing w:after="0"/>
                    <w:ind w:left="0" w:leftChars="0" w:firstLine="0"/>
                    <w:jc w:val="center"/>
                    <w:rPr>
                      <w:sz w:val="21"/>
                      <w:szCs w:val="21"/>
                    </w:rPr>
                  </w:pPr>
                  <w:r>
                    <w:rPr>
                      <w:rFonts w:hint="eastAsia"/>
                      <w:sz w:val="21"/>
                      <w:szCs w:val="21"/>
                    </w:rPr>
                    <w:t>110千伏电力线（跨越）</w:t>
                  </w:r>
                </w:p>
              </w:tc>
              <w:tc>
                <w:tcPr>
                  <w:tcW w:w="4180" w:type="dxa"/>
                  <w:vAlign w:val="center"/>
                </w:tcPr>
                <w:p>
                  <w:pPr>
                    <w:pStyle w:val="36"/>
                    <w:spacing w:after="0"/>
                    <w:ind w:left="0" w:leftChars="0" w:firstLine="0"/>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180" w:type="dxa"/>
                  <w:vAlign w:val="center"/>
                </w:tcPr>
                <w:p>
                  <w:pPr>
                    <w:pStyle w:val="36"/>
                    <w:spacing w:after="0"/>
                    <w:ind w:left="0" w:leftChars="0" w:firstLine="0"/>
                    <w:jc w:val="center"/>
                    <w:rPr>
                      <w:sz w:val="21"/>
                      <w:szCs w:val="21"/>
                    </w:rPr>
                  </w:pPr>
                  <w:r>
                    <w:rPr>
                      <w:rFonts w:hint="eastAsia"/>
                      <w:sz w:val="21"/>
                      <w:szCs w:val="21"/>
                    </w:rPr>
                    <w:t>35千伏电力线（跨越）</w:t>
                  </w:r>
                </w:p>
              </w:tc>
              <w:tc>
                <w:tcPr>
                  <w:tcW w:w="4180" w:type="dxa"/>
                  <w:vAlign w:val="center"/>
                </w:tcPr>
                <w:p>
                  <w:pPr>
                    <w:pStyle w:val="36"/>
                    <w:spacing w:after="0"/>
                    <w:ind w:left="0" w:leftChars="0" w:firstLine="0"/>
                    <w:jc w:val="center"/>
                    <w:rPr>
                      <w:sz w:val="21"/>
                      <w:szCs w:val="21"/>
                    </w:rPr>
                  </w:pPr>
                  <w:r>
                    <w:rPr>
                      <w:rFonts w:hint="eastAsia"/>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180" w:type="dxa"/>
                  <w:vAlign w:val="center"/>
                </w:tcPr>
                <w:p>
                  <w:pPr>
                    <w:pStyle w:val="36"/>
                    <w:spacing w:after="0"/>
                    <w:ind w:left="0" w:leftChars="0" w:firstLine="0"/>
                    <w:jc w:val="center"/>
                    <w:rPr>
                      <w:sz w:val="21"/>
                      <w:szCs w:val="21"/>
                    </w:rPr>
                  </w:pPr>
                  <w:r>
                    <w:rPr>
                      <w:rFonts w:hint="eastAsia"/>
                      <w:sz w:val="21"/>
                      <w:szCs w:val="21"/>
                    </w:rPr>
                    <w:t>10千伏电力线（跨越）</w:t>
                  </w:r>
                </w:p>
              </w:tc>
              <w:tc>
                <w:tcPr>
                  <w:tcW w:w="4180" w:type="dxa"/>
                  <w:vAlign w:val="center"/>
                </w:tcPr>
                <w:p>
                  <w:pPr>
                    <w:pStyle w:val="36"/>
                    <w:spacing w:after="0"/>
                    <w:ind w:left="0" w:leftChars="0" w:firstLine="0"/>
                    <w:jc w:val="center"/>
                    <w:rPr>
                      <w:sz w:val="21"/>
                      <w:szCs w:val="21"/>
                    </w:rPr>
                  </w:pPr>
                  <w:r>
                    <w:rPr>
                      <w:rFonts w:hint="eastAsia"/>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4180" w:type="dxa"/>
                  <w:vAlign w:val="center"/>
                </w:tcPr>
                <w:p>
                  <w:pPr>
                    <w:pStyle w:val="36"/>
                    <w:spacing w:after="0"/>
                    <w:ind w:left="0" w:leftChars="0" w:firstLine="0"/>
                    <w:jc w:val="center"/>
                    <w:rPr>
                      <w:sz w:val="21"/>
                      <w:szCs w:val="21"/>
                    </w:rPr>
                  </w:pPr>
                  <w:r>
                    <w:rPr>
                      <w:rFonts w:hint="eastAsia"/>
                      <w:sz w:val="21"/>
                      <w:szCs w:val="21"/>
                    </w:rPr>
                    <w:t>一般公路</w:t>
                  </w:r>
                </w:p>
              </w:tc>
              <w:tc>
                <w:tcPr>
                  <w:tcW w:w="4180" w:type="dxa"/>
                  <w:vAlign w:val="center"/>
                </w:tcPr>
                <w:p>
                  <w:pPr>
                    <w:pStyle w:val="36"/>
                    <w:spacing w:after="0"/>
                    <w:ind w:left="0" w:leftChars="0" w:firstLine="0"/>
                    <w:jc w:val="center"/>
                    <w:rPr>
                      <w:sz w:val="21"/>
                      <w:szCs w:val="21"/>
                    </w:rPr>
                  </w:pPr>
                  <w:r>
                    <w:rPr>
                      <w:rFonts w:hint="eastAsia"/>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180" w:type="dxa"/>
                  <w:vAlign w:val="center"/>
                </w:tcPr>
                <w:p>
                  <w:pPr>
                    <w:pStyle w:val="36"/>
                    <w:spacing w:after="0"/>
                    <w:ind w:left="0" w:leftChars="0" w:firstLine="0"/>
                    <w:jc w:val="center"/>
                    <w:rPr>
                      <w:sz w:val="21"/>
                      <w:szCs w:val="21"/>
                    </w:rPr>
                  </w:pPr>
                  <w:r>
                    <w:rPr>
                      <w:rFonts w:hint="eastAsia"/>
                      <w:sz w:val="21"/>
                      <w:szCs w:val="21"/>
                    </w:rPr>
                    <w:t>高速公路</w:t>
                  </w:r>
                </w:p>
              </w:tc>
              <w:tc>
                <w:tcPr>
                  <w:tcW w:w="4180" w:type="dxa"/>
                  <w:vAlign w:val="center"/>
                </w:tcPr>
                <w:p>
                  <w:pPr>
                    <w:pStyle w:val="36"/>
                    <w:spacing w:after="0"/>
                    <w:ind w:left="0" w:leftChars="0" w:firstLine="0"/>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180" w:type="dxa"/>
                  <w:vAlign w:val="center"/>
                </w:tcPr>
                <w:p>
                  <w:pPr>
                    <w:pStyle w:val="36"/>
                    <w:spacing w:after="0"/>
                    <w:ind w:left="0" w:leftChars="0" w:firstLine="0"/>
                    <w:jc w:val="center"/>
                    <w:rPr>
                      <w:sz w:val="21"/>
                      <w:szCs w:val="21"/>
                    </w:rPr>
                  </w:pPr>
                  <w:r>
                    <w:rPr>
                      <w:rFonts w:hint="eastAsia"/>
                      <w:sz w:val="21"/>
                      <w:szCs w:val="21"/>
                    </w:rPr>
                    <w:t>低压、弱电线</w:t>
                  </w:r>
                </w:p>
              </w:tc>
              <w:tc>
                <w:tcPr>
                  <w:tcW w:w="4180" w:type="dxa"/>
                  <w:vAlign w:val="center"/>
                </w:tcPr>
                <w:p>
                  <w:pPr>
                    <w:pStyle w:val="36"/>
                    <w:spacing w:after="0"/>
                    <w:ind w:left="0" w:leftChars="0" w:firstLine="0"/>
                    <w:jc w:val="center"/>
                    <w:rPr>
                      <w:sz w:val="21"/>
                      <w:szCs w:val="21"/>
                    </w:rPr>
                  </w:pPr>
                  <w:r>
                    <w:rPr>
                      <w:rFonts w:hint="eastAsia"/>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180" w:type="dxa"/>
                  <w:vAlign w:val="center"/>
                </w:tcPr>
                <w:p>
                  <w:pPr>
                    <w:pStyle w:val="36"/>
                    <w:spacing w:after="0"/>
                    <w:ind w:left="0" w:leftChars="0" w:firstLine="0"/>
                    <w:jc w:val="center"/>
                    <w:rPr>
                      <w:sz w:val="21"/>
                      <w:szCs w:val="21"/>
                    </w:rPr>
                  </w:pPr>
                  <w:r>
                    <w:rPr>
                      <w:rFonts w:hint="eastAsia"/>
                      <w:sz w:val="21"/>
                      <w:szCs w:val="21"/>
                    </w:rPr>
                    <w:t>河流</w:t>
                  </w:r>
                </w:p>
              </w:tc>
              <w:tc>
                <w:tcPr>
                  <w:tcW w:w="4180" w:type="dxa"/>
                  <w:vAlign w:val="center"/>
                </w:tcPr>
                <w:p>
                  <w:pPr>
                    <w:pStyle w:val="36"/>
                    <w:spacing w:after="0"/>
                    <w:ind w:left="0" w:leftChars="0" w:firstLine="0"/>
                    <w:jc w:val="center"/>
                    <w:rPr>
                      <w:sz w:val="21"/>
                      <w:szCs w:val="21"/>
                    </w:rPr>
                  </w:pPr>
                  <w:r>
                    <w:rPr>
                      <w:rFonts w:hint="eastAsia"/>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4180" w:type="dxa"/>
                  <w:vAlign w:val="center"/>
                </w:tcPr>
                <w:p>
                  <w:pPr>
                    <w:pStyle w:val="36"/>
                    <w:spacing w:after="0"/>
                    <w:ind w:left="0" w:leftChars="0" w:firstLine="0"/>
                    <w:jc w:val="center"/>
                    <w:rPr>
                      <w:sz w:val="21"/>
                      <w:szCs w:val="21"/>
                    </w:rPr>
                  </w:pPr>
                  <w:r>
                    <w:rPr>
                      <w:rFonts w:hint="eastAsia"/>
                      <w:sz w:val="21"/>
                      <w:szCs w:val="21"/>
                    </w:rPr>
                    <w:t>合计</w:t>
                  </w:r>
                </w:p>
              </w:tc>
              <w:tc>
                <w:tcPr>
                  <w:tcW w:w="4180" w:type="dxa"/>
                  <w:vAlign w:val="center"/>
                </w:tcPr>
                <w:p>
                  <w:pPr>
                    <w:pStyle w:val="36"/>
                    <w:spacing w:after="0"/>
                    <w:ind w:left="0" w:leftChars="0" w:firstLine="0"/>
                    <w:jc w:val="center"/>
                    <w:rPr>
                      <w:sz w:val="21"/>
                      <w:szCs w:val="21"/>
                    </w:rPr>
                  </w:pPr>
                  <w:r>
                    <w:rPr>
                      <w:rFonts w:hint="eastAsia"/>
                      <w:sz w:val="21"/>
                      <w:szCs w:val="21"/>
                    </w:rPr>
                    <w:t>29</w:t>
                  </w:r>
                </w:p>
              </w:tc>
            </w:tr>
          </w:tbl>
          <w:p>
            <w:pPr>
              <w:pStyle w:val="2"/>
              <w:numPr>
                <w:ilvl w:val="0"/>
                <w:numId w:val="5"/>
              </w:numPr>
              <w:spacing w:beforeLines="50" w:after="0" w:line="360" w:lineRule="auto"/>
              <w:rPr>
                <w:rFonts w:eastAsia="宋体"/>
                <w:sz w:val="24"/>
                <w:szCs w:val="24"/>
              </w:rPr>
            </w:pPr>
            <w:r>
              <w:rPr>
                <w:rFonts w:eastAsia="宋体"/>
                <w:sz w:val="24"/>
                <w:szCs w:val="24"/>
              </w:rPr>
              <w:t>工程占地</w:t>
            </w:r>
            <w:r>
              <w:rPr>
                <w:rFonts w:hint="eastAsia" w:eastAsia="宋体"/>
                <w:sz w:val="24"/>
                <w:szCs w:val="24"/>
              </w:rPr>
              <w:t>及土石方</w:t>
            </w:r>
          </w:p>
          <w:p>
            <w:pPr>
              <w:pStyle w:val="2"/>
              <w:numPr>
                <w:ilvl w:val="1"/>
                <w:numId w:val="5"/>
              </w:numPr>
              <w:spacing w:before="0" w:after="0" w:line="360" w:lineRule="auto"/>
              <w:rPr>
                <w:rFonts w:eastAsia="宋体"/>
                <w:sz w:val="24"/>
                <w:szCs w:val="24"/>
              </w:rPr>
            </w:pPr>
            <w:r>
              <w:rPr>
                <w:rFonts w:hint="eastAsia" w:eastAsia="宋体"/>
                <w:sz w:val="24"/>
                <w:szCs w:val="24"/>
              </w:rPr>
              <w:t>工程占地</w:t>
            </w:r>
          </w:p>
          <w:p>
            <w:pPr>
              <w:autoSpaceDE w:val="0"/>
              <w:autoSpaceDN w:val="0"/>
              <w:adjustRightInd w:val="0"/>
              <w:snapToGrid w:val="0"/>
              <w:spacing w:line="360" w:lineRule="auto"/>
              <w:ind w:firstLine="480" w:firstLineChars="200"/>
              <w:rPr>
                <w:color w:val="000000"/>
                <w:sz w:val="24"/>
              </w:rPr>
            </w:pPr>
            <w:r>
              <w:rPr>
                <w:rFonts w:hint="eastAsia"/>
                <w:color w:val="000000"/>
                <w:sz w:val="24"/>
              </w:rPr>
              <w:t>本工程建设区域占地包括永久占地和临时占地，永久占地为伊拉湖220千伏变电站的站区、进站道路区和输电线路工程的塔基及施工场地区；临时占地包括伊拉湖220千伏变电站站外供排水管线区、站用外接电源线电缆以及施工作业带、施工生产生活区以及输电线路工程的塔基施工场地区、牵张场地区、杆塔拆除施工场地区和施工道路区。</w:t>
            </w:r>
          </w:p>
          <w:p>
            <w:pPr>
              <w:autoSpaceDE w:val="0"/>
              <w:autoSpaceDN w:val="0"/>
              <w:adjustRightInd w:val="0"/>
              <w:snapToGrid w:val="0"/>
              <w:spacing w:line="360" w:lineRule="auto"/>
              <w:ind w:firstLine="480" w:firstLineChars="200"/>
              <w:rPr>
                <w:color w:val="000000"/>
                <w:sz w:val="24"/>
              </w:rPr>
            </w:pPr>
            <w:r>
              <w:rPr>
                <w:rFonts w:hint="eastAsia"/>
                <w:color w:val="000000"/>
                <w:sz w:val="24"/>
              </w:rPr>
              <w:t>根据《土地利用现状分类标准》（GB/T21010-2017），本工程总占地面积12.82</w:t>
            </w:r>
            <w:r>
              <w:rPr>
                <w:color w:val="000000"/>
                <w:sz w:val="24"/>
              </w:rPr>
              <w:t>hm²</w:t>
            </w:r>
            <w:r>
              <w:rPr>
                <w:rFonts w:hint="eastAsia"/>
                <w:color w:val="000000"/>
                <w:sz w:val="24"/>
              </w:rPr>
              <w:t>，其中永久占地1.79</w:t>
            </w:r>
            <w:r>
              <w:rPr>
                <w:color w:val="000000"/>
                <w:sz w:val="24"/>
              </w:rPr>
              <w:t>hm²</w:t>
            </w:r>
            <w:r>
              <w:rPr>
                <w:rFonts w:hint="eastAsia"/>
                <w:color w:val="000000"/>
                <w:sz w:val="24"/>
              </w:rPr>
              <w:t>，临时占地11.03</w:t>
            </w:r>
            <w:r>
              <w:rPr>
                <w:color w:val="000000"/>
                <w:sz w:val="24"/>
              </w:rPr>
              <w:t>hm²</w:t>
            </w:r>
            <w:r>
              <w:rPr>
                <w:rFonts w:hint="eastAsia"/>
                <w:color w:val="000000"/>
                <w:sz w:val="24"/>
              </w:rPr>
              <w:t>，地貌类型为冲洪积平原；占地类型主要包括裸岩石砾地、乔木林地、灌木林地、其他林地和果园。具体工程占地类型见</w:t>
            </w:r>
            <w:r>
              <w:rPr>
                <w:rFonts w:hint="eastAsia"/>
                <w:b w:val="0"/>
                <w:bCs w:val="0"/>
                <w:color w:val="000000"/>
                <w:sz w:val="24"/>
                <w:szCs w:val="24"/>
                <w:lang w:eastAsia="zh-CN"/>
              </w:rPr>
              <w:fldChar w:fldCharType="begin"/>
            </w:r>
            <w:r>
              <w:rPr>
                <w:b w:val="0"/>
                <w:bCs w:val="0"/>
              </w:rPr>
              <w:instrText xml:space="preserve"> REF _Ref27695 \h  \* MERGEFORMAT</w:instrText>
            </w:r>
            <w:r>
              <w:rPr>
                <w:rFonts w:hint="eastAsia"/>
                <w:b w:val="0"/>
                <w:bCs w:val="0"/>
                <w:color w:val="000000"/>
                <w:sz w:val="24"/>
                <w:szCs w:val="24"/>
                <w:lang w:eastAsia="zh-CN"/>
              </w:rPr>
              <w:fldChar w:fldCharType="separate"/>
            </w:r>
            <w:r>
              <w:rPr>
                <w:rFonts w:hint="eastAsia"/>
                <w:b w:val="0"/>
                <w:bCs w:val="0"/>
                <w:sz w:val="24"/>
                <w:szCs w:val="24"/>
              </w:rPr>
              <w:t>表8</w:t>
            </w:r>
            <w:r>
              <w:rPr>
                <w:rFonts w:hint="eastAsia"/>
                <w:b w:val="0"/>
                <w:bCs w:val="0"/>
                <w:color w:val="000000"/>
                <w:sz w:val="24"/>
                <w:szCs w:val="24"/>
                <w:lang w:eastAsia="zh-CN"/>
              </w:rPr>
              <w:fldChar w:fldCharType="end"/>
            </w:r>
            <w:r>
              <w:rPr>
                <w:rFonts w:hint="eastAsia"/>
                <w:color w:val="000000"/>
                <w:sz w:val="24"/>
              </w:rPr>
              <w:t>。</w:t>
            </w:r>
          </w:p>
          <w:p>
            <w:pPr>
              <w:pStyle w:val="46"/>
              <w:rPr>
                <w:b/>
                <w:sz w:val="21"/>
                <w:szCs w:val="21"/>
                <w:vertAlign w:val="superscript"/>
              </w:rPr>
            </w:pPr>
            <w:bookmarkStart w:id="17" w:name="_Ref27695"/>
            <w:r>
              <w:rPr>
                <w:rFonts w:hint="eastAsia"/>
                <w:b/>
                <w:sz w:val="21"/>
                <w:szCs w:val="21"/>
              </w:rPr>
              <w:t>表</w:t>
            </w:r>
            <w:r>
              <w:rPr>
                <w:b/>
                <w:sz w:val="21"/>
                <w:szCs w:val="21"/>
              </w:rPr>
              <w:fldChar w:fldCharType="begin"/>
            </w:r>
            <w:r>
              <w:rPr>
                <w:b/>
                <w:sz w:val="21"/>
                <w:szCs w:val="21"/>
              </w:rPr>
              <w:instrText xml:space="preserve"> </w:instrText>
            </w:r>
            <w:r>
              <w:rPr>
                <w:rFonts w:hint="eastAsia"/>
                <w:b/>
                <w:sz w:val="21"/>
                <w:szCs w:val="21"/>
              </w:rPr>
              <w:instrText xml:space="preserve">SEQ 表 \* ARABIC</w:instrText>
            </w:r>
            <w:r>
              <w:rPr>
                <w:b/>
                <w:sz w:val="21"/>
                <w:szCs w:val="21"/>
              </w:rPr>
              <w:instrText xml:space="preserve"> </w:instrText>
            </w:r>
            <w:r>
              <w:rPr>
                <w:b/>
                <w:sz w:val="21"/>
                <w:szCs w:val="21"/>
              </w:rPr>
              <w:fldChar w:fldCharType="separate"/>
            </w:r>
            <w:r>
              <w:rPr>
                <w:rFonts w:hint="eastAsia"/>
                <w:b/>
                <w:sz w:val="21"/>
                <w:szCs w:val="21"/>
              </w:rPr>
              <w:t>8</w:t>
            </w:r>
            <w:r>
              <w:rPr>
                <w:b/>
                <w:sz w:val="21"/>
                <w:szCs w:val="21"/>
              </w:rPr>
              <w:fldChar w:fldCharType="end"/>
            </w:r>
            <w:bookmarkEnd w:id="17"/>
            <w:r>
              <w:rPr>
                <w:rFonts w:hint="eastAsia"/>
                <w:b/>
                <w:sz w:val="21"/>
                <w:szCs w:val="21"/>
              </w:rPr>
              <w:t>　工程占地类型一览表                                             单位：hm</w:t>
            </w:r>
            <w:r>
              <w:rPr>
                <w:rFonts w:hint="eastAsia"/>
                <w:b/>
                <w:sz w:val="21"/>
                <w:szCs w:val="21"/>
                <w:vertAlign w:val="superscript"/>
              </w:rPr>
              <w:t>2</w:t>
            </w:r>
          </w:p>
          <w:tbl>
            <w:tblPr>
              <w:tblStyle w:val="38"/>
              <w:tblW w:w="83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4"/>
              <w:gridCol w:w="1214"/>
              <w:gridCol w:w="720"/>
              <w:gridCol w:w="721"/>
              <w:gridCol w:w="721"/>
              <w:gridCol w:w="722"/>
              <w:gridCol w:w="722"/>
              <w:gridCol w:w="722"/>
              <w:gridCol w:w="722"/>
              <w:gridCol w:w="726"/>
              <w:gridCol w:w="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818" w:type="dxa"/>
                  <w:gridSpan w:val="2"/>
                  <w:vMerge w:val="restart"/>
                  <w:vAlign w:val="center"/>
                </w:tcPr>
                <w:p>
                  <w:pPr>
                    <w:pStyle w:val="46"/>
                    <w:jc w:val="center"/>
                    <w:rPr>
                      <w:bCs/>
                      <w:sz w:val="21"/>
                      <w:szCs w:val="21"/>
                    </w:rPr>
                  </w:pPr>
                  <w:r>
                    <w:rPr>
                      <w:rFonts w:hint="eastAsia"/>
                      <w:bCs/>
                      <w:sz w:val="21"/>
                      <w:szCs w:val="21"/>
                    </w:rPr>
                    <w:t>项目</w:t>
                  </w:r>
                </w:p>
              </w:tc>
              <w:tc>
                <w:tcPr>
                  <w:tcW w:w="1441" w:type="dxa"/>
                  <w:gridSpan w:val="2"/>
                  <w:vAlign w:val="center"/>
                </w:tcPr>
                <w:p>
                  <w:pPr>
                    <w:pStyle w:val="46"/>
                    <w:jc w:val="center"/>
                    <w:rPr>
                      <w:bCs/>
                      <w:sz w:val="21"/>
                      <w:szCs w:val="21"/>
                    </w:rPr>
                  </w:pPr>
                  <w:r>
                    <w:rPr>
                      <w:rFonts w:hint="eastAsia"/>
                      <w:bCs/>
                      <w:sz w:val="21"/>
                      <w:szCs w:val="21"/>
                    </w:rPr>
                    <w:t>占地性质</w:t>
                  </w:r>
                </w:p>
              </w:tc>
              <w:tc>
                <w:tcPr>
                  <w:tcW w:w="721" w:type="dxa"/>
                  <w:vAlign w:val="center"/>
                </w:tcPr>
                <w:p>
                  <w:pPr>
                    <w:pStyle w:val="46"/>
                    <w:jc w:val="center"/>
                    <w:rPr>
                      <w:bCs/>
                      <w:sz w:val="21"/>
                      <w:szCs w:val="21"/>
                    </w:rPr>
                  </w:pPr>
                  <w:r>
                    <w:rPr>
                      <w:rFonts w:hint="eastAsia"/>
                      <w:bCs/>
                      <w:sz w:val="21"/>
                      <w:szCs w:val="21"/>
                    </w:rPr>
                    <w:t>地形地貌</w:t>
                  </w:r>
                </w:p>
              </w:tc>
              <w:tc>
                <w:tcPr>
                  <w:tcW w:w="3614" w:type="dxa"/>
                  <w:gridSpan w:val="5"/>
                  <w:vAlign w:val="center"/>
                </w:tcPr>
                <w:p>
                  <w:pPr>
                    <w:pStyle w:val="46"/>
                    <w:jc w:val="center"/>
                    <w:rPr>
                      <w:bCs/>
                      <w:sz w:val="21"/>
                      <w:szCs w:val="21"/>
                    </w:rPr>
                  </w:pPr>
                  <w:r>
                    <w:rPr>
                      <w:rFonts w:hint="eastAsia"/>
                      <w:bCs/>
                      <w:sz w:val="21"/>
                      <w:szCs w:val="21"/>
                    </w:rPr>
                    <w:t>占地类型</w:t>
                  </w:r>
                </w:p>
              </w:tc>
              <w:tc>
                <w:tcPr>
                  <w:tcW w:w="723" w:type="dxa"/>
                  <w:vMerge w:val="restart"/>
                  <w:vAlign w:val="center"/>
                </w:tcPr>
                <w:p>
                  <w:pPr>
                    <w:pStyle w:val="46"/>
                    <w:jc w:val="center"/>
                    <w:rPr>
                      <w:bCs/>
                      <w:sz w:val="21"/>
                      <w:szCs w:val="21"/>
                    </w:rPr>
                  </w:pPr>
                  <w:r>
                    <w:rPr>
                      <w:rFonts w:hint="eastAsia"/>
                      <w:bCs/>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818" w:type="dxa"/>
                  <w:gridSpan w:val="2"/>
                  <w:vMerge w:val="continue"/>
                  <w:vAlign w:val="center"/>
                </w:tcPr>
                <w:p>
                  <w:pPr>
                    <w:pStyle w:val="46"/>
                    <w:jc w:val="center"/>
                    <w:rPr>
                      <w:bCs/>
                      <w:sz w:val="21"/>
                      <w:szCs w:val="21"/>
                    </w:rPr>
                  </w:pPr>
                </w:p>
              </w:tc>
              <w:tc>
                <w:tcPr>
                  <w:tcW w:w="720" w:type="dxa"/>
                  <w:vAlign w:val="center"/>
                </w:tcPr>
                <w:p>
                  <w:pPr>
                    <w:pStyle w:val="46"/>
                    <w:jc w:val="center"/>
                    <w:rPr>
                      <w:bCs/>
                      <w:sz w:val="21"/>
                      <w:szCs w:val="21"/>
                    </w:rPr>
                  </w:pPr>
                  <w:r>
                    <w:rPr>
                      <w:rFonts w:hint="eastAsia"/>
                      <w:bCs/>
                      <w:sz w:val="21"/>
                      <w:szCs w:val="21"/>
                    </w:rPr>
                    <w:t>永久占地</w:t>
                  </w:r>
                </w:p>
              </w:tc>
              <w:tc>
                <w:tcPr>
                  <w:tcW w:w="721" w:type="dxa"/>
                  <w:vAlign w:val="center"/>
                </w:tcPr>
                <w:p>
                  <w:pPr>
                    <w:pStyle w:val="46"/>
                    <w:jc w:val="center"/>
                    <w:rPr>
                      <w:bCs/>
                      <w:sz w:val="21"/>
                      <w:szCs w:val="21"/>
                    </w:rPr>
                  </w:pPr>
                  <w:r>
                    <w:rPr>
                      <w:rFonts w:hint="eastAsia"/>
                      <w:bCs/>
                      <w:sz w:val="21"/>
                      <w:szCs w:val="21"/>
                    </w:rPr>
                    <w:t>临时占地</w:t>
                  </w:r>
                </w:p>
              </w:tc>
              <w:tc>
                <w:tcPr>
                  <w:tcW w:w="721" w:type="dxa"/>
                  <w:vAlign w:val="center"/>
                </w:tcPr>
                <w:p>
                  <w:pPr>
                    <w:pStyle w:val="46"/>
                    <w:jc w:val="center"/>
                    <w:rPr>
                      <w:bCs/>
                      <w:sz w:val="21"/>
                      <w:szCs w:val="21"/>
                    </w:rPr>
                  </w:pPr>
                  <w:r>
                    <w:rPr>
                      <w:rFonts w:hint="eastAsia"/>
                      <w:bCs/>
                      <w:sz w:val="21"/>
                      <w:szCs w:val="21"/>
                    </w:rPr>
                    <w:t>冲洪积平原区</w:t>
                  </w:r>
                </w:p>
              </w:tc>
              <w:tc>
                <w:tcPr>
                  <w:tcW w:w="722" w:type="dxa"/>
                  <w:vAlign w:val="center"/>
                </w:tcPr>
                <w:p>
                  <w:pPr>
                    <w:pStyle w:val="46"/>
                    <w:jc w:val="center"/>
                    <w:rPr>
                      <w:bCs/>
                      <w:sz w:val="21"/>
                      <w:szCs w:val="21"/>
                    </w:rPr>
                  </w:pPr>
                  <w:r>
                    <w:rPr>
                      <w:rFonts w:hint="eastAsia"/>
                      <w:bCs/>
                      <w:sz w:val="21"/>
                      <w:szCs w:val="21"/>
                    </w:rPr>
                    <w:t>裸岩石砾地</w:t>
                  </w:r>
                </w:p>
              </w:tc>
              <w:tc>
                <w:tcPr>
                  <w:tcW w:w="722" w:type="dxa"/>
                  <w:vAlign w:val="center"/>
                </w:tcPr>
                <w:p>
                  <w:pPr>
                    <w:pStyle w:val="46"/>
                    <w:jc w:val="center"/>
                    <w:rPr>
                      <w:bCs/>
                      <w:sz w:val="21"/>
                      <w:szCs w:val="21"/>
                    </w:rPr>
                  </w:pPr>
                  <w:r>
                    <w:rPr>
                      <w:rFonts w:hint="eastAsia"/>
                      <w:bCs/>
                      <w:sz w:val="21"/>
                      <w:szCs w:val="21"/>
                    </w:rPr>
                    <w:t>乔木林地</w:t>
                  </w:r>
                </w:p>
              </w:tc>
              <w:tc>
                <w:tcPr>
                  <w:tcW w:w="722" w:type="dxa"/>
                  <w:vAlign w:val="center"/>
                </w:tcPr>
                <w:p>
                  <w:pPr>
                    <w:pStyle w:val="46"/>
                    <w:jc w:val="center"/>
                    <w:rPr>
                      <w:bCs/>
                      <w:sz w:val="21"/>
                      <w:szCs w:val="21"/>
                    </w:rPr>
                  </w:pPr>
                  <w:r>
                    <w:rPr>
                      <w:rFonts w:hint="eastAsia"/>
                      <w:bCs/>
                      <w:sz w:val="21"/>
                      <w:szCs w:val="21"/>
                    </w:rPr>
                    <w:t>灌木林地</w:t>
                  </w:r>
                </w:p>
              </w:tc>
              <w:tc>
                <w:tcPr>
                  <w:tcW w:w="722" w:type="dxa"/>
                  <w:vAlign w:val="center"/>
                </w:tcPr>
                <w:p>
                  <w:pPr>
                    <w:pStyle w:val="46"/>
                    <w:jc w:val="center"/>
                    <w:rPr>
                      <w:bCs/>
                      <w:sz w:val="21"/>
                      <w:szCs w:val="21"/>
                    </w:rPr>
                  </w:pPr>
                  <w:r>
                    <w:rPr>
                      <w:rFonts w:hint="eastAsia"/>
                      <w:bCs/>
                      <w:sz w:val="21"/>
                      <w:szCs w:val="21"/>
                    </w:rPr>
                    <w:t>其他林地</w:t>
                  </w:r>
                </w:p>
              </w:tc>
              <w:tc>
                <w:tcPr>
                  <w:tcW w:w="726" w:type="dxa"/>
                  <w:vAlign w:val="center"/>
                </w:tcPr>
                <w:p>
                  <w:pPr>
                    <w:pStyle w:val="46"/>
                    <w:jc w:val="center"/>
                    <w:rPr>
                      <w:bCs/>
                      <w:sz w:val="21"/>
                      <w:szCs w:val="21"/>
                    </w:rPr>
                  </w:pPr>
                  <w:r>
                    <w:rPr>
                      <w:rFonts w:hint="eastAsia"/>
                      <w:bCs/>
                      <w:sz w:val="21"/>
                      <w:szCs w:val="21"/>
                    </w:rPr>
                    <w:t>果园</w:t>
                  </w:r>
                </w:p>
              </w:tc>
              <w:tc>
                <w:tcPr>
                  <w:tcW w:w="723" w:type="dxa"/>
                  <w:vMerge w:val="continue"/>
                  <w:vAlign w:val="center"/>
                </w:tcPr>
                <w:p>
                  <w:pPr>
                    <w:pStyle w:val="46"/>
                    <w:jc w:val="center"/>
                    <w:rPr>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604" w:type="dxa"/>
                  <w:vMerge w:val="restart"/>
                  <w:vAlign w:val="center"/>
                </w:tcPr>
                <w:p>
                  <w:pPr>
                    <w:pStyle w:val="46"/>
                    <w:jc w:val="center"/>
                    <w:rPr>
                      <w:bCs/>
                      <w:sz w:val="21"/>
                      <w:szCs w:val="21"/>
                    </w:rPr>
                  </w:pPr>
                  <w:r>
                    <w:rPr>
                      <w:rFonts w:hint="eastAsia"/>
                      <w:bCs/>
                      <w:sz w:val="21"/>
                      <w:szCs w:val="21"/>
                    </w:rPr>
                    <w:t>变电站</w:t>
                  </w:r>
                </w:p>
              </w:tc>
              <w:tc>
                <w:tcPr>
                  <w:tcW w:w="1214" w:type="dxa"/>
                  <w:vAlign w:val="center"/>
                </w:tcPr>
                <w:p>
                  <w:pPr>
                    <w:pStyle w:val="46"/>
                    <w:jc w:val="center"/>
                    <w:rPr>
                      <w:bCs/>
                      <w:sz w:val="21"/>
                      <w:szCs w:val="21"/>
                    </w:rPr>
                  </w:pPr>
                  <w:r>
                    <w:rPr>
                      <w:rFonts w:hint="eastAsia"/>
                      <w:bCs/>
                      <w:sz w:val="21"/>
                      <w:szCs w:val="21"/>
                    </w:rPr>
                    <w:t>站区</w:t>
                  </w:r>
                </w:p>
              </w:tc>
              <w:tc>
                <w:tcPr>
                  <w:tcW w:w="720" w:type="dxa"/>
                  <w:vAlign w:val="center"/>
                </w:tcPr>
                <w:p>
                  <w:pPr>
                    <w:pStyle w:val="46"/>
                    <w:jc w:val="center"/>
                    <w:rPr>
                      <w:bCs/>
                      <w:sz w:val="21"/>
                      <w:szCs w:val="21"/>
                    </w:rPr>
                  </w:pPr>
                  <w:r>
                    <w:rPr>
                      <w:rFonts w:hint="eastAsia"/>
                      <w:bCs/>
                      <w:sz w:val="21"/>
                      <w:szCs w:val="21"/>
                    </w:rPr>
                    <w:t>1.20</w:t>
                  </w:r>
                </w:p>
              </w:tc>
              <w:tc>
                <w:tcPr>
                  <w:tcW w:w="721" w:type="dxa"/>
                  <w:vAlign w:val="center"/>
                </w:tcPr>
                <w:p>
                  <w:pPr>
                    <w:pStyle w:val="46"/>
                    <w:jc w:val="center"/>
                    <w:rPr>
                      <w:bCs/>
                      <w:sz w:val="21"/>
                      <w:szCs w:val="21"/>
                    </w:rPr>
                  </w:pPr>
                  <w:r>
                    <w:rPr>
                      <w:rFonts w:hint="eastAsia"/>
                      <w:bCs/>
                      <w:sz w:val="21"/>
                      <w:szCs w:val="21"/>
                    </w:rPr>
                    <w:t>0.00</w:t>
                  </w:r>
                </w:p>
              </w:tc>
              <w:tc>
                <w:tcPr>
                  <w:tcW w:w="721" w:type="dxa"/>
                  <w:vAlign w:val="center"/>
                </w:tcPr>
                <w:p>
                  <w:pPr>
                    <w:pStyle w:val="46"/>
                    <w:jc w:val="center"/>
                    <w:rPr>
                      <w:bCs/>
                      <w:sz w:val="21"/>
                      <w:szCs w:val="21"/>
                    </w:rPr>
                  </w:pPr>
                  <w:r>
                    <w:rPr>
                      <w:rFonts w:hint="eastAsia"/>
                      <w:bCs/>
                      <w:sz w:val="21"/>
                      <w:szCs w:val="21"/>
                    </w:rPr>
                    <w:t>1.20</w:t>
                  </w:r>
                </w:p>
              </w:tc>
              <w:tc>
                <w:tcPr>
                  <w:tcW w:w="722" w:type="dxa"/>
                  <w:vAlign w:val="center"/>
                </w:tcPr>
                <w:p>
                  <w:pPr>
                    <w:pStyle w:val="46"/>
                    <w:jc w:val="center"/>
                    <w:rPr>
                      <w:bCs/>
                      <w:sz w:val="21"/>
                      <w:szCs w:val="21"/>
                    </w:rPr>
                  </w:pPr>
                  <w:r>
                    <w:rPr>
                      <w:rFonts w:hint="eastAsia"/>
                      <w:bCs/>
                      <w:sz w:val="21"/>
                      <w:szCs w:val="21"/>
                    </w:rPr>
                    <w:t>1.20</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0.00</w:t>
                  </w:r>
                </w:p>
              </w:tc>
              <w:tc>
                <w:tcPr>
                  <w:tcW w:w="726" w:type="dxa"/>
                  <w:vAlign w:val="center"/>
                </w:tcPr>
                <w:p>
                  <w:pPr>
                    <w:pStyle w:val="46"/>
                    <w:jc w:val="center"/>
                    <w:rPr>
                      <w:bCs/>
                      <w:sz w:val="21"/>
                      <w:szCs w:val="21"/>
                    </w:rPr>
                  </w:pPr>
                  <w:r>
                    <w:rPr>
                      <w:rFonts w:hint="eastAsia"/>
                      <w:bCs/>
                      <w:sz w:val="21"/>
                      <w:szCs w:val="21"/>
                    </w:rPr>
                    <w:t>0.00</w:t>
                  </w:r>
                </w:p>
              </w:tc>
              <w:tc>
                <w:tcPr>
                  <w:tcW w:w="723" w:type="dxa"/>
                  <w:vAlign w:val="center"/>
                </w:tcPr>
                <w:p>
                  <w:pPr>
                    <w:pStyle w:val="46"/>
                    <w:jc w:val="center"/>
                    <w:rPr>
                      <w:bCs/>
                      <w:sz w:val="21"/>
                      <w:szCs w:val="21"/>
                    </w:rPr>
                  </w:pPr>
                  <w:r>
                    <w:rPr>
                      <w:rFonts w:hint="eastAsia"/>
                      <w:bCs/>
                      <w:sz w:val="21"/>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04" w:type="dxa"/>
                  <w:vMerge w:val="continue"/>
                  <w:vAlign w:val="center"/>
                </w:tcPr>
                <w:p>
                  <w:pPr>
                    <w:pStyle w:val="46"/>
                    <w:jc w:val="center"/>
                    <w:rPr>
                      <w:bCs/>
                      <w:sz w:val="21"/>
                      <w:szCs w:val="21"/>
                    </w:rPr>
                  </w:pPr>
                </w:p>
              </w:tc>
              <w:tc>
                <w:tcPr>
                  <w:tcW w:w="1214" w:type="dxa"/>
                  <w:vAlign w:val="center"/>
                </w:tcPr>
                <w:p>
                  <w:pPr>
                    <w:pStyle w:val="46"/>
                    <w:jc w:val="center"/>
                    <w:rPr>
                      <w:bCs/>
                      <w:sz w:val="21"/>
                      <w:szCs w:val="21"/>
                    </w:rPr>
                  </w:pPr>
                  <w:r>
                    <w:rPr>
                      <w:rFonts w:hint="eastAsia"/>
                      <w:bCs/>
                      <w:sz w:val="21"/>
                      <w:szCs w:val="21"/>
                    </w:rPr>
                    <w:t>进站道路区</w:t>
                  </w:r>
                </w:p>
              </w:tc>
              <w:tc>
                <w:tcPr>
                  <w:tcW w:w="720" w:type="dxa"/>
                  <w:vAlign w:val="center"/>
                </w:tcPr>
                <w:p>
                  <w:pPr>
                    <w:pStyle w:val="46"/>
                    <w:jc w:val="center"/>
                    <w:rPr>
                      <w:bCs/>
                      <w:sz w:val="21"/>
                      <w:szCs w:val="21"/>
                    </w:rPr>
                  </w:pPr>
                  <w:r>
                    <w:rPr>
                      <w:rFonts w:hint="eastAsia"/>
                      <w:bCs/>
                      <w:sz w:val="21"/>
                      <w:szCs w:val="21"/>
                    </w:rPr>
                    <w:t>0.14</w:t>
                  </w:r>
                </w:p>
              </w:tc>
              <w:tc>
                <w:tcPr>
                  <w:tcW w:w="721" w:type="dxa"/>
                  <w:vAlign w:val="center"/>
                </w:tcPr>
                <w:p>
                  <w:pPr>
                    <w:pStyle w:val="46"/>
                    <w:jc w:val="center"/>
                    <w:rPr>
                      <w:bCs/>
                      <w:sz w:val="21"/>
                      <w:szCs w:val="21"/>
                    </w:rPr>
                  </w:pPr>
                  <w:r>
                    <w:rPr>
                      <w:rFonts w:hint="eastAsia"/>
                      <w:bCs/>
                      <w:sz w:val="21"/>
                      <w:szCs w:val="21"/>
                    </w:rPr>
                    <w:t>0.00</w:t>
                  </w:r>
                </w:p>
              </w:tc>
              <w:tc>
                <w:tcPr>
                  <w:tcW w:w="721" w:type="dxa"/>
                  <w:vAlign w:val="center"/>
                </w:tcPr>
                <w:p>
                  <w:pPr>
                    <w:pStyle w:val="46"/>
                    <w:jc w:val="center"/>
                    <w:rPr>
                      <w:bCs/>
                      <w:sz w:val="21"/>
                      <w:szCs w:val="21"/>
                    </w:rPr>
                  </w:pPr>
                  <w:r>
                    <w:rPr>
                      <w:rFonts w:hint="eastAsia"/>
                      <w:bCs/>
                      <w:sz w:val="21"/>
                      <w:szCs w:val="21"/>
                    </w:rPr>
                    <w:t>0.14</w:t>
                  </w:r>
                </w:p>
              </w:tc>
              <w:tc>
                <w:tcPr>
                  <w:tcW w:w="722" w:type="dxa"/>
                  <w:vAlign w:val="center"/>
                </w:tcPr>
                <w:p>
                  <w:pPr>
                    <w:pStyle w:val="46"/>
                    <w:jc w:val="center"/>
                    <w:rPr>
                      <w:bCs/>
                      <w:sz w:val="21"/>
                      <w:szCs w:val="21"/>
                    </w:rPr>
                  </w:pPr>
                  <w:r>
                    <w:rPr>
                      <w:rFonts w:hint="eastAsia"/>
                      <w:bCs/>
                      <w:sz w:val="21"/>
                      <w:szCs w:val="21"/>
                    </w:rPr>
                    <w:t>0.14</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0.00</w:t>
                  </w:r>
                </w:p>
              </w:tc>
              <w:tc>
                <w:tcPr>
                  <w:tcW w:w="726" w:type="dxa"/>
                  <w:vAlign w:val="center"/>
                </w:tcPr>
                <w:p>
                  <w:pPr>
                    <w:pStyle w:val="46"/>
                    <w:jc w:val="center"/>
                    <w:rPr>
                      <w:bCs/>
                      <w:sz w:val="21"/>
                      <w:szCs w:val="21"/>
                    </w:rPr>
                  </w:pPr>
                  <w:r>
                    <w:rPr>
                      <w:rFonts w:hint="eastAsia"/>
                      <w:bCs/>
                      <w:sz w:val="21"/>
                      <w:szCs w:val="21"/>
                    </w:rPr>
                    <w:t>0.00</w:t>
                  </w:r>
                </w:p>
              </w:tc>
              <w:tc>
                <w:tcPr>
                  <w:tcW w:w="723" w:type="dxa"/>
                  <w:vAlign w:val="center"/>
                </w:tcPr>
                <w:p>
                  <w:pPr>
                    <w:pStyle w:val="46"/>
                    <w:jc w:val="center"/>
                    <w:rPr>
                      <w:bCs/>
                      <w:sz w:val="21"/>
                      <w:szCs w:val="21"/>
                    </w:rPr>
                  </w:pPr>
                  <w:r>
                    <w:rPr>
                      <w:rFonts w:hint="eastAsia"/>
                      <w:bCs/>
                      <w:sz w:val="21"/>
                      <w:szCs w:val="21"/>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04" w:type="dxa"/>
                  <w:vMerge w:val="continue"/>
                  <w:vAlign w:val="center"/>
                </w:tcPr>
                <w:p>
                  <w:pPr>
                    <w:pStyle w:val="46"/>
                    <w:jc w:val="center"/>
                    <w:rPr>
                      <w:bCs/>
                      <w:sz w:val="21"/>
                      <w:szCs w:val="21"/>
                    </w:rPr>
                  </w:pPr>
                </w:p>
              </w:tc>
              <w:tc>
                <w:tcPr>
                  <w:tcW w:w="1214" w:type="dxa"/>
                  <w:vAlign w:val="center"/>
                </w:tcPr>
                <w:p>
                  <w:pPr>
                    <w:pStyle w:val="46"/>
                    <w:jc w:val="center"/>
                    <w:rPr>
                      <w:bCs/>
                      <w:sz w:val="21"/>
                      <w:szCs w:val="21"/>
                    </w:rPr>
                  </w:pPr>
                  <w:r>
                    <w:rPr>
                      <w:rFonts w:hint="eastAsia"/>
                      <w:bCs/>
                      <w:sz w:val="21"/>
                      <w:szCs w:val="21"/>
                    </w:rPr>
                    <w:t>站外供排水管线区</w:t>
                  </w:r>
                </w:p>
              </w:tc>
              <w:tc>
                <w:tcPr>
                  <w:tcW w:w="720" w:type="dxa"/>
                  <w:vAlign w:val="center"/>
                </w:tcPr>
                <w:p>
                  <w:pPr>
                    <w:pStyle w:val="46"/>
                    <w:jc w:val="center"/>
                    <w:rPr>
                      <w:bCs/>
                      <w:sz w:val="21"/>
                      <w:szCs w:val="21"/>
                    </w:rPr>
                  </w:pPr>
                  <w:r>
                    <w:rPr>
                      <w:rFonts w:hint="eastAsia"/>
                      <w:bCs/>
                      <w:sz w:val="21"/>
                      <w:szCs w:val="21"/>
                    </w:rPr>
                    <w:t>0.00</w:t>
                  </w:r>
                </w:p>
              </w:tc>
              <w:tc>
                <w:tcPr>
                  <w:tcW w:w="721" w:type="dxa"/>
                  <w:vAlign w:val="center"/>
                </w:tcPr>
                <w:p>
                  <w:pPr>
                    <w:pStyle w:val="46"/>
                    <w:jc w:val="center"/>
                    <w:rPr>
                      <w:bCs/>
                      <w:sz w:val="21"/>
                      <w:szCs w:val="21"/>
                    </w:rPr>
                  </w:pPr>
                  <w:r>
                    <w:rPr>
                      <w:rFonts w:hint="eastAsia"/>
                      <w:bCs/>
                      <w:sz w:val="21"/>
                      <w:szCs w:val="21"/>
                    </w:rPr>
                    <w:t>0.91</w:t>
                  </w:r>
                </w:p>
              </w:tc>
              <w:tc>
                <w:tcPr>
                  <w:tcW w:w="721" w:type="dxa"/>
                  <w:vAlign w:val="center"/>
                </w:tcPr>
                <w:p>
                  <w:pPr>
                    <w:pStyle w:val="46"/>
                    <w:jc w:val="center"/>
                    <w:rPr>
                      <w:bCs/>
                      <w:sz w:val="21"/>
                      <w:szCs w:val="21"/>
                    </w:rPr>
                  </w:pPr>
                  <w:r>
                    <w:rPr>
                      <w:rFonts w:hint="eastAsia"/>
                      <w:bCs/>
                      <w:sz w:val="21"/>
                      <w:szCs w:val="21"/>
                    </w:rPr>
                    <w:t>0.91</w:t>
                  </w:r>
                </w:p>
              </w:tc>
              <w:tc>
                <w:tcPr>
                  <w:tcW w:w="722" w:type="dxa"/>
                  <w:vAlign w:val="center"/>
                </w:tcPr>
                <w:p>
                  <w:pPr>
                    <w:pStyle w:val="46"/>
                    <w:jc w:val="center"/>
                    <w:rPr>
                      <w:bCs/>
                      <w:sz w:val="21"/>
                      <w:szCs w:val="21"/>
                    </w:rPr>
                  </w:pPr>
                  <w:r>
                    <w:rPr>
                      <w:rFonts w:hint="eastAsia"/>
                      <w:bCs/>
                      <w:sz w:val="21"/>
                      <w:szCs w:val="21"/>
                    </w:rPr>
                    <w:t>0.91</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0.00</w:t>
                  </w:r>
                </w:p>
              </w:tc>
              <w:tc>
                <w:tcPr>
                  <w:tcW w:w="726" w:type="dxa"/>
                  <w:vAlign w:val="center"/>
                </w:tcPr>
                <w:p>
                  <w:pPr>
                    <w:pStyle w:val="46"/>
                    <w:jc w:val="center"/>
                    <w:rPr>
                      <w:bCs/>
                      <w:sz w:val="21"/>
                      <w:szCs w:val="21"/>
                    </w:rPr>
                  </w:pPr>
                  <w:r>
                    <w:rPr>
                      <w:rFonts w:hint="eastAsia"/>
                      <w:bCs/>
                      <w:sz w:val="21"/>
                      <w:szCs w:val="21"/>
                    </w:rPr>
                    <w:t>0.00</w:t>
                  </w:r>
                </w:p>
              </w:tc>
              <w:tc>
                <w:tcPr>
                  <w:tcW w:w="723" w:type="dxa"/>
                  <w:vAlign w:val="center"/>
                </w:tcPr>
                <w:p>
                  <w:pPr>
                    <w:pStyle w:val="46"/>
                    <w:jc w:val="center"/>
                    <w:rPr>
                      <w:bCs/>
                      <w:sz w:val="21"/>
                      <w:szCs w:val="21"/>
                    </w:rPr>
                  </w:pPr>
                  <w:r>
                    <w:rPr>
                      <w:rFonts w:hint="eastAsia"/>
                      <w:bCs/>
                      <w:sz w:val="21"/>
                      <w:szCs w:val="21"/>
                    </w:rPr>
                    <w:t>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04" w:type="dxa"/>
                  <w:vMerge w:val="continue"/>
                  <w:vAlign w:val="center"/>
                </w:tcPr>
                <w:p>
                  <w:pPr>
                    <w:pStyle w:val="46"/>
                    <w:jc w:val="center"/>
                    <w:rPr>
                      <w:bCs/>
                      <w:sz w:val="21"/>
                      <w:szCs w:val="21"/>
                    </w:rPr>
                  </w:pPr>
                </w:p>
              </w:tc>
              <w:tc>
                <w:tcPr>
                  <w:tcW w:w="1214" w:type="dxa"/>
                  <w:vAlign w:val="center"/>
                </w:tcPr>
                <w:p>
                  <w:pPr>
                    <w:pStyle w:val="46"/>
                    <w:jc w:val="center"/>
                    <w:rPr>
                      <w:bCs/>
                      <w:sz w:val="21"/>
                      <w:szCs w:val="21"/>
                    </w:rPr>
                  </w:pPr>
                  <w:r>
                    <w:rPr>
                      <w:rFonts w:hint="eastAsia"/>
                      <w:bCs/>
                      <w:sz w:val="21"/>
                      <w:szCs w:val="21"/>
                    </w:rPr>
                    <w:t>站外电源线区</w:t>
                  </w:r>
                </w:p>
              </w:tc>
              <w:tc>
                <w:tcPr>
                  <w:tcW w:w="720" w:type="dxa"/>
                  <w:vAlign w:val="center"/>
                </w:tcPr>
                <w:p>
                  <w:pPr>
                    <w:pStyle w:val="46"/>
                    <w:jc w:val="center"/>
                    <w:rPr>
                      <w:bCs/>
                      <w:sz w:val="21"/>
                      <w:szCs w:val="21"/>
                    </w:rPr>
                  </w:pPr>
                  <w:r>
                    <w:rPr>
                      <w:rFonts w:hint="eastAsia"/>
                      <w:bCs/>
                      <w:sz w:val="21"/>
                      <w:szCs w:val="21"/>
                    </w:rPr>
                    <w:t>0.00</w:t>
                  </w:r>
                </w:p>
              </w:tc>
              <w:tc>
                <w:tcPr>
                  <w:tcW w:w="721" w:type="dxa"/>
                  <w:vAlign w:val="center"/>
                </w:tcPr>
                <w:p>
                  <w:pPr>
                    <w:pStyle w:val="46"/>
                    <w:jc w:val="center"/>
                    <w:rPr>
                      <w:bCs/>
                      <w:sz w:val="21"/>
                      <w:szCs w:val="21"/>
                    </w:rPr>
                  </w:pPr>
                  <w:r>
                    <w:rPr>
                      <w:rFonts w:hint="eastAsia"/>
                      <w:bCs/>
                      <w:sz w:val="21"/>
                      <w:szCs w:val="21"/>
                    </w:rPr>
                    <w:t>0.04</w:t>
                  </w:r>
                </w:p>
              </w:tc>
              <w:tc>
                <w:tcPr>
                  <w:tcW w:w="721" w:type="dxa"/>
                  <w:vAlign w:val="center"/>
                </w:tcPr>
                <w:p>
                  <w:pPr>
                    <w:pStyle w:val="46"/>
                    <w:jc w:val="center"/>
                    <w:rPr>
                      <w:bCs/>
                      <w:sz w:val="21"/>
                      <w:szCs w:val="21"/>
                    </w:rPr>
                  </w:pPr>
                  <w:r>
                    <w:rPr>
                      <w:rFonts w:hint="eastAsia"/>
                      <w:bCs/>
                      <w:sz w:val="21"/>
                      <w:szCs w:val="21"/>
                    </w:rPr>
                    <w:t>0.04</w:t>
                  </w:r>
                </w:p>
              </w:tc>
              <w:tc>
                <w:tcPr>
                  <w:tcW w:w="722" w:type="dxa"/>
                  <w:vAlign w:val="center"/>
                </w:tcPr>
                <w:p>
                  <w:pPr>
                    <w:pStyle w:val="46"/>
                    <w:jc w:val="center"/>
                    <w:rPr>
                      <w:bCs/>
                      <w:sz w:val="21"/>
                      <w:szCs w:val="21"/>
                    </w:rPr>
                  </w:pPr>
                  <w:r>
                    <w:rPr>
                      <w:rFonts w:hint="eastAsia"/>
                      <w:bCs/>
                      <w:sz w:val="21"/>
                      <w:szCs w:val="21"/>
                    </w:rPr>
                    <w:t>0.04</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0.00</w:t>
                  </w:r>
                </w:p>
              </w:tc>
              <w:tc>
                <w:tcPr>
                  <w:tcW w:w="726" w:type="dxa"/>
                  <w:vAlign w:val="center"/>
                </w:tcPr>
                <w:p>
                  <w:pPr>
                    <w:pStyle w:val="46"/>
                    <w:jc w:val="center"/>
                    <w:rPr>
                      <w:bCs/>
                      <w:sz w:val="21"/>
                      <w:szCs w:val="21"/>
                    </w:rPr>
                  </w:pPr>
                  <w:r>
                    <w:rPr>
                      <w:rFonts w:hint="eastAsia"/>
                      <w:bCs/>
                      <w:sz w:val="21"/>
                      <w:szCs w:val="21"/>
                    </w:rPr>
                    <w:t>0.00</w:t>
                  </w:r>
                </w:p>
              </w:tc>
              <w:tc>
                <w:tcPr>
                  <w:tcW w:w="723" w:type="dxa"/>
                  <w:vAlign w:val="center"/>
                </w:tcPr>
                <w:p>
                  <w:pPr>
                    <w:pStyle w:val="46"/>
                    <w:jc w:val="center"/>
                    <w:rPr>
                      <w:bCs/>
                      <w:sz w:val="21"/>
                      <w:szCs w:val="21"/>
                    </w:rPr>
                  </w:pPr>
                  <w:r>
                    <w:rPr>
                      <w:rFonts w:hint="eastAsia"/>
                      <w:bCs/>
                      <w:sz w:val="21"/>
                      <w:szCs w:val="21"/>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04" w:type="dxa"/>
                  <w:vMerge w:val="continue"/>
                  <w:vAlign w:val="center"/>
                </w:tcPr>
                <w:p>
                  <w:pPr>
                    <w:pStyle w:val="46"/>
                    <w:jc w:val="center"/>
                    <w:rPr>
                      <w:bCs/>
                      <w:sz w:val="21"/>
                      <w:szCs w:val="21"/>
                    </w:rPr>
                  </w:pPr>
                </w:p>
              </w:tc>
              <w:tc>
                <w:tcPr>
                  <w:tcW w:w="1214" w:type="dxa"/>
                  <w:vAlign w:val="center"/>
                </w:tcPr>
                <w:p>
                  <w:pPr>
                    <w:pStyle w:val="46"/>
                    <w:jc w:val="center"/>
                    <w:rPr>
                      <w:bCs/>
                      <w:sz w:val="21"/>
                      <w:szCs w:val="21"/>
                    </w:rPr>
                  </w:pPr>
                  <w:r>
                    <w:rPr>
                      <w:rFonts w:hint="eastAsia"/>
                      <w:bCs/>
                      <w:sz w:val="21"/>
                      <w:szCs w:val="21"/>
                    </w:rPr>
                    <w:t>施工生产生活区</w:t>
                  </w:r>
                </w:p>
              </w:tc>
              <w:tc>
                <w:tcPr>
                  <w:tcW w:w="720" w:type="dxa"/>
                  <w:vAlign w:val="center"/>
                </w:tcPr>
                <w:p>
                  <w:pPr>
                    <w:pStyle w:val="46"/>
                    <w:jc w:val="center"/>
                    <w:rPr>
                      <w:bCs/>
                      <w:sz w:val="21"/>
                      <w:szCs w:val="21"/>
                    </w:rPr>
                  </w:pPr>
                  <w:r>
                    <w:rPr>
                      <w:rFonts w:hint="eastAsia"/>
                      <w:bCs/>
                      <w:sz w:val="21"/>
                      <w:szCs w:val="21"/>
                    </w:rPr>
                    <w:t>0.00</w:t>
                  </w:r>
                </w:p>
              </w:tc>
              <w:tc>
                <w:tcPr>
                  <w:tcW w:w="721" w:type="dxa"/>
                  <w:vAlign w:val="center"/>
                </w:tcPr>
                <w:p>
                  <w:pPr>
                    <w:pStyle w:val="46"/>
                    <w:jc w:val="center"/>
                    <w:rPr>
                      <w:bCs/>
                      <w:sz w:val="21"/>
                      <w:szCs w:val="21"/>
                    </w:rPr>
                  </w:pPr>
                  <w:r>
                    <w:rPr>
                      <w:rFonts w:hint="eastAsia"/>
                      <w:bCs/>
                      <w:sz w:val="21"/>
                      <w:szCs w:val="21"/>
                    </w:rPr>
                    <w:t>0.50</w:t>
                  </w:r>
                </w:p>
              </w:tc>
              <w:tc>
                <w:tcPr>
                  <w:tcW w:w="721" w:type="dxa"/>
                  <w:vAlign w:val="center"/>
                </w:tcPr>
                <w:p>
                  <w:pPr>
                    <w:pStyle w:val="46"/>
                    <w:jc w:val="center"/>
                    <w:rPr>
                      <w:bCs/>
                      <w:sz w:val="21"/>
                      <w:szCs w:val="21"/>
                    </w:rPr>
                  </w:pPr>
                  <w:r>
                    <w:rPr>
                      <w:rFonts w:hint="eastAsia"/>
                      <w:bCs/>
                      <w:sz w:val="21"/>
                      <w:szCs w:val="21"/>
                    </w:rPr>
                    <w:t>0.50</w:t>
                  </w:r>
                </w:p>
              </w:tc>
              <w:tc>
                <w:tcPr>
                  <w:tcW w:w="722" w:type="dxa"/>
                  <w:vAlign w:val="center"/>
                </w:tcPr>
                <w:p>
                  <w:pPr>
                    <w:pStyle w:val="46"/>
                    <w:jc w:val="center"/>
                    <w:rPr>
                      <w:bCs/>
                      <w:sz w:val="21"/>
                      <w:szCs w:val="21"/>
                    </w:rPr>
                  </w:pPr>
                  <w:r>
                    <w:rPr>
                      <w:rFonts w:hint="eastAsia"/>
                      <w:bCs/>
                      <w:sz w:val="21"/>
                      <w:szCs w:val="21"/>
                    </w:rPr>
                    <w:t>0.50</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0.00</w:t>
                  </w:r>
                </w:p>
              </w:tc>
              <w:tc>
                <w:tcPr>
                  <w:tcW w:w="726" w:type="dxa"/>
                  <w:vAlign w:val="center"/>
                </w:tcPr>
                <w:p>
                  <w:pPr>
                    <w:pStyle w:val="46"/>
                    <w:jc w:val="center"/>
                    <w:rPr>
                      <w:bCs/>
                      <w:sz w:val="21"/>
                      <w:szCs w:val="21"/>
                    </w:rPr>
                  </w:pPr>
                  <w:r>
                    <w:rPr>
                      <w:rFonts w:hint="eastAsia"/>
                      <w:bCs/>
                      <w:sz w:val="21"/>
                      <w:szCs w:val="21"/>
                    </w:rPr>
                    <w:t>0.00</w:t>
                  </w:r>
                </w:p>
              </w:tc>
              <w:tc>
                <w:tcPr>
                  <w:tcW w:w="723" w:type="dxa"/>
                  <w:vAlign w:val="center"/>
                </w:tcPr>
                <w:p>
                  <w:pPr>
                    <w:pStyle w:val="46"/>
                    <w:jc w:val="center"/>
                    <w:rPr>
                      <w:bCs/>
                      <w:sz w:val="21"/>
                      <w:szCs w:val="21"/>
                    </w:rPr>
                  </w:pPr>
                  <w:r>
                    <w:rPr>
                      <w:rFonts w:hint="eastAsia"/>
                      <w:bCs/>
                      <w:sz w:val="21"/>
                      <w:szCs w:val="21"/>
                    </w:rPr>
                    <w:t>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04" w:type="dxa"/>
                  <w:vMerge w:val="restart"/>
                  <w:vAlign w:val="center"/>
                </w:tcPr>
                <w:p>
                  <w:pPr>
                    <w:pStyle w:val="46"/>
                    <w:jc w:val="center"/>
                    <w:rPr>
                      <w:bCs/>
                      <w:sz w:val="21"/>
                      <w:szCs w:val="21"/>
                    </w:rPr>
                  </w:pPr>
                  <w:r>
                    <w:rPr>
                      <w:rFonts w:hint="eastAsia"/>
                      <w:bCs/>
                      <w:sz w:val="21"/>
                      <w:szCs w:val="21"/>
                    </w:rPr>
                    <w:t>输电线路</w:t>
                  </w:r>
                </w:p>
              </w:tc>
              <w:tc>
                <w:tcPr>
                  <w:tcW w:w="1214" w:type="dxa"/>
                  <w:vAlign w:val="center"/>
                </w:tcPr>
                <w:p>
                  <w:pPr>
                    <w:pStyle w:val="46"/>
                    <w:jc w:val="center"/>
                    <w:rPr>
                      <w:bCs/>
                      <w:sz w:val="21"/>
                      <w:szCs w:val="21"/>
                    </w:rPr>
                  </w:pPr>
                  <w:r>
                    <w:rPr>
                      <w:rFonts w:hint="eastAsia"/>
                      <w:bCs/>
                      <w:sz w:val="21"/>
                      <w:szCs w:val="21"/>
                    </w:rPr>
                    <w:t>塔基及施工场地区</w:t>
                  </w:r>
                </w:p>
              </w:tc>
              <w:tc>
                <w:tcPr>
                  <w:tcW w:w="720" w:type="dxa"/>
                  <w:vAlign w:val="center"/>
                </w:tcPr>
                <w:p>
                  <w:pPr>
                    <w:pStyle w:val="46"/>
                    <w:jc w:val="center"/>
                    <w:rPr>
                      <w:bCs/>
                      <w:sz w:val="21"/>
                      <w:szCs w:val="21"/>
                    </w:rPr>
                  </w:pPr>
                  <w:r>
                    <w:rPr>
                      <w:rFonts w:hint="eastAsia"/>
                      <w:bCs/>
                      <w:sz w:val="21"/>
                      <w:szCs w:val="21"/>
                    </w:rPr>
                    <w:t>0.45</w:t>
                  </w:r>
                </w:p>
              </w:tc>
              <w:tc>
                <w:tcPr>
                  <w:tcW w:w="721" w:type="dxa"/>
                  <w:vAlign w:val="center"/>
                </w:tcPr>
                <w:p>
                  <w:pPr>
                    <w:pStyle w:val="46"/>
                    <w:jc w:val="center"/>
                    <w:rPr>
                      <w:bCs/>
                      <w:sz w:val="21"/>
                      <w:szCs w:val="21"/>
                    </w:rPr>
                  </w:pPr>
                  <w:r>
                    <w:rPr>
                      <w:rFonts w:hint="eastAsia"/>
                      <w:bCs/>
                      <w:sz w:val="21"/>
                      <w:szCs w:val="21"/>
                    </w:rPr>
                    <w:t>3.70</w:t>
                  </w:r>
                </w:p>
              </w:tc>
              <w:tc>
                <w:tcPr>
                  <w:tcW w:w="721" w:type="dxa"/>
                  <w:vAlign w:val="center"/>
                </w:tcPr>
                <w:p>
                  <w:pPr>
                    <w:pStyle w:val="46"/>
                    <w:jc w:val="center"/>
                    <w:rPr>
                      <w:bCs/>
                      <w:sz w:val="21"/>
                      <w:szCs w:val="21"/>
                    </w:rPr>
                  </w:pPr>
                  <w:r>
                    <w:rPr>
                      <w:rFonts w:hint="eastAsia"/>
                      <w:bCs/>
                      <w:sz w:val="21"/>
                      <w:szCs w:val="21"/>
                    </w:rPr>
                    <w:t>4015</w:t>
                  </w:r>
                </w:p>
              </w:tc>
              <w:tc>
                <w:tcPr>
                  <w:tcW w:w="722" w:type="dxa"/>
                  <w:vAlign w:val="center"/>
                </w:tcPr>
                <w:p>
                  <w:pPr>
                    <w:pStyle w:val="46"/>
                    <w:jc w:val="center"/>
                    <w:rPr>
                      <w:bCs/>
                      <w:sz w:val="21"/>
                      <w:szCs w:val="21"/>
                    </w:rPr>
                  </w:pPr>
                  <w:r>
                    <w:rPr>
                      <w:rFonts w:hint="eastAsia"/>
                      <w:bCs/>
                      <w:sz w:val="21"/>
                      <w:szCs w:val="21"/>
                    </w:rPr>
                    <w:t>2.40</w:t>
                  </w:r>
                </w:p>
              </w:tc>
              <w:tc>
                <w:tcPr>
                  <w:tcW w:w="722" w:type="dxa"/>
                  <w:vAlign w:val="center"/>
                </w:tcPr>
                <w:p>
                  <w:pPr>
                    <w:pStyle w:val="46"/>
                    <w:jc w:val="center"/>
                    <w:rPr>
                      <w:bCs/>
                      <w:sz w:val="21"/>
                      <w:szCs w:val="21"/>
                    </w:rPr>
                  </w:pPr>
                  <w:r>
                    <w:rPr>
                      <w:rFonts w:hint="eastAsia"/>
                      <w:bCs/>
                      <w:sz w:val="21"/>
                      <w:szCs w:val="21"/>
                    </w:rPr>
                    <w:t>0.17</w:t>
                  </w:r>
                </w:p>
              </w:tc>
              <w:tc>
                <w:tcPr>
                  <w:tcW w:w="722" w:type="dxa"/>
                  <w:vAlign w:val="center"/>
                </w:tcPr>
                <w:p>
                  <w:pPr>
                    <w:pStyle w:val="46"/>
                    <w:jc w:val="center"/>
                    <w:rPr>
                      <w:bCs/>
                      <w:sz w:val="21"/>
                      <w:szCs w:val="21"/>
                    </w:rPr>
                  </w:pPr>
                  <w:r>
                    <w:rPr>
                      <w:rFonts w:hint="eastAsia"/>
                      <w:bCs/>
                      <w:sz w:val="21"/>
                      <w:szCs w:val="21"/>
                    </w:rPr>
                    <w:t>0.42</w:t>
                  </w:r>
                </w:p>
              </w:tc>
              <w:tc>
                <w:tcPr>
                  <w:tcW w:w="722" w:type="dxa"/>
                  <w:vAlign w:val="center"/>
                </w:tcPr>
                <w:p>
                  <w:pPr>
                    <w:pStyle w:val="46"/>
                    <w:jc w:val="center"/>
                    <w:rPr>
                      <w:bCs/>
                      <w:sz w:val="21"/>
                      <w:szCs w:val="21"/>
                    </w:rPr>
                  </w:pPr>
                  <w:r>
                    <w:rPr>
                      <w:rFonts w:hint="eastAsia"/>
                      <w:bCs/>
                      <w:sz w:val="21"/>
                      <w:szCs w:val="21"/>
                    </w:rPr>
                    <w:t>0.42</w:t>
                  </w:r>
                </w:p>
              </w:tc>
              <w:tc>
                <w:tcPr>
                  <w:tcW w:w="726" w:type="dxa"/>
                  <w:vAlign w:val="center"/>
                </w:tcPr>
                <w:p>
                  <w:pPr>
                    <w:pStyle w:val="46"/>
                    <w:jc w:val="center"/>
                    <w:rPr>
                      <w:bCs/>
                      <w:sz w:val="21"/>
                      <w:szCs w:val="21"/>
                    </w:rPr>
                  </w:pPr>
                  <w:r>
                    <w:rPr>
                      <w:rFonts w:hint="eastAsia"/>
                      <w:bCs/>
                      <w:sz w:val="21"/>
                      <w:szCs w:val="21"/>
                    </w:rPr>
                    <w:t>0.74</w:t>
                  </w:r>
                </w:p>
              </w:tc>
              <w:tc>
                <w:tcPr>
                  <w:tcW w:w="723" w:type="dxa"/>
                  <w:vAlign w:val="center"/>
                </w:tcPr>
                <w:p>
                  <w:pPr>
                    <w:pStyle w:val="46"/>
                    <w:jc w:val="center"/>
                    <w:rPr>
                      <w:bCs/>
                      <w:sz w:val="21"/>
                      <w:szCs w:val="21"/>
                    </w:rPr>
                  </w:pPr>
                  <w:r>
                    <w:rPr>
                      <w:rFonts w:hint="eastAsia"/>
                      <w:bCs/>
                      <w:sz w:val="21"/>
                      <w:szCs w:val="21"/>
                    </w:rPr>
                    <w:t>4.15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04" w:type="dxa"/>
                  <w:vMerge w:val="continue"/>
                  <w:vAlign w:val="center"/>
                </w:tcPr>
                <w:p>
                  <w:pPr>
                    <w:pStyle w:val="46"/>
                    <w:jc w:val="center"/>
                    <w:rPr>
                      <w:bCs/>
                      <w:sz w:val="21"/>
                      <w:szCs w:val="21"/>
                    </w:rPr>
                  </w:pPr>
                </w:p>
              </w:tc>
              <w:tc>
                <w:tcPr>
                  <w:tcW w:w="1214" w:type="dxa"/>
                  <w:vAlign w:val="center"/>
                </w:tcPr>
                <w:p>
                  <w:pPr>
                    <w:pStyle w:val="46"/>
                    <w:jc w:val="center"/>
                    <w:rPr>
                      <w:bCs/>
                      <w:sz w:val="21"/>
                      <w:szCs w:val="21"/>
                    </w:rPr>
                  </w:pPr>
                  <w:r>
                    <w:rPr>
                      <w:rFonts w:hint="eastAsia"/>
                      <w:bCs/>
                      <w:sz w:val="21"/>
                      <w:szCs w:val="21"/>
                    </w:rPr>
                    <w:t>牵张场地区</w:t>
                  </w:r>
                </w:p>
              </w:tc>
              <w:tc>
                <w:tcPr>
                  <w:tcW w:w="720" w:type="dxa"/>
                  <w:vAlign w:val="center"/>
                </w:tcPr>
                <w:p>
                  <w:pPr>
                    <w:pStyle w:val="46"/>
                    <w:jc w:val="center"/>
                    <w:rPr>
                      <w:bCs/>
                      <w:sz w:val="21"/>
                      <w:szCs w:val="21"/>
                    </w:rPr>
                  </w:pPr>
                  <w:r>
                    <w:rPr>
                      <w:rFonts w:hint="eastAsia"/>
                      <w:bCs/>
                      <w:sz w:val="21"/>
                      <w:szCs w:val="21"/>
                    </w:rPr>
                    <w:t>0.00</w:t>
                  </w:r>
                </w:p>
              </w:tc>
              <w:tc>
                <w:tcPr>
                  <w:tcW w:w="721" w:type="dxa"/>
                  <w:vAlign w:val="center"/>
                </w:tcPr>
                <w:p>
                  <w:pPr>
                    <w:pStyle w:val="46"/>
                    <w:jc w:val="center"/>
                    <w:rPr>
                      <w:bCs/>
                      <w:sz w:val="21"/>
                      <w:szCs w:val="21"/>
                    </w:rPr>
                  </w:pPr>
                  <w:r>
                    <w:rPr>
                      <w:rFonts w:hint="eastAsia"/>
                      <w:bCs/>
                      <w:sz w:val="21"/>
                      <w:szCs w:val="21"/>
                    </w:rPr>
                    <w:t>0.84</w:t>
                  </w:r>
                </w:p>
              </w:tc>
              <w:tc>
                <w:tcPr>
                  <w:tcW w:w="721" w:type="dxa"/>
                  <w:vAlign w:val="center"/>
                </w:tcPr>
                <w:p>
                  <w:pPr>
                    <w:pStyle w:val="46"/>
                    <w:jc w:val="center"/>
                    <w:rPr>
                      <w:bCs/>
                      <w:sz w:val="21"/>
                      <w:szCs w:val="21"/>
                    </w:rPr>
                  </w:pPr>
                  <w:r>
                    <w:rPr>
                      <w:rFonts w:hint="eastAsia"/>
                      <w:bCs/>
                      <w:sz w:val="21"/>
                      <w:szCs w:val="21"/>
                    </w:rPr>
                    <w:t>0.84</w:t>
                  </w:r>
                </w:p>
              </w:tc>
              <w:tc>
                <w:tcPr>
                  <w:tcW w:w="722" w:type="dxa"/>
                  <w:vAlign w:val="center"/>
                </w:tcPr>
                <w:p>
                  <w:pPr>
                    <w:pStyle w:val="46"/>
                    <w:jc w:val="center"/>
                    <w:rPr>
                      <w:bCs/>
                      <w:sz w:val="21"/>
                      <w:szCs w:val="21"/>
                    </w:rPr>
                  </w:pPr>
                  <w:r>
                    <w:rPr>
                      <w:rFonts w:hint="eastAsia"/>
                      <w:bCs/>
                      <w:sz w:val="21"/>
                      <w:szCs w:val="21"/>
                    </w:rPr>
                    <w:t>0.48</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0.12</w:t>
                  </w:r>
                </w:p>
              </w:tc>
              <w:tc>
                <w:tcPr>
                  <w:tcW w:w="722" w:type="dxa"/>
                  <w:vAlign w:val="center"/>
                </w:tcPr>
                <w:p>
                  <w:pPr>
                    <w:pStyle w:val="46"/>
                    <w:jc w:val="center"/>
                    <w:rPr>
                      <w:bCs/>
                      <w:sz w:val="21"/>
                      <w:szCs w:val="21"/>
                    </w:rPr>
                  </w:pPr>
                  <w:r>
                    <w:rPr>
                      <w:rFonts w:hint="eastAsia"/>
                      <w:bCs/>
                      <w:sz w:val="21"/>
                      <w:szCs w:val="21"/>
                    </w:rPr>
                    <w:t>0.00</w:t>
                  </w:r>
                </w:p>
              </w:tc>
              <w:tc>
                <w:tcPr>
                  <w:tcW w:w="726" w:type="dxa"/>
                  <w:vAlign w:val="center"/>
                </w:tcPr>
                <w:p>
                  <w:pPr>
                    <w:pStyle w:val="46"/>
                    <w:jc w:val="center"/>
                    <w:rPr>
                      <w:bCs/>
                      <w:sz w:val="21"/>
                      <w:szCs w:val="21"/>
                    </w:rPr>
                  </w:pPr>
                  <w:r>
                    <w:rPr>
                      <w:rFonts w:hint="eastAsia"/>
                      <w:bCs/>
                      <w:sz w:val="21"/>
                      <w:szCs w:val="21"/>
                    </w:rPr>
                    <w:t>0.24</w:t>
                  </w:r>
                </w:p>
              </w:tc>
              <w:tc>
                <w:tcPr>
                  <w:tcW w:w="723" w:type="dxa"/>
                  <w:vAlign w:val="center"/>
                </w:tcPr>
                <w:p>
                  <w:pPr>
                    <w:pStyle w:val="46"/>
                    <w:jc w:val="center"/>
                    <w:rPr>
                      <w:bCs/>
                      <w:sz w:val="21"/>
                      <w:szCs w:val="21"/>
                    </w:rPr>
                  </w:pPr>
                  <w:r>
                    <w:rPr>
                      <w:rFonts w:hint="eastAsia"/>
                      <w:bCs/>
                      <w:sz w:val="21"/>
                      <w:szCs w:val="21"/>
                    </w:rPr>
                    <w:t>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04" w:type="dxa"/>
                  <w:vMerge w:val="continue"/>
                  <w:vAlign w:val="center"/>
                </w:tcPr>
                <w:p>
                  <w:pPr>
                    <w:pStyle w:val="46"/>
                    <w:jc w:val="center"/>
                    <w:rPr>
                      <w:bCs/>
                      <w:sz w:val="21"/>
                      <w:szCs w:val="21"/>
                    </w:rPr>
                  </w:pPr>
                </w:p>
              </w:tc>
              <w:tc>
                <w:tcPr>
                  <w:tcW w:w="1214" w:type="dxa"/>
                  <w:vAlign w:val="center"/>
                </w:tcPr>
                <w:p>
                  <w:pPr>
                    <w:pStyle w:val="46"/>
                    <w:jc w:val="center"/>
                    <w:rPr>
                      <w:bCs/>
                      <w:sz w:val="21"/>
                      <w:szCs w:val="21"/>
                    </w:rPr>
                  </w:pPr>
                  <w:r>
                    <w:rPr>
                      <w:rFonts w:hint="eastAsia"/>
                      <w:bCs/>
                      <w:sz w:val="21"/>
                      <w:szCs w:val="21"/>
                    </w:rPr>
                    <w:t>跨越施工场地区</w:t>
                  </w:r>
                </w:p>
              </w:tc>
              <w:tc>
                <w:tcPr>
                  <w:tcW w:w="720" w:type="dxa"/>
                  <w:vAlign w:val="center"/>
                </w:tcPr>
                <w:p>
                  <w:pPr>
                    <w:pStyle w:val="46"/>
                    <w:jc w:val="center"/>
                    <w:rPr>
                      <w:bCs/>
                      <w:sz w:val="21"/>
                      <w:szCs w:val="21"/>
                    </w:rPr>
                  </w:pPr>
                  <w:r>
                    <w:rPr>
                      <w:rFonts w:hint="eastAsia"/>
                      <w:bCs/>
                      <w:sz w:val="21"/>
                      <w:szCs w:val="21"/>
                    </w:rPr>
                    <w:t>0.00</w:t>
                  </w:r>
                </w:p>
              </w:tc>
              <w:tc>
                <w:tcPr>
                  <w:tcW w:w="721" w:type="dxa"/>
                  <w:vAlign w:val="center"/>
                </w:tcPr>
                <w:p>
                  <w:pPr>
                    <w:pStyle w:val="46"/>
                    <w:jc w:val="center"/>
                    <w:rPr>
                      <w:bCs/>
                      <w:sz w:val="21"/>
                      <w:szCs w:val="21"/>
                    </w:rPr>
                  </w:pPr>
                  <w:r>
                    <w:rPr>
                      <w:rFonts w:hint="eastAsia"/>
                      <w:bCs/>
                      <w:sz w:val="21"/>
                      <w:szCs w:val="21"/>
                    </w:rPr>
                    <w:t>0.64</w:t>
                  </w:r>
                </w:p>
              </w:tc>
              <w:tc>
                <w:tcPr>
                  <w:tcW w:w="721" w:type="dxa"/>
                  <w:vAlign w:val="center"/>
                </w:tcPr>
                <w:p>
                  <w:pPr>
                    <w:pStyle w:val="46"/>
                    <w:jc w:val="center"/>
                    <w:rPr>
                      <w:bCs/>
                      <w:sz w:val="21"/>
                      <w:szCs w:val="21"/>
                    </w:rPr>
                  </w:pPr>
                  <w:r>
                    <w:rPr>
                      <w:rFonts w:hint="eastAsia"/>
                      <w:bCs/>
                      <w:sz w:val="21"/>
                      <w:szCs w:val="21"/>
                    </w:rPr>
                    <w:t>0.64</w:t>
                  </w:r>
                </w:p>
              </w:tc>
              <w:tc>
                <w:tcPr>
                  <w:tcW w:w="722" w:type="dxa"/>
                  <w:vAlign w:val="center"/>
                </w:tcPr>
                <w:p>
                  <w:pPr>
                    <w:pStyle w:val="46"/>
                    <w:jc w:val="center"/>
                    <w:rPr>
                      <w:bCs/>
                      <w:sz w:val="21"/>
                      <w:szCs w:val="21"/>
                    </w:rPr>
                  </w:pPr>
                  <w:r>
                    <w:rPr>
                      <w:rFonts w:hint="eastAsia"/>
                      <w:bCs/>
                      <w:sz w:val="21"/>
                      <w:szCs w:val="21"/>
                    </w:rPr>
                    <w:t>0.40</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0.04</w:t>
                  </w:r>
                </w:p>
              </w:tc>
              <w:tc>
                <w:tcPr>
                  <w:tcW w:w="722" w:type="dxa"/>
                  <w:vAlign w:val="center"/>
                </w:tcPr>
                <w:p>
                  <w:pPr>
                    <w:pStyle w:val="46"/>
                    <w:jc w:val="center"/>
                    <w:rPr>
                      <w:bCs/>
                      <w:sz w:val="21"/>
                      <w:szCs w:val="21"/>
                    </w:rPr>
                  </w:pPr>
                  <w:r>
                    <w:rPr>
                      <w:rFonts w:hint="eastAsia"/>
                      <w:bCs/>
                      <w:sz w:val="21"/>
                      <w:szCs w:val="21"/>
                    </w:rPr>
                    <w:t>0.08</w:t>
                  </w:r>
                </w:p>
              </w:tc>
              <w:tc>
                <w:tcPr>
                  <w:tcW w:w="726" w:type="dxa"/>
                  <w:vAlign w:val="center"/>
                </w:tcPr>
                <w:p>
                  <w:pPr>
                    <w:pStyle w:val="46"/>
                    <w:jc w:val="center"/>
                    <w:rPr>
                      <w:bCs/>
                      <w:sz w:val="21"/>
                      <w:szCs w:val="21"/>
                    </w:rPr>
                  </w:pPr>
                  <w:r>
                    <w:rPr>
                      <w:rFonts w:hint="eastAsia"/>
                      <w:bCs/>
                      <w:sz w:val="21"/>
                      <w:szCs w:val="21"/>
                    </w:rPr>
                    <w:t>0.12</w:t>
                  </w:r>
                </w:p>
              </w:tc>
              <w:tc>
                <w:tcPr>
                  <w:tcW w:w="723" w:type="dxa"/>
                  <w:vAlign w:val="center"/>
                </w:tcPr>
                <w:p>
                  <w:pPr>
                    <w:pStyle w:val="46"/>
                    <w:jc w:val="center"/>
                    <w:rPr>
                      <w:bCs/>
                      <w:sz w:val="21"/>
                      <w:szCs w:val="21"/>
                    </w:rPr>
                  </w:pPr>
                  <w:r>
                    <w:rPr>
                      <w:rFonts w:hint="eastAsia"/>
                      <w:bCs/>
                      <w:sz w:val="21"/>
                      <w:szCs w:val="21"/>
                    </w:rPr>
                    <w:t>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04" w:type="dxa"/>
                  <w:vMerge w:val="continue"/>
                  <w:vAlign w:val="center"/>
                </w:tcPr>
                <w:p>
                  <w:pPr>
                    <w:pStyle w:val="46"/>
                    <w:jc w:val="center"/>
                    <w:rPr>
                      <w:bCs/>
                      <w:sz w:val="21"/>
                      <w:szCs w:val="21"/>
                    </w:rPr>
                  </w:pPr>
                </w:p>
              </w:tc>
              <w:tc>
                <w:tcPr>
                  <w:tcW w:w="1214" w:type="dxa"/>
                  <w:shd w:val="clear" w:color="auto" w:fill="auto"/>
                  <w:vAlign w:val="center"/>
                </w:tcPr>
                <w:p>
                  <w:pPr>
                    <w:pStyle w:val="46"/>
                    <w:jc w:val="center"/>
                    <w:rPr>
                      <w:bCs/>
                      <w:sz w:val="21"/>
                      <w:szCs w:val="21"/>
                    </w:rPr>
                  </w:pPr>
                  <w:r>
                    <w:rPr>
                      <w:rFonts w:hint="eastAsia"/>
                      <w:bCs/>
                      <w:sz w:val="21"/>
                      <w:szCs w:val="21"/>
                    </w:rPr>
                    <w:t>施工道路区</w:t>
                  </w:r>
                </w:p>
              </w:tc>
              <w:tc>
                <w:tcPr>
                  <w:tcW w:w="720" w:type="dxa"/>
                  <w:vAlign w:val="center"/>
                </w:tcPr>
                <w:p>
                  <w:pPr>
                    <w:pStyle w:val="46"/>
                    <w:jc w:val="center"/>
                    <w:rPr>
                      <w:bCs/>
                      <w:sz w:val="21"/>
                      <w:szCs w:val="21"/>
                    </w:rPr>
                  </w:pPr>
                  <w:r>
                    <w:rPr>
                      <w:rFonts w:hint="eastAsia"/>
                      <w:bCs/>
                      <w:sz w:val="21"/>
                      <w:szCs w:val="21"/>
                    </w:rPr>
                    <w:t>0.00</w:t>
                  </w:r>
                </w:p>
              </w:tc>
              <w:tc>
                <w:tcPr>
                  <w:tcW w:w="721" w:type="dxa"/>
                  <w:vAlign w:val="center"/>
                </w:tcPr>
                <w:p>
                  <w:pPr>
                    <w:pStyle w:val="46"/>
                    <w:jc w:val="center"/>
                    <w:rPr>
                      <w:bCs/>
                      <w:sz w:val="21"/>
                      <w:szCs w:val="21"/>
                    </w:rPr>
                  </w:pPr>
                  <w:r>
                    <w:rPr>
                      <w:rFonts w:hint="eastAsia"/>
                      <w:bCs/>
                      <w:sz w:val="21"/>
                      <w:szCs w:val="21"/>
                    </w:rPr>
                    <w:t>1.40</w:t>
                  </w:r>
                </w:p>
              </w:tc>
              <w:tc>
                <w:tcPr>
                  <w:tcW w:w="721" w:type="dxa"/>
                  <w:vAlign w:val="center"/>
                </w:tcPr>
                <w:p>
                  <w:pPr>
                    <w:pStyle w:val="46"/>
                    <w:jc w:val="center"/>
                    <w:rPr>
                      <w:bCs/>
                      <w:sz w:val="21"/>
                      <w:szCs w:val="21"/>
                    </w:rPr>
                  </w:pPr>
                  <w:r>
                    <w:rPr>
                      <w:rFonts w:hint="eastAsia"/>
                      <w:bCs/>
                      <w:sz w:val="21"/>
                      <w:szCs w:val="21"/>
                    </w:rPr>
                    <w:t>1.40</w:t>
                  </w:r>
                </w:p>
              </w:tc>
              <w:tc>
                <w:tcPr>
                  <w:tcW w:w="722" w:type="dxa"/>
                  <w:vAlign w:val="center"/>
                </w:tcPr>
                <w:p>
                  <w:pPr>
                    <w:pStyle w:val="46"/>
                    <w:jc w:val="center"/>
                    <w:rPr>
                      <w:bCs/>
                      <w:sz w:val="21"/>
                      <w:szCs w:val="21"/>
                    </w:rPr>
                  </w:pPr>
                  <w:r>
                    <w:rPr>
                      <w:rFonts w:hint="eastAsia"/>
                      <w:bCs/>
                      <w:sz w:val="21"/>
                      <w:szCs w:val="21"/>
                    </w:rPr>
                    <w:t>1.17</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0.03</w:t>
                  </w:r>
                </w:p>
              </w:tc>
              <w:tc>
                <w:tcPr>
                  <w:tcW w:w="722" w:type="dxa"/>
                  <w:vAlign w:val="center"/>
                </w:tcPr>
                <w:p>
                  <w:pPr>
                    <w:pStyle w:val="46"/>
                    <w:jc w:val="center"/>
                    <w:rPr>
                      <w:bCs/>
                      <w:sz w:val="21"/>
                      <w:szCs w:val="21"/>
                    </w:rPr>
                  </w:pPr>
                  <w:r>
                    <w:rPr>
                      <w:rFonts w:hint="eastAsia"/>
                      <w:bCs/>
                      <w:sz w:val="21"/>
                      <w:szCs w:val="21"/>
                    </w:rPr>
                    <w:t>0.16</w:t>
                  </w:r>
                </w:p>
              </w:tc>
              <w:tc>
                <w:tcPr>
                  <w:tcW w:w="726" w:type="dxa"/>
                  <w:vAlign w:val="center"/>
                </w:tcPr>
                <w:p>
                  <w:pPr>
                    <w:pStyle w:val="46"/>
                    <w:jc w:val="center"/>
                    <w:rPr>
                      <w:bCs/>
                      <w:sz w:val="21"/>
                      <w:szCs w:val="21"/>
                    </w:rPr>
                  </w:pPr>
                  <w:r>
                    <w:rPr>
                      <w:rFonts w:hint="eastAsia"/>
                      <w:bCs/>
                      <w:sz w:val="21"/>
                      <w:szCs w:val="21"/>
                    </w:rPr>
                    <w:t>0.04</w:t>
                  </w:r>
                </w:p>
              </w:tc>
              <w:tc>
                <w:tcPr>
                  <w:tcW w:w="723" w:type="dxa"/>
                  <w:vAlign w:val="center"/>
                </w:tcPr>
                <w:p>
                  <w:pPr>
                    <w:pStyle w:val="46"/>
                    <w:jc w:val="center"/>
                    <w:rPr>
                      <w:bCs/>
                      <w:sz w:val="21"/>
                      <w:szCs w:val="21"/>
                    </w:rPr>
                  </w:pPr>
                  <w:r>
                    <w:rPr>
                      <w:rFonts w:hint="eastAsia"/>
                      <w:bCs/>
                      <w:sz w:val="21"/>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604" w:type="dxa"/>
                  <w:vMerge w:val="continue"/>
                  <w:vAlign w:val="center"/>
                </w:tcPr>
                <w:p>
                  <w:pPr>
                    <w:pStyle w:val="46"/>
                    <w:jc w:val="center"/>
                    <w:rPr>
                      <w:bCs/>
                      <w:sz w:val="21"/>
                      <w:szCs w:val="21"/>
                    </w:rPr>
                  </w:pPr>
                </w:p>
              </w:tc>
              <w:tc>
                <w:tcPr>
                  <w:tcW w:w="1214" w:type="dxa"/>
                  <w:shd w:val="clear" w:color="auto" w:fill="auto"/>
                  <w:vAlign w:val="center"/>
                </w:tcPr>
                <w:p>
                  <w:pPr>
                    <w:pStyle w:val="46"/>
                    <w:jc w:val="center"/>
                    <w:rPr>
                      <w:bCs/>
                      <w:sz w:val="21"/>
                      <w:szCs w:val="21"/>
                    </w:rPr>
                  </w:pPr>
                  <w:r>
                    <w:rPr>
                      <w:rFonts w:hint="eastAsia"/>
                      <w:bCs/>
                      <w:sz w:val="21"/>
                      <w:szCs w:val="21"/>
                    </w:rPr>
                    <w:t>杆塔拆除施工场地区</w:t>
                  </w:r>
                </w:p>
              </w:tc>
              <w:tc>
                <w:tcPr>
                  <w:tcW w:w="720" w:type="dxa"/>
                  <w:vAlign w:val="center"/>
                </w:tcPr>
                <w:p>
                  <w:pPr>
                    <w:pStyle w:val="46"/>
                    <w:jc w:val="center"/>
                    <w:rPr>
                      <w:bCs/>
                      <w:sz w:val="21"/>
                      <w:szCs w:val="21"/>
                    </w:rPr>
                  </w:pPr>
                  <w:r>
                    <w:rPr>
                      <w:rFonts w:hint="eastAsia"/>
                      <w:bCs/>
                      <w:sz w:val="21"/>
                      <w:szCs w:val="21"/>
                    </w:rPr>
                    <w:t>0.00</w:t>
                  </w:r>
                </w:p>
              </w:tc>
              <w:tc>
                <w:tcPr>
                  <w:tcW w:w="721" w:type="dxa"/>
                  <w:vAlign w:val="center"/>
                </w:tcPr>
                <w:p>
                  <w:pPr>
                    <w:pStyle w:val="46"/>
                    <w:jc w:val="center"/>
                    <w:rPr>
                      <w:bCs/>
                      <w:sz w:val="21"/>
                      <w:szCs w:val="21"/>
                    </w:rPr>
                  </w:pPr>
                  <w:r>
                    <w:rPr>
                      <w:rFonts w:hint="eastAsia"/>
                      <w:bCs/>
                      <w:sz w:val="21"/>
                      <w:szCs w:val="21"/>
                    </w:rPr>
                    <w:t>3.00</w:t>
                  </w:r>
                </w:p>
              </w:tc>
              <w:tc>
                <w:tcPr>
                  <w:tcW w:w="721" w:type="dxa"/>
                  <w:vAlign w:val="center"/>
                </w:tcPr>
                <w:p>
                  <w:pPr>
                    <w:pStyle w:val="46"/>
                    <w:jc w:val="center"/>
                    <w:rPr>
                      <w:bCs/>
                      <w:sz w:val="21"/>
                      <w:szCs w:val="21"/>
                    </w:rPr>
                  </w:pPr>
                  <w:r>
                    <w:rPr>
                      <w:rFonts w:hint="eastAsia"/>
                      <w:bCs/>
                      <w:sz w:val="21"/>
                      <w:szCs w:val="21"/>
                    </w:rPr>
                    <w:t>3.00</w:t>
                  </w:r>
                </w:p>
              </w:tc>
              <w:tc>
                <w:tcPr>
                  <w:tcW w:w="722" w:type="dxa"/>
                  <w:vAlign w:val="center"/>
                </w:tcPr>
                <w:p>
                  <w:pPr>
                    <w:pStyle w:val="46"/>
                    <w:jc w:val="center"/>
                    <w:rPr>
                      <w:bCs/>
                      <w:sz w:val="21"/>
                      <w:szCs w:val="21"/>
                    </w:rPr>
                  </w:pPr>
                  <w:r>
                    <w:rPr>
                      <w:rFonts w:hint="eastAsia"/>
                      <w:bCs/>
                      <w:sz w:val="21"/>
                      <w:szCs w:val="21"/>
                    </w:rPr>
                    <w:t>2.38</w:t>
                  </w:r>
                </w:p>
              </w:tc>
              <w:tc>
                <w:tcPr>
                  <w:tcW w:w="722" w:type="dxa"/>
                  <w:vAlign w:val="center"/>
                </w:tcPr>
                <w:p>
                  <w:pPr>
                    <w:pStyle w:val="46"/>
                    <w:jc w:val="center"/>
                    <w:rPr>
                      <w:bCs/>
                      <w:sz w:val="21"/>
                      <w:szCs w:val="21"/>
                    </w:rPr>
                  </w:pPr>
                  <w:r>
                    <w:rPr>
                      <w:rFonts w:hint="eastAsia"/>
                      <w:bCs/>
                      <w:sz w:val="21"/>
                      <w:szCs w:val="21"/>
                    </w:rPr>
                    <w:t>0.00</w:t>
                  </w:r>
                </w:p>
              </w:tc>
              <w:tc>
                <w:tcPr>
                  <w:tcW w:w="722" w:type="dxa"/>
                  <w:vAlign w:val="center"/>
                </w:tcPr>
                <w:p>
                  <w:pPr>
                    <w:pStyle w:val="46"/>
                    <w:jc w:val="center"/>
                    <w:rPr>
                      <w:bCs/>
                      <w:sz w:val="21"/>
                      <w:szCs w:val="21"/>
                    </w:rPr>
                  </w:pPr>
                  <w:r>
                    <w:rPr>
                      <w:rFonts w:hint="eastAsia"/>
                      <w:bCs/>
                      <w:sz w:val="21"/>
                      <w:szCs w:val="21"/>
                    </w:rPr>
                    <w:t>0.25</w:t>
                  </w:r>
                </w:p>
              </w:tc>
              <w:tc>
                <w:tcPr>
                  <w:tcW w:w="722" w:type="dxa"/>
                  <w:vAlign w:val="center"/>
                </w:tcPr>
                <w:p>
                  <w:pPr>
                    <w:pStyle w:val="46"/>
                    <w:jc w:val="center"/>
                    <w:rPr>
                      <w:bCs/>
                      <w:sz w:val="21"/>
                      <w:szCs w:val="21"/>
                    </w:rPr>
                  </w:pPr>
                  <w:r>
                    <w:rPr>
                      <w:rFonts w:hint="eastAsia"/>
                      <w:bCs/>
                      <w:sz w:val="21"/>
                      <w:szCs w:val="21"/>
                    </w:rPr>
                    <w:t>0.31</w:t>
                  </w:r>
                </w:p>
              </w:tc>
              <w:tc>
                <w:tcPr>
                  <w:tcW w:w="726" w:type="dxa"/>
                  <w:vAlign w:val="center"/>
                </w:tcPr>
                <w:p>
                  <w:pPr>
                    <w:pStyle w:val="46"/>
                    <w:jc w:val="center"/>
                    <w:rPr>
                      <w:bCs/>
                      <w:sz w:val="21"/>
                      <w:szCs w:val="21"/>
                    </w:rPr>
                  </w:pPr>
                  <w:r>
                    <w:rPr>
                      <w:rFonts w:hint="eastAsia"/>
                      <w:bCs/>
                      <w:sz w:val="21"/>
                      <w:szCs w:val="21"/>
                    </w:rPr>
                    <w:t>0.06</w:t>
                  </w:r>
                </w:p>
              </w:tc>
              <w:tc>
                <w:tcPr>
                  <w:tcW w:w="723" w:type="dxa"/>
                  <w:vAlign w:val="center"/>
                </w:tcPr>
                <w:p>
                  <w:pPr>
                    <w:pStyle w:val="46"/>
                    <w:jc w:val="center"/>
                    <w:rPr>
                      <w:bCs/>
                      <w:sz w:val="21"/>
                      <w:szCs w:val="21"/>
                    </w:rPr>
                  </w:pPr>
                  <w:r>
                    <w:rPr>
                      <w:rFonts w:hint="eastAsia"/>
                      <w:bCs/>
                      <w:sz w:val="21"/>
                      <w:szCs w:val="21"/>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1818" w:type="dxa"/>
                  <w:gridSpan w:val="2"/>
                  <w:vAlign w:val="center"/>
                </w:tcPr>
                <w:p>
                  <w:pPr>
                    <w:pStyle w:val="46"/>
                    <w:jc w:val="center"/>
                    <w:rPr>
                      <w:bCs/>
                      <w:sz w:val="21"/>
                      <w:szCs w:val="21"/>
                    </w:rPr>
                  </w:pPr>
                  <w:r>
                    <w:rPr>
                      <w:rFonts w:hint="eastAsia"/>
                      <w:bCs/>
                      <w:sz w:val="21"/>
                      <w:szCs w:val="21"/>
                    </w:rPr>
                    <w:t>合计</w:t>
                  </w:r>
                </w:p>
              </w:tc>
              <w:tc>
                <w:tcPr>
                  <w:tcW w:w="720" w:type="dxa"/>
                  <w:vAlign w:val="center"/>
                </w:tcPr>
                <w:p>
                  <w:pPr>
                    <w:pStyle w:val="46"/>
                    <w:jc w:val="center"/>
                    <w:rPr>
                      <w:bCs/>
                      <w:sz w:val="21"/>
                      <w:szCs w:val="21"/>
                    </w:rPr>
                  </w:pPr>
                  <w:r>
                    <w:rPr>
                      <w:rFonts w:hint="eastAsia"/>
                      <w:bCs/>
                      <w:sz w:val="21"/>
                      <w:szCs w:val="21"/>
                    </w:rPr>
                    <w:t>1.79</w:t>
                  </w:r>
                </w:p>
              </w:tc>
              <w:tc>
                <w:tcPr>
                  <w:tcW w:w="721" w:type="dxa"/>
                  <w:vAlign w:val="center"/>
                </w:tcPr>
                <w:p>
                  <w:pPr>
                    <w:pStyle w:val="46"/>
                    <w:jc w:val="center"/>
                    <w:rPr>
                      <w:bCs/>
                      <w:sz w:val="21"/>
                      <w:szCs w:val="21"/>
                    </w:rPr>
                  </w:pPr>
                  <w:r>
                    <w:rPr>
                      <w:rFonts w:hint="eastAsia"/>
                      <w:bCs/>
                      <w:sz w:val="21"/>
                      <w:szCs w:val="21"/>
                    </w:rPr>
                    <w:t>11.03</w:t>
                  </w:r>
                </w:p>
              </w:tc>
              <w:tc>
                <w:tcPr>
                  <w:tcW w:w="721" w:type="dxa"/>
                  <w:vAlign w:val="center"/>
                </w:tcPr>
                <w:p>
                  <w:pPr>
                    <w:pStyle w:val="46"/>
                    <w:jc w:val="center"/>
                    <w:rPr>
                      <w:bCs/>
                      <w:sz w:val="21"/>
                      <w:szCs w:val="21"/>
                    </w:rPr>
                  </w:pPr>
                  <w:r>
                    <w:rPr>
                      <w:rFonts w:hint="eastAsia"/>
                      <w:bCs/>
                      <w:sz w:val="21"/>
                      <w:szCs w:val="21"/>
                    </w:rPr>
                    <w:t>12.82</w:t>
                  </w:r>
                </w:p>
              </w:tc>
              <w:tc>
                <w:tcPr>
                  <w:tcW w:w="722" w:type="dxa"/>
                  <w:vAlign w:val="center"/>
                </w:tcPr>
                <w:p>
                  <w:pPr>
                    <w:pStyle w:val="46"/>
                    <w:jc w:val="center"/>
                    <w:rPr>
                      <w:bCs/>
                      <w:sz w:val="21"/>
                      <w:szCs w:val="21"/>
                    </w:rPr>
                  </w:pPr>
                  <w:r>
                    <w:rPr>
                      <w:rFonts w:hint="eastAsia"/>
                      <w:bCs/>
                      <w:sz w:val="21"/>
                      <w:szCs w:val="21"/>
                    </w:rPr>
                    <w:t>9.62</w:t>
                  </w:r>
                </w:p>
              </w:tc>
              <w:tc>
                <w:tcPr>
                  <w:tcW w:w="722" w:type="dxa"/>
                  <w:vAlign w:val="center"/>
                </w:tcPr>
                <w:p>
                  <w:pPr>
                    <w:pStyle w:val="46"/>
                    <w:jc w:val="center"/>
                    <w:rPr>
                      <w:bCs/>
                      <w:sz w:val="21"/>
                      <w:szCs w:val="21"/>
                    </w:rPr>
                  </w:pPr>
                  <w:r>
                    <w:rPr>
                      <w:rFonts w:hint="eastAsia"/>
                      <w:bCs/>
                      <w:sz w:val="21"/>
                      <w:szCs w:val="21"/>
                    </w:rPr>
                    <w:t>0.17</w:t>
                  </w:r>
                </w:p>
              </w:tc>
              <w:tc>
                <w:tcPr>
                  <w:tcW w:w="722" w:type="dxa"/>
                  <w:vAlign w:val="center"/>
                </w:tcPr>
                <w:p>
                  <w:pPr>
                    <w:pStyle w:val="46"/>
                    <w:jc w:val="center"/>
                    <w:rPr>
                      <w:bCs/>
                      <w:sz w:val="21"/>
                      <w:szCs w:val="21"/>
                    </w:rPr>
                  </w:pPr>
                  <w:r>
                    <w:rPr>
                      <w:rFonts w:hint="eastAsia"/>
                      <w:bCs/>
                      <w:sz w:val="21"/>
                      <w:szCs w:val="21"/>
                    </w:rPr>
                    <w:t>0.86</w:t>
                  </w:r>
                </w:p>
              </w:tc>
              <w:tc>
                <w:tcPr>
                  <w:tcW w:w="722" w:type="dxa"/>
                  <w:vAlign w:val="center"/>
                </w:tcPr>
                <w:p>
                  <w:pPr>
                    <w:pStyle w:val="46"/>
                    <w:jc w:val="center"/>
                    <w:rPr>
                      <w:bCs/>
                      <w:sz w:val="21"/>
                      <w:szCs w:val="21"/>
                    </w:rPr>
                  </w:pPr>
                  <w:r>
                    <w:rPr>
                      <w:rFonts w:hint="eastAsia"/>
                      <w:bCs/>
                      <w:sz w:val="21"/>
                      <w:szCs w:val="21"/>
                    </w:rPr>
                    <w:t>0.97</w:t>
                  </w:r>
                </w:p>
              </w:tc>
              <w:tc>
                <w:tcPr>
                  <w:tcW w:w="726" w:type="dxa"/>
                  <w:vAlign w:val="center"/>
                </w:tcPr>
                <w:p>
                  <w:pPr>
                    <w:pStyle w:val="46"/>
                    <w:jc w:val="center"/>
                    <w:rPr>
                      <w:bCs/>
                      <w:sz w:val="21"/>
                      <w:szCs w:val="21"/>
                    </w:rPr>
                  </w:pPr>
                  <w:r>
                    <w:rPr>
                      <w:rFonts w:hint="eastAsia"/>
                      <w:bCs/>
                      <w:sz w:val="21"/>
                      <w:szCs w:val="21"/>
                    </w:rPr>
                    <w:t>1.20</w:t>
                  </w:r>
                </w:p>
              </w:tc>
              <w:tc>
                <w:tcPr>
                  <w:tcW w:w="723" w:type="dxa"/>
                  <w:vAlign w:val="center"/>
                </w:tcPr>
                <w:p>
                  <w:pPr>
                    <w:pStyle w:val="46"/>
                    <w:jc w:val="center"/>
                    <w:rPr>
                      <w:bCs/>
                      <w:sz w:val="21"/>
                      <w:szCs w:val="21"/>
                    </w:rPr>
                  </w:pPr>
                  <w:r>
                    <w:rPr>
                      <w:rFonts w:hint="eastAsia"/>
                      <w:bCs/>
                      <w:sz w:val="21"/>
                      <w:szCs w:val="21"/>
                    </w:rPr>
                    <w:t>12.82</w:t>
                  </w:r>
                </w:p>
              </w:tc>
            </w:tr>
          </w:tbl>
          <w:p>
            <w:pPr>
              <w:pStyle w:val="46"/>
              <w:rPr>
                <w:bCs/>
                <w:sz w:val="21"/>
                <w:szCs w:val="21"/>
              </w:rPr>
            </w:pPr>
          </w:p>
          <w:p>
            <w:pPr>
              <w:pStyle w:val="2"/>
              <w:numPr>
                <w:ilvl w:val="1"/>
                <w:numId w:val="5"/>
              </w:numPr>
              <w:spacing w:before="0" w:after="0" w:line="360" w:lineRule="auto"/>
              <w:rPr>
                <w:rFonts w:eastAsia="宋体"/>
                <w:sz w:val="24"/>
                <w:szCs w:val="24"/>
              </w:rPr>
            </w:pPr>
            <w:r>
              <w:rPr>
                <w:rFonts w:hint="eastAsia" w:eastAsia="宋体"/>
                <w:sz w:val="24"/>
                <w:szCs w:val="24"/>
              </w:rPr>
              <w:t>土石方平衡</w:t>
            </w:r>
          </w:p>
          <w:p>
            <w:pPr>
              <w:pStyle w:val="5"/>
              <w:rPr>
                <w:u w:val="single"/>
              </w:rPr>
            </w:pPr>
            <w:r>
              <w:rPr>
                <w:rFonts w:hint="eastAsia"/>
              </w:rPr>
              <w:t>本工程总挖方1.31万m</w:t>
            </w:r>
            <w:r>
              <w:rPr>
                <w:rFonts w:hint="eastAsia"/>
                <w:vertAlign w:val="superscript"/>
              </w:rPr>
              <w:t>3</w:t>
            </w:r>
            <w:r>
              <w:rPr>
                <w:rFonts w:hint="eastAsia"/>
              </w:rPr>
              <w:t>（包含表土剥离0.02万m</w:t>
            </w:r>
            <w:r>
              <w:rPr>
                <w:rFonts w:hint="eastAsia"/>
                <w:vertAlign w:val="superscript"/>
              </w:rPr>
              <w:t>3</w:t>
            </w:r>
            <w:r>
              <w:rPr>
                <w:rFonts w:hint="eastAsia"/>
              </w:rPr>
              <w:t>），总填方2.38万m</w:t>
            </w:r>
            <w:r>
              <w:rPr>
                <w:rFonts w:hint="eastAsia"/>
                <w:vertAlign w:val="superscript"/>
              </w:rPr>
              <w:t>3</w:t>
            </w:r>
            <w:r>
              <w:rPr>
                <w:rFonts w:hint="eastAsia"/>
              </w:rPr>
              <w:t>（包含表土回覆0.02万m</w:t>
            </w:r>
            <w:r>
              <w:rPr>
                <w:rFonts w:hint="eastAsia"/>
                <w:vertAlign w:val="superscript"/>
              </w:rPr>
              <w:t>3</w:t>
            </w:r>
            <w:r>
              <w:rPr>
                <w:rFonts w:hint="eastAsia"/>
              </w:rPr>
              <w:t>），借方1.07万m</w:t>
            </w:r>
            <w:r>
              <w:rPr>
                <w:rFonts w:hint="eastAsia"/>
                <w:vertAlign w:val="superscript"/>
              </w:rPr>
              <w:t>3</w:t>
            </w:r>
            <w:r>
              <w:rPr>
                <w:rFonts w:hint="eastAsia"/>
              </w:rPr>
              <w:t>，购方来自托克逊县伊拉湖砂石料场，已签订购土协议，无弃方。本工程土石方平衡表见</w:t>
            </w:r>
            <w:r>
              <w:rPr>
                <w:rFonts w:hint="eastAsia"/>
                <w:b w:val="0"/>
                <w:bCs w:val="0"/>
                <w:lang w:eastAsia="zh-CN"/>
              </w:rPr>
              <w:fldChar w:fldCharType="begin"/>
            </w:r>
            <w:r>
              <w:rPr>
                <w:b w:val="0"/>
                <w:bCs w:val="0"/>
              </w:rPr>
              <w:instrText xml:space="preserve"> REF _Ref17200 \h  \* MERGEFORMAT</w:instrText>
            </w:r>
            <w:r>
              <w:rPr>
                <w:rFonts w:hint="eastAsia"/>
                <w:b w:val="0"/>
                <w:bCs w:val="0"/>
                <w:lang w:eastAsia="zh-CN"/>
              </w:rPr>
              <w:fldChar w:fldCharType="separate"/>
            </w:r>
            <w:r>
              <w:rPr>
                <w:rFonts w:ascii="Times New Roman" w:hAnsi="Times New Roman" w:eastAsia="宋体"/>
                <w:b w:val="0"/>
                <w:bCs w:val="0"/>
              </w:rPr>
              <w:t>表9</w:t>
            </w:r>
            <w:r>
              <w:rPr>
                <w:rFonts w:hint="eastAsia"/>
                <w:b w:val="0"/>
                <w:bCs w:val="0"/>
                <w:lang w:eastAsia="zh-CN"/>
              </w:rPr>
              <w:fldChar w:fldCharType="end"/>
            </w:r>
            <w:r>
              <w:rPr>
                <w:rFonts w:hint="eastAsia"/>
              </w:rPr>
              <w:t>。</w:t>
            </w:r>
          </w:p>
          <w:p>
            <w:pPr>
              <w:pStyle w:val="10"/>
              <w:jc w:val="left"/>
              <w:rPr>
                <w:rFonts w:ascii="Times New Roman" w:hAnsi="Times New Roman" w:eastAsia="宋体"/>
                <w:b/>
                <w:bCs/>
              </w:rPr>
            </w:pPr>
            <w:bookmarkStart w:id="18" w:name="_Ref17200"/>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9</w:t>
            </w:r>
            <w:r>
              <w:rPr>
                <w:rFonts w:ascii="Times New Roman" w:hAnsi="Times New Roman" w:eastAsia="宋体"/>
                <w:b/>
                <w:bCs/>
              </w:rPr>
              <w:fldChar w:fldCharType="end"/>
            </w:r>
            <w:bookmarkEnd w:id="18"/>
            <w:r>
              <w:rPr>
                <w:rFonts w:ascii="Times New Roman" w:hAnsi="Times New Roman" w:eastAsia="宋体"/>
                <w:b/>
                <w:bCs/>
              </w:rPr>
              <w:t>　土石方平衡表</w:t>
            </w:r>
            <w:r>
              <w:rPr>
                <w:rFonts w:hint="eastAsia" w:ascii="Times New Roman" w:hAnsi="Times New Roman" w:eastAsia="宋体"/>
                <w:b/>
                <w:bCs/>
              </w:rPr>
              <w:t xml:space="preserve">                                                 </w:t>
            </w:r>
            <w:r>
              <w:rPr>
                <w:rFonts w:ascii="Times New Roman" w:hAnsi="Times New Roman" w:eastAsia="宋体"/>
                <w:b/>
                <w:bCs/>
              </w:rPr>
              <w:t>单位：万m³</w:t>
            </w:r>
          </w:p>
          <w:tbl>
            <w:tblPr>
              <w:tblStyle w:val="38"/>
              <w:tblW w:w="8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
              <w:gridCol w:w="696"/>
              <w:gridCol w:w="612"/>
              <w:gridCol w:w="555"/>
              <w:gridCol w:w="555"/>
              <w:gridCol w:w="555"/>
              <w:gridCol w:w="555"/>
              <w:gridCol w:w="555"/>
              <w:gridCol w:w="555"/>
              <w:gridCol w:w="555"/>
              <w:gridCol w:w="555"/>
              <w:gridCol w:w="556"/>
              <w:gridCol w:w="556"/>
              <w:gridCol w:w="556"/>
              <w:gridCol w:w="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53" w:type="dxa"/>
                  <w:gridSpan w:val="2"/>
                  <w:vMerge w:val="restart"/>
                  <w:vAlign w:val="center"/>
                </w:tcPr>
                <w:p>
                  <w:pPr>
                    <w:pStyle w:val="5"/>
                    <w:wordWrap w:val="0"/>
                    <w:spacing w:line="240" w:lineRule="auto"/>
                    <w:ind w:firstLine="0" w:firstLineChars="0"/>
                    <w:jc w:val="center"/>
                    <w:rPr>
                      <w:sz w:val="21"/>
                      <w:szCs w:val="21"/>
                    </w:rPr>
                  </w:pPr>
                  <w:r>
                    <w:rPr>
                      <w:rFonts w:hint="eastAsia"/>
                      <w:sz w:val="21"/>
                      <w:szCs w:val="21"/>
                    </w:rPr>
                    <w:t>分区</w:t>
                  </w:r>
                </w:p>
              </w:tc>
              <w:tc>
                <w:tcPr>
                  <w:tcW w:w="1167" w:type="dxa"/>
                  <w:gridSpan w:val="2"/>
                  <w:vAlign w:val="center"/>
                </w:tcPr>
                <w:p>
                  <w:pPr>
                    <w:pStyle w:val="5"/>
                    <w:wordWrap w:val="0"/>
                    <w:spacing w:line="240" w:lineRule="auto"/>
                    <w:ind w:firstLine="0" w:firstLineChars="0"/>
                    <w:jc w:val="center"/>
                    <w:rPr>
                      <w:sz w:val="21"/>
                      <w:szCs w:val="21"/>
                    </w:rPr>
                  </w:pPr>
                  <w:r>
                    <w:rPr>
                      <w:rFonts w:hint="eastAsia"/>
                      <w:sz w:val="21"/>
                      <w:szCs w:val="21"/>
                    </w:rPr>
                    <w:t>挖方</w:t>
                  </w:r>
                </w:p>
              </w:tc>
              <w:tc>
                <w:tcPr>
                  <w:tcW w:w="1665" w:type="dxa"/>
                  <w:gridSpan w:val="3"/>
                  <w:vAlign w:val="center"/>
                </w:tcPr>
                <w:p>
                  <w:pPr>
                    <w:pStyle w:val="5"/>
                    <w:wordWrap w:val="0"/>
                    <w:spacing w:line="240" w:lineRule="auto"/>
                    <w:ind w:firstLine="0" w:firstLineChars="0"/>
                    <w:jc w:val="center"/>
                    <w:rPr>
                      <w:sz w:val="21"/>
                      <w:szCs w:val="21"/>
                    </w:rPr>
                  </w:pPr>
                  <w:r>
                    <w:rPr>
                      <w:rFonts w:hint="eastAsia"/>
                      <w:sz w:val="21"/>
                      <w:szCs w:val="21"/>
                    </w:rPr>
                    <w:t>填方</w:t>
                  </w:r>
                </w:p>
              </w:tc>
              <w:tc>
                <w:tcPr>
                  <w:tcW w:w="1110" w:type="dxa"/>
                  <w:gridSpan w:val="2"/>
                  <w:vAlign w:val="center"/>
                </w:tcPr>
                <w:p>
                  <w:pPr>
                    <w:pStyle w:val="5"/>
                    <w:wordWrap w:val="0"/>
                    <w:spacing w:line="240" w:lineRule="auto"/>
                    <w:ind w:firstLine="0" w:firstLineChars="0"/>
                    <w:jc w:val="center"/>
                    <w:rPr>
                      <w:sz w:val="21"/>
                      <w:szCs w:val="21"/>
                    </w:rPr>
                  </w:pPr>
                  <w:r>
                    <w:rPr>
                      <w:rFonts w:hint="eastAsia"/>
                      <w:sz w:val="21"/>
                      <w:szCs w:val="21"/>
                    </w:rPr>
                    <w:t>调入</w:t>
                  </w:r>
                </w:p>
              </w:tc>
              <w:tc>
                <w:tcPr>
                  <w:tcW w:w="1110" w:type="dxa"/>
                  <w:gridSpan w:val="2"/>
                  <w:vAlign w:val="center"/>
                </w:tcPr>
                <w:p>
                  <w:pPr>
                    <w:pStyle w:val="5"/>
                    <w:wordWrap w:val="0"/>
                    <w:spacing w:line="240" w:lineRule="auto"/>
                    <w:ind w:firstLine="0" w:firstLineChars="0"/>
                    <w:jc w:val="center"/>
                    <w:rPr>
                      <w:sz w:val="21"/>
                      <w:szCs w:val="21"/>
                    </w:rPr>
                  </w:pPr>
                  <w:r>
                    <w:rPr>
                      <w:rFonts w:hint="eastAsia"/>
                      <w:sz w:val="21"/>
                      <w:szCs w:val="21"/>
                    </w:rPr>
                    <w:t>调出</w:t>
                  </w:r>
                </w:p>
              </w:tc>
              <w:tc>
                <w:tcPr>
                  <w:tcW w:w="1112" w:type="dxa"/>
                  <w:gridSpan w:val="2"/>
                  <w:vAlign w:val="center"/>
                </w:tcPr>
                <w:p>
                  <w:pPr>
                    <w:pStyle w:val="5"/>
                    <w:wordWrap w:val="0"/>
                    <w:spacing w:line="240" w:lineRule="auto"/>
                    <w:ind w:firstLine="0" w:firstLineChars="0"/>
                    <w:jc w:val="center"/>
                    <w:rPr>
                      <w:sz w:val="21"/>
                      <w:szCs w:val="21"/>
                    </w:rPr>
                  </w:pPr>
                  <w:r>
                    <w:rPr>
                      <w:rFonts w:hint="eastAsia"/>
                      <w:sz w:val="21"/>
                      <w:szCs w:val="21"/>
                    </w:rPr>
                    <w:t>外借</w:t>
                  </w:r>
                </w:p>
              </w:tc>
              <w:tc>
                <w:tcPr>
                  <w:tcW w:w="1112" w:type="dxa"/>
                  <w:gridSpan w:val="2"/>
                  <w:vAlign w:val="center"/>
                </w:tcPr>
                <w:p>
                  <w:pPr>
                    <w:pStyle w:val="5"/>
                    <w:wordWrap w:val="0"/>
                    <w:spacing w:line="240" w:lineRule="auto"/>
                    <w:ind w:firstLine="0" w:firstLineChars="0"/>
                    <w:jc w:val="center"/>
                    <w:rPr>
                      <w:sz w:val="21"/>
                      <w:szCs w:val="21"/>
                    </w:rPr>
                  </w:pPr>
                  <w:r>
                    <w:rPr>
                      <w:rFonts w:hint="eastAsia"/>
                      <w:sz w:val="21"/>
                      <w:szCs w:val="21"/>
                    </w:rPr>
                    <w:t>废弃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1053" w:type="dxa"/>
                  <w:gridSpan w:val="2"/>
                  <w:vMerge w:val="continue"/>
                  <w:vAlign w:val="center"/>
                </w:tcPr>
                <w:p>
                  <w:pPr>
                    <w:pStyle w:val="5"/>
                    <w:wordWrap w:val="0"/>
                    <w:spacing w:line="240" w:lineRule="auto"/>
                    <w:ind w:firstLine="0" w:firstLineChars="0"/>
                    <w:jc w:val="center"/>
                    <w:rPr>
                      <w:sz w:val="21"/>
                      <w:szCs w:val="21"/>
                    </w:rPr>
                  </w:pPr>
                </w:p>
              </w:tc>
              <w:tc>
                <w:tcPr>
                  <w:tcW w:w="612" w:type="dxa"/>
                  <w:vAlign w:val="center"/>
                </w:tcPr>
                <w:p>
                  <w:pPr>
                    <w:pStyle w:val="5"/>
                    <w:wordWrap w:val="0"/>
                    <w:spacing w:line="240" w:lineRule="auto"/>
                    <w:ind w:firstLine="0" w:firstLineChars="0"/>
                    <w:jc w:val="center"/>
                    <w:rPr>
                      <w:sz w:val="21"/>
                      <w:szCs w:val="21"/>
                    </w:rPr>
                  </w:pPr>
                  <w:r>
                    <w:rPr>
                      <w:rFonts w:hint="eastAsia"/>
                      <w:sz w:val="21"/>
                      <w:szCs w:val="21"/>
                    </w:rPr>
                    <w:t>基础开挖</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表土剥离</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基坑回填</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表土回覆</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塔基垫高回填</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数量</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来源</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数量</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去向</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数量</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来源</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数量</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7" w:type="dxa"/>
                  <w:vMerge w:val="restart"/>
                  <w:vAlign w:val="center"/>
                </w:tcPr>
                <w:p>
                  <w:pPr>
                    <w:pStyle w:val="5"/>
                    <w:wordWrap w:val="0"/>
                    <w:spacing w:line="240" w:lineRule="auto"/>
                    <w:ind w:firstLine="0" w:firstLineChars="0"/>
                    <w:jc w:val="center"/>
                    <w:rPr>
                      <w:sz w:val="21"/>
                      <w:szCs w:val="21"/>
                    </w:rPr>
                  </w:pPr>
                  <w:r>
                    <w:rPr>
                      <w:rFonts w:hint="eastAsia"/>
                      <w:sz w:val="21"/>
                      <w:szCs w:val="21"/>
                    </w:rPr>
                    <w:t>伊拉湖变电站</w:t>
                  </w:r>
                </w:p>
              </w:tc>
              <w:tc>
                <w:tcPr>
                  <w:tcW w:w="696" w:type="dxa"/>
                  <w:vAlign w:val="center"/>
                </w:tcPr>
                <w:p>
                  <w:pPr>
                    <w:pStyle w:val="5"/>
                    <w:wordWrap w:val="0"/>
                    <w:spacing w:line="240" w:lineRule="auto"/>
                    <w:ind w:firstLine="0" w:firstLineChars="0"/>
                    <w:jc w:val="center"/>
                    <w:rPr>
                      <w:sz w:val="21"/>
                      <w:szCs w:val="21"/>
                    </w:rPr>
                  </w:pPr>
                  <w:r>
                    <w:rPr>
                      <w:rFonts w:hint="eastAsia"/>
                      <w:sz w:val="21"/>
                      <w:szCs w:val="21"/>
                    </w:rPr>
                    <w:t>站区</w:t>
                  </w:r>
                </w:p>
              </w:tc>
              <w:tc>
                <w:tcPr>
                  <w:tcW w:w="612" w:type="dxa"/>
                  <w:vAlign w:val="center"/>
                </w:tcPr>
                <w:p>
                  <w:pPr>
                    <w:pStyle w:val="5"/>
                    <w:wordWrap w:val="0"/>
                    <w:spacing w:line="240" w:lineRule="auto"/>
                    <w:ind w:firstLine="0" w:firstLineChars="0"/>
                    <w:jc w:val="center"/>
                    <w:rPr>
                      <w:sz w:val="21"/>
                      <w:szCs w:val="21"/>
                    </w:rPr>
                  </w:pPr>
                  <w:r>
                    <w:rPr>
                      <w:rFonts w:hint="eastAsia"/>
                      <w:sz w:val="21"/>
                      <w:szCs w:val="21"/>
                    </w:rPr>
                    <w:t>0.56</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0.00</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1.50</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0.94</w:t>
                  </w:r>
                </w:p>
              </w:tc>
              <w:tc>
                <w:tcPr>
                  <w:tcW w:w="556" w:type="dxa"/>
                  <w:vMerge w:val="restart"/>
                  <w:vAlign w:val="center"/>
                </w:tcPr>
                <w:p>
                  <w:pPr>
                    <w:pStyle w:val="5"/>
                    <w:wordWrap w:val="0"/>
                    <w:spacing w:line="240" w:lineRule="auto"/>
                    <w:ind w:firstLine="0" w:firstLineChars="0"/>
                    <w:jc w:val="center"/>
                    <w:rPr>
                      <w:sz w:val="21"/>
                      <w:szCs w:val="21"/>
                    </w:rPr>
                  </w:pPr>
                  <w:r>
                    <w:rPr>
                      <w:rFonts w:hint="eastAsia"/>
                      <w:sz w:val="21"/>
                      <w:szCs w:val="21"/>
                    </w:rPr>
                    <w:t>托克逊县伊拉湖砂石料场</w:t>
                  </w:r>
                </w:p>
              </w:tc>
              <w:tc>
                <w:tcPr>
                  <w:tcW w:w="556" w:type="dxa"/>
                  <w:vAlign w:val="center"/>
                </w:tcPr>
                <w:p>
                  <w:pPr>
                    <w:wordWrap w:val="0"/>
                    <w:jc w:val="center"/>
                    <w:rPr>
                      <w:szCs w:val="21"/>
                    </w:rPr>
                  </w:pPr>
                  <w:r>
                    <w:rPr>
                      <w:rFonts w:hint="eastAsia"/>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7" w:type="dxa"/>
                  <w:vMerge w:val="continue"/>
                  <w:vAlign w:val="center"/>
                </w:tcPr>
                <w:p>
                  <w:pPr>
                    <w:pStyle w:val="5"/>
                    <w:wordWrap w:val="0"/>
                    <w:spacing w:line="240" w:lineRule="auto"/>
                    <w:ind w:firstLine="0" w:firstLineChars="0"/>
                    <w:jc w:val="center"/>
                    <w:rPr>
                      <w:sz w:val="21"/>
                      <w:szCs w:val="21"/>
                    </w:rPr>
                  </w:pPr>
                </w:p>
              </w:tc>
              <w:tc>
                <w:tcPr>
                  <w:tcW w:w="696" w:type="dxa"/>
                  <w:vAlign w:val="center"/>
                </w:tcPr>
                <w:p>
                  <w:pPr>
                    <w:pStyle w:val="5"/>
                    <w:wordWrap w:val="0"/>
                    <w:spacing w:line="240" w:lineRule="auto"/>
                    <w:ind w:firstLine="0" w:firstLineChars="0"/>
                    <w:jc w:val="center"/>
                    <w:rPr>
                      <w:sz w:val="21"/>
                      <w:szCs w:val="21"/>
                    </w:rPr>
                  </w:pPr>
                  <w:r>
                    <w:rPr>
                      <w:rFonts w:hint="eastAsia"/>
                      <w:sz w:val="21"/>
                      <w:szCs w:val="21"/>
                    </w:rPr>
                    <w:t>进站道路区</w:t>
                  </w:r>
                </w:p>
              </w:tc>
              <w:tc>
                <w:tcPr>
                  <w:tcW w:w="612"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0.13</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0.13</w:t>
                  </w:r>
                </w:p>
              </w:tc>
              <w:tc>
                <w:tcPr>
                  <w:tcW w:w="556" w:type="dxa"/>
                  <w:vMerge w:val="continue"/>
                  <w:vAlign w:val="center"/>
                </w:tcPr>
                <w:p>
                  <w:pPr>
                    <w:pStyle w:val="5"/>
                    <w:wordWrap w:val="0"/>
                    <w:spacing w:line="240" w:lineRule="auto"/>
                    <w:ind w:firstLine="0" w:firstLineChars="0"/>
                    <w:jc w:val="center"/>
                    <w:rPr>
                      <w:sz w:val="21"/>
                      <w:szCs w:val="21"/>
                    </w:rPr>
                  </w:pPr>
                </w:p>
              </w:tc>
              <w:tc>
                <w:tcPr>
                  <w:tcW w:w="556" w:type="dxa"/>
                  <w:vAlign w:val="center"/>
                </w:tcPr>
                <w:p>
                  <w:pPr>
                    <w:wordWrap w:val="0"/>
                    <w:jc w:val="center"/>
                    <w:rPr>
                      <w:szCs w:val="21"/>
                    </w:rPr>
                  </w:pPr>
                  <w:r>
                    <w:rPr>
                      <w:rFonts w:hint="eastAsia"/>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7" w:type="dxa"/>
                  <w:vMerge w:val="continue"/>
                  <w:vAlign w:val="center"/>
                </w:tcPr>
                <w:p>
                  <w:pPr>
                    <w:pStyle w:val="5"/>
                    <w:wordWrap w:val="0"/>
                    <w:spacing w:line="240" w:lineRule="auto"/>
                    <w:ind w:firstLine="0" w:firstLineChars="0"/>
                    <w:jc w:val="center"/>
                    <w:rPr>
                      <w:sz w:val="21"/>
                      <w:szCs w:val="21"/>
                    </w:rPr>
                  </w:pPr>
                </w:p>
              </w:tc>
              <w:tc>
                <w:tcPr>
                  <w:tcW w:w="696" w:type="dxa"/>
                  <w:vAlign w:val="center"/>
                </w:tcPr>
                <w:p>
                  <w:pPr>
                    <w:pStyle w:val="5"/>
                    <w:wordWrap w:val="0"/>
                    <w:spacing w:line="240" w:lineRule="auto"/>
                    <w:ind w:firstLine="0" w:firstLineChars="0"/>
                    <w:jc w:val="center"/>
                    <w:rPr>
                      <w:sz w:val="21"/>
                      <w:szCs w:val="21"/>
                    </w:rPr>
                  </w:pPr>
                  <w:r>
                    <w:rPr>
                      <w:rFonts w:hint="eastAsia"/>
                      <w:sz w:val="21"/>
                      <w:szCs w:val="21"/>
                    </w:rPr>
                    <w:t>站外供排水管线区</w:t>
                  </w:r>
                </w:p>
              </w:tc>
              <w:tc>
                <w:tcPr>
                  <w:tcW w:w="612" w:type="dxa"/>
                  <w:vAlign w:val="center"/>
                </w:tcPr>
                <w:p>
                  <w:pPr>
                    <w:pStyle w:val="5"/>
                    <w:wordWrap w:val="0"/>
                    <w:spacing w:line="240" w:lineRule="auto"/>
                    <w:ind w:firstLine="0" w:firstLineChars="0"/>
                    <w:jc w:val="center"/>
                    <w:rPr>
                      <w:sz w:val="21"/>
                      <w:szCs w:val="21"/>
                    </w:rPr>
                  </w:pPr>
                  <w:r>
                    <w:rPr>
                      <w:rFonts w:hint="eastAsia"/>
                      <w:sz w:val="21"/>
                      <w:szCs w:val="21"/>
                    </w:rPr>
                    <w:t>0.26</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0.00</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0.26</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6" w:type="dxa"/>
                  <w:vAlign w:val="center"/>
                </w:tcPr>
                <w:p>
                  <w:pPr>
                    <w:wordWrap w:val="0"/>
                    <w:jc w:val="center"/>
                    <w:rPr>
                      <w:szCs w:val="21"/>
                    </w:rPr>
                  </w:pPr>
                  <w:r>
                    <w:rPr>
                      <w:rFonts w:hint="eastAsia"/>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7" w:type="dxa"/>
                  <w:vMerge w:val="continue"/>
                  <w:vAlign w:val="center"/>
                </w:tcPr>
                <w:p>
                  <w:pPr>
                    <w:pStyle w:val="5"/>
                    <w:wordWrap w:val="0"/>
                    <w:spacing w:line="240" w:lineRule="auto"/>
                    <w:ind w:firstLine="0" w:firstLineChars="0"/>
                    <w:jc w:val="center"/>
                    <w:rPr>
                      <w:sz w:val="21"/>
                      <w:szCs w:val="21"/>
                    </w:rPr>
                  </w:pPr>
                </w:p>
              </w:tc>
              <w:tc>
                <w:tcPr>
                  <w:tcW w:w="696" w:type="dxa"/>
                  <w:vAlign w:val="center"/>
                </w:tcPr>
                <w:p>
                  <w:pPr>
                    <w:pStyle w:val="5"/>
                    <w:wordWrap w:val="0"/>
                    <w:spacing w:line="240" w:lineRule="auto"/>
                    <w:ind w:firstLine="0" w:firstLineChars="0"/>
                    <w:jc w:val="center"/>
                    <w:rPr>
                      <w:sz w:val="21"/>
                      <w:szCs w:val="21"/>
                    </w:rPr>
                  </w:pPr>
                  <w:r>
                    <w:rPr>
                      <w:rFonts w:hint="eastAsia"/>
                      <w:sz w:val="21"/>
                      <w:szCs w:val="21"/>
                    </w:rPr>
                    <w:t>站外电源线区</w:t>
                  </w:r>
                </w:p>
              </w:tc>
              <w:tc>
                <w:tcPr>
                  <w:tcW w:w="612" w:type="dxa"/>
                  <w:vAlign w:val="center"/>
                </w:tcPr>
                <w:p>
                  <w:pPr>
                    <w:pStyle w:val="5"/>
                    <w:wordWrap w:val="0"/>
                    <w:spacing w:line="240" w:lineRule="auto"/>
                    <w:ind w:firstLine="0" w:firstLineChars="0"/>
                    <w:jc w:val="center"/>
                    <w:rPr>
                      <w:sz w:val="21"/>
                      <w:szCs w:val="21"/>
                    </w:rPr>
                  </w:pPr>
                  <w:r>
                    <w:rPr>
                      <w:rFonts w:hint="eastAsia"/>
                      <w:sz w:val="21"/>
                      <w:szCs w:val="21"/>
                    </w:rPr>
                    <w:t>0.02</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0.00</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0.02</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6" w:type="dxa"/>
                  <w:vAlign w:val="center"/>
                </w:tcPr>
                <w:p>
                  <w:pPr>
                    <w:wordWrap w:val="0"/>
                    <w:jc w:val="center"/>
                    <w:rPr>
                      <w:szCs w:val="21"/>
                    </w:rPr>
                  </w:pPr>
                  <w:r>
                    <w:rPr>
                      <w:rFonts w:hint="eastAsia"/>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7" w:type="dxa"/>
                  <w:vMerge w:val="continue"/>
                  <w:vAlign w:val="center"/>
                </w:tcPr>
                <w:p>
                  <w:pPr>
                    <w:pStyle w:val="5"/>
                    <w:wordWrap w:val="0"/>
                    <w:spacing w:line="240" w:lineRule="auto"/>
                    <w:ind w:firstLine="0" w:firstLineChars="0"/>
                    <w:jc w:val="center"/>
                    <w:rPr>
                      <w:sz w:val="21"/>
                      <w:szCs w:val="21"/>
                    </w:rPr>
                  </w:pPr>
                </w:p>
              </w:tc>
              <w:tc>
                <w:tcPr>
                  <w:tcW w:w="696" w:type="dxa"/>
                  <w:vAlign w:val="center"/>
                </w:tcPr>
                <w:p>
                  <w:pPr>
                    <w:pStyle w:val="5"/>
                    <w:wordWrap w:val="0"/>
                    <w:spacing w:line="240" w:lineRule="auto"/>
                    <w:ind w:firstLine="0" w:firstLineChars="0"/>
                    <w:jc w:val="center"/>
                    <w:rPr>
                      <w:sz w:val="21"/>
                      <w:szCs w:val="21"/>
                    </w:rPr>
                  </w:pPr>
                  <w:r>
                    <w:rPr>
                      <w:rFonts w:hint="eastAsia"/>
                      <w:sz w:val="21"/>
                      <w:szCs w:val="21"/>
                    </w:rPr>
                    <w:t>施工生产生活区</w:t>
                  </w:r>
                </w:p>
              </w:tc>
              <w:tc>
                <w:tcPr>
                  <w:tcW w:w="612" w:type="dxa"/>
                  <w:vAlign w:val="center"/>
                </w:tcPr>
                <w:p>
                  <w:pPr>
                    <w:pStyle w:val="5"/>
                    <w:wordWrap w:val="0"/>
                    <w:spacing w:line="240" w:lineRule="auto"/>
                    <w:ind w:firstLine="0" w:firstLineChars="0"/>
                    <w:jc w:val="center"/>
                    <w:rPr>
                      <w:sz w:val="21"/>
                      <w:szCs w:val="21"/>
                    </w:rPr>
                  </w:pPr>
                  <w:r>
                    <w:rPr>
                      <w:rFonts w:hint="eastAsia"/>
                      <w:sz w:val="21"/>
                      <w:szCs w:val="21"/>
                    </w:rPr>
                    <w:t>0.05</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0.00</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0.05</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6" w:type="dxa"/>
                  <w:vAlign w:val="center"/>
                </w:tcPr>
                <w:p>
                  <w:pPr>
                    <w:wordWrap w:val="0"/>
                    <w:jc w:val="center"/>
                    <w:rPr>
                      <w:szCs w:val="21"/>
                    </w:rPr>
                  </w:pPr>
                  <w:r>
                    <w:rPr>
                      <w:rFonts w:hint="eastAsia"/>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357" w:type="dxa"/>
                  <w:vAlign w:val="center"/>
                </w:tcPr>
                <w:p>
                  <w:pPr>
                    <w:pStyle w:val="5"/>
                    <w:wordWrap w:val="0"/>
                    <w:spacing w:line="240" w:lineRule="auto"/>
                    <w:ind w:firstLine="0" w:firstLineChars="0"/>
                    <w:jc w:val="center"/>
                    <w:rPr>
                      <w:sz w:val="21"/>
                      <w:szCs w:val="21"/>
                    </w:rPr>
                  </w:pPr>
                  <w:r>
                    <w:rPr>
                      <w:rFonts w:hint="eastAsia"/>
                      <w:sz w:val="21"/>
                      <w:szCs w:val="21"/>
                    </w:rPr>
                    <w:t>220kV输电线路</w:t>
                  </w:r>
                </w:p>
              </w:tc>
              <w:tc>
                <w:tcPr>
                  <w:tcW w:w="696" w:type="dxa"/>
                  <w:vAlign w:val="center"/>
                </w:tcPr>
                <w:p>
                  <w:pPr>
                    <w:pStyle w:val="5"/>
                    <w:wordWrap w:val="0"/>
                    <w:spacing w:line="240" w:lineRule="auto"/>
                    <w:ind w:firstLine="0" w:firstLineChars="0"/>
                    <w:jc w:val="center"/>
                    <w:rPr>
                      <w:sz w:val="21"/>
                      <w:szCs w:val="21"/>
                    </w:rPr>
                  </w:pPr>
                  <w:r>
                    <w:rPr>
                      <w:rFonts w:hint="eastAsia"/>
                      <w:sz w:val="21"/>
                      <w:szCs w:val="21"/>
                    </w:rPr>
                    <w:t>塔基及施工场地区</w:t>
                  </w:r>
                </w:p>
              </w:tc>
              <w:tc>
                <w:tcPr>
                  <w:tcW w:w="612" w:type="dxa"/>
                  <w:vAlign w:val="center"/>
                </w:tcPr>
                <w:p>
                  <w:pPr>
                    <w:pStyle w:val="5"/>
                    <w:wordWrap w:val="0"/>
                    <w:spacing w:line="240" w:lineRule="auto"/>
                    <w:ind w:firstLine="0" w:firstLineChars="0"/>
                    <w:jc w:val="center"/>
                    <w:rPr>
                      <w:sz w:val="21"/>
                      <w:szCs w:val="21"/>
                    </w:rPr>
                  </w:pPr>
                  <w:r>
                    <w:rPr>
                      <w:rFonts w:hint="eastAsia"/>
                      <w:sz w:val="21"/>
                      <w:szCs w:val="21"/>
                    </w:rPr>
                    <w:t>0.4</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0.02</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w:t>
                  </w:r>
                </w:p>
                <w:p>
                  <w:pPr>
                    <w:pStyle w:val="5"/>
                    <w:wordWrap w:val="0"/>
                    <w:spacing w:line="240" w:lineRule="auto"/>
                    <w:ind w:firstLine="0" w:firstLineChars="0"/>
                    <w:jc w:val="center"/>
                    <w:rPr>
                      <w:sz w:val="21"/>
                      <w:szCs w:val="21"/>
                    </w:rPr>
                  </w:pPr>
                  <w:r>
                    <w:rPr>
                      <w:rFonts w:hint="eastAsia"/>
                      <w:sz w:val="21"/>
                      <w:szCs w:val="21"/>
                    </w:rPr>
                    <w:t>25</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0.02</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0.15</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6" w:type="dxa"/>
                  <w:vAlign w:val="center"/>
                </w:tcPr>
                <w:p>
                  <w:pPr>
                    <w:wordWrap w:val="0"/>
                    <w:jc w:val="center"/>
                    <w:rPr>
                      <w:szCs w:val="21"/>
                    </w:rPr>
                  </w:pPr>
                  <w:r>
                    <w:rPr>
                      <w:rFonts w:hint="eastAsia"/>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53" w:type="dxa"/>
                  <w:gridSpan w:val="2"/>
                  <w:vAlign w:val="center"/>
                </w:tcPr>
                <w:p>
                  <w:pPr>
                    <w:pStyle w:val="5"/>
                    <w:wordWrap w:val="0"/>
                    <w:spacing w:line="240" w:lineRule="auto"/>
                    <w:ind w:firstLine="0" w:firstLineChars="0"/>
                    <w:jc w:val="center"/>
                    <w:rPr>
                      <w:sz w:val="21"/>
                      <w:szCs w:val="21"/>
                    </w:rPr>
                  </w:pPr>
                  <w:r>
                    <w:rPr>
                      <w:rFonts w:hint="eastAsia"/>
                      <w:sz w:val="21"/>
                      <w:szCs w:val="21"/>
                    </w:rPr>
                    <w:t>合计</w:t>
                  </w:r>
                </w:p>
              </w:tc>
              <w:tc>
                <w:tcPr>
                  <w:tcW w:w="612" w:type="dxa"/>
                  <w:vAlign w:val="center"/>
                </w:tcPr>
                <w:p>
                  <w:pPr>
                    <w:pStyle w:val="5"/>
                    <w:wordWrap w:val="0"/>
                    <w:spacing w:line="240" w:lineRule="auto"/>
                    <w:ind w:firstLine="0" w:firstLineChars="0"/>
                    <w:jc w:val="center"/>
                    <w:rPr>
                      <w:sz w:val="21"/>
                      <w:szCs w:val="21"/>
                    </w:rPr>
                  </w:pPr>
                  <w:r>
                    <w:rPr>
                      <w:rFonts w:hint="eastAsia"/>
                      <w:sz w:val="21"/>
                      <w:szCs w:val="21"/>
                    </w:rPr>
                    <w:t>1.29</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0.02</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2.21</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0.02</w:t>
                  </w:r>
                </w:p>
              </w:tc>
              <w:tc>
                <w:tcPr>
                  <w:tcW w:w="555" w:type="dxa"/>
                  <w:vAlign w:val="center"/>
                </w:tcPr>
                <w:p>
                  <w:pPr>
                    <w:pStyle w:val="5"/>
                    <w:wordWrap w:val="0"/>
                    <w:spacing w:line="240" w:lineRule="auto"/>
                    <w:ind w:firstLine="0" w:firstLineChars="0"/>
                    <w:jc w:val="center"/>
                    <w:rPr>
                      <w:sz w:val="21"/>
                      <w:szCs w:val="21"/>
                    </w:rPr>
                  </w:pPr>
                  <w:r>
                    <w:rPr>
                      <w:rFonts w:hint="eastAsia"/>
                      <w:sz w:val="21"/>
                      <w:szCs w:val="21"/>
                    </w:rPr>
                    <w:t>0.15</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5" w:type="dxa"/>
                  <w:vAlign w:val="center"/>
                </w:tcPr>
                <w:p>
                  <w:pPr>
                    <w:wordWrap w:val="0"/>
                    <w:jc w:val="center"/>
                    <w:rPr>
                      <w:szCs w:val="21"/>
                    </w:rPr>
                  </w:pPr>
                  <w:r>
                    <w:rPr>
                      <w:rFonts w:hint="eastAsia"/>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1.07</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托克逊县伊拉湖砂石料场</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0.00</w:t>
                  </w:r>
                </w:p>
              </w:tc>
              <w:tc>
                <w:tcPr>
                  <w:tcW w:w="556" w:type="dxa"/>
                  <w:vAlign w:val="center"/>
                </w:tcPr>
                <w:p>
                  <w:pPr>
                    <w:pStyle w:val="5"/>
                    <w:wordWrap w:val="0"/>
                    <w:spacing w:line="240" w:lineRule="auto"/>
                    <w:ind w:firstLine="0" w:firstLineChars="0"/>
                    <w:jc w:val="center"/>
                    <w:rPr>
                      <w:sz w:val="21"/>
                      <w:szCs w:val="21"/>
                    </w:rPr>
                  </w:pPr>
                  <w:r>
                    <w:rPr>
                      <w:rFonts w:hint="eastAsia"/>
                      <w:sz w:val="21"/>
                      <w:szCs w:val="21"/>
                    </w:rPr>
                    <w:t>/</w:t>
                  </w:r>
                </w:p>
              </w:tc>
            </w:tr>
          </w:tbl>
          <w:p>
            <w:pPr>
              <w:pStyle w:val="5"/>
              <w:spacing w:line="240" w:lineRule="auto"/>
              <w:ind w:firstLine="0" w:firstLineChars="0"/>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5"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color w:val="000000"/>
                <w:kern w:val="0"/>
                <w:sz w:val="24"/>
              </w:rPr>
            </w:pPr>
            <w:r>
              <w:rPr>
                <w:b/>
                <w:color w:val="000000"/>
                <w:kern w:val="0"/>
                <w:sz w:val="24"/>
              </w:rPr>
              <w:t>总平面及现场布置</w:t>
            </w:r>
          </w:p>
        </w:tc>
        <w:tc>
          <w:tcPr>
            <w:tcW w:w="8545" w:type="dxa"/>
            <w:tcBorders>
              <w:top w:val="single" w:color="auto" w:sz="4" w:space="0"/>
              <w:left w:val="single" w:color="auto" w:sz="4" w:space="0"/>
              <w:bottom w:val="single" w:color="auto" w:sz="4" w:space="0"/>
              <w:right w:val="single" w:color="auto" w:sz="8" w:space="0"/>
            </w:tcBorders>
            <w:vAlign w:val="center"/>
          </w:tcPr>
          <w:p>
            <w:pPr>
              <w:pStyle w:val="2"/>
              <w:numPr>
                <w:ilvl w:val="0"/>
                <w:numId w:val="6"/>
              </w:numPr>
              <w:spacing w:before="0" w:after="0" w:line="360" w:lineRule="auto"/>
              <w:rPr>
                <w:rFonts w:eastAsia="宋体"/>
                <w:sz w:val="24"/>
                <w:szCs w:val="24"/>
              </w:rPr>
            </w:pPr>
            <w:bookmarkStart w:id="19" w:name="_Toc1241"/>
            <w:bookmarkStart w:id="20" w:name="_Toc111564284"/>
            <w:bookmarkStart w:id="21" w:name="_Toc110439063"/>
            <w:bookmarkStart w:id="22" w:name="_Toc3964"/>
            <w:r>
              <w:rPr>
                <w:rFonts w:hint="eastAsia" w:eastAsia="宋体"/>
                <w:sz w:val="24"/>
                <w:szCs w:val="24"/>
              </w:rPr>
              <w:t>伊拉湖220千伏变电站</w:t>
            </w:r>
            <w:r>
              <w:rPr>
                <w:rFonts w:eastAsia="宋体"/>
                <w:sz w:val="24"/>
                <w:szCs w:val="24"/>
              </w:rPr>
              <w:t>总平面布置</w:t>
            </w:r>
            <w:bookmarkEnd w:id="19"/>
            <w:bookmarkEnd w:id="20"/>
            <w:bookmarkEnd w:id="21"/>
            <w:bookmarkEnd w:id="22"/>
          </w:p>
          <w:p>
            <w:pPr>
              <w:autoSpaceDE w:val="0"/>
              <w:autoSpaceDN w:val="0"/>
              <w:adjustRightInd w:val="0"/>
              <w:snapToGrid w:val="0"/>
              <w:spacing w:line="360" w:lineRule="auto"/>
              <w:ind w:firstLine="480" w:firstLineChars="200"/>
              <w:rPr>
                <w:color w:val="000000"/>
                <w:sz w:val="24"/>
              </w:rPr>
            </w:pPr>
            <w:r>
              <w:rPr>
                <w:rFonts w:hint="eastAsia"/>
                <w:color w:val="000000"/>
                <w:sz w:val="24"/>
              </w:rPr>
              <w:t>伊拉湖220千伏变电站总平面布置以站内南北向主道路为主轴线，其北侧布置110kV配电装置楼，南侧布置220kV配电装置楼，主变压器布置在站区中部。大门设置在变电站西侧，靠近变电站大门一侧设置运维班驻地用房、消防控制室、消防水池等辅助用房。事故油池位于1#主变西侧，化粪池布置在站区西北角。</w:t>
            </w:r>
          </w:p>
          <w:p>
            <w:pPr>
              <w:pStyle w:val="46"/>
              <w:spacing w:line="360" w:lineRule="auto"/>
              <w:ind w:firstLine="480" w:firstLineChars="200"/>
              <w:jc w:val="both"/>
            </w:pPr>
            <w:r>
              <w:rPr>
                <w:rFonts w:hint="eastAsia"/>
              </w:rPr>
              <w:t>伊拉湖2</w:t>
            </w:r>
            <w:r>
              <w:t>20</w:t>
            </w:r>
            <w:r>
              <w:rPr>
                <w:rFonts w:hint="eastAsia"/>
              </w:rPr>
              <w:t>千伏</w:t>
            </w:r>
            <w:r>
              <w:t>变电站总平面布置示意图见</w:t>
            </w:r>
            <w:r>
              <w:rPr>
                <w:rFonts w:hint="default"/>
                <w:b w:val="0"/>
                <w:bCs w:val="0"/>
                <w:sz w:val="24"/>
                <w:szCs w:val="24"/>
                <w:lang w:val="en-US"/>
              </w:rPr>
              <w:fldChar w:fldCharType="begin"/>
            </w:r>
            <w:r>
              <w:rPr>
                <w:b w:val="0"/>
                <w:bCs w:val="0"/>
                <w:sz w:val="24"/>
                <w:szCs w:val="24"/>
              </w:rPr>
              <w:instrText xml:space="preserve"> REF _Ref157181437 \h  \* MERGEFORMAT</w:instrText>
            </w:r>
            <w:r>
              <w:rPr>
                <w:rFonts w:hint="default"/>
                <w:b w:val="0"/>
                <w:bCs w:val="0"/>
                <w:sz w:val="24"/>
                <w:szCs w:val="24"/>
                <w:lang w:val="en-US"/>
              </w:rPr>
              <w:fldChar w:fldCharType="separate"/>
            </w:r>
            <w:r>
              <w:rPr>
                <w:b w:val="0"/>
                <w:bCs w:val="0"/>
                <w:sz w:val="24"/>
                <w:szCs w:val="24"/>
              </w:rPr>
              <w:t>图1</w:t>
            </w:r>
            <w:r>
              <w:rPr>
                <w:rFonts w:hint="default"/>
                <w:b w:val="0"/>
                <w:bCs w:val="0"/>
                <w:sz w:val="24"/>
                <w:szCs w:val="24"/>
                <w:lang w:val="en-US"/>
              </w:rPr>
              <w:fldChar w:fldCharType="end"/>
            </w:r>
            <w:r>
              <w:t>。</w:t>
            </w:r>
          </w:p>
          <w:p>
            <w:pPr>
              <w:pStyle w:val="46"/>
              <w:jc w:val="center"/>
            </w:pPr>
            <w:r>
              <w:rPr>
                <w:rFonts w:hint="eastAsia"/>
              </w:rPr>
              <w:drawing>
                <wp:inline distT="0" distB="0" distL="114300" distR="114300">
                  <wp:extent cx="5353050" cy="2553335"/>
                  <wp:effectExtent l="0" t="0" r="0" b="18415"/>
                  <wp:docPr id="22" name="图片 22" descr="伊拉湖220千伏变电站平面布置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伊拉湖220千伏变电站平面布置图"/>
                          <pic:cNvPicPr>
                            <a:picLocks noChangeAspect="1"/>
                          </pic:cNvPicPr>
                        </pic:nvPicPr>
                        <pic:blipFill>
                          <a:blip r:embed="rId17"/>
                          <a:stretch>
                            <a:fillRect/>
                          </a:stretch>
                        </pic:blipFill>
                        <pic:spPr>
                          <a:xfrm>
                            <a:off x="0" y="0"/>
                            <a:ext cx="5353050" cy="2553335"/>
                          </a:xfrm>
                          <a:prstGeom prst="rect">
                            <a:avLst/>
                          </a:prstGeom>
                        </pic:spPr>
                      </pic:pic>
                    </a:graphicData>
                  </a:graphic>
                </wp:inline>
              </w:drawing>
            </w:r>
          </w:p>
          <w:p>
            <w:pPr>
              <w:pStyle w:val="46"/>
              <w:jc w:val="center"/>
            </w:pPr>
            <w:bookmarkStart w:id="23" w:name="_Ref157181437"/>
            <w:r>
              <w:rPr>
                <w:b/>
                <w:sz w:val="21"/>
                <w:szCs w:val="21"/>
              </w:rPr>
              <w:t>图</w:t>
            </w:r>
            <w:r>
              <w:rPr>
                <w:b/>
                <w:sz w:val="21"/>
                <w:szCs w:val="21"/>
              </w:rPr>
              <w:fldChar w:fldCharType="begin"/>
            </w:r>
            <w:r>
              <w:rPr>
                <w:b/>
                <w:sz w:val="21"/>
                <w:szCs w:val="21"/>
              </w:rPr>
              <w:instrText xml:space="preserve"> SEQ 图 \* ARABIC </w:instrText>
            </w:r>
            <w:r>
              <w:rPr>
                <w:b/>
                <w:sz w:val="21"/>
                <w:szCs w:val="21"/>
              </w:rPr>
              <w:fldChar w:fldCharType="separate"/>
            </w:r>
            <w:r>
              <w:rPr>
                <w:b/>
                <w:sz w:val="21"/>
                <w:szCs w:val="21"/>
              </w:rPr>
              <w:t>1</w:t>
            </w:r>
            <w:r>
              <w:rPr>
                <w:b/>
                <w:sz w:val="21"/>
                <w:szCs w:val="21"/>
              </w:rPr>
              <w:fldChar w:fldCharType="end"/>
            </w:r>
            <w:bookmarkEnd w:id="23"/>
            <w:r>
              <w:rPr>
                <w:rFonts w:hint="eastAsia"/>
                <w:b/>
                <w:sz w:val="21"/>
                <w:szCs w:val="21"/>
              </w:rPr>
              <w:t>伊拉湖</w:t>
            </w:r>
            <w:r>
              <w:rPr>
                <w:b/>
                <w:sz w:val="21"/>
                <w:szCs w:val="21"/>
              </w:rPr>
              <w:t>220</w:t>
            </w:r>
            <w:r>
              <w:rPr>
                <w:rFonts w:hint="eastAsia"/>
                <w:b/>
                <w:sz w:val="21"/>
                <w:szCs w:val="21"/>
              </w:rPr>
              <w:t>千伏</w:t>
            </w:r>
            <w:r>
              <w:rPr>
                <w:b/>
                <w:sz w:val="21"/>
                <w:szCs w:val="21"/>
              </w:rPr>
              <w:t>变电站总平面布置示意图</w:t>
            </w:r>
          </w:p>
          <w:p>
            <w:pPr>
              <w:pStyle w:val="2"/>
              <w:numPr>
                <w:ilvl w:val="0"/>
                <w:numId w:val="6"/>
              </w:numPr>
              <w:spacing w:beforeLines="50" w:after="0" w:line="360" w:lineRule="auto"/>
              <w:rPr>
                <w:rFonts w:eastAsia="宋体"/>
                <w:sz w:val="24"/>
                <w:szCs w:val="24"/>
              </w:rPr>
            </w:pPr>
            <w:bookmarkStart w:id="24" w:name="_Toc110439065"/>
            <w:bookmarkEnd w:id="24"/>
            <w:bookmarkStart w:id="25" w:name="_Toc91532141"/>
            <w:bookmarkStart w:id="26" w:name="_Toc110439066"/>
            <w:bookmarkStart w:id="27" w:name="_Toc109472546"/>
            <w:bookmarkStart w:id="28" w:name="_Toc91493234"/>
            <w:bookmarkStart w:id="29" w:name="_Toc97290417"/>
            <w:bookmarkStart w:id="30" w:name="_Toc81308123"/>
            <w:bookmarkStart w:id="31" w:name="_Toc95464636"/>
            <w:bookmarkStart w:id="32" w:name="_Toc96031261"/>
            <w:bookmarkStart w:id="33" w:name="_Toc109473537"/>
            <w:bookmarkStart w:id="34" w:name="_Toc88558493"/>
            <w:bookmarkStart w:id="35" w:name="_Toc111564286"/>
            <w:bookmarkStart w:id="36" w:name="_Toc96031344"/>
            <w:bookmarkStart w:id="37" w:name="_Toc1456"/>
            <w:bookmarkStart w:id="38" w:name="_Toc109473402"/>
            <w:bookmarkStart w:id="39" w:name="_Toc85037187"/>
            <w:bookmarkStart w:id="40" w:name="_Toc85036853"/>
            <w:bookmarkStart w:id="41" w:name="_Toc96935381"/>
            <w:bookmarkStart w:id="42" w:name="_Toc81415595"/>
            <w:bookmarkStart w:id="43" w:name="_Toc109473850"/>
            <w:bookmarkStart w:id="44" w:name="_Toc109473771"/>
            <w:bookmarkStart w:id="45" w:name="_Toc3769"/>
            <w:bookmarkStart w:id="46" w:name="_Toc97290551"/>
            <w:r>
              <w:rPr>
                <w:rFonts w:hint="eastAsia" w:eastAsia="宋体"/>
                <w:sz w:val="24"/>
                <w:szCs w:val="24"/>
              </w:rPr>
              <w:t>输电</w:t>
            </w:r>
            <w:r>
              <w:rPr>
                <w:rFonts w:eastAsia="宋体"/>
                <w:sz w:val="24"/>
                <w:szCs w:val="24"/>
              </w:rPr>
              <w:t>线路路径走向</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pPr>
              <w:autoSpaceDE w:val="0"/>
              <w:autoSpaceDN w:val="0"/>
              <w:adjustRightInd w:val="0"/>
              <w:snapToGrid w:val="0"/>
              <w:spacing w:line="360" w:lineRule="auto"/>
              <w:ind w:firstLine="480" w:firstLineChars="200"/>
              <w:rPr>
                <w:color w:val="000000"/>
                <w:sz w:val="24"/>
              </w:rPr>
            </w:pPr>
            <w:bookmarkStart w:id="47" w:name="_Toc109472547"/>
            <w:r>
              <w:rPr>
                <w:rFonts w:hint="eastAsia"/>
                <w:color w:val="000000"/>
                <w:sz w:val="24"/>
              </w:rPr>
              <w:t>（1）吐鲁番电厂-阿拉沟变Ⅰ、Ⅱ回π入伊拉湖变220千伏线路工程</w:t>
            </w:r>
          </w:p>
          <w:p>
            <w:pPr>
              <w:autoSpaceDE w:val="0"/>
              <w:autoSpaceDN w:val="0"/>
              <w:adjustRightInd w:val="0"/>
              <w:snapToGrid w:val="0"/>
              <w:spacing w:line="360" w:lineRule="auto"/>
              <w:ind w:firstLine="480" w:firstLineChars="200"/>
              <w:rPr>
                <w:color w:val="000000"/>
                <w:sz w:val="24"/>
              </w:rPr>
            </w:pPr>
            <w:r>
              <w:rPr>
                <w:rFonts w:hint="eastAsia"/>
                <w:color w:val="000000"/>
                <w:sz w:val="24"/>
              </w:rPr>
              <w:t>吐鲁番电厂-阿拉沟变Ⅰ、Ⅱ回π入伊拉湖变电站220千伏线路工程，新建线路起于伊拉湖220kV变电站220kV构架，向南跨越规划托克逊变35kV站用电源线路后分别接至220kV鲁拉一线94#-96#π接处、220kV鲁拉二线85#-87#π接处，线路分为四条单回路架设，其中一回采用电缆出线。路径全长约4.67km。</w:t>
            </w:r>
          </w:p>
          <w:p>
            <w:pPr>
              <w:autoSpaceDE w:val="0"/>
              <w:autoSpaceDN w:val="0"/>
              <w:adjustRightInd w:val="0"/>
              <w:snapToGrid w:val="0"/>
              <w:spacing w:line="360" w:lineRule="auto"/>
              <w:ind w:firstLine="480" w:firstLineChars="200"/>
              <w:rPr>
                <w:color w:val="000000"/>
                <w:sz w:val="24"/>
              </w:rPr>
            </w:pPr>
            <w:r>
              <w:rPr>
                <w:rFonts w:hint="eastAsia"/>
                <w:color w:val="000000"/>
                <w:sz w:val="24"/>
              </w:rPr>
              <w:t>②吐鲁番电厂-阿拉沟变Ⅰ、Ⅱ回改接入托克逊变220千伏线路工程</w:t>
            </w:r>
          </w:p>
          <w:p>
            <w:pPr>
              <w:autoSpaceDE w:val="0"/>
              <w:autoSpaceDN w:val="0"/>
              <w:adjustRightInd w:val="0"/>
              <w:snapToGrid w:val="0"/>
              <w:spacing w:line="360" w:lineRule="auto"/>
              <w:ind w:firstLine="480" w:firstLineChars="200"/>
              <w:rPr>
                <w:color w:val="000000"/>
                <w:sz w:val="24"/>
              </w:rPr>
            </w:pPr>
            <w:r>
              <w:rPr>
                <w:rFonts w:hint="eastAsia"/>
                <w:color w:val="000000"/>
                <w:sz w:val="24"/>
              </w:rPr>
              <w:t>220kV鲁拉二线10#（大号侧）至</w:t>
            </w:r>
            <w:r>
              <w:rPr>
                <w:sz w:val="24"/>
              </w:rPr>
              <w:t>220kV</w:t>
            </w:r>
            <w:r>
              <w:rPr>
                <w:rFonts w:hint="eastAsia" w:ascii="宋体" w:hAnsi="宋体"/>
                <w:sz w:val="24"/>
              </w:rPr>
              <w:t>托克逊变</w:t>
            </w:r>
            <w:r>
              <w:rPr>
                <w:rFonts w:hint="eastAsia"/>
                <w:color w:val="000000"/>
                <w:sz w:val="24"/>
              </w:rPr>
              <w:t>新建部分：新建线路起于220kV鲁拉二线10#（大号侧），新建线路向北走线避让基本农田、跨越白杨河后向东跨越G3012吐和高速，线路向北避让民房、跨越35kV托博线、110kV托区线后平行于原220kV鲁托一线至托克逊变外，跨越35kV托博线后向东经终端塔接入托克逊变。线路路径长约8.3km。</w:t>
            </w:r>
          </w:p>
          <w:p>
            <w:pPr>
              <w:autoSpaceDE w:val="0"/>
              <w:autoSpaceDN w:val="0"/>
              <w:adjustRightInd w:val="0"/>
              <w:snapToGrid w:val="0"/>
              <w:spacing w:line="360" w:lineRule="auto"/>
              <w:ind w:firstLine="480" w:firstLineChars="200"/>
              <w:rPr>
                <w:color w:val="000000"/>
                <w:sz w:val="24"/>
              </w:rPr>
            </w:pPr>
            <w:r>
              <w:rPr>
                <w:rFonts w:hint="eastAsia"/>
                <w:color w:val="000000"/>
                <w:sz w:val="24"/>
              </w:rPr>
              <w:t>鲁拉一线与鲁拉二线短接部分：新建由220kV鲁拉一线10#（大号侧）至鲁拉二线9#(小号侧）的单回220kV线路，路径全长约0.3km；</w:t>
            </w:r>
          </w:p>
          <w:p>
            <w:pPr>
              <w:autoSpaceDE w:val="0"/>
              <w:autoSpaceDN w:val="0"/>
              <w:adjustRightInd w:val="0"/>
              <w:snapToGrid w:val="0"/>
              <w:spacing w:line="360" w:lineRule="auto"/>
              <w:ind w:firstLine="480" w:firstLineChars="200"/>
            </w:pPr>
            <w:r>
              <w:rPr>
                <w:rFonts w:hint="eastAsia"/>
                <w:color w:val="000000"/>
                <w:sz w:val="24"/>
              </w:rPr>
              <w:t>鲁拉二线与鲁托二线短接部分：新建由220kV鲁拉二线4#（大号侧）至220kV鲁托二线4#(大号侧）的单回220kV线路，路径全长约0.4km。</w:t>
            </w:r>
            <w:bookmarkEnd w:id="47"/>
          </w:p>
          <w:p>
            <w:pPr>
              <w:pStyle w:val="2"/>
              <w:numPr>
                <w:ilvl w:val="0"/>
                <w:numId w:val="6"/>
              </w:numPr>
              <w:spacing w:before="0" w:after="0" w:line="360" w:lineRule="auto"/>
              <w:rPr>
                <w:rFonts w:eastAsia="宋体"/>
                <w:sz w:val="24"/>
                <w:szCs w:val="24"/>
              </w:rPr>
            </w:pPr>
            <w:bookmarkStart w:id="48" w:name="_Toc109473538"/>
            <w:bookmarkStart w:id="49" w:name="_Toc6943"/>
            <w:bookmarkStart w:id="50" w:name="_Toc109473403"/>
            <w:bookmarkStart w:id="51" w:name="_Toc109473851"/>
            <w:bookmarkStart w:id="52" w:name="_Toc12977"/>
            <w:bookmarkStart w:id="53" w:name="_Toc110439067"/>
            <w:bookmarkStart w:id="54" w:name="_Toc109473772"/>
            <w:bookmarkStart w:id="55" w:name="_Toc111564287"/>
            <w:bookmarkStart w:id="56" w:name="_Toc109472550"/>
            <w:r>
              <w:rPr>
                <w:rFonts w:hint="eastAsia" w:eastAsia="宋体"/>
                <w:sz w:val="24"/>
                <w:szCs w:val="24"/>
              </w:rPr>
              <w:t>现场布置</w:t>
            </w:r>
            <w:bookmarkEnd w:id="48"/>
            <w:bookmarkEnd w:id="49"/>
            <w:bookmarkEnd w:id="50"/>
            <w:bookmarkEnd w:id="51"/>
            <w:bookmarkEnd w:id="52"/>
            <w:bookmarkEnd w:id="53"/>
            <w:bookmarkEnd w:id="54"/>
            <w:bookmarkEnd w:id="55"/>
            <w:bookmarkEnd w:id="56"/>
          </w:p>
          <w:p>
            <w:pPr>
              <w:autoSpaceDE w:val="0"/>
              <w:autoSpaceDN w:val="0"/>
              <w:adjustRightInd w:val="0"/>
              <w:snapToGrid w:val="0"/>
              <w:spacing w:line="360" w:lineRule="auto"/>
              <w:ind w:firstLine="480" w:firstLineChars="200"/>
              <w:rPr>
                <w:color w:val="000000"/>
                <w:sz w:val="24"/>
              </w:rPr>
            </w:pPr>
            <w:bookmarkStart w:id="57" w:name="_Toc109472551"/>
            <w:r>
              <w:rPr>
                <w:rFonts w:hint="eastAsia"/>
                <w:color w:val="000000"/>
                <w:sz w:val="24"/>
              </w:rPr>
              <w:t>（1）</w:t>
            </w:r>
            <w:r>
              <w:rPr>
                <w:color w:val="000000"/>
                <w:sz w:val="24"/>
              </w:rPr>
              <w:t>变电站新建工程：</w:t>
            </w:r>
            <w:bookmarkEnd w:id="57"/>
          </w:p>
          <w:p>
            <w:pPr>
              <w:autoSpaceDE w:val="0"/>
              <w:autoSpaceDN w:val="0"/>
              <w:adjustRightInd w:val="0"/>
              <w:snapToGrid w:val="0"/>
              <w:spacing w:line="360" w:lineRule="auto"/>
              <w:ind w:firstLine="480" w:firstLineChars="200"/>
              <w:rPr>
                <w:color w:val="000000"/>
                <w:sz w:val="24"/>
              </w:rPr>
            </w:pPr>
            <w:bookmarkStart w:id="58" w:name="_Toc109472552"/>
            <w:r>
              <w:rPr>
                <w:color w:val="000000"/>
                <w:sz w:val="24"/>
              </w:rPr>
              <w:t>1）</w:t>
            </w:r>
            <w:bookmarkEnd w:id="58"/>
            <w:r>
              <w:rPr>
                <w:rFonts w:hint="eastAsia"/>
                <w:color w:val="000000"/>
                <w:sz w:val="24"/>
              </w:rPr>
              <w:t>施工生产生活区</w:t>
            </w:r>
          </w:p>
          <w:p>
            <w:pPr>
              <w:autoSpaceDE w:val="0"/>
              <w:autoSpaceDN w:val="0"/>
              <w:adjustRightInd w:val="0"/>
              <w:snapToGrid w:val="0"/>
              <w:spacing w:line="360" w:lineRule="auto"/>
              <w:ind w:firstLine="480" w:firstLineChars="200"/>
              <w:rPr>
                <w:color w:val="000000"/>
                <w:sz w:val="24"/>
              </w:rPr>
            </w:pPr>
            <w:bookmarkStart w:id="59" w:name="_Toc109472554"/>
            <w:r>
              <w:rPr>
                <w:rFonts w:hint="eastAsia"/>
                <w:color w:val="000000"/>
                <w:sz w:val="24"/>
              </w:rPr>
              <w:t>为满足施工材料堆放及施工人员办公、居住，本工程在新建变电站进站道路一侧设置施工生产生活区1处，占地面积为0.50hm</w:t>
            </w:r>
            <w:r>
              <w:rPr>
                <w:rFonts w:hint="eastAsia"/>
                <w:color w:val="000000"/>
                <w:sz w:val="24"/>
                <w:vertAlign w:val="superscript"/>
              </w:rPr>
              <w:t>2</w:t>
            </w:r>
            <w:r>
              <w:rPr>
                <w:rFonts w:hint="eastAsia"/>
                <w:color w:val="000000"/>
                <w:sz w:val="24"/>
              </w:rPr>
              <w:t>。</w:t>
            </w:r>
          </w:p>
          <w:bookmarkEnd w:id="59"/>
          <w:p>
            <w:pPr>
              <w:autoSpaceDE w:val="0"/>
              <w:autoSpaceDN w:val="0"/>
              <w:adjustRightInd w:val="0"/>
              <w:snapToGrid w:val="0"/>
              <w:spacing w:line="360" w:lineRule="auto"/>
              <w:ind w:firstLine="480" w:firstLineChars="200"/>
              <w:rPr>
                <w:color w:val="000000"/>
                <w:sz w:val="24"/>
              </w:rPr>
            </w:pPr>
            <w:bookmarkStart w:id="60" w:name="_Toc109472561"/>
            <w:r>
              <w:rPr>
                <w:color w:val="000000"/>
                <w:sz w:val="24"/>
              </w:rPr>
              <w:t>2）</w:t>
            </w:r>
            <w:bookmarkEnd w:id="60"/>
            <w:r>
              <w:rPr>
                <w:rFonts w:hint="eastAsia"/>
                <w:color w:val="000000"/>
                <w:sz w:val="24"/>
              </w:rPr>
              <w:t>进站道路</w:t>
            </w:r>
          </w:p>
          <w:p>
            <w:pPr>
              <w:autoSpaceDE w:val="0"/>
              <w:autoSpaceDN w:val="0"/>
              <w:adjustRightInd w:val="0"/>
              <w:snapToGrid w:val="0"/>
              <w:spacing w:line="360" w:lineRule="auto"/>
              <w:ind w:firstLine="480" w:firstLineChars="200"/>
              <w:rPr>
                <w:color w:val="000000"/>
                <w:sz w:val="24"/>
                <w:highlight w:val="yellow"/>
              </w:rPr>
            </w:pPr>
            <w:bookmarkStart w:id="61" w:name="_Toc109472566"/>
            <w:r>
              <w:rPr>
                <w:rFonts w:hint="eastAsia"/>
                <w:color w:val="000000"/>
                <w:sz w:val="24"/>
              </w:rPr>
              <w:t>变电站进站道路从站址北侧土路引接，引接长度280m，道路宽度4.5m。</w:t>
            </w:r>
          </w:p>
          <w:p>
            <w:pPr>
              <w:autoSpaceDE w:val="0"/>
              <w:autoSpaceDN w:val="0"/>
              <w:adjustRightInd w:val="0"/>
              <w:snapToGrid w:val="0"/>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）输电线路工程：</w:t>
            </w:r>
            <w:bookmarkEnd w:id="61"/>
          </w:p>
          <w:p>
            <w:pPr>
              <w:autoSpaceDE w:val="0"/>
              <w:autoSpaceDN w:val="0"/>
              <w:adjustRightInd w:val="0"/>
              <w:snapToGrid w:val="0"/>
              <w:spacing w:line="360" w:lineRule="auto"/>
              <w:ind w:firstLine="480" w:firstLineChars="200"/>
              <w:rPr>
                <w:color w:val="000000"/>
                <w:sz w:val="24"/>
              </w:rPr>
            </w:pPr>
            <w:bookmarkStart w:id="62" w:name="_Toc109472567"/>
            <w:r>
              <w:rPr>
                <w:rFonts w:hint="eastAsia"/>
                <w:color w:val="000000"/>
                <w:sz w:val="24"/>
              </w:rPr>
              <w:t>1）塔基施工场地区</w:t>
            </w:r>
          </w:p>
          <w:p>
            <w:pPr>
              <w:autoSpaceDE w:val="0"/>
              <w:autoSpaceDN w:val="0"/>
              <w:adjustRightInd w:val="0"/>
              <w:snapToGrid w:val="0"/>
              <w:spacing w:line="360" w:lineRule="auto"/>
              <w:ind w:firstLine="480" w:firstLineChars="200"/>
              <w:rPr>
                <w:color w:val="000000"/>
                <w:sz w:val="24"/>
                <w:highlight w:val="yellow"/>
              </w:rPr>
            </w:pPr>
            <w:r>
              <w:rPr>
                <w:rFonts w:hint="eastAsia"/>
                <w:color w:val="000000"/>
                <w:sz w:val="24"/>
              </w:rPr>
              <w:t>本工程共设置49处塔基施工场地，塔基施工场地占地面积共计3.70hm</w:t>
            </w:r>
            <w:r>
              <w:rPr>
                <w:rFonts w:hint="eastAsia"/>
                <w:color w:val="000000"/>
                <w:sz w:val="24"/>
                <w:vertAlign w:val="superscript"/>
              </w:rPr>
              <w:t>2</w:t>
            </w:r>
            <w:r>
              <w:rPr>
                <w:rFonts w:hint="eastAsia"/>
                <w:color w:val="000000"/>
                <w:sz w:val="24"/>
              </w:rPr>
              <w:t>。</w:t>
            </w:r>
          </w:p>
          <w:p>
            <w:pPr>
              <w:autoSpaceDE w:val="0"/>
              <w:autoSpaceDN w:val="0"/>
              <w:adjustRightInd w:val="0"/>
              <w:snapToGrid w:val="0"/>
              <w:spacing w:line="360" w:lineRule="auto"/>
              <w:ind w:firstLine="480" w:firstLineChars="200"/>
              <w:rPr>
                <w:color w:val="000000"/>
                <w:sz w:val="24"/>
              </w:rPr>
            </w:pPr>
            <w:r>
              <w:rPr>
                <w:rFonts w:hint="eastAsia"/>
                <w:color w:val="000000"/>
                <w:sz w:val="24"/>
              </w:rPr>
              <w:t>2）</w:t>
            </w:r>
            <w:bookmarkEnd w:id="62"/>
            <w:r>
              <w:rPr>
                <w:rFonts w:hint="eastAsia"/>
                <w:color w:val="000000"/>
                <w:sz w:val="24"/>
              </w:rPr>
              <w:t>牵张场地区</w:t>
            </w:r>
          </w:p>
          <w:p>
            <w:pPr>
              <w:autoSpaceDE w:val="0"/>
              <w:autoSpaceDN w:val="0"/>
              <w:adjustRightInd w:val="0"/>
              <w:snapToGrid w:val="0"/>
              <w:spacing w:line="360" w:lineRule="auto"/>
              <w:ind w:firstLine="480" w:firstLineChars="200"/>
              <w:rPr>
                <w:color w:val="000000"/>
                <w:sz w:val="24"/>
                <w:highlight w:val="yellow"/>
              </w:rPr>
            </w:pPr>
            <w:r>
              <w:rPr>
                <w:rFonts w:hint="eastAsia"/>
                <w:color w:val="000000"/>
                <w:sz w:val="24"/>
              </w:rPr>
              <w:t>本工程共设置7处牵张场地，牵张场地占地共计0.84hm</w:t>
            </w:r>
            <w:r>
              <w:rPr>
                <w:rFonts w:hint="eastAsia"/>
                <w:color w:val="000000"/>
                <w:sz w:val="24"/>
                <w:vertAlign w:val="superscript"/>
              </w:rPr>
              <w:t>2</w:t>
            </w:r>
            <w:r>
              <w:rPr>
                <w:rFonts w:hint="eastAsia"/>
                <w:color w:val="000000"/>
                <w:sz w:val="24"/>
              </w:rPr>
              <w:t>。</w:t>
            </w:r>
          </w:p>
          <w:p>
            <w:pPr>
              <w:autoSpaceDE w:val="0"/>
              <w:autoSpaceDN w:val="0"/>
              <w:adjustRightInd w:val="0"/>
              <w:snapToGrid w:val="0"/>
              <w:spacing w:line="360" w:lineRule="auto"/>
              <w:ind w:firstLine="480" w:firstLineChars="200"/>
              <w:rPr>
                <w:color w:val="000000"/>
                <w:sz w:val="24"/>
              </w:rPr>
            </w:pPr>
            <w:bookmarkStart w:id="63" w:name="_Toc109472569"/>
            <w:r>
              <w:rPr>
                <w:rFonts w:hint="eastAsia"/>
                <w:color w:val="000000"/>
                <w:sz w:val="24"/>
              </w:rPr>
              <w:t>3）</w:t>
            </w:r>
            <w:bookmarkEnd w:id="63"/>
            <w:bookmarkStart w:id="64" w:name="_Toc109472571"/>
            <w:r>
              <w:rPr>
                <w:rFonts w:hint="eastAsia"/>
                <w:color w:val="000000"/>
                <w:sz w:val="24"/>
              </w:rPr>
              <w:t>跨越施工场地</w:t>
            </w:r>
          </w:p>
          <w:p>
            <w:pPr>
              <w:autoSpaceDE w:val="0"/>
              <w:autoSpaceDN w:val="0"/>
              <w:adjustRightInd w:val="0"/>
              <w:snapToGrid w:val="0"/>
              <w:spacing w:line="360" w:lineRule="auto"/>
              <w:ind w:firstLine="480" w:firstLineChars="200"/>
              <w:rPr>
                <w:color w:val="000000"/>
                <w:sz w:val="24"/>
              </w:rPr>
            </w:pPr>
            <w:r>
              <w:rPr>
                <w:rFonts w:hint="eastAsia"/>
                <w:color w:val="000000"/>
                <w:sz w:val="24"/>
              </w:rPr>
              <w:t>本工程共设置16处跨越施工场地，占地面积0.64hm</w:t>
            </w:r>
            <w:r>
              <w:rPr>
                <w:rFonts w:hint="eastAsia"/>
                <w:color w:val="000000"/>
                <w:sz w:val="24"/>
                <w:vertAlign w:val="superscript"/>
              </w:rPr>
              <w:t>2</w:t>
            </w:r>
            <w:r>
              <w:rPr>
                <w:rFonts w:hint="eastAsia"/>
                <w:color w:val="000000"/>
                <w:sz w:val="24"/>
              </w:rPr>
              <w:t>。</w:t>
            </w:r>
          </w:p>
          <w:p>
            <w:pPr>
              <w:autoSpaceDE w:val="0"/>
              <w:autoSpaceDN w:val="0"/>
              <w:adjustRightInd w:val="0"/>
              <w:snapToGrid w:val="0"/>
              <w:spacing w:line="360" w:lineRule="auto"/>
              <w:ind w:firstLine="480" w:firstLineChars="200"/>
              <w:rPr>
                <w:color w:val="000000"/>
                <w:sz w:val="24"/>
              </w:rPr>
            </w:pPr>
            <w:r>
              <w:rPr>
                <w:rFonts w:hint="eastAsia"/>
                <w:color w:val="000000"/>
                <w:sz w:val="24"/>
              </w:rPr>
              <w:t>4）施工道路区</w:t>
            </w:r>
          </w:p>
          <w:p>
            <w:pPr>
              <w:autoSpaceDE w:val="0"/>
              <w:autoSpaceDN w:val="0"/>
              <w:adjustRightInd w:val="0"/>
              <w:snapToGrid w:val="0"/>
              <w:spacing w:line="360" w:lineRule="auto"/>
              <w:ind w:firstLine="480" w:firstLineChars="200"/>
              <w:rPr>
                <w:color w:val="000000"/>
                <w:sz w:val="24"/>
              </w:rPr>
            </w:pPr>
            <w:r>
              <w:rPr>
                <w:rFonts w:hint="eastAsia"/>
                <w:color w:val="000000"/>
                <w:sz w:val="24"/>
              </w:rPr>
              <w:t>本工程全线修建临时施工道路长度约4.0km，宽3.5m，临时占地共计1.40hm</w:t>
            </w:r>
            <w:r>
              <w:rPr>
                <w:rFonts w:hint="eastAsia"/>
                <w:color w:val="000000"/>
                <w:sz w:val="24"/>
                <w:vertAlign w:val="superscript"/>
              </w:rPr>
              <w:t>2</w:t>
            </w:r>
            <w:r>
              <w:rPr>
                <w:rFonts w:hint="eastAsia"/>
                <w:color w:val="000000"/>
                <w:sz w:val="24"/>
              </w:rPr>
              <w:t>。</w:t>
            </w:r>
          </w:p>
          <w:p>
            <w:pPr>
              <w:autoSpaceDE w:val="0"/>
              <w:autoSpaceDN w:val="0"/>
              <w:adjustRightInd w:val="0"/>
              <w:snapToGrid w:val="0"/>
              <w:spacing w:line="360" w:lineRule="auto"/>
              <w:ind w:firstLine="480" w:firstLineChars="200"/>
              <w:rPr>
                <w:color w:val="000000"/>
                <w:sz w:val="24"/>
              </w:rPr>
            </w:pPr>
            <w:r>
              <w:rPr>
                <w:rFonts w:hint="eastAsia"/>
                <w:color w:val="000000"/>
                <w:sz w:val="24"/>
              </w:rPr>
              <w:t>5）杆塔拆除施工场地区</w:t>
            </w:r>
          </w:p>
          <w:p>
            <w:pPr>
              <w:autoSpaceDE w:val="0"/>
              <w:autoSpaceDN w:val="0"/>
              <w:adjustRightInd w:val="0"/>
              <w:snapToGrid w:val="0"/>
              <w:spacing w:line="360" w:lineRule="auto"/>
              <w:ind w:firstLine="480" w:firstLineChars="200"/>
              <w:rPr>
                <w:sz w:val="24"/>
              </w:rPr>
            </w:pPr>
            <w:r>
              <w:rPr>
                <w:sz w:val="24"/>
              </w:rPr>
              <w:t>在拆除过程中每处塔基附近需设置一处施工临时占地作为施工场地，靠近塔基的场地为施工作业区，其余场地用来临时堆置拆除工具、拆除的直线串、耐张串、导线等。本工程共拆除杆塔48基，输电线路杆塔拆除施工场地占地面积约为3.00hm</w:t>
            </w:r>
            <w:r>
              <w:rPr>
                <w:sz w:val="24"/>
                <w:vertAlign w:val="superscript"/>
              </w:rPr>
              <w:t>2</w:t>
            </w:r>
            <w:r>
              <w:rPr>
                <w:sz w:val="24"/>
              </w:rPr>
              <w:t>。</w:t>
            </w:r>
          </w:p>
          <w:p>
            <w:pPr>
              <w:autoSpaceDE w:val="0"/>
              <w:autoSpaceDN w:val="0"/>
              <w:adjustRightInd w:val="0"/>
              <w:snapToGrid w:val="0"/>
              <w:spacing w:line="360" w:lineRule="auto"/>
              <w:ind w:firstLine="480" w:firstLineChars="200"/>
              <w:rPr>
                <w:color w:val="000000"/>
                <w:sz w:val="24"/>
              </w:rPr>
            </w:pPr>
            <w:r>
              <w:rPr>
                <w:rFonts w:hint="eastAsia"/>
                <w:color w:val="000000"/>
                <w:sz w:val="24"/>
              </w:rPr>
              <w:t>6）</w:t>
            </w:r>
            <w:bookmarkEnd w:id="64"/>
            <w:r>
              <w:rPr>
                <w:rFonts w:hint="eastAsia"/>
                <w:color w:val="000000"/>
                <w:sz w:val="24"/>
              </w:rPr>
              <w:t>材料站</w:t>
            </w:r>
          </w:p>
          <w:p>
            <w:pPr>
              <w:autoSpaceDE w:val="0"/>
              <w:autoSpaceDN w:val="0"/>
              <w:adjustRightInd w:val="0"/>
              <w:snapToGrid w:val="0"/>
              <w:spacing w:line="360" w:lineRule="auto"/>
              <w:ind w:firstLine="480" w:firstLineChars="200"/>
              <w:rPr>
                <w:color w:val="000000"/>
                <w:sz w:val="24"/>
              </w:rPr>
            </w:pPr>
            <w:r>
              <w:rPr>
                <w:rFonts w:hint="eastAsia"/>
                <w:color w:val="000000"/>
                <w:sz w:val="24"/>
              </w:rPr>
              <w:t>根据沿线的交通情况，一般租用已有库房或场地作为材料站，具体地点由施工单位选定，便于塔材、钢材、线材、水泥、金具和绝缘子的集散。根据主体资料，本工程材料堆放在施工场地的空闲区域内，不单独设置材料站场地。</w:t>
            </w:r>
          </w:p>
          <w:p>
            <w:pPr>
              <w:autoSpaceDE w:val="0"/>
              <w:autoSpaceDN w:val="0"/>
              <w:adjustRightInd w:val="0"/>
              <w:snapToGrid w:val="0"/>
              <w:spacing w:line="360" w:lineRule="auto"/>
              <w:ind w:firstLine="480" w:firstLineChars="200"/>
              <w:rPr>
                <w:color w:val="000000"/>
                <w:sz w:val="24"/>
              </w:rPr>
            </w:pPr>
            <w:r>
              <w:rPr>
                <w:rFonts w:hint="eastAsia"/>
                <w:color w:val="000000"/>
                <w:sz w:val="24"/>
              </w:rPr>
              <w:t>7）施工营地</w:t>
            </w:r>
          </w:p>
          <w:p>
            <w:pPr>
              <w:autoSpaceDE w:val="0"/>
              <w:autoSpaceDN w:val="0"/>
              <w:adjustRightInd w:val="0"/>
              <w:snapToGrid w:val="0"/>
              <w:spacing w:line="360" w:lineRule="auto"/>
              <w:ind w:firstLine="480" w:firstLineChars="200"/>
            </w:pPr>
            <w:r>
              <w:rPr>
                <w:color w:val="000000"/>
                <w:sz w:val="24"/>
              </w:rPr>
              <w:t>线路塔基及牵张场较分散，且单个塔基施工周期短，经查阅资料及现场踏勘，沿线距离城镇较近的区域，临时施工生活采用租用民房的方式解决。根据主体设计资料，线路工程不需单独布设施工营地。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5"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color w:val="000000"/>
                <w:kern w:val="0"/>
                <w:sz w:val="24"/>
              </w:rPr>
            </w:pPr>
            <w:r>
              <w:rPr>
                <w:b/>
                <w:color w:val="000000"/>
                <w:kern w:val="0"/>
                <w:sz w:val="24"/>
              </w:rPr>
              <w:t>施工方案</w:t>
            </w:r>
          </w:p>
        </w:tc>
        <w:tc>
          <w:tcPr>
            <w:tcW w:w="8545" w:type="dxa"/>
            <w:tcBorders>
              <w:top w:val="single" w:color="auto" w:sz="4" w:space="0"/>
              <w:left w:val="single" w:color="auto" w:sz="4" w:space="0"/>
              <w:bottom w:val="single" w:color="auto" w:sz="4" w:space="0"/>
              <w:right w:val="single" w:color="auto" w:sz="8" w:space="0"/>
            </w:tcBorders>
            <w:vAlign w:val="center"/>
          </w:tcPr>
          <w:p>
            <w:pPr>
              <w:pStyle w:val="2"/>
              <w:numPr>
                <w:ilvl w:val="0"/>
                <w:numId w:val="7"/>
              </w:numPr>
              <w:spacing w:before="0" w:after="0" w:line="360" w:lineRule="auto"/>
              <w:rPr>
                <w:rFonts w:eastAsia="宋体"/>
                <w:sz w:val="24"/>
                <w:szCs w:val="24"/>
              </w:rPr>
            </w:pPr>
            <w:bookmarkStart w:id="65" w:name="_Toc85037190"/>
            <w:bookmarkStart w:id="66" w:name="_Toc88558496"/>
            <w:bookmarkStart w:id="67" w:name="_Toc95464642"/>
            <w:bookmarkStart w:id="68" w:name="_Toc109473404"/>
            <w:bookmarkStart w:id="69" w:name="_Toc96031350"/>
            <w:bookmarkStart w:id="70" w:name="_Toc109472573"/>
            <w:bookmarkStart w:id="71" w:name="_Toc81308126"/>
            <w:bookmarkStart w:id="72" w:name="_Toc81415598"/>
            <w:bookmarkStart w:id="73" w:name="_Toc109473773"/>
            <w:bookmarkStart w:id="74" w:name="_Toc109473852"/>
            <w:bookmarkStart w:id="75" w:name="_Toc85036856"/>
            <w:bookmarkStart w:id="76" w:name="_Toc96031267"/>
            <w:bookmarkStart w:id="77" w:name="_Toc96935387"/>
            <w:bookmarkStart w:id="78" w:name="_Toc109473539"/>
            <w:bookmarkStart w:id="79" w:name="_Toc97290423"/>
            <w:bookmarkStart w:id="80" w:name="_Toc97290557"/>
            <w:bookmarkStart w:id="81" w:name="_Toc91493240"/>
            <w:bookmarkStart w:id="82" w:name="_Toc91532147"/>
            <w:bookmarkStart w:id="83" w:name="_Toc24791"/>
            <w:bookmarkStart w:id="84" w:name="_Toc111564288"/>
            <w:bookmarkStart w:id="85" w:name="_Toc25220"/>
            <w:bookmarkStart w:id="86" w:name="_Toc110439068"/>
            <w:r>
              <w:rPr>
                <w:rFonts w:hint="eastAsia" w:eastAsia="宋体"/>
                <w:sz w:val="24"/>
                <w:szCs w:val="24"/>
              </w:rPr>
              <w:t>变电站</w:t>
            </w:r>
            <w:r>
              <w:rPr>
                <w:rFonts w:eastAsia="宋体"/>
                <w:sz w:val="24"/>
                <w:szCs w:val="24"/>
              </w:rPr>
              <w:t>工程施工工艺</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Pr>
                <w:rFonts w:hint="eastAsia" w:eastAsia="宋体"/>
                <w:sz w:val="24"/>
                <w:szCs w:val="24"/>
              </w:rPr>
              <w:t>流程</w:t>
            </w:r>
            <w:r>
              <w:rPr>
                <w:rFonts w:eastAsia="宋体"/>
                <w:sz w:val="24"/>
                <w:szCs w:val="24"/>
              </w:rPr>
              <w:t>及方法</w:t>
            </w:r>
            <w:bookmarkEnd w:id="83"/>
            <w:bookmarkEnd w:id="84"/>
            <w:bookmarkEnd w:id="85"/>
            <w:bookmarkEnd w:id="86"/>
          </w:p>
          <w:p>
            <w:pPr>
              <w:pStyle w:val="2"/>
              <w:numPr>
                <w:ilvl w:val="1"/>
                <w:numId w:val="7"/>
              </w:numPr>
              <w:spacing w:before="0" w:after="0" w:line="360" w:lineRule="auto"/>
              <w:rPr>
                <w:rFonts w:eastAsia="宋体"/>
                <w:sz w:val="24"/>
                <w:szCs w:val="24"/>
              </w:rPr>
            </w:pPr>
            <w:bookmarkStart w:id="87" w:name="_Toc96935388"/>
            <w:bookmarkStart w:id="88" w:name="_Toc91493241"/>
            <w:bookmarkStart w:id="89" w:name="_Toc96031268"/>
            <w:bookmarkStart w:id="90" w:name="_Toc109473774"/>
            <w:bookmarkStart w:id="91" w:name="_Toc110439069"/>
            <w:bookmarkStart w:id="92" w:name="_Toc111564289"/>
            <w:bookmarkStart w:id="93" w:name="_Toc109472574"/>
            <w:bookmarkStart w:id="94" w:name="_Toc85037191"/>
            <w:bookmarkStart w:id="95" w:name="_Toc15735"/>
            <w:bookmarkStart w:id="96" w:name="_Toc81308127"/>
            <w:bookmarkStart w:id="97" w:name="_Toc95464643"/>
            <w:bookmarkStart w:id="98" w:name="_Toc21734"/>
            <w:bookmarkStart w:id="99" w:name="_Toc85036857"/>
            <w:bookmarkStart w:id="100" w:name="_Toc109473540"/>
            <w:bookmarkStart w:id="101" w:name="_Toc97290424"/>
            <w:bookmarkStart w:id="102" w:name="_Toc81415599"/>
            <w:bookmarkStart w:id="103" w:name="_Toc91532148"/>
            <w:bookmarkStart w:id="104" w:name="_Toc96031351"/>
            <w:bookmarkStart w:id="105" w:name="_Toc88558497"/>
            <w:bookmarkStart w:id="106" w:name="_Toc109473853"/>
            <w:bookmarkStart w:id="107" w:name="_Toc97290558"/>
            <w:r>
              <w:rPr>
                <w:rFonts w:hint="eastAsia" w:eastAsia="宋体"/>
                <w:sz w:val="24"/>
                <w:szCs w:val="24"/>
              </w:rPr>
              <w:t>变电站新建工程施工</w:t>
            </w:r>
            <w:r>
              <w:rPr>
                <w:rFonts w:eastAsia="宋体"/>
                <w:sz w:val="24"/>
                <w:szCs w:val="24"/>
              </w:rPr>
              <w:t>工艺流程及方法</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pPr>
              <w:autoSpaceDE w:val="0"/>
              <w:autoSpaceDN w:val="0"/>
              <w:adjustRightInd w:val="0"/>
              <w:snapToGrid w:val="0"/>
              <w:spacing w:line="360" w:lineRule="auto"/>
              <w:ind w:firstLine="480" w:firstLineChars="200"/>
              <w:rPr>
                <w:color w:val="000000"/>
                <w:sz w:val="24"/>
              </w:rPr>
            </w:pPr>
            <w:bookmarkStart w:id="108" w:name="_Toc109472575"/>
            <w:r>
              <w:rPr>
                <w:color w:val="000000"/>
                <w:sz w:val="24"/>
              </w:rPr>
              <w:t>变电站新建工程施工工艺流程主要包括六个阶段，</w:t>
            </w:r>
            <w:r>
              <w:rPr>
                <w:rFonts w:hint="eastAsia"/>
                <w:color w:val="000000"/>
                <w:sz w:val="24"/>
              </w:rPr>
              <w:t>包括</w:t>
            </w:r>
            <w:r>
              <w:rPr>
                <w:color w:val="000000"/>
                <w:sz w:val="24"/>
              </w:rPr>
              <w:t>施工场地</w:t>
            </w:r>
            <w:r>
              <w:rPr>
                <w:rFonts w:hint="eastAsia"/>
                <w:color w:val="000000"/>
                <w:sz w:val="24"/>
              </w:rPr>
              <w:t>“</w:t>
            </w:r>
            <w:r>
              <w:rPr>
                <w:color w:val="000000"/>
                <w:sz w:val="24"/>
              </w:rPr>
              <w:t>四通一平</w:t>
            </w:r>
            <w:r>
              <w:rPr>
                <w:rFonts w:hint="eastAsia"/>
                <w:color w:val="000000"/>
                <w:sz w:val="24"/>
              </w:rPr>
              <w:t>”</w:t>
            </w:r>
            <w:r>
              <w:rPr>
                <w:color w:val="000000"/>
                <w:sz w:val="24"/>
              </w:rPr>
              <w:t>、地基处理、建构筑物土石方工程、土建施工、设备进场运输、设备及网架安装等。变电站工程施工工艺流程详见</w:t>
            </w:r>
            <w:r>
              <w:rPr>
                <w:rFonts w:hint="default"/>
                <w:b w:val="0"/>
                <w:bCs w:val="0"/>
                <w:color w:val="000000"/>
                <w:sz w:val="24"/>
                <w:szCs w:val="24"/>
                <w:lang w:val="en-US"/>
              </w:rPr>
              <w:fldChar w:fldCharType="begin"/>
            </w:r>
            <w:r>
              <w:rPr>
                <w:b w:val="0"/>
                <w:bCs w:val="0"/>
                <w:sz w:val="24"/>
                <w:szCs w:val="24"/>
              </w:rPr>
              <w:instrText xml:space="preserve"> REF _Ref157186342 \h  \* MERGEFORMAT</w:instrText>
            </w:r>
            <w:r>
              <w:rPr>
                <w:rFonts w:hint="default"/>
                <w:b w:val="0"/>
                <w:bCs w:val="0"/>
                <w:color w:val="000000"/>
                <w:sz w:val="24"/>
                <w:szCs w:val="24"/>
                <w:lang w:val="en-US"/>
              </w:rPr>
              <w:fldChar w:fldCharType="separate"/>
            </w:r>
            <w:r>
              <w:rPr>
                <w:rFonts w:ascii="Times New Roman" w:hAnsi="Times New Roman" w:eastAsia="宋体"/>
                <w:b w:val="0"/>
                <w:bCs w:val="0"/>
                <w:sz w:val="24"/>
                <w:szCs w:val="24"/>
              </w:rPr>
              <w:t>图2</w:t>
            </w:r>
            <w:r>
              <w:rPr>
                <w:rFonts w:hint="default"/>
                <w:b w:val="0"/>
                <w:bCs w:val="0"/>
                <w:color w:val="000000"/>
                <w:sz w:val="24"/>
                <w:szCs w:val="24"/>
                <w:lang w:val="en-US"/>
              </w:rPr>
              <w:fldChar w:fldCharType="end"/>
            </w:r>
            <w:r>
              <w:rPr>
                <w:color w:val="000000"/>
                <w:sz w:val="24"/>
              </w:rPr>
              <w:t>。</w:t>
            </w:r>
            <w:bookmarkEnd w:id="108"/>
          </w:p>
          <w:p>
            <w:pPr>
              <w:keepNext/>
              <w:autoSpaceDE w:val="0"/>
              <w:autoSpaceDN w:val="0"/>
              <w:adjustRightInd w:val="0"/>
              <w:snapToGrid w:val="0"/>
              <w:spacing w:line="360" w:lineRule="auto"/>
              <w:ind w:firstLine="480" w:firstLineChars="200"/>
              <w:jc w:val="center"/>
            </w:pPr>
            <w:bookmarkStart w:id="109" w:name="_Toc109472576"/>
            <w:r>
              <w:rPr>
                <w:color w:val="000000"/>
                <w:sz w:val="24"/>
              </w:rPr>
              <w:drawing>
                <wp:inline distT="0" distB="0" distL="0" distR="0">
                  <wp:extent cx="1336040" cy="2237740"/>
                  <wp:effectExtent l="0" t="0" r="16510" b="10160"/>
                  <wp:docPr id="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2"/>
                          <pic:cNvPicPr>
                            <a:picLocks noChangeAspect="1" noChangeArrowheads="1"/>
                          </pic:cNvPicPr>
                        </pic:nvPicPr>
                        <pic:blipFill>
                          <a:blip r:embed="rId18">
                            <a:extLst>
                              <a:ext uri="{BEBA8EAE-BF5A-486C-A8C5-ECC9F3942E4B}">
                                <a14:imgProps xmlns:a14="http://schemas.microsoft.com/office/drawing/2010/main">
                                  <a14:imgLayer r:embed="rId1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a:xfrm>
                            <a:off x="0" y="0"/>
                            <a:ext cx="1336040" cy="2237740"/>
                          </a:xfrm>
                          <a:prstGeom prst="rect">
                            <a:avLst/>
                          </a:prstGeom>
                          <a:noFill/>
                          <a:ln>
                            <a:noFill/>
                          </a:ln>
                        </pic:spPr>
                      </pic:pic>
                    </a:graphicData>
                  </a:graphic>
                </wp:inline>
              </w:drawing>
            </w:r>
            <w:bookmarkEnd w:id="109"/>
          </w:p>
          <w:p>
            <w:pPr>
              <w:pStyle w:val="10"/>
              <w:jc w:val="center"/>
              <w:rPr>
                <w:rFonts w:ascii="Times New Roman" w:hAnsi="Times New Roman"/>
                <w:b/>
                <w:color w:val="000000"/>
                <w:sz w:val="24"/>
                <w:highlight w:val="yellow"/>
              </w:rPr>
            </w:pPr>
            <w:bookmarkStart w:id="110" w:name="_Ref157186342"/>
            <w:r>
              <w:rPr>
                <w:rFonts w:ascii="Times New Roman" w:hAnsi="Times New Roman" w:eastAsia="宋体"/>
                <w:b/>
              </w:rPr>
              <w:t>图</w:t>
            </w:r>
            <w:r>
              <w:rPr>
                <w:rFonts w:ascii="Times New Roman" w:hAnsi="Times New Roman" w:eastAsia="宋体"/>
                <w:b/>
              </w:rPr>
              <w:fldChar w:fldCharType="begin"/>
            </w:r>
            <w:r>
              <w:rPr>
                <w:rFonts w:ascii="Times New Roman" w:hAnsi="Times New Roman" w:eastAsia="宋体"/>
                <w:b/>
              </w:rPr>
              <w:instrText xml:space="preserve"> SEQ 图 \* ARABIC </w:instrText>
            </w:r>
            <w:r>
              <w:rPr>
                <w:rFonts w:ascii="Times New Roman" w:hAnsi="Times New Roman" w:eastAsia="宋体"/>
                <w:b/>
              </w:rPr>
              <w:fldChar w:fldCharType="separate"/>
            </w:r>
            <w:r>
              <w:rPr>
                <w:rFonts w:ascii="Times New Roman" w:hAnsi="Times New Roman" w:eastAsia="宋体"/>
                <w:b/>
              </w:rPr>
              <w:t>2</w:t>
            </w:r>
            <w:r>
              <w:rPr>
                <w:rFonts w:ascii="Times New Roman" w:hAnsi="Times New Roman" w:eastAsia="宋体"/>
                <w:b/>
              </w:rPr>
              <w:fldChar w:fldCharType="end"/>
            </w:r>
            <w:bookmarkEnd w:id="110"/>
            <w:r>
              <w:rPr>
                <w:rFonts w:ascii="Times New Roman" w:hAnsi="Times New Roman" w:eastAsia="宋体"/>
                <w:b/>
              </w:rPr>
              <w:t>变电站工程施工工艺流程</w:t>
            </w:r>
          </w:p>
          <w:p>
            <w:pPr>
              <w:pStyle w:val="2"/>
              <w:numPr>
                <w:ilvl w:val="1"/>
                <w:numId w:val="7"/>
              </w:numPr>
              <w:spacing w:before="0" w:after="0" w:line="360" w:lineRule="auto"/>
              <w:rPr>
                <w:rFonts w:eastAsia="宋体"/>
                <w:sz w:val="24"/>
                <w:szCs w:val="24"/>
              </w:rPr>
            </w:pPr>
            <w:bookmarkStart w:id="111" w:name="_Toc110439071"/>
            <w:bookmarkEnd w:id="111"/>
            <w:bookmarkStart w:id="112" w:name="_Toc96935389"/>
            <w:bookmarkStart w:id="113" w:name="_Toc88558498"/>
            <w:bookmarkStart w:id="114" w:name="_Toc111564291"/>
            <w:bookmarkStart w:id="115" w:name="_Toc109473541"/>
            <w:bookmarkStart w:id="116" w:name="_Toc109473406"/>
            <w:bookmarkStart w:id="117" w:name="_Toc95464644"/>
            <w:bookmarkStart w:id="118" w:name="_Toc97290559"/>
            <w:bookmarkStart w:id="119" w:name="_Toc85036858"/>
            <w:bookmarkStart w:id="120" w:name="_Toc81415600"/>
            <w:bookmarkStart w:id="121" w:name="_Toc85037192"/>
            <w:bookmarkStart w:id="122" w:name="_Toc97290425"/>
            <w:bookmarkStart w:id="123" w:name="_Toc140"/>
            <w:bookmarkStart w:id="124" w:name="_Toc22342"/>
            <w:bookmarkStart w:id="125" w:name="_Toc96031352"/>
            <w:bookmarkStart w:id="126" w:name="_Toc96031269"/>
            <w:bookmarkStart w:id="127" w:name="_Toc109473854"/>
            <w:bookmarkStart w:id="128" w:name="_Toc91532149"/>
            <w:bookmarkStart w:id="129" w:name="_Toc91493242"/>
            <w:bookmarkStart w:id="130" w:name="_Toc81308128"/>
            <w:bookmarkStart w:id="131" w:name="_Toc109472578"/>
            <w:bookmarkStart w:id="132" w:name="_Toc110439072"/>
            <w:bookmarkStart w:id="133" w:name="_Toc109473775"/>
            <w:r>
              <w:rPr>
                <w:rFonts w:eastAsia="宋体"/>
                <w:sz w:val="24"/>
                <w:szCs w:val="24"/>
              </w:rPr>
              <w:t>施工组织</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autoSpaceDE w:val="0"/>
              <w:autoSpaceDN w:val="0"/>
              <w:adjustRightInd w:val="0"/>
              <w:snapToGrid w:val="0"/>
              <w:spacing w:line="360" w:lineRule="auto"/>
              <w:ind w:firstLine="480" w:firstLineChars="200"/>
              <w:rPr>
                <w:color w:val="000000"/>
                <w:sz w:val="24"/>
              </w:rPr>
            </w:pPr>
            <w:bookmarkStart w:id="134" w:name="_Toc109472579"/>
            <w:r>
              <w:rPr>
                <w:color w:val="000000"/>
                <w:sz w:val="24"/>
              </w:rPr>
              <w:t>新建</w:t>
            </w:r>
            <w:r>
              <w:rPr>
                <w:rFonts w:hint="eastAsia"/>
                <w:color w:val="000000"/>
                <w:sz w:val="24"/>
              </w:rPr>
              <w:t>伊拉湖220千伏</w:t>
            </w:r>
            <w:r>
              <w:rPr>
                <w:color w:val="000000"/>
                <w:sz w:val="24"/>
              </w:rPr>
              <w:t>变电站施工区内的规划布置由施工单位自行决定，一般应按先地下</w:t>
            </w:r>
            <w:r>
              <w:rPr>
                <w:rFonts w:hint="eastAsia"/>
                <w:color w:val="000000"/>
                <w:sz w:val="24"/>
              </w:rPr>
              <w:t>、</w:t>
            </w:r>
            <w:r>
              <w:rPr>
                <w:color w:val="000000"/>
                <w:sz w:val="24"/>
              </w:rPr>
              <w:t>后地上，先深后浅，先干线</w:t>
            </w:r>
            <w:r>
              <w:rPr>
                <w:rFonts w:hint="eastAsia"/>
                <w:color w:val="000000"/>
                <w:sz w:val="24"/>
              </w:rPr>
              <w:t>、</w:t>
            </w:r>
            <w:r>
              <w:rPr>
                <w:color w:val="000000"/>
                <w:sz w:val="24"/>
              </w:rPr>
              <w:t>后支线的原则安排施工。</w:t>
            </w:r>
            <w:bookmarkEnd w:id="134"/>
          </w:p>
          <w:p>
            <w:pPr>
              <w:pStyle w:val="2"/>
              <w:numPr>
                <w:ilvl w:val="0"/>
                <w:numId w:val="7"/>
              </w:numPr>
              <w:spacing w:before="0" w:after="0" w:line="360" w:lineRule="auto"/>
              <w:rPr>
                <w:rFonts w:eastAsia="宋体"/>
                <w:sz w:val="24"/>
                <w:szCs w:val="24"/>
              </w:rPr>
            </w:pPr>
            <w:bookmarkStart w:id="135" w:name="_Toc110439073"/>
            <w:bookmarkEnd w:id="135"/>
            <w:bookmarkStart w:id="136" w:name="_Toc85036859"/>
            <w:bookmarkStart w:id="137" w:name="_Toc91532150"/>
            <w:bookmarkStart w:id="138" w:name="_Toc95464645"/>
            <w:bookmarkStart w:id="139" w:name="_Toc88558499"/>
            <w:bookmarkStart w:id="140" w:name="_Toc81415601"/>
            <w:bookmarkStart w:id="141" w:name="_Toc91493243"/>
            <w:bookmarkStart w:id="142" w:name="_Toc2701"/>
            <w:bookmarkStart w:id="143" w:name="_Toc96031353"/>
            <w:bookmarkStart w:id="144" w:name="_Toc85037193"/>
            <w:bookmarkStart w:id="145" w:name="_Toc111564292"/>
            <w:bookmarkStart w:id="146" w:name="_Toc97290426"/>
            <w:bookmarkStart w:id="147" w:name="_Toc97290560"/>
            <w:bookmarkStart w:id="148" w:name="_Toc109473407"/>
            <w:bookmarkStart w:id="149" w:name="_Toc18857"/>
            <w:bookmarkStart w:id="150" w:name="_Toc96031270"/>
            <w:bookmarkStart w:id="151" w:name="_Toc109472580"/>
            <w:bookmarkStart w:id="152" w:name="_Toc81308129"/>
            <w:bookmarkStart w:id="153" w:name="_Toc110439074"/>
            <w:bookmarkStart w:id="154" w:name="_Toc109473542"/>
            <w:bookmarkStart w:id="155" w:name="_Toc96935390"/>
            <w:bookmarkStart w:id="156" w:name="_Toc109473776"/>
            <w:bookmarkStart w:id="157" w:name="_Toc109473855"/>
            <w:bookmarkStart w:id="158" w:name="_Toc1117"/>
            <w:r>
              <w:rPr>
                <w:rFonts w:eastAsia="宋体"/>
                <w:sz w:val="24"/>
                <w:szCs w:val="24"/>
              </w:rPr>
              <w:t>输电线路工程施工工艺及施工组织</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pPr>
              <w:pStyle w:val="2"/>
              <w:numPr>
                <w:ilvl w:val="1"/>
                <w:numId w:val="7"/>
              </w:numPr>
              <w:spacing w:before="0" w:after="0" w:line="360" w:lineRule="auto"/>
              <w:rPr>
                <w:rFonts w:eastAsia="宋体"/>
                <w:sz w:val="24"/>
                <w:szCs w:val="24"/>
              </w:rPr>
            </w:pPr>
            <w:bookmarkStart w:id="159" w:name="_Toc81415602"/>
            <w:bookmarkStart w:id="160" w:name="_Toc96031354"/>
            <w:bookmarkStart w:id="161" w:name="_Toc109473543"/>
            <w:bookmarkStart w:id="162" w:name="_Toc109472581"/>
            <w:bookmarkStart w:id="163" w:name="_Toc109473777"/>
            <w:bookmarkStart w:id="164" w:name="_Toc88558500"/>
            <w:bookmarkStart w:id="165" w:name="_Toc96031271"/>
            <w:bookmarkStart w:id="166" w:name="_Toc111564293"/>
            <w:bookmarkStart w:id="167" w:name="_Toc95464646"/>
            <w:bookmarkStart w:id="168" w:name="_Toc97290561"/>
            <w:bookmarkStart w:id="169" w:name="_Toc91532151"/>
            <w:bookmarkStart w:id="170" w:name="_Toc96935391"/>
            <w:bookmarkStart w:id="171" w:name="_Toc85037194"/>
            <w:bookmarkStart w:id="172" w:name="_Toc91493244"/>
            <w:bookmarkStart w:id="173" w:name="_Toc7886"/>
            <w:bookmarkStart w:id="174" w:name="_Toc85036860"/>
            <w:bookmarkStart w:id="175" w:name="_Toc109473856"/>
            <w:bookmarkStart w:id="176" w:name="_Toc97290427"/>
            <w:bookmarkStart w:id="177" w:name="_Toc109473408"/>
            <w:bookmarkStart w:id="178" w:name="_Toc110439075"/>
            <w:bookmarkStart w:id="179" w:name="_Toc81308130"/>
            <w:bookmarkStart w:id="180" w:name="_Toc17490"/>
            <w:bookmarkStart w:id="181" w:name="_Toc391830280"/>
            <w:bookmarkStart w:id="182" w:name="_Toc429425304"/>
            <w:bookmarkStart w:id="183" w:name="_Toc13614387"/>
            <w:bookmarkStart w:id="184" w:name="_Toc498414147"/>
            <w:bookmarkStart w:id="185" w:name="_Toc490213557"/>
            <w:bookmarkStart w:id="186" w:name="_Toc494369232"/>
            <w:r>
              <w:rPr>
                <w:rFonts w:eastAsia="宋体"/>
                <w:sz w:val="24"/>
                <w:szCs w:val="24"/>
              </w:rPr>
              <w:t>施工工艺流程及方法</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pPr>
              <w:autoSpaceDE w:val="0"/>
              <w:autoSpaceDN w:val="0"/>
              <w:adjustRightInd w:val="0"/>
              <w:snapToGrid w:val="0"/>
              <w:spacing w:line="360" w:lineRule="auto"/>
              <w:ind w:firstLine="480" w:firstLineChars="200"/>
              <w:rPr>
                <w:color w:val="000000"/>
                <w:sz w:val="24"/>
              </w:rPr>
            </w:pPr>
            <w:bookmarkStart w:id="187" w:name="_Toc109472582"/>
            <w:r>
              <w:rPr>
                <w:rFonts w:hint="eastAsia"/>
                <w:color w:val="000000"/>
                <w:sz w:val="24"/>
              </w:rPr>
              <w:t>架空输电线路施工的工艺流程主要包括两个阶段，即准备阶段和施工阶段，其中，施工阶段通常又划分为基础施工、材料运输、杆塔施工、架线施工及接地安装五道工序。</w:t>
            </w:r>
            <w:r>
              <w:rPr>
                <w:color w:val="000000"/>
                <w:sz w:val="24"/>
              </w:rPr>
              <w:t>架空输电线路施工工艺流程详见</w:t>
            </w:r>
            <w:r>
              <w:rPr>
                <w:rFonts w:hint="default"/>
                <w:b w:val="0"/>
                <w:bCs w:val="0"/>
                <w:color w:val="000000"/>
                <w:sz w:val="24"/>
                <w:szCs w:val="24"/>
                <w:lang w:val="en-US"/>
              </w:rPr>
              <w:fldChar w:fldCharType="begin"/>
            </w:r>
            <w:r>
              <w:rPr>
                <w:b w:val="0"/>
                <w:bCs w:val="0"/>
              </w:rPr>
              <w:instrText xml:space="preserve"> REF _Ref7782 \h  \* MERGEFORMAT</w:instrText>
            </w:r>
            <w:r>
              <w:rPr>
                <w:rFonts w:hint="default"/>
                <w:b w:val="0"/>
                <w:bCs w:val="0"/>
                <w:color w:val="000000"/>
                <w:sz w:val="24"/>
                <w:szCs w:val="24"/>
                <w:lang w:val="en-US"/>
              </w:rPr>
              <w:fldChar w:fldCharType="separate"/>
            </w:r>
            <w:r>
              <w:rPr>
                <w:rFonts w:ascii="Times New Roman" w:hAnsi="Times New Roman" w:eastAsia="宋体"/>
                <w:b w:val="0"/>
                <w:bCs w:val="0"/>
                <w:sz w:val="24"/>
                <w:szCs w:val="24"/>
              </w:rPr>
              <w:t>图3</w:t>
            </w:r>
            <w:r>
              <w:rPr>
                <w:rFonts w:hint="default"/>
                <w:b w:val="0"/>
                <w:bCs w:val="0"/>
                <w:color w:val="000000"/>
                <w:sz w:val="24"/>
                <w:szCs w:val="24"/>
                <w:lang w:val="en-US"/>
              </w:rPr>
              <w:fldChar w:fldCharType="end"/>
            </w:r>
            <w:r>
              <w:rPr>
                <w:color w:val="000000"/>
                <w:sz w:val="24"/>
              </w:rPr>
              <w:t>。</w:t>
            </w:r>
            <w:bookmarkEnd w:id="187"/>
          </w:p>
          <w:p>
            <w:pPr>
              <w:keepNext/>
              <w:autoSpaceDE w:val="0"/>
              <w:autoSpaceDN w:val="0"/>
              <w:adjustRightInd w:val="0"/>
              <w:snapToGrid w:val="0"/>
              <w:spacing w:line="360" w:lineRule="auto"/>
              <w:ind w:firstLine="420" w:firstLineChars="200"/>
              <w:jc w:val="center"/>
            </w:pPr>
            <w:r>
              <w:drawing>
                <wp:inline distT="0" distB="0" distL="114300" distR="114300">
                  <wp:extent cx="5264785" cy="1882775"/>
                  <wp:effectExtent l="0" t="0" r="12065" b="3175"/>
                  <wp:docPr id="35"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58"/>
                          <pic:cNvPicPr>
                            <a:picLocks noChangeAspect="1"/>
                          </pic:cNvPicPr>
                        </pic:nvPicPr>
                        <pic:blipFill>
                          <a:blip r:embed="rId20"/>
                          <a:srcRect b="15116"/>
                          <a:stretch>
                            <a:fillRect/>
                          </a:stretch>
                        </pic:blipFill>
                        <pic:spPr>
                          <a:xfrm>
                            <a:off x="0" y="0"/>
                            <a:ext cx="5264785" cy="1882775"/>
                          </a:xfrm>
                          <a:prstGeom prst="rect">
                            <a:avLst/>
                          </a:prstGeom>
                          <a:noFill/>
                          <a:ln>
                            <a:noFill/>
                          </a:ln>
                        </pic:spPr>
                      </pic:pic>
                    </a:graphicData>
                  </a:graphic>
                </wp:inline>
              </w:drawing>
            </w:r>
          </w:p>
          <w:p>
            <w:pPr>
              <w:pStyle w:val="10"/>
              <w:jc w:val="center"/>
              <w:rPr>
                <w:rFonts w:ascii="Times New Roman" w:hAnsi="Times New Roman"/>
                <w:b/>
                <w:color w:val="000000"/>
                <w:sz w:val="24"/>
                <w:highlight w:val="yellow"/>
              </w:rPr>
            </w:pPr>
            <w:bookmarkStart w:id="188" w:name="_Ref7782"/>
            <w:r>
              <w:rPr>
                <w:rFonts w:ascii="Times New Roman" w:hAnsi="Times New Roman" w:eastAsia="宋体"/>
                <w:b/>
              </w:rPr>
              <w:t>图</w:t>
            </w:r>
            <w:r>
              <w:rPr>
                <w:rFonts w:ascii="Times New Roman" w:hAnsi="Times New Roman" w:eastAsia="宋体"/>
                <w:b/>
              </w:rPr>
              <w:fldChar w:fldCharType="begin"/>
            </w:r>
            <w:r>
              <w:rPr>
                <w:rFonts w:ascii="Times New Roman" w:hAnsi="Times New Roman" w:eastAsia="宋体"/>
                <w:b/>
              </w:rPr>
              <w:instrText xml:space="preserve"> SEQ 图 \* ARABIC </w:instrText>
            </w:r>
            <w:r>
              <w:rPr>
                <w:rFonts w:ascii="Times New Roman" w:hAnsi="Times New Roman" w:eastAsia="宋体"/>
                <w:b/>
              </w:rPr>
              <w:fldChar w:fldCharType="separate"/>
            </w:r>
            <w:r>
              <w:rPr>
                <w:rFonts w:ascii="Times New Roman" w:hAnsi="Times New Roman" w:eastAsia="宋体"/>
                <w:b/>
              </w:rPr>
              <w:t>3</w:t>
            </w:r>
            <w:r>
              <w:rPr>
                <w:rFonts w:ascii="Times New Roman" w:hAnsi="Times New Roman" w:eastAsia="宋体"/>
                <w:b/>
              </w:rPr>
              <w:fldChar w:fldCharType="end"/>
            </w:r>
            <w:bookmarkEnd w:id="188"/>
            <w:r>
              <w:rPr>
                <w:rFonts w:ascii="Times New Roman" w:hAnsi="Times New Roman" w:eastAsia="宋体"/>
                <w:b/>
              </w:rPr>
              <w:t>输电线路工程施工工艺流程</w:t>
            </w:r>
          </w:p>
          <w:p>
            <w:pPr>
              <w:autoSpaceDE w:val="0"/>
              <w:autoSpaceDN w:val="0"/>
              <w:adjustRightInd w:val="0"/>
              <w:snapToGrid w:val="0"/>
              <w:spacing w:before="120" w:beforeLines="50" w:line="360" w:lineRule="auto"/>
              <w:ind w:firstLine="480" w:firstLineChars="200"/>
              <w:rPr>
                <w:color w:val="000000"/>
                <w:sz w:val="24"/>
              </w:rPr>
            </w:pPr>
            <w:bookmarkStart w:id="189" w:name="_Toc109472585"/>
            <w:r>
              <w:rPr>
                <w:rFonts w:hint="eastAsia"/>
                <w:color w:val="000000"/>
                <w:sz w:val="24"/>
              </w:rPr>
              <w:t>（1）</w:t>
            </w:r>
            <w:r>
              <w:rPr>
                <w:color w:val="000000"/>
                <w:sz w:val="24"/>
              </w:rPr>
              <w:t>基础施工。在完成复测分坑准备后，可按地质条件及杆塔明细表确定基础开挖方式和拟定基础施工方法，如人力开挖、爆扩成坑、现浇杆塔基础、预制基础等。</w:t>
            </w:r>
            <w:bookmarkEnd w:id="189"/>
          </w:p>
          <w:p>
            <w:pPr>
              <w:autoSpaceDE w:val="0"/>
              <w:autoSpaceDN w:val="0"/>
              <w:adjustRightInd w:val="0"/>
              <w:snapToGrid w:val="0"/>
              <w:spacing w:line="360" w:lineRule="auto"/>
              <w:ind w:firstLine="480" w:firstLineChars="200"/>
              <w:rPr>
                <w:color w:val="000000"/>
                <w:sz w:val="24"/>
              </w:rPr>
            </w:pPr>
            <w:bookmarkStart w:id="190" w:name="_Toc109472586"/>
            <w:r>
              <w:rPr>
                <w:rFonts w:hint="eastAsia"/>
                <w:color w:val="000000"/>
                <w:sz w:val="24"/>
              </w:rPr>
              <w:t>（2）</w:t>
            </w:r>
            <w:r>
              <w:rPr>
                <w:color w:val="000000"/>
                <w:sz w:val="24"/>
              </w:rPr>
              <w:t>物料运输。线路施工运输主要包括砂、石、水泥、钢筋、地螺等基础材料、塔料和绝缘子、金具等架线材料，以及抱杆、绞磨、钢丝绳等基础、立塔、架线工器具</w:t>
            </w:r>
            <w:r>
              <w:rPr>
                <w:rFonts w:hint="eastAsia"/>
                <w:color w:val="000000"/>
                <w:sz w:val="24"/>
              </w:rPr>
              <w:t>。</w:t>
            </w:r>
            <w:bookmarkEnd w:id="190"/>
          </w:p>
          <w:p>
            <w:pPr>
              <w:autoSpaceDE w:val="0"/>
              <w:autoSpaceDN w:val="0"/>
              <w:adjustRightInd w:val="0"/>
              <w:snapToGrid w:val="0"/>
              <w:spacing w:line="360" w:lineRule="auto"/>
              <w:ind w:firstLine="480" w:firstLineChars="200"/>
              <w:rPr>
                <w:color w:val="000000"/>
                <w:sz w:val="24"/>
              </w:rPr>
            </w:pPr>
            <w:bookmarkStart w:id="191" w:name="_Toc109472587"/>
            <w:r>
              <w:rPr>
                <w:rFonts w:hint="eastAsia"/>
                <w:color w:val="000000"/>
                <w:sz w:val="24"/>
              </w:rPr>
              <w:t>（3）</w:t>
            </w:r>
            <w:r>
              <w:rPr>
                <w:color w:val="000000"/>
                <w:sz w:val="24"/>
              </w:rPr>
              <w:t>杆塔施工。杆塔施工</w:t>
            </w:r>
            <w:r>
              <w:rPr>
                <w:rFonts w:hint="eastAsia"/>
                <w:color w:val="000000"/>
                <w:sz w:val="24"/>
              </w:rPr>
              <w:t>是</w:t>
            </w:r>
            <w:r>
              <w:rPr>
                <w:color w:val="000000"/>
                <w:sz w:val="24"/>
              </w:rPr>
              <w:t>输电线路中的一道重要工序，其任务是将杆塔组立于基础之上，并牢固地用基础连接，用来</w:t>
            </w:r>
            <w:r>
              <w:rPr>
                <w:rFonts w:hint="eastAsia"/>
                <w:color w:val="000000"/>
                <w:sz w:val="24"/>
              </w:rPr>
              <w:t>支撑</w:t>
            </w:r>
            <w:r>
              <w:rPr>
                <w:color w:val="000000"/>
                <w:sz w:val="24"/>
              </w:rPr>
              <w:t>架空导（地）线。对于地形条件及道路条件较好的塔位，拟采用轮式起重机分段组立。组塔时，预先将塔身组装成塔片，按吊装的顺序按秩序叠放，横担部分组装成整体，以提高吊装的使用效率。对于施工场地不能满足吊车施工要求的塔位采用内悬浮抱杆进行组立。悬浮抱杆吊装时，根据抱杆的自身结构和拉线的设置位置，确定安全的起吊重量和起吊方式，分主材或塔片或塔段进行吊装。</w:t>
            </w:r>
            <w:bookmarkEnd w:id="191"/>
          </w:p>
          <w:p>
            <w:pPr>
              <w:autoSpaceDE w:val="0"/>
              <w:autoSpaceDN w:val="0"/>
              <w:adjustRightInd w:val="0"/>
              <w:snapToGrid w:val="0"/>
              <w:spacing w:line="360" w:lineRule="auto"/>
              <w:ind w:firstLine="480" w:firstLineChars="200"/>
              <w:rPr>
                <w:color w:val="000000"/>
                <w:sz w:val="24"/>
              </w:rPr>
            </w:pPr>
            <w:bookmarkStart w:id="192" w:name="_Toc109472588"/>
            <w:r>
              <w:rPr>
                <w:rFonts w:hint="eastAsia"/>
                <w:color w:val="000000"/>
                <w:sz w:val="24"/>
              </w:rPr>
              <w:t>（4）</w:t>
            </w:r>
            <w:r>
              <w:rPr>
                <w:color w:val="000000"/>
                <w:sz w:val="24"/>
              </w:rPr>
              <w:t>架线施工。架线施工的任务是将架空导（地）线按设计要求的架线应力（驰度）架设于已组立好的杆塔上。按照施工流程可分为：障碍的消除；搭设越线架；挂悬垂绝缘子串和放线滑车；放线；紧线与观测驰度；附件安装；导（地）线的连接。</w:t>
            </w:r>
            <w:bookmarkEnd w:id="192"/>
          </w:p>
          <w:p>
            <w:pPr>
              <w:autoSpaceDE w:val="0"/>
              <w:autoSpaceDN w:val="0"/>
              <w:adjustRightInd w:val="0"/>
              <w:snapToGrid w:val="0"/>
              <w:spacing w:line="360" w:lineRule="auto"/>
              <w:ind w:firstLine="480" w:firstLineChars="200"/>
              <w:rPr>
                <w:color w:val="000000"/>
                <w:sz w:val="24"/>
              </w:rPr>
            </w:pPr>
            <w:bookmarkStart w:id="193" w:name="_Toc109472589"/>
            <w:r>
              <w:rPr>
                <w:rFonts w:hint="eastAsia"/>
                <w:color w:val="000000"/>
                <w:sz w:val="24"/>
              </w:rPr>
              <w:t>（5）</w:t>
            </w:r>
            <w:r>
              <w:rPr>
                <w:color w:val="000000"/>
                <w:sz w:val="24"/>
              </w:rPr>
              <w:t>接地安装。接地装置（包括接地体和接地引下线）大部分为地下隐蔽工程，故在施工中应严格按照规定操作安装，并需测量接地电阻值，使其符合要求后，才能投入运行。</w:t>
            </w:r>
            <w:bookmarkEnd w:id="193"/>
          </w:p>
          <w:bookmarkEnd w:id="181"/>
          <w:bookmarkEnd w:id="182"/>
          <w:bookmarkEnd w:id="183"/>
          <w:bookmarkEnd w:id="184"/>
          <w:bookmarkEnd w:id="185"/>
          <w:bookmarkEnd w:id="186"/>
          <w:p>
            <w:pPr>
              <w:pStyle w:val="2"/>
              <w:numPr>
                <w:ilvl w:val="1"/>
                <w:numId w:val="7"/>
              </w:numPr>
              <w:spacing w:before="0" w:after="0" w:line="360" w:lineRule="auto"/>
              <w:rPr>
                <w:rFonts w:eastAsia="宋体"/>
                <w:sz w:val="24"/>
                <w:szCs w:val="24"/>
              </w:rPr>
            </w:pPr>
            <w:bookmarkStart w:id="194" w:name="_Toc110439076"/>
            <w:bookmarkEnd w:id="194"/>
            <w:bookmarkStart w:id="195" w:name="_Toc97290428"/>
            <w:bookmarkStart w:id="196" w:name="_Toc110439077"/>
            <w:bookmarkStart w:id="197" w:name="_Toc96031355"/>
            <w:bookmarkStart w:id="198" w:name="_Toc85037195"/>
            <w:bookmarkStart w:id="199" w:name="_Toc109472590"/>
            <w:bookmarkStart w:id="200" w:name="_Toc109473857"/>
            <w:bookmarkStart w:id="201" w:name="_Toc81308131"/>
            <w:bookmarkStart w:id="202" w:name="_Toc28246"/>
            <w:bookmarkStart w:id="203" w:name="_Toc109473544"/>
            <w:bookmarkStart w:id="204" w:name="_Toc109473409"/>
            <w:bookmarkStart w:id="205" w:name="_Toc111564294"/>
            <w:bookmarkStart w:id="206" w:name="_Toc97290562"/>
            <w:bookmarkStart w:id="207" w:name="_Toc95464647"/>
            <w:bookmarkStart w:id="208" w:name="_Toc81415603"/>
            <w:bookmarkStart w:id="209" w:name="_Toc85036861"/>
            <w:bookmarkStart w:id="210" w:name="_Toc91532152"/>
            <w:bookmarkStart w:id="211" w:name="_Toc109473778"/>
            <w:bookmarkStart w:id="212" w:name="_Toc96935392"/>
            <w:bookmarkStart w:id="213" w:name="_Toc12124"/>
            <w:bookmarkStart w:id="214" w:name="_Toc88558501"/>
            <w:bookmarkStart w:id="215" w:name="_Toc96031272"/>
            <w:bookmarkStart w:id="216" w:name="_Toc91493245"/>
            <w:r>
              <w:rPr>
                <w:rFonts w:eastAsia="宋体"/>
                <w:sz w:val="24"/>
                <w:szCs w:val="24"/>
              </w:rPr>
              <w:t>施工组织</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autoSpaceDE w:val="0"/>
              <w:autoSpaceDN w:val="0"/>
              <w:adjustRightInd w:val="0"/>
              <w:snapToGrid w:val="0"/>
              <w:spacing w:line="360" w:lineRule="auto"/>
              <w:ind w:firstLine="480" w:firstLineChars="200"/>
              <w:rPr>
                <w:color w:val="000000"/>
                <w:sz w:val="24"/>
              </w:rPr>
            </w:pPr>
            <w:bookmarkStart w:id="217" w:name="_Toc109472591"/>
            <w:r>
              <w:rPr>
                <w:color w:val="000000"/>
                <w:sz w:val="24"/>
              </w:rPr>
              <w:t>施工区内的规划布置由施工单位自行决定，施工单位需结合本工程施工特点，按施工流程划分施工区域，合理安排施工场地，减少各专业和工种的相互施工干扰，为文明施工和安装创造有利条件，本工程公路运输量大，必须合理组织交通运输，使施工的各个阶段均达到交通方便，运输通畅，减少设备及材料的二次倒运。</w:t>
            </w:r>
            <w:bookmarkEnd w:id="217"/>
          </w:p>
          <w:p>
            <w:pPr>
              <w:pStyle w:val="2"/>
              <w:numPr>
                <w:ilvl w:val="0"/>
                <w:numId w:val="7"/>
              </w:numPr>
              <w:spacing w:before="0" w:after="0" w:line="360" w:lineRule="auto"/>
              <w:rPr>
                <w:sz w:val="24"/>
              </w:rPr>
            </w:pPr>
            <w:r>
              <w:rPr>
                <w:rFonts w:hint="eastAsia" w:ascii="宋体" w:hAnsi="宋体" w:eastAsia="宋体" w:cs="宋体"/>
                <w:sz w:val="24"/>
              </w:rPr>
              <w:t>电缆线路工程施工工艺及方法</w:t>
            </w:r>
          </w:p>
          <w:p>
            <w:pPr>
              <w:autoSpaceDE w:val="0"/>
              <w:autoSpaceDN w:val="0"/>
              <w:adjustRightInd w:val="0"/>
              <w:snapToGrid w:val="0"/>
              <w:spacing w:line="360" w:lineRule="auto"/>
              <w:ind w:firstLine="480" w:firstLineChars="200"/>
              <w:rPr>
                <w:color w:val="000000"/>
                <w:sz w:val="24"/>
              </w:rPr>
            </w:pPr>
            <w:r>
              <w:rPr>
                <w:color w:val="000000"/>
                <w:sz w:val="24"/>
              </w:rPr>
              <w:t>电缆线路施工的工艺流程主要包括三个阶段，即准备工作、施工安装和启动验收。其中，施工安装阶段，本工程涉及新建电缆沟敷设及利用已建综合管廊、电缆隧道、电缆排管敷设两种安装工艺。</w:t>
            </w:r>
          </w:p>
          <w:p>
            <w:pPr>
              <w:autoSpaceDE w:val="0"/>
              <w:autoSpaceDN w:val="0"/>
              <w:adjustRightInd w:val="0"/>
              <w:snapToGrid w:val="0"/>
              <w:spacing w:line="360" w:lineRule="auto"/>
              <w:ind w:firstLine="480" w:firstLineChars="200"/>
              <w:rPr>
                <w:color w:val="000000"/>
                <w:sz w:val="24"/>
              </w:rPr>
            </w:pPr>
            <w:r>
              <w:rPr>
                <w:color w:val="000000"/>
                <w:sz w:val="24"/>
              </w:rPr>
              <w:t>本工程电缆线路施工工艺流程详见</w:t>
            </w:r>
            <w:r>
              <w:rPr>
                <w:rFonts w:hint="default"/>
                <w:b w:val="0"/>
                <w:bCs w:val="0"/>
                <w:color w:val="000000"/>
                <w:sz w:val="24"/>
                <w:szCs w:val="24"/>
                <w:lang w:val="en-US"/>
              </w:rPr>
              <w:fldChar w:fldCharType="begin"/>
            </w:r>
            <w:r>
              <w:rPr>
                <w:b w:val="0"/>
                <w:bCs w:val="0"/>
              </w:rPr>
              <w:instrText xml:space="preserve"> REF _Ref29047 \h  \* MERGEFORMAT</w:instrText>
            </w:r>
            <w:r>
              <w:rPr>
                <w:rFonts w:hint="default"/>
                <w:b w:val="0"/>
                <w:bCs w:val="0"/>
                <w:color w:val="000000"/>
                <w:sz w:val="24"/>
                <w:szCs w:val="24"/>
                <w:lang w:val="en-US"/>
              </w:rPr>
              <w:fldChar w:fldCharType="separate"/>
            </w:r>
            <w:r>
              <w:rPr>
                <w:rFonts w:ascii="Times New Roman" w:hAnsi="Times New Roman" w:eastAsia="宋体"/>
                <w:b w:val="0"/>
                <w:bCs w:val="0"/>
                <w:sz w:val="24"/>
                <w:szCs w:val="24"/>
              </w:rPr>
              <w:t>图4</w:t>
            </w:r>
            <w:r>
              <w:rPr>
                <w:rFonts w:hint="default"/>
                <w:b w:val="0"/>
                <w:bCs w:val="0"/>
                <w:color w:val="000000"/>
                <w:sz w:val="24"/>
                <w:szCs w:val="24"/>
                <w:lang w:val="en-US"/>
              </w:rPr>
              <w:fldChar w:fldCharType="end"/>
            </w:r>
            <w:r>
              <w:rPr>
                <w:rFonts w:hint="eastAsia"/>
                <w:color w:val="000000"/>
                <w:sz w:val="24"/>
              </w:rPr>
              <w:t>。</w:t>
            </w:r>
          </w:p>
          <w:p>
            <w:pPr>
              <w:autoSpaceDE w:val="0"/>
              <w:autoSpaceDN w:val="0"/>
              <w:adjustRightInd w:val="0"/>
              <w:snapToGrid w:val="0"/>
              <w:jc w:val="center"/>
            </w:pPr>
            <w:r>
              <w:drawing>
                <wp:inline distT="0" distB="0" distL="114300" distR="114300">
                  <wp:extent cx="2301240" cy="2073275"/>
                  <wp:effectExtent l="0" t="0" r="3810" b="3175"/>
                  <wp:docPr id="14"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0"/>
                          <pic:cNvPicPr>
                            <a:picLocks noChangeAspect="1"/>
                          </pic:cNvPicPr>
                        </pic:nvPicPr>
                        <pic:blipFill>
                          <a:blip r:embed="rId21"/>
                          <a:stretch>
                            <a:fillRect/>
                          </a:stretch>
                        </pic:blipFill>
                        <pic:spPr>
                          <a:xfrm>
                            <a:off x="0" y="0"/>
                            <a:ext cx="2301240" cy="2073275"/>
                          </a:xfrm>
                          <a:prstGeom prst="rect">
                            <a:avLst/>
                          </a:prstGeom>
                          <a:noFill/>
                          <a:ln>
                            <a:noFill/>
                          </a:ln>
                        </pic:spPr>
                      </pic:pic>
                    </a:graphicData>
                  </a:graphic>
                </wp:inline>
              </w:drawing>
            </w:r>
          </w:p>
          <w:p>
            <w:pPr>
              <w:pStyle w:val="10"/>
              <w:jc w:val="center"/>
              <w:rPr>
                <w:rFonts w:eastAsia="宋体"/>
              </w:rPr>
            </w:pPr>
            <w:bookmarkStart w:id="218" w:name="_Ref29047"/>
            <w:r>
              <w:rPr>
                <w:rFonts w:ascii="Times New Roman" w:hAnsi="Times New Roman" w:eastAsia="宋体"/>
                <w:b/>
                <w:bCs/>
              </w:rPr>
              <w:t xml:space="preserve">图 </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4</w:t>
            </w:r>
            <w:r>
              <w:rPr>
                <w:rFonts w:ascii="Times New Roman" w:hAnsi="Times New Roman" w:eastAsia="宋体"/>
                <w:b/>
                <w:bCs/>
              </w:rPr>
              <w:fldChar w:fldCharType="end"/>
            </w:r>
            <w:bookmarkEnd w:id="218"/>
            <w:r>
              <w:rPr>
                <w:rFonts w:ascii="Times New Roman" w:hAnsi="Times New Roman" w:eastAsia="宋体"/>
                <w:b/>
                <w:bCs/>
              </w:rPr>
              <w:t xml:space="preserve"> 电缆线路施工工艺流程图</w:t>
            </w:r>
          </w:p>
          <w:p>
            <w:pPr>
              <w:autoSpaceDE w:val="0"/>
              <w:autoSpaceDN w:val="0"/>
              <w:adjustRightInd w:val="0"/>
              <w:snapToGrid w:val="0"/>
              <w:spacing w:line="360" w:lineRule="auto"/>
              <w:ind w:firstLine="480" w:firstLineChars="200"/>
              <w:rPr>
                <w:sz w:val="24"/>
              </w:rPr>
            </w:pPr>
            <w:r>
              <w:rPr>
                <w:sz w:val="24"/>
              </w:rPr>
              <w:t>（1）准备工作</w:t>
            </w:r>
          </w:p>
          <w:p>
            <w:pPr>
              <w:autoSpaceDE w:val="0"/>
              <w:autoSpaceDN w:val="0"/>
              <w:adjustRightInd w:val="0"/>
              <w:snapToGrid w:val="0"/>
              <w:spacing w:line="360" w:lineRule="auto"/>
              <w:ind w:firstLine="480" w:firstLineChars="200"/>
              <w:rPr>
                <w:sz w:val="24"/>
              </w:rPr>
            </w:pPr>
            <w:r>
              <w:rPr>
                <w:sz w:val="24"/>
              </w:rPr>
              <w:t>为了做好施工准备工作，应对施工现场进行全面调查，了解工程整体情况，拟定切实可行的施工方案。施工准备工作包括技术准备、物资准备、施工现场准备等，其中技术准备包括运输道路、物料供应（钢筋、混凝土、水、砂石等）、沿线食宿生活、重要交叉跨越等现场调查，以及编写施工组织设计和施工说明等工作；物资准备包括设备订货、材料加工、材料运输计划、工器具准备等；施工现场准备包括建设必要的临时施工道路或设施，采购钢筋、混凝土、砂石等材料，按施工段进行更细致的运输道路调查，对线路进行复测和分坑，以及材料的工地运输。利用已建电缆通道进行敷设时，还应清理电缆通道内的杂物，确保通道干净无障碍物。</w:t>
            </w:r>
          </w:p>
          <w:p>
            <w:pPr>
              <w:autoSpaceDE w:val="0"/>
              <w:autoSpaceDN w:val="0"/>
              <w:adjustRightInd w:val="0"/>
              <w:snapToGrid w:val="0"/>
              <w:spacing w:line="360" w:lineRule="auto"/>
              <w:ind w:firstLine="480" w:firstLineChars="200"/>
              <w:rPr>
                <w:sz w:val="24"/>
              </w:rPr>
            </w:pPr>
            <w:r>
              <w:rPr>
                <w:sz w:val="24"/>
              </w:rPr>
              <w:t>（2）施工安装</w:t>
            </w:r>
          </w:p>
          <w:p>
            <w:pPr>
              <w:autoSpaceDE w:val="0"/>
              <w:autoSpaceDN w:val="0"/>
              <w:adjustRightInd w:val="0"/>
              <w:snapToGrid w:val="0"/>
              <w:spacing w:line="360" w:lineRule="auto"/>
              <w:ind w:firstLine="480" w:firstLineChars="200"/>
              <w:rPr>
                <w:sz w:val="24"/>
              </w:rPr>
            </w:pPr>
            <w:r>
              <w:rPr>
                <w:sz w:val="24"/>
              </w:rPr>
              <w:t>1）新建电缆沟敷设</w:t>
            </w:r>
          </w:p>
          <w:p>
            <w:pPr>
              <w:autoSpaceDE w:val="0"/>
              <w:autoSpaceDN w:val="0"/>
              <w:adjustRightInd w:val="0"/>
              <w:snapToGrid w:val="0"/>
              <w:spacing w:line="360" w:lineRule="auto"/>
              <w:ind w:firstLine="480" w:firstLineChars="200"/>
              <w:rPr>
                <w:sz w:val="24"/>
              </w:rPr>
            </w:pPr>
            <w:r>
              <w:rPr>
                <w:sz w:val="24"/>
              </w:rPr>
              <w:t>①沟槽开挖：根据设计图纸标记出排管线路，以机械为主、人工为辅的方式开挖沟槽。</w:t>
            </w:r>
          </w:p>
          <w:p>
            <w:pPr>
              <w:autoSpaceDE w:val="0"/>
              <w:autoSpaceDN w:val="0"/>
              <w:adjustRightInd w:val="0"/>
              <w:snapToGrid w:val="0"/>
              <w:spacing w:line="360" w:lineRule="auto"/>
              <w:ind w:firstLine="480" w:firstLineChars="200"/>
              <w:rPr>
                <w:sz w:val="24"/>
              </w:rPr>
            </w:pPr>
            <w:r>
              <w:rPr>
                <w:sz w:val="24"/>
              </w:rPr>
              <w:t>②电缆敷设：通过卷扬机等机械设备将电缆敷设入电缆沟内，使用电缆夹或其他固定装置将电缆固定在电缆沟支架上。</w:t>
            </w:r>
          </w:p>
          <w:p>
            <w:pPr>
              <w:autoSpaceDE w:val="0"/>
              <w:autoSpaceDN w:val="0"/>
              <w:adjustRightInd w:val="0"/>
              <w:snapToGrid w:val="0"/>
              <w:spacing w:line="360" w:lineRule="auto"/>
              <w:ind w:firstLine="480" w:firstLineChars="200"/>
              <w:rPr>
                <w:sz w:val="24"/>
              </w:rPr>
            </w:pPr>
            <w:r>
              <w:rPr>
                <w:sz w:val="24"/>
              </w:rPr>
              <w:t>③沟槽回填：电缆敷设完工后，进行沟槽回填，以机械为</w:t>
            </w:r>
            <w:r>
              <w:rPr>
                <w:rFonts w:hint="eastAsia"/>
                <w:sz w:val="24"/>
              </w:rPr>
              <w:t xml:space="preserve"> </w:t>
            </w:r>
            <w:r>
              <w:rPr>
                <w:sz w:val="24"/>
              </w:rPr>
              <w:t>主、人工为辅，分层回填，每层厚度为15cm并进行夯实。回填的高度与主体道路路面高程吻合。</w:t>
            </w:r>
          </w:p>
          <w:p>
            <w:pPr>
              <w:pStyle w:val="2"/>
              <w:numPr>
                <w:ilvl w:val="0"/>
                <w:numId w:val="7"/>
              </w:numPr>
              <w:spacing w:before="0" w:after="0" w:line="360" w:lineRule="auto"/>
              <w:rPr>
                <w:sz w:val="24"/>
              </w:rPr>
            </w:pPr>
            <w:r>
              <w:rPr>
                <w:rFonts w:hint="eastAsia" w:ascii="宋体" w:hAnsi="宋体" w:eastAsia="宋体" w:cs="宋体"/>
                <w:sz w:val="24"/>
              </w:rPr>
              <w:t>线路拆除工艺及流程</w:t>
            </w:r>
          </w:p>
          <w:p>
            <w:pPr>
              <w:autoSpaceDE w:val="0"/>
              <w:autoSpaceDN w:val="0"/>
              <w:spacing w:line="360" w:lineRule="auto"/>
              <w:ind w:firstLine="480" w:firstLineChars="200"/>
              <w:rPr>
                <w:kern w:val="0"/>
                <w:sz w:val="24"/>
              </w:rPr>
            </w:pPr>
            <w:r>
              <w:rPr>
                <w:rFonts w:hint="eastAsia"/>
                <w:kern w:val="0"/>
                <w:sz w:val="24"/>
              </w:rPr>
              <w:t>旧线路拆除工作分为拆除前准备工作，导、地线拆除，铁塔拆除三个步骤。</w:t>
            </w:r>
          </w:p>
          <w:p>
            <w:pPr>
              <w:autoSpaceDE w:val="0"/>
              <w:autoSpaceDN w:val="0"/>
              <w:spacing w:line="360" w:lineRule="auto"/>
              <w:ind w:firstLine="480" w:firstLineChars="200"/>
              <w:rPr>
                <w:kern w:val="0"/>
                <w:sz w:val="24"/>
              </w:rPr>
            </w:pPr>
            <w:r>
              <w:rPr>
                <w:rFonts w:hint="eastAsia"/>
                <w:kern w:val="0"/>
                <w:sz w:val="24"/>
              </w:rPr>
              <w:t>（1）拆除前准备工作</w:t>
            </w:r>
          </w:p>
          <w:p>
            <w:pPr>
              <w:autoSpaceDE w:val="0"/>
              <w:autoSpaceDN w:val="0"/>
              <w:spacing w:line="360" w:lineRule="auto"/>
              <w:ind w:firstLine="480" w:firstLineChars="200"/>
              <w:rPr>
                <w:kern w:val="0"/>
                <w:sz w:val="24"/>
              </w:rPr>
            </w:pPr>
            <w:r>
              <w:rPr>
                <w:rFonts w:hint="eastAsia"/>
                <w:kern w:val="0"/>
                <w:sz w:val="24"/>
              </w:rPr>
              <w:t>①施工负责人组织进场的相关人员认真查看施工现场，熟悉现场工作环境，了解每基铁塔的型号和呼高、重量等。</w:t>
            </w:r>
          </w:p>
          <w:p>
            <w:pPr>
              <w:autoSpaceDE w:val="0"/>
              <w:autoSpaceDN w:val="0"/>
              <w:spacing w:line="360" w:lineRule="auto"/>
              <w:ind w:firstLine="480" w:firstLineChars="200"/>
              <w:rPr>
                <w:kern w:val="0"/>
                <w:sz w:val="24"/>
              </w:rPr>
            </w:pPr>
            <w:r>
              <w:rPr>
                <w:rFonts w:hint="eastAsia"/>
                <w:kern w:val="0"/>
                <w:sz w:val="24"/>
              </w:rPr>
              <w:t>②组织施工班组进行安全、技术交底，熟悉拆旧具体施工方法，交代拆旧线旧塔的安全操作方法和要求、需采取的安全防范及危险点预控措施。</w:t>
            </w:r>
          </w:p>
          <w:p>
            <w:pPr>
              <w:autoSpaceDE w:val="0"/>
              <w:autoSpaceDN w:val="0"/>
              <w:spacing w:line="360" w:lineRule="auto"/>
              <w:ind w:firstLine="480" w:firstLineChars="200"/>
              <w:rPr>
                <w:kern w:val="0"/>
                <w:sz w:val="24"/>
              </w:rPr>
            </w:pPr>
            <w:r>
              <w:rPr>
                <w:rFonts w:hint="eastAsia"/>
                <w:kern w:val="0"/>
                <w:sz w:val="24"/>
              </w:rPr>
              <w:t>③准备施工器具（绞磨、滑车、钢绳、紧线夹、断线钳、防盗搬手套、对讲机），对工器具型号、性能进行细致检查；对个人安全工器具检查是否良好。</w:t>
            </w:r>
          </w:p>
          <w:p>
            <w:pPr>
              <w:autoSpaceDE w:val="0"/>
              <w:autoSpaceDN w:val="0"/>
              <w:spacing w:line="360" w:lineRule="auto"/>
              <w:ind w:firstLine="480" w:firstLineChars="200"/>
              <w:rPr>
                <w:kern w:val="0"/>
                <w:sz w:val="24"/>
              </w:rPr>
            </w:pPr>
            <w:r>
              <w:rPr>
                <w:rFonts w:hint="eastAsia"/>
                <w:kern w:val="0"/>
                <w:sz w:val="24"/>
              </w:rPr>
              <w:t>④拆旧采用的气割必须配置足够氧气瓶和乙炔及防火设备。</w:t>
            </w:r>
          </w:p>
          <w:p>
            <w:pPr>
              <w:autoSpaceDE w:val="0"/>
              <w:autoSpaceDN w:val="0"/>
              <w:spacing w:line="360" w:lineRule="auto"/>
              <w:ind w:firstLine="480" w:firstLineChars="200"/>
              <w:rPr>
                <w:kern w:val="0"/>
                <w:sz w:val="24"/>
              </w:rPr>
            </w:pPr>
            <w:r>
              <w:rPr>
                <w:rFonts w:hint="eastAsia"/>
                <w:kern w:val="0"/>
                <w:sz w:val="24"/>
              </w:rPr>
              <w:t>⑤拆除施工前必须先对导线加挂接地线进行放电，将线路上的感应电全部放完后才能开始施工。</w:t>
            </w:r>
          </w:p>
          <w:p>
            <w:pPr>
              <w:autoSpaceDE w:val="0"/>
              <w:autoSpaceDN w:val="0"/>
              <w:spacing w:line="360" w:lineRule="auto"/>
              <w:ind w:firstLine="480" w:firstLineChars="200"/>
              <w:rPr>
                <w:kern w:val="0"/>
                <w:sz w:val="24"/>
              </w:rPr>
            </w:pPr>
            <w:r>
              <w:rPr>
                <w:rFonts w:hint="eastAsia"/>
                <w:kern w:val="0"/>
                <w:sz w:val="24"/>
              </w:rPr>
              <w:t>（2）导、地线拆除</w:t>
            </w:r>
          </w:p>
          <w:p>
            <w:pPr>
              <w:autoSpaceDE w:val="0"/>
              <w:autoSpaceDN w:val="0"/>
              <w:spacing w:line="360" w:lineRule="auto"/>
              <w:ind w:firstLine="480" w:firstLineChars="200"/>
              <w:rPr>
                <w:kern w:val="0"/>
                <w:sz w:val="24"/>
              </w:rPr>
            </w:pPr>
            <w:r>
              <w:rPr>
                <w:rFonts w:hint="eastAsia"/>
                <w:kern w:val="0"/>
                <w:sz w:val="24"/>
              </w:rPr>
              <w:t>①拆除导、地线上的所有防震锤，在分段内铁塔的导、地线上将附件拆除，导线换成单轮滑车，地线换成地线滑车。</w:t>
            </w:r>
          </w:p>
          <w:p>
            <w:pPr>
              <w:autoSpaceDE w:val="0"/>
              <w:autoSpaceDN w:val="0"/>
              <w:spacing w:line="360" w:lineRule="auto"/>
              <w:ind w:firstLine="480" w:firstLineChars="200"/>
              <w:rPr>
                <w:kern w:val="0"/>
                <w:sz w:val="24"/>
              </w:rPr>
            </w:pPr>
            <w:r>
              <w:rPr>
                <w:rFonts w:hint="eastAsia"/>
                <w:kern w:val="0"/>
                <w:sz w:val="24"/>
              </w:rPr>
              <w:t>②检查该段线路内是否有跨越的电力线、通讯线等障碍物，若有电力线、通讯线等在拆线之前做好跨越架设搭设。</w:t>
            </w:r>
          </w:p>
          <w:p>
            <w:pPr>
              <w:autoSpaceDE w:val="0"/>
              <w:autoSpaceDN w:val="0"/>
              <w:spacing w:line="360" w:lineRule="auto"/>
              <w:ind w:firstLine="480" w:firstLineChars="200"/>
              <w:rPr>
                <w:kern w:val="0"/>
                <w:sz w:val="24"/>
              </w:rPr>
            </w:pPr>
            <w:r>
              <w:rPr>
                <w:rFonts w:hint="eastAsia"/>
                <w:kern w:val="0"/>
                <w:sz w:val="24"/>
              </w:rPr>
              <w:t>③在铁塔一侧准备好打过轮临锚的准备工作，过轮临锚由导线卡线器、钢丝绳、滑车、钢丝套子、手扳葫芦及地锚等构成。</w:t>
            </w:r>
          </w:p>
          <w:p>
            <w:pPr>
              <w:autoSpaceDE w:val="0"/>
              <w:autoSpaceDN w:val="0"/>
              <w:spacing w:line="360" w:lineRule="auto"/>
              <w:ind w:firstLine="480" w:firstLineChars="200"/>
              <w:rPr>
                <w:kern w:val="0"/>
                <w:sz w:val="24"/>
              </w:rPr>
            </w:pPr>
            <w:r>
              <w:rPr>
                <w:rFonts w:hint="eastAsia"/>
                <w:kern w:val="0"/>
                <w:sz w:val="24"/>
              </w:rPr>
              <w:t>④开始落线，安排人员观测驰度，看到驰度下降接近地面时，打好过线塔的过轮临锚并收紧手扳葫芦。</w:t>
            </w:r>
          </w:p>
          <w:p>
            <w:pPr>
              <w:autoSpaceDE w:val="0"/>
              <w:autoSpaceDN w:val="0"/>
              <w:spacing w:line="360" w:lineRule="auto"/>
              <w:ind w:firstLine="480" w:firstLineChars="200"/>
              <w:rPr>
                <w:kern w:val="0"/>
                <w:sz w:val="24"/>
              </w:rPr>
            </w:pPr>
            <w:r>
              <w:rPr>
                <w:rFonts w:hint="eastAsia"/>
                <w:kern w:val="0"/>
                <w:sz w:val="24"/>
              </w:rPr>
              <w:t>⑤将导线落到地面上，拆除所有的耐张金具。</w:t>
            </w:r>
          </w:p>
          <w:p>
            <w:pPr>
              <w:autoSpaceDE w:val="0"/>
              <w:autoSpaceDN w:val="0"/>
              <w:spacing w:line="360" w:lineRule="auto"/>
              <w:ind w:firstLine="480" w:firstLineChars="200"/>
              <w:rPr>
                <w:kern w:val="0"/>
                <w:sz w:val="24"/>
              </w:rPr>
            </w:pPr>
            <w:r>
              <w:rPr>
                <w:rFonts w:hint="eastAsia"/>
                <w:kern w:val="0"/>
                <w:sz w:val="24"/>
              </w:rPr>
              <w:t>⑥按照运输方便的原则将导线分段剪断后运到材料场，妥善存放。</w:t>
            </w:r>
          </w:p>
          <w:p>
            <w:pPr>
              <w:autoSpaceDE w:val="0"/>
              <w:autoSpaceDN w:val="0"/>
              <w:spacing w:line="360" w:lineRule="auto"/>
              <w:ind w:firstLine="480" w:firstLineChars="200"/>
              <w:rPr>
                <w:kern w:val="0"/>
                <w:sz w:val="24"/>
              </w:rPr>
            </w:pPr>
            <w:r>
              <w:rPr>
                <w:rFonts w:hint="eastAsia"/>
                <w:kern w:val="0"/>
                <w:sz w:val="24"/>
              </w:rPr>
              <w:t>（3）铁塔拆除</w:t>
            </w:r>
          </w:p>
          <w:p>
            <w:pPr>
              <w:autoSpaceDE w:val="0"/>
              <w:autoSpaceDN w:val="0"/>
              <w:spacing w:line="360" w:lineRule="auto"/>
              <w:ind w:firstLine="480" w:firstLineChars="200"/>
              <w:rPr>
                <w:kern w:val="0"/>
                <w:sz w:val="24"/>
              </w:rPr>
            </w:pPr>
            <w:r>
              <w:rPr>
                <w:rFonts w:hint="eastAsia"/>
                <w:kern w:val="0"/>
                <w:sz w:val="24"/>
              </w:rPr>
              <w:t>本工程需要拆除的杆塔均为铁塔，拟采用小抱杆拆除的施工方法。</w:t>
            </w:r>
          </w:p>
          <w:p>
            <w:pPr>
              <w:autoSpaceDE w:val="0"/>
              <w:autoSpaceDN w:val="0"/>
              <w:spacing w:line="360" w:lineRule="auto"/>
              <w:ind w:firstLine="480" w:firstLineChars="200"/>
              <w:rPr>
                <w:kern w:val="0"/>
                <w:sz w:val="24"/>
              </w:rPr>
            </w:pPr>
            <w:r>
              <w:rPr>
                <w:rFonts w:hint="eastAsia"/>
                <w:kern w:val="0"/>
                <w:sz w:val="24"/>
              </w:rPr>
              <w:t>①拆除导、地线上的所有防震锤，在分段内杆塔的导、地线上将附件拆除，导线换成单轮滑车，地线换成地线滑车。</w:t>
            </w:r>
          </w:p>
          <w:p>
            <w:pPr>
              <w:autoSpaceDE w:val="0"/>
              <w:autoSpaceDN w:val="0"/>
              <w:spacing w:line="360" w:lineRule="auto"/>
              <w:ind w:firstLine="480" w:firstLineChars="200"/>
              <w:rPr>
                <w:kern w:val="0"/>
                <w:sz w:val="24"/>
              </w:rPr>
            </w:pPr>
            <w:r>
              <w:rPr>
                <w:rFonts w:hint="eastAsia"/>
                <w:kern w:val="0"/>
                <w:sz w:val="24"/>
              </w:rPr>
              <w:t>②检查拟拆除的线路段内是否有跨越的电力线、通讯线等障碍物，若有电力线、通讯线等在拆线之前做好跨越架搭设。</w:t>
            </w:r>
          </w:p>
          <w:p>
            <w:pPr>
              <w:autoSpaceDE w:val="0"/>
              <w:autoSpaceDN w:val="0"/>
              <w:spacing w:line="360" w:lineRule="auto"/>
              <w:ind w:firstLine="480" w:firstLineChars="200"/>
              <w:rPr>
                <w:kern w:val="0"/>
                <w:sz w:val="24"/>
              </w:rPr>
            </w:pPr>
            <w:r>
              <w:rPr>
                <w:rFonts w:hint="eastAsia"/>
                <w:kern w:val="0"/>
                <w:sz w:val="24"/>
              </w:rPr>
              <w:t>③在杆塔一侧准备好打过轮临锚的准备工作，过轮临锚由导线卡线器、钢丝绳、滑车、钢丝套子、手扳葫芦及地锚等构成。</w:t>
            </w:r>
          </w:p>
          <w:p>
            <w:pPr>
              <w:autoSpaceDE w:val="0"/>
              <w:autoSpaceDN w:val="0"/>
              <w:spacing w:line="360" w:lineRule="auto"/>
              <w:ind w:firstLine="480" w:firstLineChars="200"/>
              <w:rPr>
                <w:kern w:val="0"/>
                <w:sz w:val="24"/>
              </w:rPr>
            </w:pPr>
            <w:r>
              <w:rPr>
                <w:rFonts w:hint="eastAsia"/>
                <w:kern w:val="0"/>
                <w:sz w:val="24"/>
              </w:rPr>
              <w:t>④开始落线，安排人员观测驰度，看到驰度下降接近地面时，打好过线塔的过轮临锚并收紧手扳葫芦。</w:t>
            </w:r>
          </w:p>
          <w:p>
            <w:pPr>
              <w:autoSpaceDE w:val="0"/>
              <w:autoSpaceDN w:val="0"/>
              <w:spacing w:line="360" w:lineRule="auto"/>
              <w:ind w:firstLine="480" w:firstLineChars="200"/>
              <w:rPr>
                <w:kern w:val="0"/>
                <w:sz w:val="24"/>
              </w:rPr>
            </w:pPr>
            <w:r>
              <w:rPr>
                <w:rFonts w:hint="eastAsia"/>
                <w:kern w:val="0"/>
                <w:sz w:val="24"/>
              </w:rPr>
              <w:t>⑤将导线落到地面上，拆除所有的耐张金具。</w:t>
            </w:r>
          </w:p>
          <w:p>
            <w:pPr>
              <w:autoSpaceDE w:val="0"/>
              <w:autoSpaceDN w:val="0"/>
              <w:spacing w:line="360" w:lineRule="auto"/>
              <w:ind w:firstLine="480" w:firstLineChars="200"/>
              <w:rPr>
                <w:kern w:val="0"/>
                <w:sz w:val="24"/>
              </w:rPr>
            </w:pPr>
            <w:r>
              <w:rPr>
                <w:rFonts w:hint="eastAsia"/>
                <w:kern w:val="0"/>
                <w:sz w:val="24"/>
              </w:rPr>
              <w:t>⑥按照运输方便的原则将导线分段剪断后运到材料场，妥善存放。</w:t>
            </w:r>
          </w:p>
          <w:p>
            <w:pPr>
              <w:autoSpaceDE w:val="0"/>
              <w:autoSpaceDN w:val="0"/>
              <w:adjustRightInd w:val="0"/>
              <w:snapToGrid w:val="0"/>
              <w:spacing w:line="360" w:lineRule="auto"/>
              <w:ind w:firstLine="480" w:firstLineChars="200"/>
            </w:pPr>
            <w:r>
              <w:rPr>
                <w:rFonts w:hint="eastAsia"/>
                <w:kern w:val="0"/>
                <w:sz w:val="24"/>
              </w:rPr>
              <w:t>⑦拆除塔基构架及附件，并对裸露在地面的塔基及其地面下1m以上区域均进行破碎处理。拆除线路产生的塔材、导线、金具等物料统一交由电力公司物资部门集中处置。</w:t>
            </w:r>
          </w:p>
          <w:p>
            <w:pPr>
              <w:pStyle w:val="2"/>
              <w:numPr>
                <w:ilvl w:val="0"/>
                <w:numId w:val="7"/>
              </w:numPr>
              <w:spacing w:before="0" w:after="0" w:line="360" w:lineRule="auto"/>
              <w:rPr>
                <w:rFonts w:eastAsia="宋体"/>
                <w:sz w:val="24"/>
                <w:szCs w:val="24"/>
              </w:rPr>
            </w:pPr>
            <w:bookmarkStart w:id="219" w:name="_Toc111564295"/>
            <w:bookmarkStart w:id="220" w:name="_Toc29631"/>
            <w:bookmarkStart w:id="221" w:name="_Toc18051"/>
            <w:bookmarkStart w:id="222" w:name="_Toc110439078"/>
            <w:r>
              <w:rPr>
                <w:rFonts w:hint="eastAsia" w:eastAsia="宋体"/>
                <w:sz w:val="24"/>
                <w:szCs w:val="24"/>
              </w:rPr>
              <w:t>施工</w:t>
            </w:r>
            <w:r>
              <w:rPr>
                <w:rFonts w:eastAsia="宋体"/>
                <w:sz w:val="24"/>
                <w:szCs w:val="24"/>
              </w:rPr>
              <w:t>时序</w:t>
            </w:r>
            <w:bookmarkEnd w:id="219"/>
            <w:bookmarkEnd w:id="220"/>
            <w:bookmarkEnd w:id="221"/>
            <w:bookmarkEnd w:id="222"/>
          </w:p>
          <w:p>
            <w:pPr>
              <w:autoSpaceDE w:val="0"/>
              <w:autoSpaceDN w:val="0"/>
              <w:adjustRightInd w:val="0"/>
              <w:snapToGrid w:val="0"/>
              <w:spacing w:line="360" w:lineRule="auto"/>
              <w:ind w:firstLine="480" w:firstLineChars="200"/>
              <w:rPr>
                <w:color w:val="000000"/>
                <w:sz w:val="24"/>
              </w:rPr>
            </w:pPr>
            <w:r>
              <w:rPr>
                <w:rFonts w:hint="eastAsia"/>
                <w:color w:val="000000"/>
                <w:sz w:val="24"/>
              </w:rPr>
              <w:t>本工程施工时序包括施工准备、基础施工、主体施工和设备安装调试，建设周期约为12个月。</w:t>
            </w:r>
          </w:p>
          <w:p>
            <w:pPr>
              <w:pStyle w:val="2"/>
              <w:numPr>
                <w:ilvl w:val="0"/>
                <w:numId w:val="7"/>
              </w:numPr>
              <w:spacing w:before="0" w:after="0" w:line="360" w:lineRule="auto"/>
              <w:rPr>
                <w:rFonts w:eastAsia="宋体"/>
                <w:sz w:val="24"/>
                <w:szCs w:val="24"/>
              </w:rPr>
            </w:pPr>
            <w:bookmarkStart w:id="223" w:name="_Toc110439079"/>
            <w:bookmarkEnd w:id="223"/>
            <w:bookmarkStart w:id="224" w:name="_Toc31957"/>
            <w:bookmarkStart w:id="225" w:name="_Toc109473545"/>
            <w:bookmarkStart w:id="226" w:name="_Toc11592"/>
            <w:bookmarkStart w:id="227" w:name="_Toc110439080"/>
            <w:bookmarkStart w:id="228" w:name="_Toc109473779"/>
            <w:bookmarkStart w:id="229" w:name="_Toc109473858"/>
            <w:bookmarkStart w:id="230" w:name="_Toc109472592"/>
            <w:bookmarkStart w:id="231" w:name="_Toc109473410"/>
            <w:bookmarkStart w:id="232" w:name="_Toc111564296"/>
            <w:r>
              <w:rPr>
                <w:rFonts w:hint="eastAsia" w:eastAsia="宋体"/>
                <w:sz w:val="24"/>
                <w:szCs w:val="24"/>
              </w:rPr>
              <w:t>建设</w:t>
            </w:r>
            <w:r>
              <w:rPr>
                <w:rFonts w:eastAsia="宋体"/>
                <w:sz w:val="24"/>
                <w:szCs w:val="24"/>
              </w:rPr>
              <w:t>周期</w:t>
            </w:r>
            <w:bookmarkEnd w:id="224"/>
            <w:bookmarkEnd w:id="225"/>
            <w:bookmarkEnd w:id="226"/>
            <w:bookmarkEnd w:id="227"/>
            <w:bookmarkEnd w:id="228"/>
            <w:bookmarkEnd w:id="229"/>
            <w:bookmarkEnd w:id="230"/>
            <w:bookmarkEnd w:id="231"/>
            <w:bookmarkEnd w:id="232"/>
          </w:p>
          <w:p>
            <w:pPr>
              <w:autoSpaceDE w:val="0"/>
              <w:autoSpaceDN w:val="0"/>
              <w:adjustRightInd w:val="0"/>
              <w:snapToGrid w:val="0"/>
              <w:spacing w:line="360" w:lineRule="auto"/>
              <w:ind w:firstLine="480" w:firstLineChars="200"/>
              <w:rPr>
                <w:color w:val="000000"/>
                <w:sz w:val="24"/>
                <w:highlight w:val="yellow"/>
              </w:rPr>
            </w:pPr>
            <w:bookmarkStart w:id="233" w:name="_Toc109472593"/>
            <w:r>
              <w:rPr>
                <w:rFonts w:hint="eastAsia"/>
                <w:color w:val="000000"/>
                <w:sz w:val="24"/>
              </w:rPr>
              <w:t>本工程预计2026年6月开工，</w:t>
            </w:r>
            <w:r>
              <w:rPr>
                <w:color w:val="000000"/>
                <w:sz w:val="24"/>
              </w:rPr>
              <w:t>建设周期</w:t>
            </w:r>
            <w:r>
              <w:rPr>
                <w:rFonts w:hint="eastAsia"/>
                <w:color w:val="000000"/>
                <w:sz w:val="24"/>
              </w:rPr>
              <w:t>12</w:t>
            </w:r>
            <w:r>
              <w:rPr>
                <w:color w:val="000000"/>
                <w:sz w:val="24"/>
              </w:rPr>
              <w:t>个月</w:t>
            </w:r>
            <w:r>
              <w:rPr>
                <w:rFonts w:hint="eastAsia"/>
                <w:color w:val="000000"/>
                <w:sz w:val="24"/>
              </w:rPr>
              <w:t>。</w:t>
            </w:r>
            <w:bookmarkEnd w:id="233"/>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29" w:hRule="atLeast"/>
          <w:jc w:val="center"/>
        </w:trPr>
        <w:tc>
          <w:tcPr>
            <w:tcW w:w="545" w:type="dxa"/>
            <w:tcBorders>
              <w:top w:val="single" w:color="auto" w:sz="4" w:space="0"/>
              <w:left w:val="single" w:color="auto" w:sz="8" w:space="0"/>
              <w:bottom w:val="single" w:color="auto" w:sz="8" w:space="0"/>
              <w:right w:val="single" w:color="auto" w:sz="4" w:space="0"/>
            </w:tcBorders>
            <w:vAlign w:val="center"/>
          </w:tcPr>
          <w:p>
            <w:pPr>
              <w:adjustRightInd w:val="0"/>
              <w:snapToGrid w:val="0"/>
              <w:jc w:val="center"/>
              <w:rPr>
                <w:b/>
                <w:color w:val="000000"/>
                <w:kern w:val="0"/>
                <w:sz w:val="24"/>
                <w:highlight w:val="yellow"/>
              </w:rPr>
            </w:pPr>
            <w:r>
              <w:rPr>
                <w:b/>
                <w:color w:val="000000"/>
                <w:kern w:val="0"/>
                <w:sz w:val="24"/>
              </w:rPr>
              <w:t>其他</w:t>
            </w:r>
          </w:p>
        </w:tc>
        <w:tc>
          <w:tcPr>
            <w:tcW w:w="8545" w:type="dxa"/>
            <w:tcBorders>
              <w:top w:val="single" w:color="auto" w:sz="4" w:space="0"/>
              <w:left w:val="single" w:color="auto" w:sz="4" w:space="0"/>
              <w:bottom w:val="single" w:color="auto" w:sz="8" w:space="0"/>
              <w:right w:val="single" w:color="auto" w:sz="8" w:space="0"/>
            </w:tcBorders>
            <w:vAlign w:val="center"/>
          </w:tcPr>
          <w:p>
            <w:pPr>
              <w:pStyle w:val="36"/>
              <w:numPr>
                <w:ilvl w:val="255"/>
                <w:numId w:val="0"/>
              </w:numPr>
              <w:spacing w:after="0"/>
              <w:jc w:val="center"/>
            </w:pPr>
            <w:bookmarkStart w:id="234" w:name="_Toc110439109"/>
            <w:bookmarkEnd w:id="234"/>
            <w:bookmarkStart w:id="235" w:name="_Toc110439111"/>
            <w:bookmarkEnd w:id="235"/>
            <w:bookmarkStart w:id="236" w:name="_Toc110439110"/>
            <w:bookmarkEnd w:id="236"/>
            <w:r>
              <w:rPr>
                <w:rFonts w:hint="eastAsia"/>
              </w:rPr>
              <w:t>无</w:t>
            </w:r>
          </w:p>
        </w:tc>
      </w:tr>
    </w:tbl>
    <w:p>
      <w:pPr>
        <w:pStyle w:val="33"/>
        <w:spacing w:before="0" w:beforeAutospacing="0" w:after="0" w:afterAutospacing="0"/>
        <w:jc w:val="center"/>
        <w:outlineLvl w:val="0"/>
        <w:rPr>
          <w:rFonts w:ascii="Times New Roman" w:hAnsi="Times New Roman"/>
          <w:b/>
          <w:bCs/>
          <w:snapToGrid w:val="0"/>
          <w:color w:val="000000"/>
          <w:sz w:val="32"/>
          <w:szCs w:val="32"/>
          <w:highlight w:val="yellow"/>
        </w:rPr>
      </w:pPr>
      <w:r>
        <w:rPr>
          <w:rFonts w:ascii="Times New Roman" w:hAnsi="Times New Roman"/>
          <w:b/>
          <w:bCs/>
          <w:color w:val="000000"/>
          <w:highlight w:val="yellow"/>
        </w:rPr>
        <w:br w:type="page"/>
      </w:r>
      <w:bookmarkStart w:id="237" w:name="_Toc27281"/>
      <w:bookmarkStart w:id="238" w:name="_Toc8250"/>
      <w:r>
        <w:rPr>
          <w:rFonts w:ascii="Times New Roman" w:hAnsi="Times New Roman"/>
          <w:b/>
          <w:bCs/>
          <w:snapToGrid w:val="0"/>
          <w:color w:val="000000"/>
          <w:sz w:val="32"/>
          <w:szCs w:val="32"/>
        </w:rPr>
        <w:t>三、生态环境现状、保护目标及评价标准</w:t>
      </w:r>
      <w:bookmarkEnd w:id="8"/>
      <w:bookmarkEnd w:id="9"/>
      <w:bookmarkEnd w:id="237"/>
      <w:bookmarkEnd w:id="238"/>
    </w:p>
    <w:tbl>
      <w:tblPr>
        <w:tblStyle w:val="37"/>
        <w:tblW w:w="890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57"/>
        <w:gridCol w:w="845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466" w:hRule="atLeast"/>
          <w:jc w:val="center"/>
        </w:trPr>
        <w:tc>
          <w:tcPr>
            <w:tcW w:w="457" w:type="dxa"/>
            <w:vAlign w:val="center"/>
          </w:tcPr>
          <w:p>
            <w:pPr>
              <w:adjustRightInd w:val="0"/>
              <w:snapToGrid w:val="0"/>
              <w:jc w:val="center"/>
              <w:rPr>
                <w:b/>
                <w:color w:val="000000"/>
                <w:kern w:val="0"/>
                <w:szCs w:val="21"/>
                <w:highlight w:val="yellow"/>
              </w:rPr>
            </w:pPr>
            <w:r>
              <w:rPr>
                <w:b/>
                <w:color w:val="000000"/>
                <w:kern w:val="0"/>
                <w:sz w:val="24"/>
              </w:rPr>
              <w:t>生态环境现状</w:t>
            </w:r>
          </w:p>
        </w:tc>
        <w:tc>
          <w:tcPr>
            <w:tcW w:w="8452" w:type="dxa"/>
            <w:vAlign w:val="center"/>
          </w:tcPr>
          <w:p>
            <w:pPr>
              <w:pStyle w:val="2"/>
              <w:numPr>
                <w:ilvl w:val="0"/>
                <w:numId w:val="8"/>
              </w:numPr>
              <w:spacing w:before="0" w:after="0" w:line="360" w:lineRule="auto"/>
              <w:rPr>
                <w:rFonts w:eastAsia="宋体"/>
                <w:sz w:val="24"/>
                <w:szCs w:val="24"/>
              </w:rPr>
            </w:pPr>
            <w:bookmarkStart w:id="239" w:name="_Toc95464653"/>
            <w:bookmarkStart w:id="240" w:name="_Toc91493251"/>
            <w:bookmarkStart w:id="241" w:name="_Toc96031362"/>
            <w:bookmarkStart w:id="242" w:name="_Toc3538"/>
            <w:bookmarkStart w:id="243" w:name="_Toc109472612"/>
            <w:bookmarkStart w:id="244" w:name="_Toc91532158"/>
            <w:bookmarkStart w:id="245" w:name="_Toc81308135"/>
            <w:bookmarkStart w:id="246" w:name="_Toc109473785"/>
            <w:bookmarkStart w:id="247" w:name="_Toc96935399"/>
            <w:bookmarkStart w:id="248" w:name="_Toc110439136"/>
            <w:bookmarkStart w:id="249" w:name="_Toc97290435"/>
            <w:bookmarkStart w:id="250" w:name="_Toc109473864"/>
            <w:bookmarkStart w:id="251" w:name="_Toc96031279"/>
            <w:bookmarkStart w:id="252" w:name="_Toc111564303"/>
            <w:bookmarkStart w:id="253" w:name="_Toc88558505"/>
            <w:bookmarkStart w:id="254" w:name="_Toc26743"/>
            <w:bookmarkStart w:id="255" w:name="_Toc85036865"/>
            <w:bookmarkStart w:id="256" w:name="_Toc18322"/>
            <w:bookmarkStart w:id="257" w:name="_Toc109473551"/>
            <w:bookmarkStart w:id="258" w:name="_Toc81415607"/>
            <w:bookmarkStart w:id="259" w:name="_Toc85037199"/>
            <w:bookmarkStart w:id="260" w:name="_Toc97290569"/>
            <w:r>
              <w:rPr>
                <w:rFonts w:eastAsia="宋体"/>
                <w:sz w:val="24"/>
                <w:szCs w:val="24"/>
              </w:rPr>
              <w:t>主体功能区规划和生态功能区划情况</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pPr>
              <w:pStyle w:val="5"/>
              <w:numPr>
                <w:ilvl w:val="0"/>
                <w:numId w:val="9"/>
              </w:numPr>
              <w:spacing w:before="50" w:after="50"/>
              <w:ind w:firstLineChars="0"/>
              <w:rPr>
                <w:b/>
                <w:color w:val="000000"/>
                <w:szCs w:val="24"/>
              </w:rPr>
            </w:pPr>
            <w:r>
              <w:rPr>
                <w:b/>
                <w:color w:val="000000"/>
                <w:szCs w:val="24"/>
              </w:rPr>
              <w:t>主体功能区规划</w:t>
            </w:r>
          </w:p>
          <w:p>
            <w:pPr>
              <w:autoSpaceDE w:val="0"/>
              <w:autoSpaceDN w:val="0"/>
              <w:adjustRightInd w:val="0"/>
              <w:snapToGrid w:val="0"/>
              <w:spacing w:line="360" w:lineRule="auto"/>
              <w:ind w:firstLine="480" w:firstLineChars="200"/>
              <w:rPr>
                <w:color w:val="000000"/>
                <w:sz w:val="24"/>
              </w:rPr>
            </w:pPr>
            <w:r>
              <w:rPr>
                <w:rFonts w:hint="eastAsia"/>
                <w:color w:val="000000"/>
                <w:sz w:val="24"/>
              </w:rPr>
              <w:t>根据《新疆维吾尔自治区主体功能区规划》，新疆国土空间划分为重点开发、限制开发和禁止开发区域；按开发内容，分为城市化地区、农产品主产区和重点生态功能区；按层级，分为国家级和自治区两个层面。本工程位于吐鲁番市托克逊县，所在区域不属于国家级、自治区级禁止开发区域，</w:t>
            </w:r>
            <w:r>
              <w:rPr>
                <w:sz w:val="24"/>
              </w:rPr>
              <w:t>属于《新疆维吾尔自治区主体功能区规划》中划定的国家级农产品主产区，为限制开发区域</w:t>
            </w:r>
            <w:r>
              <w:rPr>
                <w:rFonts w:hint="eastAsia"/>
                <w:color w:val="000000"/>
                <w:sz w:val="24"/>
              </w:rPr>
              <w:t>。</w:t>
            </w:r>
          </w:p>
          <w:p>
            <w:pPr>
              <w:autoSpaceDE w:val="0"/>
              <w:autoSpaceDN w:val="0"/>
              <w:adjustRightInd w:val="0"/>
              <w:snapToGrid w:val="0"/>
              <w:spacing w:line="360" w:lineRule="auto"/>
              <w:ind w:firstLine="480" w:firstLineChars="200"/>
              <w:rPr>
                <w:color w:val="000000"/>
                <w:sz w:val="24"/>
              </w:rPr>
            </w:pPr>
            <w:r>
              <w:rPr>
                <w:sz w:val="24"/>
              </w:rPr>
              <w:t>本工程与主体功能区规划</w:t>
            </w:r>
            <w:r>
              <w:rPr>
                <w:rFonts w:hint="eastAsia"/>
                <w:sz w:val="24"/>
              </w:rPr>
              <w:t>相对位置关系见附图3，</w:t>
            </w:r>
            <w:r>
              <w:rPr>
                <w:color w:val="000000"/>
                <w:sz w:val="24"/>
              </w:rPr>
              <w:t>本工程与主体功能区规划相符性分析见</w:t>
            </w:r>
            <w:r>
              <w:rPr>
                <w:rFonts w:hint="default"/>
                <w:b w:val="0"/>
                <w:bCs w:val="0"/>
                <w:color w:val="000000"/>
                <w:sz w:val="24"/>
                <w:szCs w:val="24"/>
                <w:lang w:val="en-US"/>
              </w:rPr>
              <w:fldChar w:fldCharType="begin"/>
            </w:r>
            <w:r>
              <w:rPr>
                <w:b w:val="0"/>
                <w:bCs w:val="0"/>
              </w:rPr>
              <w:instrText xml:space="preserve"> REF _Ref157201846 \h  \* MERGEFORMAT</w:instrText>
            </w:r>
            <w:r>
              <w:rPr>
                <w:rFonts w:hint="default"/>
                <w:b w:val="0"/>
                <w:bCs w:val="0"/>
                <w:color w:val="000000"/>
                <w:sz w:val="24"/>
                <w:szCs w:val="24"/>
                <w:lang w:val="en-US"/>
              </w:rPr>
              <w:fldChar w:fldCharType="separate"/>
            </w:r>
            <w:r>
              <w:rPr>
                <w:rFonts w:ascii="Times New Roman" w:hAnsi="Times New Roman" w:eastAsia="宋体"/>
                <w:b w:val="0"/>
                <w:bCs w:val="0"/>
                <w:sz w:val="24"/>
                <w:szCs w:val="24"/>
              </w:rPr>
              <w:t>表10</w:t>
            </w:r>
            <w:r>
              <w:rPr>
                <w:rFonts w:hint="default"/>
                <w:b w:val="0"/>
                <w:bCs w:val="0"/>
                <w:color w:val="000000"/>
                <w:sz w:val="24"/>
                <w:szCs w:val="24"/>
                <w:lang w:val="en-US"/>
              </w:rPr>
              <w:fldChar w:fldCharType="end"/>
            </w:r>
            <w:r>
              <w:rPr>
                <w:color w:val="000000"/>
                <w:sz w:val="24"/>
              </w:rPr>
              <w:t>。</w:t>
            </w:r>
          </w:p>
          <w:p>
            <w:pPr>
              <w:pStyle w:val="10"/>
              <w:keepNext/>
              <w:jc w:val="left"/>
              <w:rPr>
                <w:rFonts w:ascii="Times New Roman" w:hAnsi="Times New Roman"/>
                <w:b/>
              </w:rPr>
            </w:pPr>
            <w:bookmarkStart w:id="261" w:name="_Ref157201846"/>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10</w:t>
            </w:r>
            <w:r>
              <w:rPr>
                <w:rFonts w:ascii="Times New Roman" w:hAnsi="Times New Roman" w:eastAsia="宋体"/>
                <w:b/>
              </w:rPr>
              <w:fldChar w:fldCharType="end"/>
            </w:r>
            <w:bookmarkEnd w:id="261"/>
            <w:r>
              <w:rPr>
                <w:rFonts w:ascii="Times New Roman" w:hAnsi="Times New Roman" w:eastAsia="宋体"/>
                <w:b/>
              </w:rPr>
              <w:t>本工程与新疆维吾尔自治区</w:t>
            </w:r>
            <w:r>
              <w:rPr>
                <w:rFonts w:hint="eastAsia" w:ascii="Times New Roman" w:hAnsi="Times New Roman" w:eastAsia="宋体"/>
                <w:b/>
              </w:rPr>
              <w:t>主体功能区规划</w:t>
            </w:r>
            <w:r>
              <w:rPr>
                <w:rFonts w:ascii="Times New Roman" w:hAnsi="Times New Roman" w:eastAsia="宋体"/>
                <w:b/>
              </w:rPr>
              <w:t>相符性分析一览表</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7"/>
              <w:gridCol w:w="2736"/>
              <w:gridCol w:w="10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709" w:type="pct"/>
                  <w:vAlign w:val="center"/>
                </w:tcPr>
                <w:p>
                  <w:pPr>
                    <w:pStyle w:val="5"/>
                    <w:spacing w:line="240" w:lineRule="auto"/>
                    <w:ind w:firstLine="0" w:firstLineChars="0"/>
                    <w:jc w:val="center"/>
                    <w:rPr>
                      <w:b/>
                      <w:color w:val="000000"/>
                      <w:sz w:val="21"/>
                      <w:szCs w:val="21"/>
                    </w:rPr>
                  </w:pPr>
                  <w:r>
                    <w:rPr>
                      <w:b/>
                      <w:color w:val="000000"/>
                      <w:sz w:val="21"/>
                      <w:szCs w:val="21"/>
                    </w:rPr>
                    <w:t>限制开发区域（农产品主产区）开发原则</w:t>
                  </w:r>
                </w:p>
              </w:tc>
              <w:tc>
                <w:tcPr>
                  <w:tcW w:w="1663" w:type="pct"/>
                  <w:vAlign w:val="center"/>
                </w:tcPr>
                <w:p>
                  <w:pPr>
                    <w:pStyle w:val="5"/>
                    <w:spacing w:line="240" w:lineRule="auto"/>
                    <w:ind w:firstLine="0" w:firstLineChars="0"/>
                    <w:jc w:val="center"/>
                    <w:rPr>
                      <w:b/>
                      <w:color w:val="000000"/>
                      <w:sz w:val="21"/>
                      <w:szCs w:val="21"/>
                    </w:rPr>
                  </w:pPr>
                  <w:r>
                    <w:rPr>
                      <w:b/>
                      <w:color w:val="000000"/>
                      <w:sz w:val="21"/>
                      <w:szCs w:val="21"/>
                    </w:rPr>
                    <w:t>本工程建设情况</w:t>
                  </w:r>
                </w:p>
              </w:tc>
              <w:tc>
                <w:tcPr>
                  <w:tcW w:w="628" w:type="pct"/>
                  <w:vAlign w:val="center"/>
                </w:tcPr>
                <w:p>
                  <w:pPr>
                    <w:pStyle w:val="5"/>
                    <w:spacing w:line="240" w:lineRule="auto"/>
                    <w:ind w:firstLine="0" w:firstLineChars="0"/>
                    <w:jc w:val="center"/>
                    <w:rPr>
                      <w:b/>
                      <w:color w:val="000000"/>
                      <w:sz w:val="21"/>
                      <w:szCs w:val="21"/>
                    </w:rPr>
                  </w:pPr>
                  <w:r>
                    <w:rPr>
                      <w:b/>
                      <w:color w:val="000000"/>
                      <w:sz w:val="21"/>
                      <w:szCs w:val="21"/>
                    </w:rPr>
                    <w:t>相符性分析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加强土地整治，搞好规划，统筹安排、连片推进，加快中低产田改造，鼓励农民开展土壤改良。</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加强水利设施建设，加快水源工程、大中型灌区配套和节水改造工程建设。</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加强人工影响天气能力建设。</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优化农牧业生产布局和品种结构，搞好农牧业布局规划，科学确定各区域农牧业发展重点，形成优势突出和特色鲜明的农牧业产业带和生产区。</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支持优势农产品主产区农产品加工、流通、储运设施的建设，引导农牧产品加工、流通、储运企业向优势产区聚集。</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粮食主产区要进一步提高粮食生产能力，在保护生态前提下，集中力量在基础条件好的地区加大标准化粮田建设力度，形成稳定的粮食生产供应能力，建设国家粮食安全后备基地。</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大力发展棉花、油料和糖类生产，鼓励发挥优势，着力提高品质和单产，积极开展高标准节水灌溉、全机械化等工程建设。</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加强草原保护与建设，建立和完善草原保护制度，提高草原生产能力，转变草原畜牧业经营方式，强化草原监督管理和监测预警工作。</w:t>
                  </w:r>
                </w:p>
              </w:tc>
              <w:tc>
                <w:tcPr>
                  <w:tcW w:w="1663" w:type="pct"/>
                  <w:vAlign w:val="center"/>
                </w:tcPr>
                <w:p>
                  <w:pPr>
                    <w:pStyle w:val="5"/>
                    <w:spacing w:line="240" w:lineRule="auto"/>
                    <w:ind w:firstLine="0" w:firstLineChars="0"/>
                    <w:rPr>
                      <w:color w:val="000000"/>
                      <w:sz w:val="21"/>
                      <w:szCs w:val="21"/>
                    </w:rPr>
                  </w:pPr>
                  <w:r>
                    <w:rPr>
                      <w:color w:val="000000"/>
                      <w:sz w:val="21"/>
                      <w:szCs w:val="21"/>
                    </w:rPr>
                    <w:t>电力线路塔基无法避让草地，建设单位会按照法律法规办理征占用手续。</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优化开发方式，发展循环农业，促进农业资源的永续利用，鼓励和支持农牧产品加工副产物的综合利用，加强农业面源污染防治。</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加强农业基础设施建设，改善农业生产条件。</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积极推进农业的规模化、产业化经营，发展农产品深加工，拓展农村就业和增收领域。</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以县域为重点推进城镇建设和非农产业发展，加强县城和乡镇公共服务设施建设，完善小城镇公共服务和居住功能。</w:t>
                  </w:r>
                </w:p>
              </w:tc>
              <w:tc>
                <w:tcPr>
                  <w:tcW w:w="1663" w:type="pct"/>
                  <w:vAlign w:val="center"/>
                </w:tcPr>
                <w:p>
                  <w:pPr>
                    <w:pStyle w:val="5"/>
                    <w:spacing w:line="240" w:lineRule="auto"/>
                    <w:ind w:firstLine="0" w:firstLineChars="0"/>
                    <w:jc w:val="left"/>
                    <w:rPr>
                      <w:color w:val="000000"/>
                      <w:sz w:val="21"/>
                      <w:szCs w:val="21"/>
                    </w:rPr>
                  </w:pPr>
                  <w:r>
                    <w:rPr>
                      <w:color w:val="000000"/>
                      <w:sz w:val="21"/>
                      <w:szCs w:val="21"/>
                    </w:rPr>
                    <w:t>本工程为输变电工程，为基础设施项目，项目实施后可以提高区域电网供应能力，保障供电可靠性和稳定性，提高公共服务供给能力。</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农村居民点以及农村基础设施和公共服务设施的建设，要统筹考虑人口迁移等因素，适度集中、集约布局。</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重视农产品主产区土壤环境的保护，避免在农产品主产区内以及周边布局易造成农产品污染的产业。</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不涉及。</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9" w:type="pct"/>
                  <w:vAlign w:val="center"/>
                </w:tcPr>
                <w:p>
                  <w:pPr>
                    <w:pStyle w:val="5"/>
                    <w:spacing w:line="240" w:lineRule="auto"/>
                    <w:ind w:firstLine="0" w:firstLineChars="0"/>
                    <w:rPr>
                      <w:color w:val="000000"/>
                      <w:sz w:val="21"/>
                      <w:szCs w:val="21"/>
                    </w:rPr>
                  </w:pPr>
                  <w:r>
                    <w:rPr>
                      <w:color w:val="000000"/>
                      <w:sz w:val="21"/>
                      <w:szCs w:val="21"/>
                    </w:rPr>
                    <w:t>位于农产品主产区的点状能源和矿产资源基地建设，必须进行生态环境影响评估，并尽可能减少对生态空间与农业空间的占用，同步修复生态环境。</w:t>
                  </w:r>
                </w:p>
              </w:tc>
              <w:tc>
                <w:tcPr>
                  <w:tcW w:w="1663" w:type="pct"/>
                  <w:vAlign w:val="center"/>
                </w:tcPr>
                <w:p>
                  <w:pPr>
                    <w:pStyle w:val="5"/>
                    <w:spacing w:line="240" w:lineRule="auto"/>
                    <w:ind w:firstLine="0" w:firstLineChars="0"/>
                    <w:jc w:val="center"/>
                    <w:rPr>
                      <w:color w:val="000000"/>
                      <w:sz w:val="21"/>
                      <w:szCs w:val="21"/>
                    </w:rPr>
                  </w:pPr>
                  <w:r>
                    <w:rPr>
                      <w:color w:val="000000"/>
                      <w:sz w:val="21"/>
                      <w:szCs w:val="21"/>
                    </w:rPr>
                    <w:t>本工程将按照法律法规要求开展环境影响评价工作。</w:t>
                  </w:r>
                </w:p>
              </w:tc>
              <w:tc>
                <w:tcPr>
                  <w:tcW w:w="628" w:type="pct"/>
                  <w:vAlign w:val="center"/>
                </w:tcPr>
                <w:p>
                  <w:pPr>
                    <w:pStyle w:val="5"/>
                    <w:spacing w:line="240" w:lineRule="auto"/>
                    <w:ind w:firstLine="0" w:firstLineChars="0"/>
                    <w:jc w:val="center"/>
                    <w:rPr>
                      <w:color w:val="000000"/>
                      <w:sz w:val="21"/>
                      <w:szCs w:val="21"/>
                    </w:rPr>
                  </w:pPr>
                  <w:r>
                    <w:rPr>
                      <w:color w:val="000000"/>
                      <w:sz w:val="21"/>
                      <w:szCs w:val="21"/>
                    </w:rPr>
                    <w:t>相符</w:t>
                  </w:r>
                </w:p>
              </w:tc>
            </w:tr>
          </w:tbl>
          <w:p>
            <w:pPr>
              <w:pStyle w:val="5"/>
              <w:spacing w:before="120" w:beforeLines="50"/>
              <w:rPr>
                <w:color w:val="000000"/>
              </w:rPr>
            </w:pPr>
            <w:r>
              <w:rPr>
                <w:rFonts w:hint="eastAsia"/>
                <w:color w:val="000000"/>
              </w:rPr>
              <w:t>综上所述，本工程建设与《新疆维吾尔自治区主体功能区规划》相符。</w:t>
            </w:r>
          </w:p>
          <w:p>
            <w:pPr>
              <w:pStyle w:val="5"/>
              <w:numPr>
                <w:ilvl w:val="0"/>
                <w:numId w:val="9"/>
              </w:numPr>
              <w:spacing w:before="50" w:after="50"/>
              <w:ind w:firstLineChars="0"/>
              <w:rPr>
                <w:b/>
                <w:color w:val="000000"/>
                <w:szCs w:val="24"/>
              </w:rPr>
            </w:pPr>
            <w:r>
              <w:rPr>
                <w:b/>
                <w:color w:val="000000"/>
                <w:szCs w:val="24"/>
              </w:rPr>
              <w:t>生态功能区划</w:t>
            </w:r>
          </w:p>
          <w:p>
            <w:pPr>
              <w:pStyle w:val="5"/>
              <w:ind w:firstLineChars="0"/>
              <w:rPr>
                <w:color w:val="000000"/>
                <w:szCs w:val="24"/>
              </w:rPr>
            </w:pPr>
            <w:r>
              <w:rPr>
                <w:rFonts w:hint="eastAsia"/>
                <w:color w:val="000000"/>
                <w:szCs w:val="24"/>
              </w:rPr>
              <w:t>根据《新疆生态功能区划》，全区生态功能分区共分为一级区划（5个生态区）、二级区划（18个生态亚区）、三级区划（76个生态功能区）。</w:t>
            </w:r>
          </w:p>
          <w:p>
            <w:pPr>
              <w:pStyle w:val="5"/>
              <w:rPr>
                <w:color w:val="000000"/>
                <w:szCs w:val="24"/>
              </w:rPr>
            </w:pPr>
            <w:r>
              <w:rPr>
                <w:rFonts w:hint="eastAsia"/>
                <w:szCs w:val="24"/>
              </w:rPr>
              <w:t>本工程与新疆生态功能区划相对位置关系见附图4，</w:t>
            </w:r>
            <w:r>
              <w:rPr>
                <w:rFonts w:hint="eastAsia"/>
                <w:color w:val="000000"/>
                <w:szCs w:val="24"/>
              </w:rPr>
              <w:t>项目区域属于一级区划的</w:t>
            </w:r>
            <w:r>
              <w:rPr>
                <w:color w:val="000000"/>
                <w:szCs w:val="24"/>
              </w:rPr>
              <w:t>Ⅳ</w:t>
            </w:r>
            <w:r>
              <w:rPr>
                <w:rFonts w:hint="eastAsia"/>
                <w:color w:val="000000"/>
                <w:szCs w:val="24"/>
              </w:rPr>
              <w:t>塔里木盆地暖温荒漠及绿洲农业生态区，二级区划的</w:t>
            </w:r>
            <w:r>
              <w:rPr>
                <w:color w:val="000000"/>
                <w:szCs w:val="24"/>
              </w:rPr>
              <w:t>Ⅳ</w:t>
            </w:r>
            <w:r>
              <w:rPr>
                <w:rFonts w:hint="eastAsia"/>
                <w:color w:val="000000"/>
                <w:szCs w:val="24"/>
                <w:vertAlign w:val="subscript"/>
              </w:rPr>
              <w:t>1</w:t>
            </w:r>
            <w:r>
              <w:rPr>
                <w:rFonts w:hint="eastAsia"/>
                <w:color w:val="000000"/>
                <w:szCs w:val="24"/>
              </w:rPr>
              <w:t>塔里木盆地西部、北部荒漠及绿洲农业生态亚区，三级区属于56.吐鲁番冲积平原绿洲农业生态功能区。</w:t>
            </w:r>
          </w:p>
          <w:p>
            <w:pPr>
              <w:pStyle w:val="5"/>
              <w:rPr>
                <w:color w:val="000000"/>
                <w:szCs w:val="24"/>
              </w:rPr>
            </w:pPr>
            <w:r>
              <w:rPr>
                <w:rFonts w:hint="eastAsia"/>
                <w:color w:val="000000"/>
                <w:szCs w:val="24"/>
              </w:rPr>
              <w:t>该生态功能区主要生态服务功能为农产品生产、荒漠化控制、塔里木河水源补给。主要生态环境问题为水资源浪费、土壤盐渍化严重、盲目开荒、土壤环境质量下降、向塔河输水减少、输出农排水增多。主要生态敏感因子、敏感程度为生物多样性及其生境中度敏感，土壤沙漠化、土壤盐渍化高度敏感。主要保护目标为保护农田、保护河流水质、保护荒漠植被、保护土壤环境质量。保护措施为降低灌溉定额、大力开发地下水、完善防护林体系、减少向塔里木河的农排水、防治农药地膜污染、防治城市工业污染。</w:t>
            </w:r>
          </w:p>
          <w:p>
            <w:pPr>
              <w:pStyle w:val="5"/>
              <w:rPr>
                <w:color w:val="000000"/>
                <w:szCs w:val="24"/>
              </w:rPr>
            </w:pPr>
            <w:r>
              <w:rPr>
                <w:rFonts w:hint="eastAsia"/>
                <w:color w:val="000000"/>
                <w:szCs w:val="24"/>
              </w:rPr>
              <w:t>本工程为输变电工程，主要为站址和塔基占地，为点式占地，单塔基占地面积小且分散，变电站给水系统采用接引市政自来水，工程建设不会造成该生态功能区主要生态环境问题，符合《新疆生态功能区划》要求。</w:t>
            </w:r>
          </w:p>
          <w:p>
            <w:pPr>
              <w:pStyle w:val="2"/>
              <w:numPr>
                <w:ilvl w:val="0"/>
                <w:numId w:val="8"/>
              </w:numPr>
              <w:spacing w:before="0" w:after="0" w:line="360" w:lineRule="auto"/>
              <w:rPr>
                <w:rFonts w:eastAsia="宋体"/>
                <w:sz w:val="24"/>
                <w:szCs w:val="24"/>
              </w:rPr>
            </w:pPr>
            <w:bookmarkStart w:id="262" w:name="_Toc97290570"/>
            <w:bookmarkStart w:id="263" w:name="_Toc109473552"/>
            <w:bookmarkStart w:id="264" w:name="_Toc111564304"/>
            <w:bookmarkStart w:id="265" w:name="_Toc96031280"/>
            <w:bookmarkStart w:id="266" w:name="_Toc95464654"/>
            <w:bookmarkStart w:id="267" w:name="_Toc81415608"/>
            <w:bookmarkStart w:id="268" w:name="_Toc97290436"/>
            <w:bookmarkStart w:id="269" w:name="_Toc91493252"/>
            <w:bookmarkStart w:id="270" w:name="_Toc14947"/>
            <w:bookmarkStart w:id="271" w:name="_Toc85037200"/>
            <w:bookmarkStart w:id="272" w:name="_Toc96031363"/>
            <w:bookmarkStart w:id="273" w:name="_Toc96935400"/>
            <w:bookmarkStart w:id="274" w:name="_Toc109473865"/>
            <w:bookmarkStart w:id="275" w:name="_Toc91532159"/>
            <w:bookmarkStart w:id="276" w:name="_Toc32051"/>
            <w:bookmarkStart w:id="277" w:name="_Toc109473786"/>
            <w:bookmarkStart w:id="278" w:name="_Toc85036866"/>
            <w:bookmarkStart w:id="279" w:name="_Toc109472613"/>
            <w:bookmarkStart w:id="280" w:name="_Toc88558506"/>
            <w:bookmarkStart w:id="281" w:name="_Toc110439137"/>
            <w:bookmarkStart w:id="282" w:name="_Toc81308136"/>
            <w:bookmarkStart w:id="283" w:name="_Toc28592"/>
            <w:r>
              <w:rPr>
                <w:rFonts w:eastAsia="宋体"/>
                <w:sz w:val="24"/>
                <w:szCs w:val="24"/>
              </w:rPr>
              <w:t>自然环境概况</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pPr>
              <w:pStyle w:val="2"/>
              <w:numPr>
                <w:ilvl w:val="1"/>
                <w:numId w:val="8"/>
              </w:numPr>
              <w:spacing w:before="0" w:after="0" w:line="360" w:lineRule="auto"/>
              <w:rPr>
                <w:rFonts w:eastAsia="宋体"/>
                <w:sz w:val="24"/>
                <w:szCs w:val="24"/>
              </w:rPr>
            </w:pPr>
            <w:bookmarkStart w:id="284" w:name="_Toc97290437"/>
            <w:bookmarkStart w:id="285" w:name="_Toc110439138"/>
            <w:bookmarkStart w:id="286" w:name="_Toc109473553"/>
            <w:bookmarkStart w:id="287" w:name="_Toc97290571"/>
            <w:bookmarkStart w:id="288" w:name="_Toc96031281"/>
            <w:bookmarkStart w:id="289" w:name="_Toc96935401"/>
            <w:bookmarkStart w:id="290" w:name="_Toc3879"/>
            <w:bookmarkStart w:id="291" w:name="_Toc85036867"/>
            <w:bookmarkStart w:id="292" w:name="_Toc91532160"/>
            <w:bookmarkStart w:id="293" w:name="_Toc81415609"/>
            <w:bookmarkStart w:id="294" w:name="_Toc85037201"/>
            <w:bookmarkStart w:id="295" w:name="_Toc109472614"/>
            <w:bookmarkStart w:id="296" w:name="_Toc81308137"/>
            <w:bookmarkStart w:id="297" w:name="_Toc12021"/>
            <w:bookmarkStart w:id="298" w:name="_Toc88558507"/>
            <w:bookmarkStart w:id="299" w:name="_Toc96031364"/>
            <w:bookmarkStart w:id="300" w:name="_Toc9277"/>
            <w:bookmarkStart w:id="301" w:name="_Toc109473866"/>
            <w:bookmarkStart w:id="302" w:name="_Toc111564305"/>
            <w:bookmarkStart w:id="303" w:name="_Toc95464655"/>
            <w:bookmarkStart w:id="304" w:name="_Toc109473787"/>
            <w:bookmarkStart w:id="305" w:name="_Toc91493253"/>
            <w:r>
              <w:rPr>
                <w:rFonts w:eastAsia="宋体"/>
                <w:sz w:val="24"/>
                <w:szCs w:val="24"/>
              </w:rPr>
              <w:t>地形、地貌</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pStyle w:val="5"/>
              <w:wordWrap w:val="0"/>
              <w:rPr>
                <w:color w:val="000000"/>
                <w:szCs w:val="24"/>
              </w:rPr>
            </w:pPr>
            <w:r>
              <w:rPr>
                <w:rFonts w:hint="eastAsia"/>
                <w:color w:val="000000"/>
                <w:szCs w:val="24"/>
              </w:rPr>
              <w:t>拟建站址地貌单元较单一，地貌单元主要为山前冲洪积倾斜平原，呈戈壁滩景观，地形较平坦，地面海拔高程约在293.32m-295.22m，地面坡度约在1.43%左右，地势开阔，交通条件一般。</w:t>
            </w:r>
          </w:p>
          <w:p>
            <w:pPr>
              <w:pStyle w:val="5"/>
              <w:wordWrap w:val="0"/>
              <w:rPr>
                <w:color w:val="000000"/>
                <w:szCs w:val="24"/>
              </w:rPr>
            </w:pPr>
            <w:r>
              <w:rPr>
                <w:rFonts w:hint="eastAsia"/>
                <w:color w:val="000000"/>
                <w:szCs w:val="24"/>
              </w:rPr>
              <w:t>输电线路沿线地貌主要为山前冲洪积倾斜平原，呈戈壁滩景观，地形较平坦，地势开阔，交通条件较好。</w:t>
            </w:r>
          </w:p>
          <w:p>
            <w:pPr>
              <w:pStyle w:val="2"/>
              <w:numPr>
                <w:ilvl w:val="1"/>
                <w:numId w:val="8"/>
              </w:numPr>
              <w:spacing w:before="0" w:after="0" w:line="360" w:lineRule="auto"/>
              <w:rPr>
                <w:rFonts w:eastAsia="宋体"/>
                <w:sz w:val="24"/>
                <w:szCs w:val="24"/>
              </w:rPr>
            </w:pPr>
            <w:bookmarkStart w:id="306" w:name="_Toc110439141"/>
            <w:bookmarkEnd w:id="306"/>
            <w:bookmarkStart w:id="307" w:name="_Toc110439140"/>
            <w:bookmarkEnd w:id="307"/>
            <w:bookmarkStart w:id="308" w:name="_Toc29578"/>
            <w:bookmarkStart w:id="309" w:name="_Toc109472616"/>
            <w:bookmarkStart w:id="310" w:name="_Toc95464657"/>
            <w:bookmarkStart w:id="311" w:name="_Toc109473868"/>
            <w:bookmarkStart w:id="312" w:name="_Toc26917"/>
            <w:bookmarkStart w:id="313" w:name="_Toc110439142"/>
            <w:bookmarkStart w:id="314" w:name="_Toc109473789"/>
            <w:bookmarkStart w:id="315" w:name="_Toc81308139"/>
            <w:bookmarkStart w:id="316" w:name="_Toc88558509"/>
            <w:bookmarkStart w:id="317" w:name="_Toc111564307"/>
            <w:bookmarkStart w:id="318" w:name="_Toc91532162"/>
            <w:bookmarkStart w:id="319" w:name="_Toc85036869"/>
            <w:bookmarkStart w:id="320" w:name="_Toc96031283"/>
            <w:bookmarkStart w:id="321" w:name="_Toc85037203"/>
            <w:bookmarkStart w:id="322" w:name="_Toc96935403"/>
            <w:bookmarkStart w:id="323" w:name="_Toc97290439"/>
            <w:bookmarkStart w:id="324" w:name="_Toc13961"/>
            <w:bookmarkStart w:id="325" w:name="_Toc81415611"/>
            <w:bookmarkStart w:id="326" w:name="_Toc91493255"/>
            <w:bookmarkStart w:id="327" w:name="_Toc96031366"/>
            <w:bookmarkStart w:id="328" w:name="_Toc97290573"/>
            <w:bookmarkStart w:id="329" w:name="_Toc109473555"/>
            <w:r>
              <w:rPr>
                <w:rFonts w:eastAsia="宋体"/>
                <w:sz w:val="24"/>
                <w:szCs w:val="24"/>
              </w:rPr>
              <w:t>水文</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pPr>
              <w:pStyle w:val="5"/>
              <w:rPr>
                <w:color w:val="000000"/>
                <w:szCs w:val="24"/>
              </w:rPr>
            </w:pPr>
            <w:r>
              <w:rPr>
                <w:rFonts w:hint="eastAsia"/>
                <w:color w:val="000000"/>
                <w:szCs w:val="24"/>
              </w:rPr>
              <w:t>根据现场踏勘，吐鲁番电厂-阿拉沟变Ⅰ、Ⅱ回π入伊拉湖变电站220千伏线路工程J6-J7段一档跨越白杨河，跨越河道宽约180m。</w:t>
            </w:r>
          </w:p>
          <w:p>
            <w:pPr>
              <w:pStyle w:val="5"/>
              <w:rPr>
                <w:color w:val="000000"/>
                <w:szCs w:val="24"/>
              </w:rPr>
            </w:pPr>
            <w:r>
              <w:rPr>
                <w:rFonts w:hint="eastAsia"/>
                <w:color w:val="000000"/>
                <w:szCs w:val="24"/>
              </w:rPr>
              <w:t>白杨河发源于天山博格达峰南麓，由黑沟、阿克苏沟、高崖子沟等多条山沟在</w:t>
            </w:r>
            <w:r>
              <w:rPr>
                <w:rFonts w:hint="eastAsia"/>
                <w:color w:val="000000"/>
                <w:szCs w:val="24"/>
                <w:lang w:eastAsia="zh-CN"/>
              </w:rPr>
              <w:t>乌鲁木齐达坂城</w:t>
            </w:r>
            <w:r>
              <w:rPr>
                <w:rFonts w:hint="eastAsia"/>
                <w:color w:val="000000"/>
                <w:szCs w:val="24"/>
              </w:rPr>
              <w:t>地区汇集而成，经峡口、后沟，穿越天山支脉进入托克逊县境内，在巴依托海峡谷又有柯尔碱沟汇入其中。河道全长约150km，集水面积2423km</w:t>
            </w:r>
            <w:r>
              <w:rPr>
                <w:rFonts w:hint="eastAsia"/>
                <w:color w:val="000000"/>
                <w:szCs w:val="24"/>
                <w:vertAlign w:val="superscript"/>
              </w:rPr>
              <w:t>2</w:t>
            </w:r>
            <w:r>
              <w:rPr>
                <w:rFonts w:hint="eastAsia"/>
                <w:color w:val="000000"/>
                <w:szCs w:val="24"/>
              </w:rPr>
              <w:t>，流域总面积5173.4km</w:t>
            </w:r>
            <w:r>
              <w:rPr>
                <w:rFonts w:hint="eastAsia"/>
                <w:color w:val="000000"/>
                <w:szCs w:val="24"/>
                <w:vertAlign w:val="superscript"/>
              </w:rPr>
              <w:t>2</w:t>
            </w:r>
            <w:r>
              <w:rPr>
                <w:rFonts w:hint="eastAsia"/>
                <w:color w:val="000000"/>
                <w:szCs w:val="24"/>
              </w:rPr>
              <w:t>。主要补给来源为冰川融水、降水及泉水，年径流变差系数0.15，年际变化较小，连续最大4个月径流量占全年38.7%。</w:t>
            </w:r>
          </w:p>
          <w:p>
            <w:pPr>
              <w:pStyle w:val="2"/>
              <w:numPr>
                <w:ilvl w:val="1"/>
                <w:numId w:val="8"/>
              </w:numPr>
              <w:spacing w:before="0" w:after="0" w:line="360" w:lineRule="auto"/>
              <w:rPr>
                <w:rFonts w:eastAsia="宋体"/>
                <w:sz w:val="24"/>
                <w:szCs w:val="24"/>
              </w:rPr>
            </w:pPr>
            <w:bookmarkStart w:id="330" w:name="_Toc23311"/>
            <w:bookmarkStart w:id="331" w:name="_Toc88558510"/>
            <w:bookmarkStart w:id="332" w:name="_Toc97290574"/>
            <w:bookmarkStart w:id="333" w:name="_Toc96031367"/>
            <w:bookmarkStart w:id="334" w:name="_Toc81308140"/>
            <w:bookmarkStart w:id="335" w:name="_Toc85037204"/>
            <w:bookmarkStart w:id="336" w:name="_Toc85036870"/>
            <w:bookmarkStart w:id="337" w:name="_Toc95464658"/>
            <w:bookmarkStart w:id="338" w:name="_Toc97290440"/>
            <w:bookmarkStart w:id="339" w:name="_Toc110439143"/>
            <w:bookmarkStart w:id="340" w:name="_Toc96935404"/>
            <w:bookmarkStart w:id="341" w:name="_Toc29851"/>
            <w:bookmarkStart w:id="342" w:name="_Toc91532163"/>
            <w:bookmarkStart w:id="343" w:name="_Toc109473556"/>
            <w:bookmarkStart w:id="344" w:name="_Toc109473790"/>
            <w:bookmarkStart w:id="345" w:name="_Toc29308"/>
            <w:bookmarkStart w:id="346" w:name="_Toc81415612"/>
            <w:bookmarkStart w:id="347" w:name="_Toc96031284"/>
            <w:bookmarkStart w:id="348" w:name="_Toc91493256"/>
            <w:bookmarkStart w:id="349" w:name="_Toc109472617"/>
            <w:bookmarkStart w:id="350" w:name="_Toc111564308"/>
            <w:bookmarkStart w:id="351" w:name="_Toc109473869"/>
            <w:r>
              <w:rPr>
                <w:rFonts w:eastAsia="宋体"/>
                <w:sz w:val="24"/>
                <w:szCs w:val="24"/>
              </w:rPr>
              <w:t>气候特征</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pPr>
              <w:pStyle w:val="5"/>
              <w:rPr>
                <w:szCs w:val="24"/>
              </w:rPr>
            </w:pPr>
            <w:r>
              <w:rPr>
                <w:rFonts w:hint="eastAsia"/>
                <w:szCs w:val="24"/>
              </w:rPr>
              <w:t>本工程所在区域属于大陆荒漠性气候区，该区海拔在海平面左右，主要气候特征是：冬季寒冷少雪期短；夏季炎热酷暑，昼夜温差大，降雨稀少，干旱少雨，蒸发强烈；春季升温较快而多大风和沙暴天气；秋季降温迅速且秋高气爽。</w:t>
            </w:r>
          </w:p>
          <w:p>
            <w:pPr>
              <w:pStyle w:val="5"/>
              <w:wordWrap w:val="0"/>
              <w:rPr>
                <w:szCs w:val="24"/>
              </w:rPr>
            </w:pPr>
            <w:r>
              <w:rPr>
                <w:szCs w:val="24"/>
              </w:rPr>
              <w:t>本工程最近的气象站为托克逊县气象站，直线距离约2km。托克逊</w:t>
            </w:r>
            <w:r>
              <w:rPr>
                <w:rFonts w:hint="eastAsia"/>
                <w:szCs w:val="24"/>
              </w:rPr>
              <w:t>县</w:t>
            </w:r>
            <w:r>
              <w:rPr>
                <w:szCs w:val="24"/>
              </w:rPr>
              <w:t>气象站位于托克逊县西北侧。气候特征详见</w:t>
            </w:r>
            <w:r>
              <w:rPr>
                <w:rFonts w:hint="default"/>
                <w:b w:val="0"/>
                <w:bCs w:val="0"/>
                <w:szCs w:val="24"/>
                <w:lang w:val="en-US"/>
              </w:rPr>
              <w:fldChar w:fldCharType="begin"/>
            </w:r>
            <w:r>
              <w:rPr>
                <w:b w:val="0"/>
                <w:bCs w:val="0"/>
              </w:rPr>
              <w:instrText xml:space="preserve"> REF _Ref9797 \h  \* MERGEFORMAT</w:instrText>
            </w:r>
            <w:r>
              <w:rPr>
                <w:rFonts w:hint="default"/>
                <w:b w:val="0"/>
                <w:bCs w:val="0"/>
                <w:szCs w:val="24"/>
                <w:lang w:val="en-US"/>
              </w:rPr>
              <w:fldChar w:fldCharType="separate"/>
            </w:r>
            <w:r>
              <w:rPr>
                <w:rFonts w:ascii="Times New Roman" w:hAnsi="Times New Roman" w:eastAsia="宋体"/>
                <w:b w:val="0"/>
                <w:bCs w:val="0"/>
              </w:rPr>
              <w:t>表11</w:t>
            </w:r>
            <w:r>
              <w:rPr>
                <w:rFonts w:hint="default"/>
                <w:b w:val="0"/>
                <w:bCs w:val="0"/>
                <w:szCs w:val="24"/>
                <w:lang w:val="en-US"/>
              </w:rPr>
              <w:fldChar w:fldCharType="end"/>
            </w:r>
            <w:r>
              <w:rPr>
                <w:szCs w:val="24"/>
              </w:rPr>
              <w:t>。</w:t>
            </w:r>
          </w:p>
          <w:p>
            <w:pPr>
              <w:pStyle w:val="10"/>
              <w:keepNext/>
              <w:jc w:val="left"/>
              <w:rPr>
                <w:b/>
              </w:rPr>
            </w:pPr>
            <w:bookmarkStart w:id="352" w:name="_Ref9797"/>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11</w:t>
            </w:r>
            <w:r>
              <w:rPr>
                <w:rFonts w:ascii="Times New Roman" w:hAnsi="Times New Roman" w:eastAsia="宋体"/>
                <w:b/>
              </w:rPr>
              <w:fldChar w:fldCharType="end"/>
            </w:r>
            <w:bookmarkEnd w:id="352"/>
            <w:r>
              <w:rPr>
                <w:rFonts w:ascii="Times New Roman" w:hAnsi="Times New Roman" w:eastAsia="宋体"/>
                <w:b/>
              </w:rPr>
              <w:t>气候特征一览表</w:t>
            </w:r>
          </w:p>
          <w:tbl>
            <w:tblPr>
              <w:tblStyle w:val="3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65"/>
              <w:gridCol w:w="1167"/>
              <w:gridCol w:w="39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blHeader/>
                <w:jc w:val="center"/>
              </w:trPr>
              <w:tc>
                <w:tcPr>
                  <w:tcW w:w="1863"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bookmarkStart w:id="353" w:name="_Toc111564309"/>
                  <w:bookmarkStart w:id="354" w:name="_Toc81308141"/>
                  <w:bookmarkStart w:id="355" w:name="_Toc95464659"/>
                  <w:bookmarkStart w:id="356" w:name="_Toc109473791"/>
                  <w:bookmarkStart w:id="357" w:name="_Toc109473870"/>
                  <w:bookmarkStart w:id="358" w:name="_Toc109472618"/>
                  <w:bookmarkStart w:id="359" w:name="_Toc81415613"/>
                  <w:bookmarkStart w:id="360" w:name="_Toc96935405"/>
                  <w:bookmarkStart w:id="361" w:name="_Toc110439145"/>
                  <w:bookmarkStart w:id="362" w:name="_Toc3944"/>
                  <w:bookmarkStart w:id="363" w:name="_Toc96031368"/>
                  <w:bookmarkStart w:id="364" w:name="_Toc85037205"/>
                  <w:bookmarkStart w:id="365" w:name="_Toc85036871"/>
                  <w:bookmarkStart w:id="366" w:name="_Toc109473557"/>
                  <w:bookmarkStart w:id="367" w:name="_Toc91493257"/>
                  <w:bookmarkStart w:id="368" w:name="_Toc96031285"/>
                  <w:bookmarkStart w:id="369" w:name="_Toc88558511"/>
                  <w:bookmarkStart w:id="370" w:name="_Toc91532164"/>
                  <w:bookmarkStart w:id="371" w:name="_Toc28660"/>
                  <w:bookmarkStart w:id="372" w:name="_Toc97290575"/>
                  <w:bookmarkStart w:id="373" w:name="_Toc31222"/>
                  <w:r>
                    <w:rPr>
                      <w:rFonts w:ascii="Times New Roman" w:hAnsi="Times New Roman" w:cs="Times New Roman"/>
                      <w:b/>
                      <w:bCs/>
                      <w:color w:val="000000" w:themeColor="text1"/>
                      <w:spacing w:val="13"/>
                      <w:sz w:val="21"/>
                      <w:szCs w:val="21"/>
                      <w14:textFill>
                        <w14:solidFill>
                          <w14:schemeClr w14:val="tx1"/>
                        </w14:solidFill>
                      </w14:textFill>
                    </w:rPr>
                    <w:t>项目</w:t>
                  </w:r>
                </w:p>
              </w:tc>
              <w:tc>
                <w:tcPr>
                  <w:tcW w:w="709"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color w:val="000000" w:themeColor="text1"/>
                      <w:spacing w:val="-3"/>
                      <w:sz w:val="21"/>
                      <w:szCs w:val="21"/>
                      <w14:textFill>
                        <w14:solidFill>
                          <w14:schemeClr w14:val="tx1"/>
                        </w14:solidFill>
                      </w14:textFill>
                    </w:rPr>
                    <w:t>单位</w:t>
                  </w:r>
                </w:p>
              </w:tc>
              <w:tc>
                <w:tcPr>
                  <w:tcW w:w="2427"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color w:val="000000" w:themeColor="text1"/>
                      <w:spacing w:val="-1"/>
                      <w:sz w:val="21"/>
                      <w:szCs w:val="21"/>
                      <w:lang w:eastAsia="zh-CN"/>
                      <w14:textFill>
                        <w14:solidFill>
                          <w14:schemeClr w14:val="tx1"/>
                        </w14:solidFill>
                      </w14:textFill>
                    </w:rPr>
                    <w:t>托克逊县</w:t>
                  </w:r>
                  <w:r>
                    <w:rPr>
                      <w:rFonts w:ascii="Times New Roman" w:hAnsi="Times New Roman" w:cs="Times New Roman"/>
                      <w:color w:val="000000" w:themeColor="text1"/>
                      <w:spacing w:val="-1"/>
                      <w:sz w:val="21"/>
                      <w:szCs w:val="21"/>
                      <w14:textFill>
                        <w14:solidFill>
                          <w14:schemeClr w14:val="tx1"/>
                        </w14:solidFill>
                      </w14:textFill>
                    </w:rPr>
                    <w:t>气象站数值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863"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color w:val="000000" w:themeColor="text1"/>
                      <w:spacing w:val="1"/>
                      <w:sz w:val="21"/>
                      <w:szCs w:val="21"/>
                      <w14:textFill>
                        <w14:solidFill>
                          <w14:schemeClr w14:val="tx1"/>
                        </w14:solidFill>
                      </w14:textFill>
                    </w:rPr>
                    <w:t>累年平均气温</w:t>
                  </w:r>
                </w:p>
              </w:tc>
              <w:tc>
                <w:tcPr>
                  <w:tcW w:w="709"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w:t>
                  </w:r>
                </w:p>
              </w:tc>
              <w:tc>
                <w:tcPr>
                  <w:tcW w:w="2427"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sz w:val="21"/>
                      <w:szCs w:val="21"/>
                      <w:lang w:eastAsia="zh-CN"/>
                    </w:rPr>
                    <w:t>14.5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863"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sz w:val="21"/>
                      <w:szCs w:val="21"/>
                      <w:lang w:val="zh-CN"/>
                    </w:rPr>
                    <w:t>累年极端最高气温</w:t>
                  </w:r>
                </w:p>
              </w:tc>
              <w:tc>
                <w:tcPr>
                  <w:tcW w:w="709"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w:t>
                  </w:r>
                </w:p>
              </w:tc>
              <w:tc>
                <w:tcPr>
                  <w:tcW w:w="2427"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sz w:val="21"/>
                      <w:szCs w:val="21"/>
                      <w:lang w:eastAsia="zh-CN"/>
                    </w:rPr>
                    <w:t>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863"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sz w:val="21"/>
                      <w:szCs w:val="21"/>
                      <w:lang w:val="zh-CN"/>
                    </w:rPr>
                    <w:t>累年极端最低气温</w:t>
                  </w:r>
                </w:p>
              </w:tc>
              <w:tc>
                <w:tcPr>
                  <w:tcW w:w="709"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color w:val="000000" w:themeColor="text1"/>
                      <w:spacing w:val="-6"/>
                      <w:sz w:val="21"/>
                      <w:szCs w:val="21"/>
                      <w14:textFill>
                        <w14:solidFill>
                          <w14:schemeClr w14:val="tx1"/>
                        </w14:solidFill>
                      </w14:textFill>
                    </w:rPr>
                    <w:t>℃</w:t>
                  </w:r>
                </w:p>
              </w:tc>
              <w:tc>
                <w:tcPr>
                  <w:tcW w:w="2427"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sz w:val="21"/>
                      <w:szCs w:val="21"/>
                      <w:lang w:val="zh-CN"/>
                    </w:rPr>
                    <w:t>-</w:t>
                  </w:r>
                  <w:r>
                    <w:rPr>
                      <w:rFonts w:ascii="Times New Roman" w:hAnsi="Times New Roman" w:cs="Times New Roman"/>
                      <w:sz w:val="21"/>
                      <w:szCs w:val="21"/>
                      <w:lang w:eastAsia="zh-CN"/>
                    </w:rPr>
                    <w:t>21</w:t>
                  </w:r>
                  <w:r>
                    <w:rPr>
                      <w:rFonts w:ascii="Times New Roman" w:hAnsi="Times New Roman" w:cs="Times New Roman"/>
                      <w:sz w:val="21"/>
                      <w:szCs w:val="21"/>
                      <w:lang w:val="zh-CN"/>
                    </w:rPr>
                    <w:t>.</w:t>
                  </w:r>
                  <w:r>
                    <w:rPr>
                      <w:rFonts w:ascii="Times New Roman" w:hAnsi="Times New Roman" w:cs="Times New Roman"/>
                      <w:sz w:val="21"/>
                      <w:szCs w:val="21"/>
                      <w:lang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863"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sz w:val="21"/>
                      <w:szCs w:val="21"/>
                      <w:lang w:eastAsia="zh-CN"/>
                    </w:rPr>
                    <w:t>累年最热月平均最高气温</w:t>
                  </w:r>
                </w:p>
              </w:tc>
              <w:tc>
                <w:tcPr>
                  <w:tcW w:w="709"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color w:val="000000" w:themeColor="text1"/>
                      <w:spacing w:val="-1"/>
                      <w:sz w:val="21"/>
                      <w:szCs w:val="21"/>
                      <w14:textFill>
                        <w14:solidFill>
                          <w14:schemeClr w14:val="tx1"/>
                        </w14:solidFill>
                      </w14:textFill>
                    </w:rPr>
                    <w:t>mm</w:t>
                  </w:r>
                </w:p>
              </w:tc>
              <w:tc>
                <w:tcPr>
                  <w:tcW w:w="2427"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sz w:val="21"/>
                      <w:szCs w:val="21"/>
                      <w:lang w:eastAsia="zh-CN"/>
                    </w:rPr>
                    <w:t>39.5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863"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sz w:val="21"/>
                      <w:szCs w:val="21"/>
                      <w:lang w:val="zh-CN"/>
                    </w:rPr>
                    <w:t>全年主导风向</w:t>
                  </w:r>
                </w:p>
              </w:tc>
              <w:tc>
                <w:tcPr>
                  <w:tcW w:w="709"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color w:val="000000" w:themeColor="text1"/>
                      <w:spacing w:val="-1"/>
                      <w:sz w:val="21"/>
                      <w:szCs w:val="21"/>
                      <w:lang w:eastAsia="zh-CN"/>
                      <w14:textFill>
                        <w14:solidFill>
                          <w14:schemeClr w14:val="tx1"/>
                        </w14:solidFill>
                      </w14:textFill>
                    </w:rPr>
                    <w:t>/</w:t>
                  </w:r>
                </w:p>
              </w:tc>
              <w:tc>
                <w:tcPr>
                  <w:tcW w:w="2427" w:type="pct"/>
                  <w:vAlign w:val="center"/>
                </w:tcPr>
                <w:p>
                  <w:pPr>
                    <w:pStyle w:val="127"/>
                    <w:jc w:val="center"/>
                    <w:rPr>
                      <w:rFonts w:ascii="Times New Roman" w:hAnsi="Times New Roman" w:cs="Times New Roman"/>
                      <w:color w:val="000000" w:themeColor="text1"/>
                      <w:spacing w:val="-3"/>
                      <w:sz w:val="21"/>
                      <w:szCs w:val="21"/>
                      <w:lang w:eastAsia="zh-CN"/>
                      <w14:textFill>
                        <w14:solidFill>
                          <w14:schemeClr w14:val="tx1"/>
                        </w14:solidFill>
                      </w14:textFill>
                    </w:rPr>
                  </w:pPr>
                  <w:r>
                    <w:rPr>
                      <w:rFonts w:ascii="Times New Roman" w:hAnsi="Times New Roman" w:cs="Times New Roman"/>
                      <w:sz w:val="21"/>
                      <w:szCs w:val="21"/>
                      <w:lang w:eastAsia="zh-CN"/>
                    </w:rPr>
                    <w:t>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863"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sz w:val="21"/>
                      <w:szCs w:val="21"/>
                      <w:lang w:eastAsia="zh-CN"/>
                    </w:rPr>
                    <w:t>冬春季主导风向</w:t>
                  </w:r>
                </w:p>
              </w:tc>
              <w:tc>
                <w:tcPr>
                  <w:tcW w:w="709"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color w:val="000000" w:themeColor="text1"/>
                      <w:spacing w:val="-1"/>
                      <w:sz w:val="21"/>
                      <w:szCs w:val="21"/>
                      <w:lang w:eastAsia="zh-CN"/>
                      <w14:textFill>
                        <w14:solidFill>
                          <w14:schemeClr w14:val="tx1"/>
                        </w14:solidFill>
                      </w14:textFill>
                    </w:rPr>
                    <w:t>/</w:t>
                  </w:r>
                </w:p>
              </w:tc>
              <w:tc>
                <w:tcPr>
                  <w:tcW w:w="2427"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sz w:val="21"/>
                      <w:szCs w:val="21"/>
                      <w:lang w:eastAsia="zh-CN"/>
                    </w:rPr>
                    <w:t>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863"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sz w:val="21"/>
                      <w:szCs w:val="21"/>
                      <w:lang w:val="zh-CN"/>
                    </w:rPr>
                    <w:t>累年最大积雪深度</w:t>
                  </w:r>
                </w:p>
              </w:tc>
              <w:tc>
                <w:tcPr>
                  <w:tcW w:w="709" w:type="pct"/>
                  <w:vAlign w:val="center"/>
                </w:tcPr>
                <w:p>
                  <w:pPr>
                    <w:jc w:val="center"/>
                    <w:rPr>
                      <w:color w:val="000000" w:themeColor="text1"/>
                      <w:szCs w:val="21"/>
                      <w:lang w:bidi="ar"/>
                      <w14:textFill>
                        <w14:solidFill>
                          <w14:schemeClr w14:val="tx1"/>
                        </w14:solidFill>
                      </w14:textFill>
                    </w:rPr>
                  </w:pPr>
                  <w:r>
                    <w:rPr>
                      <w:color w:val="000000" w:themeColor="text1"/>
                      <w:szCs w:val="21"/>
                      <w:lang w:bidi="ar"/>
                      <w14:textFill>
                        <w14:solidFill>
                          <w14:schemeClr w14:val="tx1"/>
                        </w14:solidFill>
                      </w14:textFill>
                    </w:rPr>
                    <w:t>cm</w:t>
                  </w:r>
                </w:p>
              </w:tc>
              <w:tc>
                <w:tcPr>
                  <w:tcW w:w="2427"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sz w:val="21"/>
                      <w:szCs w:val="21"/>
                      <w:lang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863" w:type="pct"/>
                  <w:vAlign w:val="center"/>
                </w:tcPr>
                <w:p>
                  <w:pPr>
                    <w:pStyle w:val="127"/>
                    <w:jc w:val="center"/>
                    <w:rPr>
                      <w:rFonts w:ascii="Times New Roman" w:hAnsi="Times New Roman" w:cs="Times New Roman"/>
                      <w:color w:val="000000" w:themeColor="text1"/>
                      <w:spacing w:val="3"/>
                      <w:sz w:val="21"/>
                      <w:szCs w:val="21"/>
                      <w:lang w:eastAsia="zh-CN"/>
                      <w14:textFill>
                        <w14:solidFill>
                          <w14:schemeClr w14:val="tx1"/>
                        </w14:solidFill>
                      </w14:textFill>
                    </w:rPr>
                  </w:pPr>
                  <w:r>
                    <w:rPr>
                      <w:rFonts w:ascii="Times New Roman" w:hAnsi="Times New Roman" w:cs="Times New Roman"/>
                      <w:sz w:val="21"/>
                      <w:szCs w:val="21"/>
                      <w:lang w:val="zh-CN"/>
                    </w:rPr>
                    <w:t>累年最大冻土深度</w:t>
                  </w:r>
                </w:p>
              </w:tc>
              <w:tc>
                <w:tcPr>
                  <w:tcW w:w="709" w:type="pct"/>
                  <w:vAlign w:val="center"/>
                </w:tcPr>
                <w:p>
                  <w:pPr>
                    <w:jc w:val="center"/>
                    <w:rPr>
                      <w:color w:val="000000" w:themeColor="text1"/>
                      <w:szCs w:val="21"/>
                      <w:lang w:bidi="ar"/>
                      <w14:textFill>
                        <w14:solidFill>
                          <w14:schemeClr w14:val="tx1"/>
                        </w14:solidFill>
                      </w14:textFill>
                    </w:rPr>
                  </w:pPr>
                  <w:r>
                    <w:rPr>
                      <w:color w:val="000000" w:themeColor="text1"/>
                      <w:szCs w:val="21"/>
                      <w14:textFill>
                        <w14:solidFill>
                          <w14:schemeClr w14:val="tx1"/>
                        </w14:solidFill>
                      </w14:textFill>
                    </w:rPr>
                    <w:t>cm</w:t>
                  </w:r>
                </w:p>
              </w:tc>
              <w:tc>
                <w:tcPr>
                  <w:tcW w:w="2427" w:type="pct"/>
                  <w:vAlign w:val="center"/>
                </w:tcPr>
                <w:p>
                  <w:pPr>
                    <w:pStyle w:val="127"/>
                    <w:jc w:val="center"/>
                    <w:rPr>
                      <w:rFonts w:ascii="Times New Roman" w:hAnsi="Times New Roman" w:cs="Times New Roman"/>
                      <w:color w:val="000000" w:themeColor="text1"/>
                      <w:spacing w:val="-1"/>
                      <w:sz w:val="21"/>
                      <w:szCs w:val="21"/>
                      <w:lang w:eastAsia="zh-CN"/>
                      <w14:textFill>
                        <w14:solidFill>
                          <w14:schemeClr w14:val="tx1"/>
                        </w14:solidFill>
                      </w14:textFill>
                    </w:rPr>
                  </w:pPr>
                  <w:r>
                    <w:rPr>
                      <w:rFonts w:ascii="Times New Roman" w:hAnsi="Times New Roman" w:cs="Times New Roman"/>
                      <w:sz w:val="21"/>
                      <w:szCs w:val="21"/>
                      <w:lang w:eastAsia="zh-CN"/>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863"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sz w:val="21"/>
                      <w:szCs w:val="21"/>
                      <w:lang w:val="zh-CN"/>
                    </w:rPr>
                    <w:t>累年</w:t>
                  </w:r>
                  <w:r>
                    <w:rPr>
                      <w:rFonts w:ascii="Times New Roman" w:hAnsi="Times New Roman" w:cs="Times New Roman"/>
                      <w:sz w:val="21"/>
                      <w:szCs w:val="21"/>
                      <w:lang w:eastAsia="zh-CN"/>
                    </w:rPr>
                    <w:t>平均</w:t>
                  </w:r>
                  <w:r>
                    <w:rPr>
                      <w:rFonts w:ascii="Times New Roman" w:hAnsi="Times New Roman" w:cs="Times New Roman"/>
                      <w:sz w:val="21"/>
                      <w:szCs w:val="21"/>
                      <w:lang w:val="zh-CN"/>
                    </w:rPr>
                    <w:t>雷暴日数</w:t>
                  </w:r>
                </w:p>
              </w:tc>
              <w:tc>
                <w:tcPr>
                  <w:tcW w:w="709"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color w:val="000000" w:themeColor="text1"/>
                      <w:spacing w:val="-3"/>
                      <w:position w:val="-1"/>
                      <w:sz w:val="21"/>
                      <w:szCs w:val="21"/>
                      <w:lang w:eastAsia="zh-CN"/>
                      <w14:textFill>
                        <w14:solidFill>
                          <w14:schemeClr w14:val="tx1"/>
                        </w14:solidFill>
                      </w14:textFill>
                    </w:rPr>
                    <w:t>d</w:t>
                  </w:r>
                </w:p>
              </w:tc>
              <w:tc>
                <w:tcPr>
                  <w:tcW w:w="2427"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sz w:val="21"/>
                      <w:szCs w:val="21"/>
                      <w:lang w:eastAsia="zh-CN"/>
                    </w:rPr>
                    <w:t>9.8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863" w:type="pct"/>
                  <w:vAlign w:val="center"/>
                </w:tcPr>
                <w:p>
                  <w:pPr>
                    <w:pStyle w:val="127"/>
                    <w:jc w:val="center"/>
                    <w:rPr>
                      <w:rFonts w:ascii="Times New Roman" w:hAnsi="Times New Roman" w:cs="Times New Roman"/>
                      <w:color w:val="000000" w:themeColor="text1"/>
                      <w:sz w:val="21"/>
                      <w:szCs w:val="21"/>
                      <w:lang w:bidi="ar"/>
                      <w14:textFill>
                        <w14:solidFill>
                          <w14:schemeClr w14:val="tx1"/>
                        </w14:solidFill>
                      </w14:textFill>
                    </w:rPr>
                  </w:pPr>
                  <w:r>
                    <w:rPr>
                      <w:rFonts w:ascii="Times New Roman" w:hAnsi="Times New Roman" w:cs="Times New Roman"/>
                      <w:sz w:val="21"/>
                      <w:szCs w:val="21"/>
                      <w:lang w:eastAsia="zh-CN"/>
                    </w:rPr>
                    <w:t>累年平均大风日数</w:t>
                  </w:r>
                </w:p>
              </w:tc>
              <w:tc>
                <w:tcPr>
                  <w:tcW w:w="709"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color w:val="000000" w:themeColor="text1"/>
                      <w:sz w:val="21"/>
                      <w:szCs w:val="21"/>
                      <w:lang w:eastAsia="zh-CN" w:bidi="ar"/>
                      <w14:textFill>
                        <w14:solidFill>
                          <w14:schemeClr w14:val="tx1"/>
                        </w14:solidFill>
                      </w14:textFill>
                    </w:rPr>
                    <w:t>d</w:t>
                  </w:r>
                </w:p>
              </w:tc>
              <w:tc>
                <w:tcPr>
                  <w:tcW w:w="2427" w:type="pct"/>
                  <w:vAlign w:val="center"/>
                </w:tcPr>
                <w:p>
                  <w:pPr>
                    <w:pStyle w:val="127"/>
                    <w:jc w:val="center"/>
                    <w:rPr>
                      <w:rFonts w:ascii="Times New Roman" w:hAnsi="Times New Roman" w:cs="Times New Roman"/>
                      <w:color w:val="000000" w:themeColor="text1"/>
                      <w:sz w:val="21"/>
                      <w:szCs w:val="21"/>
                      <w:lang w:eastAsia="zh-CN" w:bidi="ar"/>
                      <w14:textFill>
                        <w14:solidFill>
                          <w14:schemeClr w14:val="tx1"/>
                        </w14:solidFill>
                      </w14:textFill>
                    </w:rPr>
                  </w:pPr>
                  <w:r>
                    <w:rPr>
                      <w:rFonts w:ascii="Times New Roman" w:hAnsi="Times New Roman" w:cs="Times New Roman"/>
                      <w:sz w:val="21"/>
                      <w:szCs w:val="21"/>
                      <w:lang w:eastAsia="zh-CN"/>
                    </w:rPr>
                    <w:t>69</w:t>
                  </w:r>
                </w:p>
              </w:tc>
            </w:tr>
          </w:tbl>
          <w:p>
            <w:pPr>
              <w:pStyle w:val="2"/>
              <w:numPr>
                <w:ilvl w:val="1"/>
                <w:numId w:val="8"/>
              </w:numPr>
              <w:spacing w:after="0" w:line="360" w:lineRule="auto"/>
              <w:rPr>
                <w:rFonts w:eastAsia="宋体"/>
                <w:sz w:val="24"/>
                <w:szCs w:val="24"/>
              </w:rPr>
            </w:pPr>
            <w:r>
              <w:rPr>
                <w:rFonts w:eastAsia="宋体"/>
                <w:sz w:val="24"/>
                <w:szCs w:val="24"/>
              </w:rPr>
              <w:t>植被</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pPr>
              <w:pStyle w:val="10"/>
              <w:spacing w:line="360" w:lineRule="auto"/>
              <w:ind w:firstLine="480" w:firstLineChars="200"/>
              <w:rPr>
                <w:rFonts w:ascii="Times New Roman" w:hAnsi="Times New Roman" w:eastAsia="宋体"/>
                <w:color w:val="000000"/>
                <w:sz w:val="24"/>
                <w:szCs w:val="24"/>
              </w:rPr>
            </w:pPr>
            <w:bookmarkStart w:id="374" w:name="_Toc96935406"/>
            <w:bookmarkStart w:id="375" w:name="_Toc109472619"/>
            <w:bookmarkStart w:id="376" w:name="_Toc109473792"/>
            <w:bookmarkStart w:id="377" w:name="_Toc85036872"/>
            <w:bookmarkStart w:id="378" w:name="_Toc96031286"/>
            <w:bookmarkStart w:id="379" w:name="_Toc109473558"/>
            <w:bookmarkStart w:id="380" w:name="_Toc20887"/>
            <w:bookmarkStart w:id="381" w:name="_Toc88558512"/>
            <w:bookmarkStart w:id="382" w:name="_Toc96031369"/>
            <w:bookmarkStart w:id="383" w:name="_Toc110439146"/>
            <w:bookmarkStart w:id="384" w:name="_Toc97290576"/>
            <w:bookmarkStart w:id="385" w:name="_Toc81415614"/>
            <w:bookmarkStart w:id="386" w:name="_Toc111564310"/>
            <w:bookmarkStart w:id="387" w:name="_Toc91493258"/>
            <w:bookmarkStart w:id="388" w:name="_Toc109473871"/>
            <w:bookmarkStart w:id="389" w:name="_Toc81308142"/>
            <w:bookmarkStart w:id="390" w:name="_Toc95464660"/>
            <w:bookmarkStart w:id="391" w:name="_Toc91532165"/>
            <w:bookmarkStart w:id="392" w:name="_Toc85037206"/>
            <w:r>
              <w:rPr>
                <w:rFonts w:hint="eastAsia" w:ascii="Times New Roman" w:hAnsi="Times New Roman" w:eastAsia="宋体"/>
                <w:color w:val="000000"/>
                <w:sz w:val="24"/>
                <w:szCs w:val="24"/>
              </w:rPr>
              <w:t>工程沿线地貌主要为山前冲洪积倾斜平原及低山丘陵，主要呈戈壁滩景观，地表植被不发育。</w:t>
            </w:r>
          </w:p>
          <w:p>
            <w:pPr>
              <w:pStyle w:val="5"/>
              <w:rPr>
                <w:szCs w:val="24"/>
              </w:rPr>
            </w:pPr>
            <w:r>
              <w:rPr>
                <w:rFonts w:hint="eastAsia"/>
                <w:szCs w:val="24"/>
              </w:rPr>
              <w:t>对照《国家重点保护野生植物名录》（国家林业和草原局农业农村部公告，2021年第15号）和《新疆维吾尔自治区重点保护野生植物名录》（新政发〔2023〕63号），工程生态影响评价区内未发现国家及自治区重点保护野生植物。</w:t>
            </w:r>
          </w:p>
          <w:p>
            <w:pPr>
              <w:pStyle w:val="5"/>
              <w:rPr>
                <w:szCs w:val="24"/>
              </w:rPr>
            </w:pPr>
            <w:r>
              <w:rPr>
                <w:color w:val="000000"/>
                <w:szCs w:val="24"/>
              </w:rPr>
              <w:t>本工程区域自然环境现状见</w:t>
            </w:r>
            <w:r>
              <w:rPr>
                <w:rFonts w:hint="default"/>
                <w:b w:val="0"/>
                <w:bCs w:val="0"/>
                <w:color w:val="000000"/>
                <w:sz w:val="24"/>
                <w:szCs w:val="24"/>
                <w:lang w:val="en-US"/>
              </w:rPr>
              <w:fldChar w:fldCharType="begin"/>
            </w:r>
            <w:r>
              <w:rPr>
                <w:b w:val="0"/>
                <w:bCs w:val="0"/>
              </w:rPr>
              <w:instrText xml:space="preserve"> REF _Ref157203805 \h  \* MERGEFORMAT</w:instrText>
            </w:r>
            <w:r>
              <w:rPr>
                <w:rFonts w:hint="default"/>
                <w:b w:val="0"/>
                <w:bCs w:val="0"/>
                <w:color w:val="000000"/>
                <w:sz w:val="24"/>
                <w:szCs w:val="24"/>
                <w:lang w:val="en-US"/>
              </w:rPr>
              <w:fldChar w:fldCharType="separate"/>
            </w:r>
            <w:r>
              <w:rPr>
                <w:b w:val="0"/>
                <w:bCs w:val="0"/>
                <w:sz w:val="24"/>
                <w:szCs w:val="24"/>
              </w:rPr>
              <w:t>图5</w:t>
            </w:r>
            <w:r>
              <w:rPr>
                <w:rFonts w:hint="default"/>
                <w:b w:val="0"/>
                <w:bCs w:val="0"/>
                <w:color w:val="000000"/>
                <w:sz w:val="24"/>
                <w:szCs w:val="24"/>
                <w:lang w:val="en-US"/>
              </w:rPr>
              <w:fldChar w:fldCharType="end"/>
            </w:r>
            <w:r>
              <w:rPr>
                <w:color w:val="000000"/>
                <w:szCs w:val="24"/>
              </w:rPr>
              <w:t>。</w:t>
            </w:r>
          </w:p>
          <w:tbl>
            <w:tblPr>
              <w:tblStyle w:val="37"/>
              <w:tblW w:w="4992" w:type="pct"/>
              <w:tblInd w:w="0" w:type="dxa"/>
              <w:tblLayout w:type="fixed"/>
              <w:tblCellMar>
                <w:top w:w="0" w:type="dxa"/>
                <w:left w:w="108" w:type="dxa"/>
                <w:bottom w:w="0" w:type="dxa"/>
                <w:right w:w="108" w:type="dxa"/>
              </w:tblCellMar>
            </w:tblPr>
            <w:tblGrid>
              <w:gridCol w:w="4111"/>
              <w:gridCol w:w="4112"/>
            </w:tblGrid>
            <w:tr>
              <w:tblPrEx>
                <w:tblCellMar>
                  <w:top w:w="0" w:type="dxa"/>
                  <w:left w:w="108" w:type="dxa"/>
                  <w:bottom w:w="0" w:type="dxa"/>
                  <w:right w:w="108" w:type="dxa"/>
                </w:tblCellMar>
              </w:tblPrEx>
              <w:trPr>
                <w:trHeight w:val="283" w:hRule="atLeast"/>
              </w:trPr>
              <w:tc>
                <w:tcPr>
                  <w:tcW w:w="2500" w:type="pct"/>
                  <w:vAlign w:val="center"/>
                </w:tcPr>
                <w:p>
                  <w:pPr>
                    <w:pStyle w:val="83"/>
                    <w:spacing w:before="50" w:after="50"/>
                    <w:rPr>
                      <w:color w:val="000000"/>
                      <w:sz w:val="21"/>
                    </w:rPr>
                  </w:pPr>
                  <w:r>
                    <w:rPr>
                      <w:color w:val="000000"/>
                      <w:sz w:val="21"/>
                    </w:rPr>
                    <w:drawing>
                      <wp:inline distT="0" distB="0" distL="114300" distR="114300">
                        <wp:extent cx="2444750" cy="1447165"/>
                        <wp:effectExtent l="0" t="0" r="12700" b="635"/>
                        <wp:docPr id="58" name="图片 58" descr="DJI_20251202165325_0001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DJI_20251202165325_0001_D"/>
                                <pic:cNvPicPr>
                                  <a:picLocks noChangeAspect="1"/>
                                </pic:cNvPicPr>
                              </pic:nvPicPr>
                              <pic:blipFill>
                                <a:blip r:embed="rId22"/>
                                <a:stretch>
                                  <a:fillRect/>
                                </a:stretch>
                              </pic:blipFill>
                              <pic:spPr>
                                <a:xfrm>
                                  <a:off x="0" y="0"/>
                                  <a:ext cx="2444750" cy="1447165"/>
                                </a:xfrm>
                                <a:prstGeom prst="rect">
                                  <a:avLst/>
                                </a:prstGeom>
                              </pic:spPr>
                            </pic:pic>
                          </a:graphicData>
                        </a:graphic>
                      </wp:inline>
                    </w:drawing>
                  </w:r>
                </w:p>
              </w:tc>
              <w:tc>
                <w:tcPr>
                  <w:tcW w:w="2500" w:type="pct"/>
                  <w:vAlign w:val="center"/>
                </w:tcPr>
                <w:p>
                  <w:pPr>
                    <w:pStyle w:val="83"/>
                    <w:spacing w:before="50" w:after="50"/>
                    <w:rPr>
                      <w:color w:val="000000"/>
                      <w:sz w:val="21"/>
                    </w:rPr>
                  </w:pPr>
                  <w:r>
                    <w:rPr>
                      <w:color w:val="000000"/>
                      <w:sz w:val="21"/>
                    </w:rPr>
                    <w:drawing>
                      <wp:inline distT="0" distB="0" distL="114300" distR="114300">
                        <wp:extent cx="2444750" cy="1437640"/>
                        <wp:effectExtent l="0" t="0" r="12700" b="10160"/>
                        <wp:docPr id="59" name="图片 59" descr="DJI_20251202165405_0003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DJI_20251202165405_0003_D"/>
                                <pic:cNvPicPr>
                                  <a:picLocks noChangeAspect="1"/>
                                </pic:cNvPicPr>
                              </pic:nvPicPr>
                              <pic:blipFill>
                                <a:blip r:embed="rId23"/>
                                <a:stretch>
                                  <a:fillRect/>
                                </a:stretch>
                              </pic:blipFill>
                              <pic:spPr>
                                <a:xfrm>
                                  <a:off x="0" y="0"/>
                                  <a:ext cx="2444750" cy="1437640"/>
                                </a:xfrm>
                                <a:prstGeom prst="rect">
                                  <a:avLst/>
                                </a:prstGeom>
                              </pic:spPr>
                            </pic:pic>
                          </a:graphicData>
                        </a:graphic>
                      </wp:inline>
                    </w:drawing>
                  </w:r>
                </w:p>
              </w:tc>
            </w:tr>
            <w:tr>
              <w:tblPrEx>
                <w:tblCellMar>
                  <w:top w:w="0" w:type="dxa"/>
                  <w:left w:w="108" w:type="dxa"/>
                  <w:bottom w:w="0" w:type="dxa"/>
                  <w:right w:w="108" w:type="dxa"/>
                </w:tblCellMar>
              </w:tblPrEx>
              <w:trPr>
                <w:trHeight w:val="90" w:hRule="atLeast"/>
              </w:trPr>
              <w:tc>
                <w:tcPr>
                  <w:tcW w:w="5000" w:type="pct"/>
                  <w:gridSpan w:val="2"/>
                  <w:vAlign w:val="center"/>
                </w:tcPr>
                <w:p>
                  <w:pPr>
                    <w:pStyle w:val="83"/>
                    <w:spacing w:before="50" w:after="50"/>
                    <w:rPr>
                      <w:color w:val="000000"/>
                      <w:sz w:val="21"/>
                    </w:rPr>
                  </w:pPr>
                  <w:r>
                    <w:rPr>
                      <w:color w:val="000000"/>
                      <w:sz w:val="21"/>
                    </w:rPr>
                    <w:t>新建伊拉湖220千伏变电站站址现状</w:t>
                  </w:r>
                </w:p>
              </w:tc>
            </w:tr>
            <w:tr>
              <w:tblPrEx>
                <w:tblCellMar>
                  <w:top w:w="0" w:type="dxa"/>
                  <w:left w:w="108" w:type="dxa"/>
                  <w:bottom w:w="0" w:type="dxa"/>
                  <w:right w:w="108" w:type="dxa"/>
                </w:tblCellMar>
              </w:tblPrEx>
              <w:trPr>
                <w:trHeight w:val="283" w:hRule="atLeast"/>
              </w:trPr>
              <w:tc>
                <w:tcPr>
                  <w:tcW w:w="2500" w:type="pct"/>
                  <w:vAlign w:val="center"/>
                </w:tcPr>
                <w:p>
                  <w:pPr>
                    <w:pStyle w:val="83"/>
                    <w:keepNext/>
                    <w:spacing w:before="50" w:after="50"/>
                    <w:jc w:val="both"/>
                    <w:rPr>
                      <w:color w:val="000000"/>
                      <w:sz w:val="21"/>
                    </w:rPr>
                  </w:pPr>
                  <w:r>
                    <w:rPr>
                      <w:color w:val="000000"/>
                      <w:sz w:val="21"/>
                    </w:rPr>
                    <w:drawing>
                      <wp:inline distT="0" distB="0" distL="114300" distR="114300">
                        <wp:extent cx="2468245" cy="1691640"/>
                        <wp:effectExtent l="0" t="0" r="8255" b="3810"/>
                        <wp:docPr id="63" name="图片 63" descr="IMG_20251202_15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IMG_20251202_154145"/>
                                <pic:cNvPicPr>
                                  <a:picLocks noChangeAspect="1"/>
                                </pic:cNvPicPr>
                              </pic:nvPicPr>
                              <pic:blipFill>
                                <a:blip r:embed="rId24"/>
                                <a:stretch>
                                  <a:fillRect/>
                                </a:stretch>
                              </pic:blipFill>
                              <pic:spPr>
                                <a:xfrm>
                                  <a:off x="0" y="0"/>
                                  <a:ext cx="2468245" cy="1691640"/>
                                </a:xfrm>
                                <a:prstGeom prst="rect">
                                  <a:avLst/>
                                </a:prstGeom>
                              </pic:spPr>
                            </pic:pic>
                          </a:graphicData>
                        </a:graphic>
                      </wp:inline>
                    </w:drawing>
                  </w:r>
                </w:p>
              </w:tc>
              <w:tc>
                <w:tcPr>
                  <w:tcW w:w="2500" w:type="pct"/>
                  <w:vAlign w:val="center"/>
                </w:tcPr>
                <w:p>
                  <w:pPr>
                    <w:pStyle w:val="83"/>
                    <w:keepNext/>
                    <w:spacing w:before="50" w:after="50"/>
                    <w:jc w:val="both"/>
                    <w:rPr>
                      <w:color w:val="000000"/>
                      <w:sz w:val="21"/>
                    </w:rPr>
                  </w:pPr>
                  <w:r>
                    <w:rPr>
                      <w:color w:val="000000"/>
                      <w:sz w:val="21"/>
                    </w:rPr>
                    <w:drawing>
                      <wp:inline distT="0" distB="0" distL="114300" distR="114300">
                        <wp:extent cx="2468245" cy="1678305"/>
                        <wp:effectExtent l="0" t="0" r="8255" b="17145"/>
                        <wp:docPr id="64" name="图片 64" descr="IMG_20251202_15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IMG_20251202_154153"/>
                                <pic:cNvPicPr>
                                  <a:picLocks noChangeAspect="1"/>
                                </pic:cNvPicPr>
                              </pic:nvPicPr>
                              <pic:blipFill>
                                <a:blip r:embed="rId25"/>
                                <a:stretch>
                                  <a:fillRect/>
                                </a:stretch>
                              </pic:blipFill>
                              <pic:spPr>
                                <a:xfrm>
                                  <a:off x="0" y="0"/>
                                  <a:ext cx="2468245" cy="1678305"/>
                                </a:xfrm>
                                <a:prstGeom prst="rect">
                                  <a:avLst/>
                                </a:prstGeom>
                              </pic:spPr>
                            </pic:pic>
                          </a:graphicData>
                        </a:graphic>
                      </wp:inline>
                    </w:drawing>
                  </w:r>
                </w:p>
              </w:tc>
            </w:tr>
            <w:tr>
              <w:tblPrEx>
                <w:tblCellMar>
                  <w:top w:w="0" w:type="dxa"/>
                  <w:left w:w="108" w:type="dxa"/>
                  <w:bottom w:w="0" w:type="dxa"/>
                  <w:right w:w="108" w:type="dxa"/>
                </w:tblCellMar>
              </w:tblPrEx>
              <w:trPr>
                <w:trHeight w:val="283" w:hRule="atLeast"/>
              </w:trPr>
              <w:tc>
                <w:tcPr>
                  <w:tcW w:w="5000" w:type="pct"/>
                  <w:gridSpan w:val="2"/>
                  <w:vAlign w:val="center"/>
                </w:tcPr>
                <w:p>
                  <w:pPr>
                    <w:pStyle w:val="83"/>
                    <w:keepNext/>
                    <w:spacing w:before="50" w:after="50"/>
                    <w:rPr>
                      <w:color w:val="000000"/>
                      <w:sz w:val="21"/>
                    </w:rPr>
                  </w:pPr>
                  <w:r>
                    <w:rPr>
                      <w:color w:val="000000"/>
                      <w:sz w:val="21"/>
                    </w:rPr>
                    <w:t>吐鲁番电厂</w:t>
                  </w:r>
                  <w:r>
                    <w:rPr>
                      <w:rFonts w:hint="eastAsia"/>
                      <w:color w:val="000000"/>
                      <w:sz w:val="21"/>
                    </w:rPr>
                    <w:t>-</w:t>
                  </w:r>
                  <w:r>
                    <w:rPr>
                      <w:color w:val="000000"/>
                      <w:sz w:val="21"/>
                    </w:rPr>
                    <w:t>阿拉沟变Ⅰ、Ⅱ回π入伊拉湖变电站220千伏线路工程沿线现状</w:t>
                  </w:r>
                </w:p>
              </w:tc>
            </w:tr>
            <w:tr>
              <w:tblPrEx>
                <w:tblCellMar>
                  <w:top w:w="0" w:type="dxa"/>
                  <w:left w:w="108" w:type="dxa"/>
                  <w:bottom w:w="0" w:type="dxa"/>
                  <w:right w:w="108" w:type="dxa"/>
                </w:tblCellMar>
              </w:tblPrEx>
              <w:trPr>
                <w:trHeight w:val="283" w:hRule="atLeast"/>
              </w:trPr>
              <w:tc>
                <w:tcPr>
                  <w:tcW w:w="2500" w:type="pct"/>
                  <w:vAlign w:val="center"/>
                </w:tcPr>
                <w:p>
                  <w:pPr>
                    <w:pStyle w:val="83"/>
                    <w:keepNext/>
                    <w:spacing w:before="50" w:after="50"/>
                    <w:rPr>
                      <w:color w:val="000000"/>
                      <w:sz w:val="21"/>
                    </w:rPr>
                  </w:pPr>
                  <w:r>
                    <w:rPr>
                      <w:color w:val="000000"/>
                      <w:sz w:val="21"/>
                    </w:rPr>
                    <w:drawing>
                      <wp:inline distT="0" distB="0" distL="114300" distR="114300">
                        <wp:extent cx="2427605" cy="1820545"/>
                        <wp:effectExtent l="0" t="0" r="10795" b="8255"/>
                        <wp:docPr id="67" name="图片 67" descr="IMG_20251203_16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IMG_20251203_161850"/>
                                <pic:cNvPicPr>
                                  <a:picLocks noChangeAspect="1"/>
                                </pic:cNvPicPr>
                              </pic:nvPicPr>
                              <pic:blipFill>
                                <a:blip r:embed="rId26"/>
                                <a:stretch>
                                  <a:fillRect/>
                                </a:stretch>
                              </pic:blipFill>
                              <pic:spPr>
                                <a:xfrm>
                                  <a:off x="0" y="0"/>
                                  <a:ext cx="2427605" cy="1820545"/>
                                </a:xfrm>
                                <a:prstGeom prst="rect">
                                  <a:avLst/>
                                </a:prstGeom>
                              </pic:spPr>
                            </pic:pic>
                          </a:graphicData>
                        </a:graphic>
                      </wp:inline>
                    </w:drawing>
                  </w:r>
                </w:p>
              </w:tc>
              <w:tc>
                <w:tcPr>
                  <w:tcW w:w="2500" w:type="pct"/>
                  <w:vAlign w:val="center"/>
                </w:tcPr>
                <w:p>
                  <w:pPr>
                    <w:pStyle w:val="83"/>
                    <w:keepNext/>
                    <w:spacing w:before="50" w:after="50"/>
                    <w:rPr>
                      <w:color w:val="000000"/>
                      <w:sz w:val="21"/>
                    </w:rPr>
                  </w:pPr>
                  <w:r>
                    <w:rPr>
                      <w:color w:val="000000"/>
                      <w:sz w:val="21"/>
                    </w:rPr>
                    <w:drawing>
                      <wp:inline distT="0" distB="0" distL="114300" distR="114300">
                        <wp:extent cx="2427605" cy="1820545"/>
                        <wp:effectExtent l="0" t="0" r="10795" b="8255"/>
                        <wp:docPr id="68" name="图片 68" descr="IMG_20251203_16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IMG_20251203_161854"/>
                                <pic:cNvPicPr>
                                  <a:picLocks noChangeAspect="1"/>
                                </pic:cNvPicPr>
                              </pic:nvPicPr>
                              <pic:blipFill>
                                <a:blip r:embed="rId27"/>
                                <a:stretch>
                                  <a:fillRect/>
                                </a:stretch>
                              </pic:blipFill>
                              <pic:spPr>
                                <a:xfrm>
                                  <a:off x="0" y="0"/>
                                  <a:ext cx="2427605" cy="1820545"/>
                                </a:xfrm>
                                <a:prstGeom prst="rect">
                                  <a:avLst/>
                                </a:prstGeom>
                              </pic:spPr>
                            </pic:pic>
                          </a:graphicData>
                        </a:graphic>
                      </wp:inline>
                    </w:drawing>
                  </w:r>
                </w:p>
              </w:tc>
            </w:tr>
            <w:tr>
              <w:tblPrEx>
                <w:tblCellMar>
                  <w:top w:w="0" w:type="dxa"/>
                  <w:left w:w="108" w:type="dxa"/>
                  <w:bottom w:w="0" w:type="dxa"/>
                  <w:right w:w="108" w:type="dxa"/>
                </w:tblCellMar>
              </w:tblPrEx>
              <w:trPr>
                <w:trHeight w:val="283" w:hRule="atLeast"/>
              </w:trPr>
              <w:tc>
                <w:tcPr>
                  <w:tcW w:w="5000" w:type="pct"/>
                  <w:gridSpan w:val="2"/>
                  <w:vAlign w:val="center"/>
                </w:tcPr>
                <w:p>
                  <w:pPr>
                    <w:pStyle w:val="83"/>
                    <w:keepNext/>
                    <w:spacing w:before="50" w:after="50"/>
                    <w:rPr>
                      <w:color w:val="000000"/>
                      <w:sz w:val="21"/>
                    </w:rPr>
                  </w:pPr>
                  <w:r>
                    <w:rPr>
                      <w:color w:val="000000"/>
                      <w:sz w:val="21"/>
                    </w:rPr>
                    <w:t>吐鲁番电厂</w:t>
                  </w:r>
                  <w:r>
                    <w:rPr>
                      <w:rFonts w:hint="eastAsia"/>
                      <w:color w:val="000000"/>
                      <w:sz w:val="21"/>
                    </w:rPr>
                    <w:t>-</w:t>
                  </w:r>
                  <w:r>
                    <w:rPr>
                      <w:color w:val="000000"/>
                      <w:sz w:val="21"/>
                    </w:rPr>
                    <w:t>阿拉沟变Ⅰ、Ⅱ回改接入托克逊变电站220千伏线路工程沿线现状</w:t>
                  </w:r>
                </w:p>
              </w:tc>
            </w:tr>
          </w:tbl>
          <w:p>
            <w:pPr>
              <w:pStyle w:val="5"/>
              <w:ind w:firstLine="0" w:firstLineChars="0"/>
              <w:jc w:val="center"/>
              <w:rPr>
                <w:szCs w:val="24"/>
              </w:rPr>
            </w:pPr>
            <w:bookmarkStart w:id="393" w:name="_Ref157203805"/>
            <w:r>
              <w:rPr>
                <w:b/>
                <w:bCs/>
                <w:sz w:val="21"/>
              </w:rPr>
              <w:t>图</w:t>
            </w:r>
            <w:r>
              <w:rPr>
                <w:b/>
                <w:bCs/>
                <w:sz w:val="21"/>
              </w:rPr>
              <w:fldChar w:fldCharType="begin"/>
            </w:r>
            <w:r>
              <w:rPr>
                <w:b/>
                <w:bCs/>
                <w:sz w:val="21"/>
              </w:rPr>
              <w:instrText xml:space="preserve"> SEQ 图 \* ARABIC </w:instrText>
            </w:r>
            <w:r>
              <w:rPr>
                <w:b/>
                <w:bCs/>
                <w:sz w:val="21"/>
              </w:rPr>
              <w:fldChar w:fldCharType="separate"/>
            </w:r>
            <w:r>
              <w:rPr>
                <w:b/>
                <w:bCs/>
                <w:sz w:val="21"/>
              </w:rPr>
              <w:t>5</w:t>
            </w:r>
            <w:r>
              <w:rPr>
                <w:b/>
                <w:bCs/>
                <w:sz w:val="21"/>
              </w:rPr>
              <w:fldChar w:fldCharType="end"/>
            </w:r>
            <w:bookmarkEnd w:id="393"/>
            <w:r>
              <w:rPr>
                <w:b/>
                <w:bCs/>
                <w:sz w:val="21"/>
              </w:rPr>
              <w:t>本工程区域自然环境现状</w:t>
            </w:r>
          </w:p>
          <w:p>
            <w:pPr>
              <w:pStyle w:val="2"/>
              <w:numPr>
                <w:ilvl w:val="1"/>
                <w:numId w:val="8"/>
              </w:numPr>
              <w:spacing w:before="0" w:after="0" w:line="360" w:lineRule="auto"/>
              <w:rPr>
                <w:rFonts w:eastAsia="宋体"/>
                <w:sz w:val="24"/>
                <w:szCs w:val="24"/>
              </w:rPr>
            </w:pPr>
            <w:bookmarkStart w:id="394" w:name="_Toc19655"/>
            <w:bookmarkStart w:id="395" w:name="_Toc4064"/>
            <w:r>
              <w:rPr>
                <w:rFonts w:eastAsia="宋体"/>
                <w:sz w:val="24"/>
                <w:szCs w:val="24"/>
              </w:rPr>
              <w:t>动物</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4"/>
            <w:bookmarkEnd w:id="395"/>
          </w:p>
          <w:p>
            <w:pPr>
              <w:pStyle w:val="5"/>
              <w:rPr>
                <w:szCs w:val="24"/>
              </w:rPr>
            </w:pPr>
            <w:r>
              <w:rPr>
                <w:rFonts w:hint="eastAsia"/>
                <w:szCs w:val="24"/>
              </w:rPr>
              <w:t>对照《国家重点保护野生动物名录》（国家林业和草原局农业农村部公告2021年第3号）和《新疆国家重点保护野生动物名录》（自治区林业和草原局自治区农业农村厅，2021年7月28日），本工程评价区内未发现国家及自治区重点保护野生动物分布。</w:t>
            </w:r>
          </w:p>
          <w:p>
            <w:pPr>
              <w:pStyle w:val="2"/>
              <w:numPr>
                <w:ilvl w:val="1"/>
                <w:numId w:val="8"/>
              </w:numPr>
              <w:spacing w:before="0" w:after="0" w:line="360" w:lineRule="auto"/>
              <w:rPr>
                <w:rFonts w:eastAsia="宋体"/>
                <w:sz w:val="24"/>
                <w:szCs w:val="24"/>
              </w:rPr>
            </w:pPr>
            <w:bookmarkStart w:id="396" w:name="_Toc32152"/>
            <w:r>
              <w:rPr>
                <w:rFonts w:hint="eastAsia" w:eastAsia="宋体"/>
                <w:sz w:val="24"/>
                <w:szCs w:val="24"/>
              </w:rPr>
              <w:t>土地沙化现状</w:t>
            </w:r>
            <w:bookmarkEnd w:id="396"/>
          </w:p>
          <w:p>
            <w:pPr>
              <w:pStyle w:val="5"/>
              <w:rPr>
                <w:szCs w:val="24"/>
              </w:rPr>
            </w:pPr>
            <w:r>
              <w:rPr>
                <w:rFonts w:hint="eastAsia"/>
                <w:szCs w:val="24"/>
              </w:rPr>
              <w:t>根据现场踏勘，本工程所在区域地貌主要为冲洪积平原、低山丘陵，呈现戈壁荒滩景观。根据《新疆第六次沙化土地监测报告》，本工程所在区域为非沙化土地。</w:t>
            </w:r>
          </w:p>
          <w:p>
            <w:pPr>
              <w:pStyle w:val="2"/>
              <w:numPr>
                <w:ilvl w:val="0"/>
                <w:numId w:val="8"/>
              </w:numPr>
              <w:spacing w:before="0" w:after="0" w:line="360" w:lineRule="auto"/>
              <w:rPr>
                <w:rFonts w:eastAsia="宋体"/>
                <w:sz w:val="24"/>
                <w:szCs w:val="24"/>
              </w:rPr>
            </w:pPr>
            <w:bookmarkStart w:id="397" w:name="_Toc29172"/>
            <w:r>
              <w:rPr>
                <w:rFonts w:eastAsia="宋体"/>
                <w:sz w:val="24"/>
                <w:szCs w:val="24"/>
              </w:rPr>
              <w:t>声环境质量现状</w:t>
            </w:r>
            <w:bookmarkEnd w:id="397"/>
          </w:p>
          <w:p>
            <w:pPr>
              <w:pStyle w:val="2"/>
              <w:numPr>
                <w:ilvl w:val="1"/>
                <w:numId w:val="8"/>
              </w:numPr>
              <w:spacing w:before="0" w:after="0" w:line="360" w:lineRule="auto"/>
              <w:rPr>
                <w:rFonts w:eastAsia="宋体"/>
                <w:sz w:val="24"/>
                <w:szCs w:val="24"/>
              </w:rPr>
            </w:pPr>
            <w:bookmarkStart w:id="398" w:name="_Toc2118"/>
            <w:r>
              <w:rPr>
                <w:rFonts w:hint="eastAsia" w:eastAsia="宋体"/>
                <w:sz w:val="24"/>
                <w:szCs w:val="24"/>
              </w:rPr>
              <w:t>监测布点</w:t>
            </w:r>
            <w:bookmarkEnd w:id="398"/>
          </w:p>
          <w:p>
            <w:pPr>
              <w:pStyle w:val="2"/>
              <w:numPr>
                <w:ilvl w:val="2"/>
                <w:numId w:val="8"/>
              </w:numPr>
              <w:spacing w:before="0" w:after="0" w:line="360" w:lineRule="auto"/>
              <w:rPr>
                <w:rFonts w:eastAsia="宋体"/>
                <w:sz w:val="24"/>
                <w:szCs w:val="24"/>
              </w:rPr>
            </w:pPr>
            <w:bookmarkStart w:id="399" w:name="_Toc109472622"/>
            <w:bookmarkStart w:id="400" w:name="_Toc96031372"/>
            <w:bookmarkStart w:id="401" w:name="_Toc6158"/>
            <w:bookmarkStart w:id="402" w:name="_Toc97290579"/>
            <w:bookmarkStart w:id="403" w:name="_Toc85037209"/>
            <w:bookmarkStart w:id="404" w:name="_Toc109473561"/>
            <w:bookmarkStart w:id="405" w:name="_Toc96031289"/>
            <w:bookmarkStart w:id="406" w:name="_Toc109473874"/>
            <w:bookmarkStart w:id="407" w:name="_Toc91493261"/>
            <w:bookmarkStart w:id="408" w:name="_Toc24402"/>
            <w:bookmarkStart w:id="409" w:name="_Toc81415617"/>
            <w:bookmarkStart w:id="410" w:name="_Toc111564313"/>
            <w:bookmarkStart w:id="411" w:name="_Toc81308145"/>
            <w:bookmarkStart w:id="412" w:name="_Toc109473795"/>
            <w:bookmarkStart w:id="413" w:name="_Toc91532168"/>
            <w:bookmarkStart w:id="414" w:name="_Toc85036875"/>
            <w:bookmarkStart w:id="415" w:name="_Toc96935409"/>
            <w:bookmarkStart w:id="416" w:name="_Toc95464663"/>
            <w:bookmarkStart w:id="417" w:name="_Toc110439149"/>
            <w:bookmarkStart w:id="418" w:name="_Toc88558515"/>
            <w:r>
              <w:rPr>
                <w:rFonts w:eastAsia="宋体"/>
                <w:sz w:val="24"/>
                <w:szCs w:val="24"/>
              </w:rPr>
              <w:t>监测布点原则</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pPr>
              <w:pStyle w:val="5"/>
              <w:rPr>
                <w:color w:val="000000"/>
                <w:szCs w:val="24"/>
              </w:rPr>
            </w:pPr>
            <w:r>
              <w:rPr>
                <w:rFonts w:hint="eastAsia"/>
                <w:color w:val="000000"/>
                <w:szCs w:val="24"/>
              </w:rPr>
              <w:t>依据《环境影响评价技术导则 声环境》（HJ2.4-2021）现状监测布点原则，布点</w:t>
            </w:r>
            <w:r>
              <w:rPr>
                <w:color w:val="000000"/>
                <w:szCs w:val="24"/>
              </w:rPr>
              <w:t>应覆盖整个评价范围，包括厂界（场界、边界）和</w:t>
            </w:r>
            <w:r>
              <w:rPr>
                <w:rFonts w:hint="eastAsia"/>
                <w:color w:val="000000"/>
                <w:szCs w:val="24"/>
              </w:rPr>
              <w:t>声环境保护</w:t>
            </w:r>
            <w:r>
              <w:rPr>
                <w:color w:val="000000"/>
                <w:szCs w:val="24"/>
              </w:rPr>
              <w:t>目标。当</w:t>
            </w:r>
            <w:r>
              <w:rPr>
                <w:rFonts w:hint="eastAsia"/>
                <w:color w:val="000000"/>
                <w:szCs w:val="24"/>
              </w:rPr>
              <w:t>声环境保护目标</w:t>
            </w:r>
            <w:r>
              <w:rPr>
                <w:color w:val="000000"/>
                <w:szCs w:val="24"/>
              </w:rPr>
              <w:t>高于（含）三层建筑时，还应选取有代表性的</w:t>
            </w:r>
            <w:r>
              <w:rPr>
                <w:rFonts w:hint="eastAsia"/>
                <w:color w:val="000000"/>
                <w:szCs w:val="24"/>
              </w:rPr>
              <w:t>声环境保护目标的代表性楼层设置布点</w:t>
            </w:r>
            <w:r>
              <w:rPr>
                <w:color w:val="000000"/>
                <w:szCs w:val="24"/>
              </w:rPr>
              <w:t>。</w:t>
            </w:r>
          </w:p>
          <w:p>
            <w:pPr>
              <w:pStyle w:val="5"/>
              <w:rPr>
                <w:color w:val="000000"/>
                <w:szCs w:val="24"/>
              </w:rPr>
            </w:pPr>
            <w:r>
              <w:rPr>
                <w:color w:val="000000"/>
                <w:szCs w:val="24"/>
              </w:rPr>
              <w:t>评价范围内没有明显的声源（如工业噪声、交通运输噪声、建设施工噪声、社会生活噪声）等，且声级较低时，可选择有代表性的区域布设测点。</w:t>
            </w:r>
          </w:p>
          <w:p>
            <w:pPr>
              <w:pStyle w:val="5"/>
              <w:rPr>
                <w:szCs w:val="24"/>
              </w:rPr>
            </w:pPr>
            <w:r>
              <w:rPr>
                <w:color w:val="000000"/>
                <w:szCs w:val="24"/>
              </w:rPr>
              <w:t>评价范围内有明显的声源，并对</w:t>
            </w:r>
            <w:r>
              <w:rPr>
                <w:rFonts w:hint="eastAsia"/>
                <w:color w:val="000000"/>
                <w:szCs w:val="24"/>
              </w:rPr>
              <w:t>声环境保护</w:t>
            </w:r>
            <w:r>
              <w:rPr>
                <w:color w:val="000000"/>
                <w:szCs w:val="24"/>
              </w:rPr>
              <w:t>目标的声环境质量有影响，或建设项目为改、扩建工程，应根据声源种类采取不同的监测布点原则（当声源为固定声源时，现状测点应重点布设在可能即受到现有声源影响，又受到建设项目声源影响的敏感目标处，以及有代表性的敏感目标处；为满足预测需要，也可在距离现有声源不同距离处</w:t>
            </w:r>
            <w:r>
              <w:rPr>
                <w:rFonts w:hint="eastAsia"/>
                <w:color w:val="000000"/>
                <w:szCs w:val="24"/>
              </w:rPr>
              <w:t>设置</w:t>
            </w:r>
            <w:r>
              <w:rPr>
                <w:color w:val="000000"/>
                <w:szCs w:val="24"/>
              </w:rPr>
              <w:t>衰减测点）</w:t>
            </w:r>
            <w:r>
              <w:rPr>
                <w:rFonts w:hint="eastAsia"/>
                <w:color w:val="000000"/>
                <w:szCs w:val="24"/>
              </w:rPr>
              <w:t>。</w:t>
            </w:r>
          </w:p>
          <w:p>
            <w:pPr>
              <w:pStyle w:val="2"/>
              <w:numPr>
                <w:ilvl w:val="2"/>
                <w:numId w:val="8"/>
              </w:numPr>
              <w:spacing w:before="0" w:after="0" w:line="360" w:lineRule="auto"/>
              <w:rPr>
                <w:rFonts w:eastAsia="宋体"/>
                <w:sz w:val="24"/>
                <w:szCs w:val="24"/>
              </w:rPr>
            </w:pPr>
            <w:bookmarkStart w:id="419" w:name="_Toc17993"/>
            <w:r>
              <w:rPr>
                <w:rFonts w:eastAsia="宋体"/>
                <w:sz w:val="24"/>
                <w:szCs w:val="24"/>
              </w:rPr>
              <w:t>监测</w:t>
            </w:r>
            <w:r>
              <w:rPr>
                <w:rFonts w:hint="eastAsia" w:eastAsia="宋体"/>
                <w:sz w:val="24"/>
                <w:szCs w:val="24"/>
              </w:rPr>
              <w:t>点位</w:t>
            </w:r>
            <w:bookmarkEnd w:id="419"/>
          </w:p>
          <w:p>
            <w:pPr>
              <w:pStyle w:val="5"/>
              <w:rPr>
                <w:color w:val="000000"/>
                <w:szCs w:val="24"/>
              </w:rPr>
            </w:pPr>
            <w:r>
              <w:rPr>
                <w:color w:val="000000"/>
                <w:szCs w:val="24"/>
              </w:rPr>
              <w:t>1）</w:t>
            </w:r>
            <w:r>
              <w:rPr>
                <w:rFonts w:hint="eastAsia"/>
                <w:color w:val="000000"/>
                <w:szCs w:val="24"/>
              </w:rPr>
              <w:t>变电站新建工程</w:t>
            </w:r>
            <w:r>
              <w:rPr>
                <w:color w:val="000000"/>
                <w:szCs w:val="24"/>
              </w:rPr>
              <w:t>：</w:t>
            </w:r>
            <w:r>
              <w:rPr>
                <w:rFonts w:hint="eastAsia"/>
                <w:color w:val="000000"/>
                <w:szCs w:val="24"/>
              </w:rPr>
              <w:t>伊拉湖220千伏</w:t>
            </w:r>
            <w:r>
              <w:rPr>
                <w:color w:val="000000"/>
                <w:szCs w:val="24"/>
              </w:rPr>
              <w:t>变电站</w:t>
            </w:r>
            <w:r>
              <w:rPr>
                <w:rFonts w:hint="eastAsia"/>
                <w:color w:val="000000"/>
                <w:szCs w:val="24"/>
              </w:rPr>
              <w:t>现状</w:t>
            </w:r>
            <w:r>
              <w:rPr>
                <w:color w:val="000000"/>
                <w:szCs w:val="24"/>
              </w:rPr>
              <w:t>监测点位于拟建</w:t>
            </w:r>
            <w:r>
              <w:rPr>
                <w:rFonts w:hint="eastAsia"/>
                <w:color w:val="000000"/>
                <w:szCs w:val="24"/>
              </w:rPr>
              <w:t>站址中心及站</w:t>
            </w:r>
            <w:r>
              <w:rPr>
                <w:color w:val="000000"/>
                <w:szCs w:val="24"/>
              </w:rPr>
              <w:t>区四周边界处，测点位于地面1.2m高度处。</w:t>
            </w:r>
            <w:r>
              <w:rPr>
                <w:rFonts w:hint="eastAsia"/>
                <w:color w:val="000000"/>
                <w:szCs w:val="24"/>
              </w:rPr>
              <w:t>共布设9个监测点位。变电站声环境评价范围内无声环境保护目标。</w:t>
            </w:r>
          </w:p>
          <w:p>
            <w:pPr>
              <w:pStyle w:val="5"/>
              <w:rPr>
                <w:color w:val="000000"/>
                <w:szCs w:val="24"/>
              </w:rPr>
            </w:pPr>
            <w:r>
              <w:rPr>
                <w:rFonts w:hint="eastAsia"/>
                <w:color w:val="000000"/>
                <w:szCs w:val="24"/>
              </w:rPr>
              <w:t>2）线路</w:t>
            </w:r>
            <w:r>
              <w:rPr>
                <w:color w:val="000000"/>
                <w:szCs w:val="24"/>
              </w:rPr>
              <w:t>工程：线路</w:t>
            </w:r>
            <w:r>
              <w:rPr>
                <w:rFonts w:hint="eastAsia"/>
                <w:color w:val="000000"/>
                <w:szCs w:val="24"/>
              </w:rPr>
              <w:t>声环境保护</w:t>
            </w:r>
            <w:r>
              <w:rPr>
                <w:color w:val="000000"/>
                <w:szCs w:val="24"/>
              </w:rPr>
              <w:t>目标的监测点布设在靠近线路侧最近的声环境敏感建筑物户外1m处，测点高度为距离地面1.2m高度处</w:t>
            </w:r>
            <w:r>
              <w:rPr>
                <w:rFonts w:hint="eastAsia"/>
                <w:color w:val="000000"/>
                <w:szCs w:val="24"/>
              </w:rPr>
              <w:t>。背景环境监测点布设在拟建线路下方，距离地面1.2m高度处。共布设10个监测点位。输电线路声环境评价范围内有5处声环境保护目标，声环境保护目标处的</w:t>
            </w:r>
            <w:r>
              <w:rPr>
                <w:color w:val="000000"/>
                <w:szCs w:val="24"/>
              </w:rPr>
              <w:t>监测点布设在声环境</w:t>
            </w:r>
            <w:r>
              <w:rPr>
                <w:rFonts w:hint="eastAsia"/>
                <w:color w:val="000000"/>
                <w:szCs w:val="24"/>
              </w:rPr>
              <w:t>保护目标外</w:t>
            </w:r>
            <w:r>
              <w:rPr>
                <w:color w:val="000000"/>
                <w:szCs w:val="24"/>
              </w:rPr>
              <w:t>1m，测点高度为距离地面1.2m高度</w:t>
            </w:r>
            <w:r>
              <w:rPr>
                <w:rFonts w:hint="eastAsia"/>
                <w:color w:val="000000"/>
                <w:szCs w:val="24"/>
              </w:rPr>
              <w:t>，共布设5个监测点位。</w:t>
            </w:r>
          </w:p>
          <w:p>
            <w:pPr>
              <w:pStyle w:val="5"/>
              <w:rPr>
                <w:color w:val="000000"/>
                <w:szCs w:val="24"/>
              </w:rPr>
            </w:pPr>
            <w:r>
              <w:rPr>
                <w:color w:val="000000"/>
                <w:szCs w:val="24"/>
              </w:rPr>
              <w:t>本工程声环境监测具体点位见</w:t>
            </w:r>
            <w:r>
              <w:rPr>
                <w:rFonts w:hint="default"/>
                <w:b w:val="0"/>
                <w:bCs w:val="0"/>
                <w:color w:val="000000"/>
                <w:szCs w:val="24"/>
                <w:lang w:val="en-US"/>
              </w:rPr>
              <w:fldChar w:fldCharType="begin"/>
            </w:r>
            <w:r>
              <w:rPr>
                <w:b w:val="0"/>
                <w:bCs w:val="0"/>
              </w:rPr>
              <w:instrText xml:space="preserve"> REF _Ref7325 \h  \* MERGEFORMAT</w:instrText>
            </w:r>
            <w:r>
              <w:rPr>
                <w:rFonts w:hint="default"/>
                <w:b w:val="0"/>
                <w:bCs w:val="0"/>
                <w:color w:val="000000"/>
                <w:szCs w:val="24"/>
                <w:lang w:val="en-US"/>
              </w:rPr>
              <w:fldChar w:fldCharType="separate"/>
            </w:r>
            <w:r>
              <w:rPr>
                <w:rFonts w:ascii="Times New Roman" w:hAnsi="Times New Roman" w:eastAsia="宋体"/>
                <w:b w:val="0"/>
                <w:bCs w:val="0"/>
              </w:rPr>
              <w:t>表12</w:t>
            </w:r>
            <w:r>
              <w:rPr>
                <w:rFonts w:hint="default"/>
                <w:b w:val="0"/>
                <w:bCs w:val="0"/>
                <w:color w:val="000000"/>
                <w:szCs w:val="24"/>
                <w:lang w:val="en-US"/>
              </w:rPr>
              <w:fldChar w:fldCharType="end"/>
            </w:r>
            <w:r>
              <w:rPr>
                <w:color w:val="000000"/>
                <w:szCs w:val="24"/>
              </w:rPr>
              <w:t>。</w:t>
            </w:r>
          </w:p>
          <w:p>
            <w:pPr>
              <w:pStyle w:val="10"/>
              <w:jc w:val="left"/>
              <w:rPr>
                <w:rFonts w:eastAsia="宋体"/>
              </w:rPr>
            </w:pPr>
            <w:bookmarkStart w:id="420" w:name="_Ref7325"/>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12</w:t>
            </w:r>
            <w:r>
              <w:rPr>
                <w:rFonts w:ascii="Times New Roman" w:hAnsi="Times New Roman" w:eastAsia="宋体"/>
                <w:b/>
                <w:bCs/>
              </w:rPr>
              <w:fldChar w:fldCharType="end"/>
            </w:r>
            <w:bookmarkEnd w:id="420"/>
            <w:r>
              <w:rPr>
                <w:rFonts w:ascii="Times New Roman" w:hAnsi="Times New Roman" w:eastAsia="宋体"/>
                <w:b/>
                <w:bCs/>
              </w:rPr>
              <w:t>声环境质量现状监测点位表</w:t>
            </w:r>
          </w:p>
          <w:tbl>
            <w:tblPr>
              <w:tblStyle w:val="37"/>
              <w:tblW w:w="8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3298"/>
              <w:gridCol w:w="4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blHeader/>
              </w:trPr>
              <w:tc>
                <w:tcPr>
                  <w:tcW w:w="836" w:type="dxa"/>
                  <w:shd w:val="clear" w:color="auto" w:fill="auto"/>
                  <w:vAlign w:val="center"/>
                </w:tcPr>
                <w:p>
                  <w:pPr>
                    <w:widowControl/>
                    <w:jc w:val="center"/>
                    <w:rPr>
                      <w:b/>
                      <w:bCs/>
                      <w:kern w:val="0"/>
                      <w:szCs w:val="21"/>
                    </w:rPr>
                  </w:pPr>
                  <w:r>
                    <w:rPr>
                      <w:b/>
                      <w:bCs/>
                      <w:kern w:val="0"/>
                      <w:szCs w:val="21"/>
                    </w:rPr>
                    <w:t>序号</w:t>
                  </w:r>
                </w:p>
              </w:tc>
              <w:tc>
                <w:tcPr>
                  <w:tcW w:w="7423" w:type="dxa"/>
                  <w:gridSpan w:val="2"/>
                  <w:shd w:val="clear" w:color="auto" w:fill="auto"/>
                  <w:vAlign w:val="center"/>
                </w:tcPr>
                <w:p>
                  <w:pPr>
                    <w:widowControl/>
                    <w:jc w:val="center"/>
                    <w:rPr>
                      <w:b/>
                      <w:bCs/>
                      <w:kern w:val="0"/>
                      <w:szCs w:val="21"/>
                    </w:rPr>
                  </w:pPr>
                  <w:r>
                    <w:rPr>
                      <w:b/>
                      <w:bCs/>
                      <w:kern w:val="0"/>
                      <w:szCs w:val="21"/>
                    </w:rPr>
                    <w:t>检测点位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8259" w:type="dxa"/>
                  <w:gridSpan w:val="3"/>
                  <w:shd w:val="clear" w:color="auto" w:fill="auto"/>
                  <w:vAlign w:val="center"/>
                </w:tcPr>
                <w:p>
                  <w:pPr>
                    <w:widowControl/>
                    <w:textAlignment w:val="center"/>
                    <w:rPr>
                      <w:b/>
                      <w:bCs/>
                      <w:szCs w:val="21"/>
                    </w:rPr>
                  </w:pPr>
                  <w:r>
                    <w:rPr>
                      <w:b/>
                      <w:bCs/>
                      <w:szCs w:val="21"/>
                    </w:rPr>
                    <w:t>一、</w:t>
                  </w:r>
                  <w:r>
                    <w:rPr>
                      <w:b/>
                      <w:bCs/>
                      <w:color w:val="000000"/>
                      <w:szCs w:val="21"/>
                    </w:rPr>
                    <w:t>伊拉湖220kV变电站新建工程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1</w:t>
                  </w:r>
                </w:p>
              </w:tc>
              <w:tc>
                <w:tcPr>
                  <w:tcW w:w="3298" w:type="dxa"/>
                  <w:vMerge w:val="restart"/>
                  <w:shd w:val="clear" w:color="auto" w:fill="auto"/>
                  <w:vAlign w:val="center"/>
                </w:tcPr>
                <w:p>
                  <w:pPr>
                    <w:widowControl/>
                    <w:jc w:val="center"/>
                    <w:textAlignment w:val="center"/>
                    <w:rPr>
                      <w:color w:val="000000"/>
                      <w:szCs w:val="21"/>
                    </w:rPr>
                  </w:pPr>
                  <w:r>
                    <w:rPr>
                      <w:color w:val="000000"/>
                      <w:szCs w:val="21"/>
                    </w:rPr>
                    <w:t>伊拉湖220kV变电站厂界</w:t>
                  </w:r>
                </w:p>
              </w:tc>
              <w:tc>
                <w:tcPr>
                  <w:tcW w:w="4125" w:type="dxa"/>
                  <w:shd w:val="clear" w:color="auto" w:fill="auto"/>
                  <w:vAlign w:val="center"/>
                </w:tcPr>
                <w:p>
                  <w:pPr>
                    <w:widowControl/>
                    <w:jc w:val="center"/>
                    <w:rPr>
                      <w:color w:val="000000"/>
                      <w:szCs w:val="21"/>
                    </w:rPr>
                  </w:pPr>
                  <w:r>
                    <w:rPr>
                      <w:kern w:val="0"/>
                      <w:szCs w:val="21"/>
                    </w:rPr>
                    <w:t>站址东侧1#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2</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FF0000"/>
                      <w:szCs w:val="21"/>
                    </w:rPr>
                  </w:pPr>
                  <w:r>
                    <w:rPr>
                      <w:kern w:val="0"/>
                      <w:szCs w:val="21"/>
                    </w:rPr>
                    <w:t>站址东侧2#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3</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站址南侧3#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4</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站址南侧4#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5</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站址西侧5#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6</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站址西侧6#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7</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站址北侧7#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8</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站址北侧8#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9</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站址中心9#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8259" w:type="dxa"/>
                  <w:gridSpan w:val="3"/>
                  <w:shd w:val="clear" w:color="auto" w:fill="auto"/>
                  <w:vAlign w:val="center"/>
                </w:tcPr>
                <w:p>
                  <w:pPr>
                    <w:widowControl/>
                    <w:textAlignment w:val="center"/>
                    <w:rPr>
                      <w:b/>
                      <w:bCs/>
                      <w:color w:val="000000"/>
                      <w:szCs w:val="21"/>
                    </w:rPr>
                  </w:pPr>
                  <w:r>
                    <w:rPr>
                      <w:b/>
                      <w:bCs/>
                      <w:color w:val="000000"/>
                      <w:szCs w:val="21"/>
                    </w:rPr>
                    <w:t>二、</w:t>
                  </w:r>
                  <w:r>
                    <w:rPr>
                      <w:b/>
                      <w:kern w:val="0"/>
                      <w:szCs w:val="21"/>
                    </w:rPr>
                    <w:t>吐鲁番电厂</w:t>
                  </w:r>
                  <w:r>
                    <w:rPr>
                      <w:rFonts w:hint="eastAsia"/>
                      <w:b/>
                      <w:kern w:val="0"/>
                      <w:szCs w:val="21"/>
                    </w:rPr>
                    <w:t>-</w:t>
                  </w:r>
                  <w:r>
                    <w:rPr>
                      <w:b/>
                      <w:kern w:val="0"/>
                      <w:szCs w:val="21"/>
                    </w:rPr>
                    <w:t>阿拉沟变Ⅰ、Ⅱ回π入伊拉湖变电站220千伏线路工程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1</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2</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3</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4</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5</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6</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7</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8</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8259" w:type="dxa"/>
                  <w:gridSpan w:val="3"/>
                  <w:shd w:val="clear" w:color="auto" w:fill="auto"/>
                  <w:vAlign w:val="center"/>
                </w:tcPr>
                <w:p>
                  <w:pPr>
                    <w:widowControl/>
                    <w:textAlignment w:val="center"/>
                    <w:rPr>
                      <w:b/>
                      <w:bCs/>
                      <w:color w:val="000000"/>
                      <w:szCs w:val="21"/>
                    </w:rPr>
                  </w:pPr>
                  <w:r>
                    <w:rPr>
                      <w:b/>
                      <w:bCs/>
                      <w:color w:val="000000"/>
                      <w:szCs w:val="21"/>
                    </w:rPr>
                    <w:t>三、吐鲁番电厂</w:t>
                  </w:r>
                  <w:r>
                    <w:rPr>
                      <w:rFonts w:hint="eastAsia"/>
                      <w:b/>
                      <w:bCs/>
                      <w:color w:val="000000"/>
                      <w:szCs w:val="21"/>
                    </w:rPr>
                    <w:t>-</w:t>
                  </w:r>
                  <w:r>
                    <w:rPr>
                      <w:b/>
                      <w:bCs/>
                      <w:color w:val="000000"/>
                      <w:szCs w:val="21"/>
                    </w:rPr>
                    <w:t>阿拉沟变Ⅰ、Ⅱ回改接入托克逊变电站220千伏线路工程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1</w:t>
                  </w:r>
                </w:p>
              </w:tc>
              <w:tc>
                <w:tcPr>
                  <w:tcW w:w="3298" w:type="dxa"/>
                  <w:shd w:val="clear" w:color="auto" w:fill="auto"/>
                  <w:vAlign w:val="center"/>
                </w:tcPr>
                <w:p>
                  <w:pPr>
                    <w:widowControl/>
                    <w:jc w:val="center"/>
                    <w:textAlignment w:val="center"/>
                    <w:rPr>
                      <w:color w:val="000000"/>
                      <w:szCs w:val="21"/>
                    </w:rPr>
                  </w:pPr>
                  <w:r>
                    <w:rPr>
                      <w:kern w:val="0"/>
                      <w:szCs w:val="21"/>
                    </w:rPr>
                    <w:t>新疆维吾尔自治区吐鲁番市托克逊县郭勒布依乡河东村六组</w:t>
                  </w:r>
                </w:p>
              </w:tc>
              <w:tc>
                <w:tcPr>
                  <w:tcW w:w="4125" w:type="dxa"/>
                  <w:shd w:val="clear" w:color="auto" w:fill="auto"/>
                  <w:vAlign w:val="center"/>
                </w:tcPr>
                <w:p>
                  <w:pPr>
                    <w:widowControl/>
                    <w:jc w:val="center"/>
                    <w:textAlignment w:val="center"/>
                    <w:rPr>
                      <w:kern w:val="0"/>
                      <w:szCs w:val="21"/>
                    </w:rPr>
                  </w:pPr>
                  <w:r>
                    <w:rPr>
                      <w:kern w:val="0"/>
                      <w:szCs w:val="21"/>
                    </w:rPr>
                    <w:t>阿某</w:t>
                  </w:r>
                  <w:r>
                    <w:rPr>
                      <w:rFonts w:hint="eastAsia"/>
                      <w:kern w:val="0"/>
                      <w:szCs w:val="21"/>
                    </w:rPr>
                    <w:t>家</w:t>
                  </w:r>
                  <w:r>
                    <w:rPr>
                      <w:kern w:val="0"/>
                      <w:szCs w:val="21"/>
                    </w:rPr>
                    <w:t>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bookmarkStart w:id="421" w:name="_Toc110439152"/>
                  <w:bookmarkStart w:id="422" w:name="_Toc32428"/>
                  <w:bookmarkStart w:id="423" w:name="_Toc109472625"/>
                  <w:bookmarkStart w:id="424" w:name="_Toc91493264"/>
                  <w:bookmarkStart w:id="425" w:name="_Toc109473877"/>
                  <w:bookmarkStart w:id="426" w:name="_Toc91532171"/>
                  <w:bookmarkStart w:id="427" w:name="_Toc96031375"/>
                  <w:bookmarkStart w:id="428" w:name="_Toc2083"/>
                  <w:bookmarkStart w:id="429" w:name="_Toc88558518"/>
                  <w:bookmarkStart w:id="430" w:name="_Toc97290582"/>
                  <w:bookmarkStart w:id="431" w:name="_Toc85037212"/>
                  <w:bookmarkStart w:id="432" w:name="_Toc111564316"/>
                  <w:bookmarkStart w:id="433" w:name="_Toc109473798"/>
                  <w:bookmarkStart w:id="434" w:name="_Toc85036878"/>
                  <w:bookmarkStart w:id="435" w:name="_Toc109473564"/>
                  <w:bookmarkStart w:id="436" w:name="_Toc96031292"/>
                  <w:bookmarkStart w:id="437" w:name="_Toc96935412"/>
                  <w:bookmarkStart w:id="438" w:name="_Toc95464666"/>
                  <w:bookmarkStart w:id="439" w:name="_Toc81415620"/>
                  <w:bookmarkStart w:id="440" w:name="_Toc81308148"/>
                  <w:r>
                    <w:rPr>
                      <w:rFonts w:hint="eastAsia"/>
                      <w:b/>
                      <w:bCs/>
                      <w:kern w:val="0"/>
                      <w:szCs w:val="21"/>
                    </w:rPr>
                    <w:t>2</w:t>
                  </w:r>
                </w:p>
              </w:tc>
              <w:tc>
                <w:tcPr>
                  <w:tcW w:w="3298" w:type="dxa"/>
                  <w:shd w:val="clear" w:color="auto" w:fill="auto"/>
                  <w:vAlign w:val="center"/>
                </w:tcPr>
                <w:p>
                  <w:pPr>
                    <w:widowControl/>
                    <w:jc w:val="center"/>
                    <w:textAlignment w:val="center"/>
                    <w:rPr>
                      <w:kern w:val="0"/>
                      <w:szCs w:val="21"/>
                    </w:rPr>
                  </w:pPr>
                  <w:r>
                    <w:rPr>
                      <w:kern w:val="0"/>
                      <w:szCs w:val="21"/>
                    </w:rPr>
                    <w:t>新疆维吾尔自治区吐鲁番市托克逊县郭勒布依乡巴格万村二组</w:t>
                  </w:r>
                </w:p>
              </w:tc>
              <w:tc>
                <w:tcPr>
                  <w:tcW w:w="4125" w:type="dxa"/>
                  <w:shd w:val="clear" w:color="auto" w:fill="auto"/>
                  <w:vAlign w:val="center"/>
                </w:tcPr>
                <w:p>
                  <w:pPr>
                    <w:widowControl/>
                    <w:jc w:val="center"/>
                    <w:textAlignment w:val="center"/>
                    <w:rPr>
                      <w:kern w:val="0"/>
                      <w:szCs w:val="21"/>
                    </w:rPr>
                  </w:pPr>
                  <w:r>
                    <w:rPr>
                      <w:kern w:val="0"/>
                      <w:szCs w:val="21"/>
                    </w:rPr>
                    <w:t>238户北侧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3</w:t>
                  </w:r>
                </w:p>
              </w:tc>
              <w:tc>
                <w:tcPr>
                  <w:tcW w:w="3298" w:type="dxa"/>
                  <w:vMerge w:val="restart"/>
                  <w:shd w:val="clear" w:color="auto" w:fill="auto"/>
                  <w:vAlign w:val="center"/>
                </w:tcPr>
                <w:p>
                  <w:pPr>
                    <w:widowControl/>
                    <w:jc w:val="center"/>
                    <w:textAlignment w:val="center"/>
                    <w:rPr>
                      <w:kern w:val="0"/>
                      <w:szCs w:val="21"/>
                    </w:rPr>
                  </w:pPr>
                  <w:r>
                    <w:rPr>
                      <w:kern w:val="0"/>
                      <w:szCs w:val="21"/>
                    </w:rPr>
                    <w:t>新疆维吾尔自治区吐鲁番市托克逊县夏镇</w:t>
                  </w:r>
                </w:p>
              </w:tc>
              <w:tc>
                <w:tcPr>
                  <w:tcW w:w="4125" w:type="dxa"/>
                  <w:shd w:val="clear" w:color="auto" w:fill="auto"/>
                  <w:vAlign w:val="center"/>
                </w:tcPr>
                <w:p>
                  <w:pPr>
                    <w:widowControl/>
                    <w:jc w:val="center"/>
                    <w:textAlignment w:val="center"/>
                    <w:rPr>
                      <w:kern w:val="0"/>
                      <w:szCs w:val="21"/>
                    </w:rPr>
                  </w:pPr>
                  <w:r>
                    <w:rPr>
                      <w:kern w:val="0"/>
                      <w:szCs w:val="21"/>
                    </w:rPr>
                    <w:t>闲置厂房西侧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4</w:t>
                  </w:r>
                </w:p>
              </w:tc>
              <w:tc>
                <w:tcPr>
                  <w:tcW w:w="3298" w:type="dxa"/>
                  <w:vMerge w:val="continue"/>
                  <w:shd w:val="clear" w:color="auto" w:fill="auto"/>
                  <w:vAlign w:val="center"/>
                </w:tcPr>
                <w:p>
                  <w:pPr>
                    <w:widowControl/>
                    <w:jc w:val="center"/>
                    <w:textAlignment w:val="center"/>
                    <w:rPr>
                      <w:kern w:val="0"/>
                      <w:szCs w:val="21"/>
                    </w:rPr>
                  </w:pPr>
                </w:p>
              </w:tc>
              <w:tc>
                <w:tcPr>
                  <w:tcW w:w="4125" w:type="dxa"/>
                  <w:vMerge w:val="restart"/>
                  <w:shd w:val="clear" w:color="auto" w:fill="auto"/>
                  <w:vAlign w:val="center"/>
                </w:tcPr>
                <w:p>
                  <w:pPr>
                    <w:widowControl/>
                    <w:jc w:val="center"/>
                    <w:textAlignment w:val="center"/>
                    <w:rPr>
                      <w:kern w:val="0"/>
                      <w:szCs w:val="21"/>
                    </w:rPr>
                  </w:pPr>
                  <w:r>
                    <w:rPr>
                      <w:kern w:val="0"/>
                      <w:szCs w:val="21"/>
                    </w:rPr>
                    <w:t>海柱资源有限公司宿舍南侧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5</w:t>
                  </w:r>
                </w:p>
              </w:tc>
              <w:tc>
                <w:tcPr>
                  <w:tcW w:w="3298" w:type="dxa"/>
                  <w:vMerge w:val="continue"/>
                  <w:shd w:val="clear" w:color="auto" w:fill="auto"/>
                  <w:vAlign w:val="center"/>
                </w:tcPr>
                <w:p>
                  <w:pPr>
                    <w:widowControl/>
                    <w:jc w:val="center"/>
                    <w:textAlignment w:val="center"/>
                    <w:rPr>
                      <w:kern w:val="0"/>
                      <w:szCs w:val="21"/>
                    </w:rPr>
                  </w:pPr>
                </w:p>
              </w:tc>
              <w:tc>
                <w:tcPr>
                  <w:tcW w:w="4125" w:type="dxa"/>
                  <w:vMerge w:val="continue"/>
                  <w:shd w:val="clear" w:color="auto" w:fill="auto"/>
                  <w:vAlign w:val="center"/>
                </w:tcPr>
                <w:p>
                  <w:pPr>
                    <w:widowControl/>
                    <w:jc w:val="center"/>
                    <w:textAlignment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6</w:t>
                  </w:r>
                </w:p>
              </w:tc>
              <w:tc>
                <w:tcPr>
                  <w:tcW w:w="3298" w:type="dxa"/>
                  <w:vMerge w:val="continue"/>
                  <w:shd w:val="clear" w:color="auto" w:fill="auto"/>
                  <w:vAlign w:val="center"/>
                </w:tcPr>
                <w:p>
                  <w:pPr>
                    <w:widowControl/>
                    <w:jc w:val="center"/>
                    <w:textAlignment w:val="center"/>
                    <w:rPr>
                      <w:kern w:val="0"/>
                      <w:szCs w:val="21"/>
                    </w:rPr>
                  </w:pPr>
                </w:p>
              </w:tc>
              <w:tc>
                <w:tcPr>
                  <w:tcW w:w="4125" w:type="dxa"/>
                  <w:shd w:val="clear" w:color="auto" w:fill="auto"/>
                  <w:vAlign w:val="center"/>
                </w:tcPr>
                <w:p>
                  <w:pPr>
                    <w:widowControl/>
                    <w:jc w:val="center"/>
                    <w:textAlignment w:val="center"/>
                    <w:rPr>
                      <w:kern w:val="0"/>
                      <w:szCs w:val="21"/>
                    </w:rPr>
                  </w:pPr>
                  <w:r>
                    <w:rPr>
                      <w:kern w:val="0"/>
                      <w:szCs w:val="21"/>
                    </w:rPr>
                    <w:t>恒氿庄园生活区东侧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7</w:t>
                  </w:r>
                </w:p>
              </w:tc>
              <w:tc>
                <w:tcPr>
                  <w:tcW w:w="7423" w:type="dxa"/>
                  <w:gridSpan w:val="2"/>
                  <w:shd w:val="clear" w:color="auto" w:fill="auto"/>
                  <w:vAlign w:val="center"/>
                </w:tcPr>
                <w:p>
                  <w:pPr>
                    <w:widowControl/>
                    <w:jc w:val="center"/>
                    <w:rPr>
                      <w:kern w:val="0"/>
                      <w:szCs w:val="21"/>
                    </w:rPr>
                  </w:pPr>
                  <w:r>
                    <w:rPr>
                      <w:kern w:val="0"/>
                      <w:szCs w:val="21"/>
                    </w:rPr>
                    <w:t>线路背景值</w:t>
                  </w:r>
                  <w:r>
                    <w:rPr>
                      <w:rFonts w:hint="eastAsia"/>
                      <w:kern w:val="0"/>
                      <w:szCs w:val="21"/>
                    </w:rPr>
                    <w:t>测点</w:t>
                  </w:r>
                  <w:r>
                    <w:rPr>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8</w:t>
                  </w:r>
                </w:p>
              </w:tc>
              <w:tc>
                <w:tcPr>
                  <w:tcW w:w="7423" w:type="dxa"/>
                  <w:gridSpan w:val="2"/>
                  <w:shd w:val="clear" w:color="auto" w:fill="auto"/>
                  <w:vAlign w:val="center"/>
                </w:tcPr>
                <w:p>
                  <w:pPr>
                    <w:widowControl/>
                    <w:jc w:val="center"/>
                    <w:rPr>
                      <w:kern w:val="0"/>
                      <w:szCs w:val="21"/>
                    </w:rPr>
                  </w:pPr>
                  <w:r>
                    <w:rPr>
                      <w:kern w:val="0"/>
                      <w:szCs w:val="21"/>
                    </w:rPr>
                    <w:t>线路背景值</w:t>
                  </w:r>
                  <w:r>
                    <w:rPr>
                      <w:rFonts w:hint="eastAsia"/>
                      <w:kern w:val="0"/>
                      <w:szCs w:val="21"/>
                    </w:rPr>
                    <w:t>测点</w:t>
                  </w:r>
                  <w:r>
                    <w:rPr>
                      <w:kern w:val="0"/>
                      <w:szCs w:val="21"/>
                    </w:rPr>
                    <w:t>2#</w:t>
                  </w:r>
                </w:p>
              </w:tc>
            </w:tr>
          </w:tbl>
          <w:p>
            <w:pPr>
              <w:pStyle w:val="2"/>
              <w:numPr>
                <w:ilvl w:val="1"/>
                <w:numId w:val="8"/>
              </w:numPr>
              <w:spacing w:beforeLines="50" w:after="0" w:line="360" w:lineRule="auto"/>
              <w:rPr>
                <w:rFonts w:eastAsia="宋体"/>
                <w:sz w:val="24"/>
                <w:szCs w:val="24"/>
              </w:rPr>
            </w:pPr>
            <w:r>
              <w:rPr>
                <w:rFonts w:eastAsia="宋体"/>
                <w:sz w:val="24"/>
                <w:szCs w:val="24"/>
              </w:rPr>
              <w:t>监测项目</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pPr>
              <w:pStyle w:val="5"/>
              <w:rPr>
                <w:b/>
                <w:color w:val="000000"/>
                <w:szCs w:val="24"/>
              </w:rPr>
            </w:pPr>
            <w:r>
              <w:rPr>
                <w:bCs/>
                <w:color w:val="000000"/>
                <w:szCs w:val="24"/>
              </w:rPr>
              <w:t>等效连续A声级</w:t>
            </w:r>
          </w:p>
          <w:p>
            <w:pPr>
              <w:pStyle w:val="2"/>
              <w:numPr>
                <w:ilvl w:val="1"/>
                <w:numId w:val="8"/>
              </w:numPr>
              <w:spacing w:before="0" w:after="0" w:line="360" w:lineRule="auto"/>
              <w:rPr>
                <w:rFonts w:eastAsia="宋体"/>
                <w:sz w:val="24"/>
                <w:szCs w:val="24"/>
              </w:rPr>
            </w:pPr>
            <w:bookmarkStart w:id="441" w:name="_Toc96031376"/>
            <w:bookmarkStart w:id="442" w:name="_Toc110439153"/>
            <w:bookmarkStart w:id="443" w:name="_Toc85037213"/>
            <w:bookmarkStart w:id="444" w:name="_Toc25324"/>
            <w:bookmarkStart w:id="445" w:name="_Toc96031293"/>
            <w:bookmarkStart w:id="446" w:name="_Toc96935413"/>
            <w:bookmarkStart w:id="447" w:name="_Toc109473878"/>
            <w:bookmarkStart w:id="448" w:name="_Toc95464667"/>
            <w:bookmarkStart w:id="449" w:name="_Toc109473799"/>
            <w:bookmarkStart w:id="450" w:name="_Toc109473565"/>
            <w:bookmarkStart w:id="451" w:name="_Toc109472626"/>
            <w:bookmarkStart w:id="452" w:name="_Toc25075"/>
            <w:bookmarkStart w:id="453" w:name="_Toc91493265"/>
            <w:bookmarkStart w:id="454" w:name="_Toc91532172"/>
            <w:bookmarkStart w:id="455" w:name="_Toc111564317"/>
            <w:bookmarkStart w:id="456" w:name="_Toc85036879"/>
            <w:bookmarkStart w:id="457" w:name="_Toc88558519"/>
            <w:bookmarkStart w:id="458" w:name="_Toc81308149"/>
            <w:bookmarkStart w:id="459" w:name="_Toc81415621"/>
            <w:bookmarkStart w:id="460" w:name="_Toc97290583"/>
            <w:r>
              <w:rPr>
                <w:rFonts w:eastAsia="宋体"/>
                <w:sz w:val="24"/>
                <w:szCs w:val="24"/>
              </w:rPr>
              <w:t>监测单位</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pPr>
              <w:pStyle w:val="5"/>
              <w:rPr>
                <w:bCs/>
                <w:color w:val="000000"/>
                <w:szCs w:val="24"/>
              </w:rPr>
            </w:pPr>
            <w:r>
              <w:rPr>
                <w:bCs/>
                <w:color w:val="000000"/>
                <w:szCs w:val="24"/>
              </w:rPr>
              <w:t>武汉中电工程检测有限公司</w:t>
            </w:r>
          </w:p>
          <w:p>
            <w:pPr>
              <w:pStyle w:val="2"/>
              <w:numPr>
                <w:ilvl w:val="1"/>
                <w:numId w:val="8"/>
              </w:numPr>
              <w:spacing w:before="0" w:after="0" w:line="360" w:lineRule="auto"/>
              <w:rPr>
                <w:rFonts w:eastAsia="宋体"/>
                <w:sz w:val="24"/>
                <w:szCs w:val="24"/>
              </w:rPr>
            </w:pPr>
            <w:bookmarkStart w:id="461" w:name="_Toc109473566"/>
            <w:bookmarkStart w:id="462" w:name="_Toc91532173"/>
            <w:bookmarkStart w:id="463" w:name="_Toc110439154"/>
            <w:bookmarkStart w:id="464" w:name="_Toc81308150"/>
            <w:bookmarkStart w:id="465" w:name="_Toc6426"/>
            <w:bookmarkStart w:id="466" w:name="_Toc91493266"/>
            <w:bookmarkStart w:id="467" w:name="_Toc111564318"/>
            <w:bookmarkStart w:id="468" w:name="_Toc81415622"/>
            <w:bookmarkStart w:id="469" w:name="_Toc85036880"/>
            <w:bookmarkStart w:id="470" w:name="_Toc96031377"/>
            <w:bookmarkStart w:id="471" w:name="_Toc97290584"/>
            <w:bookmarkStart w:id="472" w:name="_Toc109473800"/>
            <w:bookmarkStart w:id="473" w:name="_Toc109473879"/>
            <w:bookmarkStart w:id="474" w:name="_Toc88558520"/>
            <w:bookmarkStart w:id="475" w:name="_Toc109472627"/>
            <w:bookmarkStart w:id="476" w:name="_Toc85037214"/>
            <w:bookmarkStart w:id="477" w:name="_Toc96935414"/>
            <w:bookmarkStart w:id="478" w:name="_Toc9763"/>
            <w:bookmarkStart w:id="479" w:name="_Toc95464668"/>
            <w:bookmarkStart w:id="480" w:name="_Toc96031294"/>
            <w:r>
              <w:rPr>
                <w:rFonts w:eastAsia="宋体"/>
                <w:sz w:val="24"/>
                <w:szCs w:val="24"/>
              </w:rPr>
              <w:t>监测时间、监测频率、监测环境</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pPr>
              <w:pStyle w:val="5"/>
              <w:rPr>
                <w:color w:val="000000"/>
                <w:szCs w:val="24"/>
              </w:rPr>
            </w:pPr>
            <w:r>
              <w:rPr>
                <w:color w:val="000000"/>
                <w:szCs w:val="24"/>
              </w:rPr>
              <w:t>监测时间：202</w:t>
            </w:r>
            <w:r>
              <w:rPr>
                <w:rFonts w:hint="eastAsia"/>
                <w:color w:val="000000"/>
                <w:szCs w:val="24"/>
              </w:rPr>
              <w:t>5</w:t>
            </w:r>
            <w:r>
              <w:rPr>
                <w:color w:val="000000"/>
                <w:szCs w:val="24"/>
              </w:rPr>
              <w:t>年</w:t>
            </w:r>
            <w:r>
              <w:rPr>
                <w:rFonts w:hint="eastAsia"/>
                <w:color w:val="000000"/>
                <w:szCs w:val="24"/>
              </w:rPr>
              <w:t>12</w:t>
            </w:r>
            <w:r>
              <w:rPr>
                <w:color w:val="000000"/>
                <w:szCs w:val="24"/>
              </w:rPr>
              <w:t>月</w:t>
            </w:r>
            <w:r>
              <w:rPr>
                <w:rFonts w:hint="eastAsia"/>
                <w:color w:val="000000"/>
                <w:szCs w:val="24"/>
              </w:rPr>
              <w:t>3</w:t>
            </w:r>
            <w:r>
              <w:rPr>
                <w:color w:val="000000"/>
                <w:szCs w:val="24"/>
              </w:rPr>
              <w:t>日</w:t>
            </w:r>
            <w:r>
              <w:rPr>
                <w:rFonts w:hint="eastAsia"/>
                <w:color w:val="000000"/>
                <w:szCs w:val="24"/>
              </w:rPr>
              <w:t>~12月4日</w:t>
            </w:r>
          </w:p>
          <w:p>
            <w:pPr>
              <w:pStyle w:val="5"/>
              <w:rPr>
                <w:color w:val="000000"/>
                <w:szCs w:val="24"/>
              </w:rPr>
            </w:pPr>
            <w:r>
              <w:rPr>
                <w:color w:val="000000"/>
                <w:szCs w:val="24"/>
              </w:rPr>
              <w:t>监测频率：每个监测点昼、夜各监测一次；</w:t>
            </w:r>
          </w:p>
          <w:p>
            <w:pPr>
              <w:pStyle w:val="5"/>
              <w:rPr>
                <w:bCs/>
                <w:color w:val="000000"/>
                <w:szCs w:val="24"/>
              </w:rPr>
            </w:pPr>
            <w:r>
              <w:rPr>
                <w:bCs/>
                <w:color w:val="000000"/>
                <w:szCs w:val="24"/>
              </w:rPr>
              <w:t>监测环境详见</w:t>
            </w:r>
            <w:r>
              <w:rPr>
                <w:rFonts w:hint="default"/>
                <w:b w:val="0"/>
                <w:bCs w:val="0"/>
                <w:color w:val="000000"/>
                <w:szCs w:val="24"/>
                <w:lang w:val="en-US"/>
              </w:rPr>
              <w:fldChar w:fldCharType="begin"/>
            </w:r>
            <w:r>
              <w:rPr>
                <w:b w:val="0"/>
                <w:bCs w:val="0"/>
              </w:rPr>
              <w:instrText xml:space="preserve"> REF OLE_LINK1 \h  \* MERGEFORMAT</w:instrText>
            </w:r>
            <w:r>
              <w:rPr>
                <w:rFonts w:hint="default"/>
                <w:b w:val="0"/>
                <w:bCs w:val="0"/>
                <w:color w:val="000000"/>
                <w:szCs w:val="24"/>
                <w:lang w:val="en-US"/>
              </w:rPr>
              <w:fldChar w:fldCharType="separate"/>
            </w:r>
            <w:r>
              <w:rPr>
                <w:rFonts w:ascii="Times New Roman" w:hAnsi="Times New Roman" w:eastAsia="宋体"/>
                <w:b w:val="0"/>
                <w:bCs w:val="0"/>
              </w:rPr>
              <w:t>表13</w:t>
            </w:r>
            <w:r>
              <w:rPr>
                <w:rFonts w:hint="default"/>
                <w:b w:val="0"/>
                <w:bCs w:val="0"/>
                <w:color w:val="000000"/>
                <w:szCs w:val="24"/>
                <w:lang w:val="en-US"/>
              </w:rPr>
              <w:fldChar w:fldCharType="end"/>
            </w:r>
            <w:r>
              <w:rPr>
                <w:bCs/>
                <w:color w:val="000000"/>
                <w:szCs w:val="24"/>
              </w:rPr>
              <w:t>。</w:t>
            </w:r>
          </w:p>
          <w:p>
            <w:pPr>
              <w:pStyle w:val="10"/>
              <w:keepNext/>
              <w:jc w:val="left"/>
              <w:rPr>
                <w:rFonts w:ascii="黑体" w:hAnsi="黑体"/>
                <w:b/>
              </w:rPr>
            </w:pPr>
            <w:bookmarkStart w:id="481" w:name="OLE_LINK1"/>
            <w:bookmarkStart w:id="482" w:name="_Ref157246430"/>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13</w:t>
            </w:r>
            <w:r>
              <w:rPr>
                <w:rFonts w:ascii="Times New Roman" w:hAnsi="Times New Roman" w:eastAsia="宋体"/>
                <w:b/>
              </w:rPr>
              <w:fldChar w:fldCharType="end"/>
            </w:r>
            <w:bookmarkEnd w:id="481"/>
            <w:bookmarkEnd w:id="482"/>
            <w:r>
              <w:rPr>
                <w:rFonts w:ascii="Times New Roman" w:hAnsi="Times New Roman" w:eastAsia="宋体"/>
                <w:b/>
              </w:rPr>
              <w:t>检测时间及气象条件</w:t>
            </w:r>
          </w:p>
          <w:tbl>
            <w:tblPr>
              <w:tblStyle w:val="3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2076"/>
              <w:gridCol w:w="1019"/>
              <w:gridCol w:w="498"/>
              <w:gridCol w:w="1012"/>
              <w:gridCol w:w="636"/>
              <w:gridCol w:w="636"/>
              <w:gridCol w:w="636"/>
              <w:gridCol w:w="632"/>
              <w:gridCol w:w="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79" w:type="pct"/>
                  <w:vMerge w:val="restart"/>
                  <w:vAlign w:val="center"/>
                </w:tcPr>
                <w:p>
                  <w:pPr>
                    <w:widowControl/>
                    <w:jc w:val="center"/>
                    <w:rPr>
                      <w:b/>
                      <w:kern w:val="0"/>
                      <w:szCs w:val="21"/>
                    </w:rPr>
                  </w:pPr>
                  <w:r>
                    <w:rPr>
                      <w:b/>
                      <w:kern w:val="0"/>
                      <w:szCs w:val="21"/>
                    </w:rPr>
                    <w:t>序号</w:t>
                  </w:r>
                </w:p>
              </w:tc>
              <w:tc>
                <w:tcPr>
                  <w:tcW w:w="1264" w:type="pct"/>
                  <w:vMerge w:val="restart"/>
                  <w:vAlign w:val="center"/>
                </w:tcPr>
                <w:p>
                  <w:pPr>
                    <w:widowControl/>
                    <w:jc w:val="center"/>
                    <w:rPr>
                      <w:b/>
                      <w:bCs/>
                      <w:kern w:val="0"/>
                      <w:szCs w:val="21"/>
                    </w:rPr>
                  </w:pPr>
                  <w:r>
                    <w:rPr>
                      <w:b/>
                      <w:bCs/>
                      <w:kern w:val="0"/>
                      <w:szCs w:val="21"/>
                    </w:rPr>
                    <w:t>检测点位</w:t>
                  </w:r>
                </w:p>
              </w:tc>
              <w:tc>
                <w:tcPr>
                  <w:tcW w:w="620" w:type="pct"/>
                  <w:vMerge w:val="restart"/>
                  <w:vAlign w:val="center"/>
                </w:tcPr>
                <w:p>
                  <w:pPr>
                    <w:widowControl/>
                    <w:jc w:val="center"/>
                    <w:rPr>
                      <w:b/>
                      <w:bCs/>
                      <w:kern w:val="0"/>
                      <w:szCs w:val="21"/>
                    </w:rPr>
                  </w:pPr>
                  <w:r>
                    <w:rPr>
                      <w:b/>
                      <w:kern w:val="0"/>
                      <w:szCs w:val="21"/>
                    </w:rPr>
                    <w:t>检测时间</w:t>
                  </w:r>
                </w:p>
              </w:tc>
              <w:tc>
                <w:tcPr>
                  <w:tcW w:w="303" w:type="pct"/>
                  <w:vMerge w:val="restart"/>
                  <w:vAlign w:val="center"/>
                </w:tcPr>
                <w:p>
                  <w:pPr>
                    <w:jc w:val="center"/>
                    <w:rPr>
                      <w:b/>
                      <w:bCs/>
                      <w:kern w:val="0"/>
                      <w:szCs w:val="21"/>
                    </w:rPr>
                  </w:pPr>
                  <w:r>
                    <w:rPr>
                      <w:b/>
                      <w:bCs/>
                      <w:kern w:val="0"/>
                      <w:szCs w:val="21"/>
                    </w:rPr>
                    <w:t>天气</w:t>
                  </w:r>
                </w:p>
              </w:tc>
              <w:tc>
                <w:tcPr>
                  <w:tcW w:w="2533" w:type="pct"/>
                  <w:gridSpan w:val="6"/>
                  <w:vAlign w:val="center"/>
                </w:tcPr>
                <w:p>
                  <w:pPr>
                    <w:widowControl/>
                    <w:jc w:val="center"/>
                    <w:rPr>
                      <w:b/>
                      <w:bCs/>
                      <w:kern w:val="0"/>
                      <w:szCs w:val="21"/>
                    </w:rPr>
                  </w:pPr>
                  <w:r>
                    <w:rPr>
                      <w:b/>
                      <w:bCs/>
                      <w:kern w:val="0"/>
                      <w:szCs w:val="21"/>
                    </w:rPr>
                    <w:t>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79" w:type="pct"/>
                  <w:vMerge w:val="continue"/>
                  <w:vAlign w:val="center"/>
                </w:tcPr>
                <w:p>
                  <w:pPr>
                    <w:widowControl/>
                    <w:jc w:val="center"/>
                    <w:rPr>
                      <w:b/>
                      <w:kern w:val="0"/>
                      <w:szCs w:val="21"/>
                    </w:rPr>
                  </w:pPr>
                </w:p>
              </w:tc>
              <w:tc>
                <w:tcPr>
                  <w:tcW w:w="1264" w:type="pct"/>
                  <w:vMerge w:val="continue"/>
                  <w:vAlign w:val="center"/>
                </w:tcPr>
                <w:p>
                  <w:pPr>
                    <w:widowControl/>
                    <w:jc w:val="center"/>
                    <w:rPr>
                      <w:b/>
                      <w:bCs/>
                      <w:kern w:val="0"/>
                      <w:szCs w:val="21"/>
                    </w:rPr>
                  </w:pPr>
                </w:p>
              </w:tc>
              <w:tc>
                <w:tcPr>
                  <w:tcW w:w="620" w:type="pct"/>
                  <w:vMerge w:val="continue"/>
                  <w:vAlign w:val="center"/>
                </w:tcPr>
                <w:p>
                  <w:pPr>
                    <w:widowControl/>
                    <w:jc w:val="center"/>
                    <w:rPr>
                      <w:b/>
                      <w:kern w:val="0"/>
                      <w:szCs w:val="21"/>
                    </w:rPr>
                  </w:pPr>
                </w:p>
              </w:tc>
              <w:tc>
                <w:tcPr>
                  <w:tcW w:w="303" w:type="pct"/>
                  <w:vMerge w:val="continue"/>
                  <w:vAlign w:val="center"/>
                </w:tcPr>
                <w:p>
                  <w:pPr>
                    <w:widowControl/>
                    <w:jc w:val="center"/>
                    <w:rPr>
                      <w:b/>
                      <w:bCs/>
                      <w:kern w:val="0"/>
                      <w:szCs w:val="21"/>
                    </w:rPr>
                  </w:pPr>
                </w:p>
              </w:tc>
              <w:tc>
                <w:tcPr>
                  <w:tcW w:w="616" w:type="pct"/>
                  <w:vMerge w:val="restart"/>
                  <w:vAlign w:val="center"/>
                </w:tcPr>
                <w:p>
                  <w:pPr>
                    <w:jc w:val="center"/>
                    <w:rPr>
                      <w:b/>
                      <w:bCs/>
                      <w:kern w:val="0"/>
                      <w:szCs w:val="21"/>
                    </w:rPr>
                  </w:pPr>
                  <w:r>
                    <w:rPr>
                      <w:b/>
                      <w:bCs/>
                      <w:kern w:val="0"/>
                      <w:szCs w:val="21"/>
                    </w:rPr>
                    <w:t>湿度</w:t>
                  </w:r>
                  <w:r>
                    <w:rPr>
                      <w:b/>
                      <w:bCs/>
                      <w:spacing w:val="-20"/>
                      <w:kern w:val="0"/>
                      <w:szCs w:val="21"/>
                    </w:rPr>
                    <w:t>（RH%）</w:t>
                  </w:r>
                </w:p>
              </w:tc>
              <w:tc>
                <w:tcPr>
                  <w:tcW w:w="774" w:type="pct"/>
                  <w:gridSpan w:val="2"/>
                  <w:tcBorders>
                    <w:right w:val="single" w:color="auto" w:sz="2" w:space="0"/>
                  </w:tcBorders>
                  <w:vAlign w:val="center"/>
                </w:tcPr>
                <w:p>
                  <w:pPr>
                    <w:widowControl/>
                    <w:jc w:val="center"/>
                    <w:rPr>
                      <w:b/>
                      <w:bCs/>
                      <w:kern w:val="0"/>
                      <w:szCs w:val="21"/>
                    </w:rPr>
                  </w:pPr>
                  <w:r>
                    <w:rPr>
                      <w:b/>
                      <w:bCs/>
                      <w:kern w:val="0"/>
                      <w:szCs w:val="21"/>
                    </w:rPr>
                    <w:t>温度（℃）</w:t>
                  </w:r>
                </w:p>
              </w:tc>
              <w:tc>
                <w:tcPr>
                  <w:tcW w:w="387" w:type="pct"/>
                  <w:vMerge w:val="restart"/>
                  <w:tcBorders>
                    <w:left w:val="single" w:color="auto" w:sz="2" w:space="0"/>
                  </w:tcBorders>
                  <w:vAlign w:val="center"/>
                </w:tcPr>
                <w:p>
                  <w:pPr>
                    <w:widowControl/>
                    <w:jc w:val="center"/>
                    <w:rPr>
                      <w:b/>
                      <w:bCs/>
                      <w:kern w:val="0"/>
                      <w:szCs w:val="21"/>
                    </w:rPr>
                  </w:pPr>
                  <w:r>
                    <w:rPr>
                      <w:b/>
                      <w:bCs/>
                      <w:kern w:val="0"/>
                      <w:szCs w:val="21"/>
                    </w:rPr>
                    <w:t>风向</w:t>
                  </w:r>
                </w:p>
              </w:tc>
              <w:tc>
                <w:tcPr>
                  <w:tcW w:w="755" w:type="pct"/>
                  <w:gridSpan w:val="2"/>
                  <w:tcBorders>
                    <w:left w:val="single" w:color="auto" w:sz="2" w:space="0"/>
                  </w:tcBorders>
                  <w:vAlign w:val="center"/>
                </w:tcPr>
                <w:p>
                  <w:pPr>
                    <w:widowControl/>
                    <w:rPr>
                      <w:b/>
                      <w:bCs/>
                      <w:kern w:val="0"/>
                      <w:szCs w:val="21"/>
                    </w:rPr>
                  </w:pPr>
                  <w:r>
                    <w:rPr>
                      <w:b/>
                      <w:bCs/>
                      <w:kern w:val="0"/>
                      <w:szCs w:val="21"/>
                    </w:rPr>
                    <w:t>风速（</w:t>
                  </w:r>
                  <w:r>
                    <w:rPr>
                      <w:b/>
                      <w:szCs w:val="21"/>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79" w:type="pct"/>
                  <w:vMerge w:val="continue"/>
                  <w:vAlign w:val="center"/>
                </w:tcPr>
                <w:p>
                  <w:pPr>
                    <w:widowControl/>
                    <w:jc w:val="center"/>
                    <w:rPr>
                      <w:b/>
                      <w:kern w:val="0"/>
                      <w:szCs w:val="21"/>
                    </w:rPr>
                  </w:pPr>
                </w:p>
              </w:tc>
              <w:tc>
                <w:tcPr>
                  <w:tcW w:w="1264" w:type="pct"/>
                  <w:vMerge w:val="continue"/>
                  <w:vAlign w:val="center"/>
                </w:tcPr>
                <w:p>
                  <w:pPr>
                    <w:widowControl/>
                    <w:jc w:val="center"/>
                    <w:rPr>
                      <w:b/>
                      <w:bCs/>
                      <w:kern w:val="0"/>
                      <w:szCs w:val="21"/>
                    </w:rPr>
                  </w:pPr>
                </w:p>
              </w:tc>
              <w:tc>
                <w:tcPr>
                  <w:tcW w:w="620" w:type="pct"/>
                  <w:vMerge w:val="continue"/>
                  <w:vAlign w:val="center"/>
                </w:tcPr>
                <w:p>
                  <w:pPr>
                    <w:widowControl/>
                    <w:jc w:val="center"/>
                    <w:rPr>
                      <w:b/>
                      <w:kern w:val="0"/>
                      <w:szCs w:val="21"/>
                    </w:rPr>
                  </w:pPr>
                </w:p>
              </w:tc>
              <w:tc>
                <w:tcPr>
                  <w:tcW w:w="303" w:type="pct"/>
                  <w:vMerge w:val="continue"/>
                  <w:vAlign w:val="center"/>
                </w:tcPr>
                <w:p>
                  <w:pPr>
                    <w:widowControl/>
                    <w:jc w:val="center"/>
                    <w:rPr>
                      <w:b/>
                      <w:bCs/>
                      <w:kern w:val="0"/>
                      <w:szCs w:val="21"/>
                    </w:rPr>
                  </w:pPr>
                </w:p>
              </w:tc>
              <w:tc>
                <w:tcPr>
                  <w:tcW w:w="616" w:type="pct"/>
                  <w:vMerge w:val="continue"/>
                  <w:vAlign w:val="center"/>
                </w:tcPr>
                <w:p>
                  <w:pPr>
                    <w:widowControl/>
                    <w:jc w:val="center"/>
                    <w:rPr>
                      <w:b/>
                      <w:bCs/>
                      <w:kern w:val="0"/>
                      <w:szCs w:val="21"/>
                    </w:rPr>
                  </w:pPr>
                </w:p>
              </w:tc>
              <w:tc>
                <w:tcPr>
                  <w:tcW w:w="387" w:type="pct"/>
                  <w:tcBorders>
                    <w:right w:val="single" w:color="auto" w:sz="2" w:space="0"/>
                  </w:tcBorders>
                  <w:vAlign w:val="center"/>
                </w:tcPr>
                <w:p>
                  <w:pPr>
                    <w:widowControl/>
                    <w:jc w:val="center"/>
                    <w:rPr>
                      <w:b/>
                      <w:bCs/>
                      <w:kern w:val="0"/>
                      <w:szCs w:val="21"/>
                    </w:rPr>
                  </w:pPr>
                  <w:r>
                    <w:rPr>
                      <w:b/>
                      <w:bCs/>
                      <w:kern w:val="0"/>
                      <w:szCs w:val="21"/>
                    </w:rPr>
                    <w:t>昼间</w:t>
                  </w:r>
                </w:p>
              </w:tc>
              <w:tc>
                <w:tcPr>
                  <w:tcW w:w="387" w:type="pct"/>
                  <w:tcBorders>
                    <w:right w:val="single" w:color="auto" w:sz="2" w:space="0"/>
                  </w:tcBorders>
                  <w:vAlign w:val="center"/>
                </w:tcPr>
                <w:p>
                  <w:pPr>
                    <w:widowControl/>
                    <w:jc w:val="center"/>
                    <w:rPr>
                      <w:b/>
                      <w:bCs/>
                      <w:kern w:val="0"/>
                      <w:szCs w:val="21"/>
                    </w:rPr>
                  </w:pPr>
                  <w:r>
                    <w:rPr>
                      <w:b/>
                      <w:bCs/>
                      <w:kern w:val="0"/>
                      <w:szCs w:val="21"/>
                    </w:rPr>
                    <w:t>夜间</w:t>
                  </w:r>
                </w:p>
              </w:tc>
              <w:tc>
                <w:tcPr>
                  <w:tcW w:w="387" w:type="pct"/>
                  <w:vMerge w:val="continue"/>
                  <w:tcBorders>
                    <w:left w:val="single" w:color="auto" w:sz="2" w:space="0"/>
                  </w:tcBorders>
                  <w:vAlign w:val="center"/>
                </w:tcPr>
                <w:p>
                  <w:pPr>
                    <w:widowControl/>
                    <w:jc w:val="center"/>
                    <w:rPr>
                      <w:b/>
                      <w:bCs/>
                      <w:kern w:val="0"/>
                      <w:szCs w:val="21"/>
                    </w:rPr>
                  </w:pPr>
                </w:p>
              </w:tc>
              <w:tc>
                <w:tcPr>
                  <w:tcW w:w="385" w:type="pct"/>
                  <w:tcBorders>
                    <w:left w:val="single" w:color="auto" w:sz="2" w:space="0"/>
                  </w:tcBorders>
                  <w:vAlign w:val="center"/>
                </w:tcPr>
                <w:p>
                  <w:pPr>
                    <w:widowControl/>
                    <w:jc w:val="center"/>
                    <w:rPr>
                      <w:b/>
                      <w:bCs/>
                      <w:kern w:val="0"/>
                      <w:szCs w:val="21"/>
                    </w:rPr>
                  </w:pPr>
                  <w:r>
                    <w:rPr>
                      <w:b/>
                      <w:bCs/>
                      <w:kern w:val="0"/>
                      <w:szCs w:val="21"/>
                    </w:rPr>
                    <w:t>昼间</w:t>
                  </w:r>
                </w:p>
              </w:tc>
              <w:tc>
                <w:tcPr>
                  <w:tcW w:w="369" w:type="pct"/>
                  <w:tcBorders>
                    <w:left w:val="single" w:color="auto" w:sz="2" w:space="0"/>
                  </w:tcBorders>
                  <w:vAlign w:val="center"/>
                </w:tcPr>
                <w:p>
                  <w:pPr>
                    <w:widowControl/>
                    <w:jc w:val="center"/>
                    <w:rPr>
                      <w:b/>
                      <w:bCs/>
                      <w:kern w:val="0"/>
                      <w:szCs w:val="21"/>
                    </w:rPr>
                  </w:pPr>
                  <w:r>
                    <w:rPr>
                      <w:b/>
                      <w:bCs/>
                      <w:kern w:val="0"/>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10"/>
                  <w:vAlign w:val="center"/>
                </w:tcPr>
                <w:p>
                  <w:pPr>
                    <w:widowControl/>
                    <w:rPr>
                      <w:kern w:val="0"/>
                      <w:szCs w:val="21"/>
                      <w:highlight w:val="yellow"/>
                    </w:rPr>
                  </w:pPr>
                  <w:r>
                    <w:rPr>
                      <w:b/>
                      <w:kern w:val="0"/>
                      <w:szCs w:val="21"/>
                    </w:rPr>
                    <w:t>一</w:t>
                  </w:r>
                  <w:r>
                    <w:rPr>
                      <w:rFonts w:hint="eastAsia"/>
                      <w:b/>
                      <w:kern w:val="0"/>
                      <w:szCs w:val="21"/>
                    </w:rPr>
                    <w:t>、</w:t>
                  </w:r>
                  <w:r>
                    <w:rPr>
                      <w:b/>
                      <w:kern w:val="0"/>
                      <w:szCs w:val="21"/>
                    </w:rPr>
                    <w:t>伊拉湖220千伏变电站新建工程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1</w:t>
                  </w:r>
                </w:p>
              </w:tc>
              <w:tc>
                <w:tcPr>
                  <w:tcW w:w="1264" w:type="pct"/>
                  <w:vMerge w:val="restart"/>
                  <w:vAlign w:val="center"/>
                </w:tcPr>
                <w:p>
                  <w:pPr>
                    <w:widowControl/>
                    <w:jc w:val="center"/>
                    <w:rPr>
                      <w:kern w:val="0"/>
                      <w:szCs w:val="21"/>
                    </w:rPr>
                  </w:pPr>
                  <w:r>
                    <w:rPr>
                      <w:kern w:val="0"/>
                      <w:szCs w:val="21"/>
                    </w:rPr>
                    <w:t>伊拉湖220kV变电站站址东侧1#</w:t>
                  </w:r>
                </w:p>
              </w:tc>
              <w:tc>
                <w:tcPr>
                  <w:tcW w:w="620" w:type="pct"/>
                  <w:vAlign w:val="center"/>
                </w:tcPr>
                <w:p>
                  <w:pPr>
                    <w:widowControl/>
                    <w:jc w:val="center"/>
                    <w:rPr>
                      <w:kern w:val="0"/>
                      <w:szCs w:val="21"/>
                    </w:rPr>
                  </w:pPr>
                  <w:r>
                    <w:rPr>
                      <w:kern w:val="0"/>
                      <w:szCs w:val="21"/>
                    </w:rPr>
                    <w:t>2025.12.2</w:t>
                  </w:r>
                </w:p>
              </w:tc>
              <w:tc>
                <w:tcPr>
                  <w:tcW w:w="303" w:type="pct"/>
                  <w:vMerge w:val="restart"/>
                  <w:vAlign w:val="center"/>
                </w:tcPr>
                <w:p>
                  <w:pPr>
                    <w:rPr>
                      <w:szCs w:val="21"/>
                    </w:rPr>
                  </w:pPr>
                  <w:r>
                    <w:rPr>
                      <w:kern w:val="0"/>
                      <w:szCs w:val="21"/>
                    </w:rPr>
                    <w:t>晴</w:t>
                  </w:r>
                </w:p>
                <w:p>
                  <w:pPr>
                    <w:widowControl/>
                    <w:jc w:val="center"/>
                    <w:rPr>
                      <w:kern w:val="0"/>
                      <w:szCs w:val="21"/>
                    </w:rPr>
                  </w:pPr>
                </w:p>
              </w:tc>
              <w:tc>
                <w:tcPr>
                  <w:tcW w:w="616" w:type="pct"/>
                  <w:vAlign w:val="center"/>
                </w:tcPr>
                <w:p>
                  <w:pPr>
                    <w:widowControl/>
                    <w:jc w:val="center"/>
                    <w:rPr>
                      <w:kern w:val="0"/>
                      <w:szCs w:val="21"/>
                    </w:rPr>
                  </w:pPr>
                  <w:r>
                    <w:rPr>
                      <w:kern w:val="0"/>
                      <w:szCs w:val="21"/>
                    </w:rPr>
                    <w:t>20.3</w:t>
                  </w:r>
                </w:p>
              </w:tc>
              <w:tc>
                <w:tcPr>
                  <w:tcW w:w="387" w:type="pct"/>
                  <w:tcBorders>
                    <w:right w:val="single" w:color="auto" w:sz="2" w:space="0"/>
                  </w:tcBorders>
                  <w:vAlign w:val="center"/>
                </w:tcPr>
                <w:p>
                  <w:pPr>
                    <w:widowControl/>
                    <w:jc w:val="center"/>
                    <w:rPr>
                      <w:kern w:val="0"/>
                      <w:szCs w:val="21"/>
                    </w:rPr>
                  </w:pPr>
                  <w:r>
                    <w:rPr>
                      <w:kern w:val="0"/>
                      <w:szCs w:val="21"/>
                    </w:rPr>
                    <w:t>3.2</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0"/>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Merge w:val="continue"/>
                  <w:vAlign w:val="center"/>
                </w:tcPr>
                <w:p>
                  <w:pPr>
                    <w:widowControl/>
                    <w:jc w:val="center"/>
                    <w:rPr>
                      <w:kern w:val="0"/>
                      <w:szCs w:val="21"/>
                    </w:rPr>
                  </w:pP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-5.6</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2</w:t>
                  </w:r>
                </w:p>
              </w:tc>
              <w:tc>
                <w:tcPr>
                  <w:tcW w:w="1264" w:type="pct"/>
                  <w:vMerge w:val="restart"/>
                  <w:vAlign w:val="center"/>
                </w:tcPr>
                <w:p>
                  <w:pPr>
                    <w:widowControl/>
                    <w:jc w:val="center"/>
                    <w:rPr>
                      <w:kern w:val="0"/>
                      <w:szCs w:val="21"/>
                    </w:rPr>
                  </w:pPr>
                  <w:r>
                    <w:rPr>
                      <w:kern w:val="0"/>
                      <w:szCs w:val="21"/>
                    </w:rPr>
                    <w:t>伊拉湖220kV变电站站址东侧2#</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20.2</w:t>
                  </w:r>
                </w:p>
              </w:tc>
              <w:tc>
                <w:tcPr>
                  <w:tcW w:w="387" w:type="pct"/>
                  <w:tcBorders>
                    <w:right w:val="single" w:color="auto" w:sz="2" w:space="0"/>
                  </w:tcBorders>
                  <w:vAlign w:val="center"/>
                </w:tcPr>
                <w:p>
                  <w:pPr>
                    <w:widowControl/>
                    <w:jc w:val="center"/>
                    <w:rPr>
                      <w:kern w:val="0"/>
                      <w:szCs w:val="21"/>
                    </w:rPr>
                  </w:pPr>
                  <w:r>
                    <w:rPr>
                      <w:kern w:val="0"/>
                      <w:szCs w:val="21"/>
                    </w:rPr>
                    <w:t>3.2</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279" w:type="pct"/>
                  <w:vMerge w:val="continue"/>
                  <w:vAlign w:val="center"/>
                </w:tcPr>
                <w:p>
                  <w:pPr>
                    <w:pStyle w:val="107"/>
                    <w:widowControl/>
                    <w:numPr>
                      <w:ilvl w:val="0"/>
                      <w:numId w:val="10"/>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-5.6</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3</w:t>
                  </w:r>
                </w:p>
              </w:tc>
              <w:tc>
                <w:tcPr>
                  <w:tcW w:w="1264" w:type="pct"/>
                  <w:vMerge w:val="restart"/>
                  <w:vAlign w:val="center"/>
                </w:tcPr>
                <w:p>
                  <w:pPr>
                    <w:widowControl/>
                    <w:jc w:val="center"/>
                    <w:rPr>
                      <w:kern w:val="0"/>
                      <w:szCs w:val="21"/>
                    </w:rPr>
                  </w:pPr>
                  <w:r>
                    <w:rPr>
                      <w:kern w:val="0"/>
                      <w:szCs w:val="21"/>
                    </w:rPr>
                    <w:t>伊拉湖220kV变电站站址南侧3#</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20.4</w:t>
                  </w:r>
                </w:p>
              </w:tc>
              <w:tc>
                <w:tcPr>
                  <w:tcW w:w="387" w:type="pct"/>
                  <w:tcBorders>
                    <w:right w:val="single" w:color="auto" w:sz="2" w:space="0"/>
                  </w:tcBorders>
                  <w:vAlign w:val="center"/>
                </w:tcPr>
                <w:p>
                  <w:pPr>
                    <w:widowControl/>
                    <w:jc w:val="center"/>
                    <w:rPr>
                      <w:kern w:val="0"/>
                      <w:szCs w:val="21"/>
                    </w:rPr>
                  </w:pPr>
                  <w:r>
                    <w:rPr>
                      <w:kern w:val="0"/>
                      <w:szCs w:val="21"/>
                    </w:rPr>
                    <w:t>3.3</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0"/>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-5.7</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4</w:t>
                  </w:r>
                </w:p>
              </w:tc>
              <w:tc>
                <w:tcPr>
                  <w:tcW w:w="1264" w:type="pct"/>
                  <w:vMerge w:val="restart"/>
                  <w:vAlign w:val="center"/>
                </w:tcPr>
                <w:p>
                  <w:pPr>
                    <w:widowControl/>
                    <w:jc w:val="center"/>
                    <w:rPr>
                      <w:kern w:val="0"/>
                      <w:szCs w:val="21"/>
                    </w:rPr>
                  </w:pPr>
                  <w:r>
                    <w:rPr>
                      <w:kern w:val="0"/>
                      <w:szCs w:val="21"/>
                    </w:rPr>
                    <w:t>伊拉湖220kV变电站站址南侧4#</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20.3</w:t>
                  </w:r>
                </w:p>
              </w:tc>
              <w:tc>
                <w:tcPr>
                  <w:tcW w:w="387" w:type="pct"/>
                  <w:tcBorders>
                    <w:right w:val="single" w:color="auto" w:sz="2" w:space="0"/>
                  </w:tcBorders>
                  <w:vAlign w:val="center"/>
                </w:tcPr>
                <w:p>
                  <w:pPr>
                    <w:widowControl/>
                    <w:jc w:val="center"/>
                    <w:rPr>
                      <w:kern w:val="0"/>
                      <w:szCs w:val="21"/>
                    </w:rPr>
                  </w:pPr>
                  <w:r>
                    <w:rPr>
                      <w:kern w:val="0"/>
                      <w:szCs w:val="21"/>
                    </w:rPr>
                    <w:t>3.4</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0"/>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-5.6</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5</w:t>
                  </w:r>
                </w:p>
              </w:tc>
              <w:tc>
                <w:tcPr>
                  <w:tcW w:w="1264" w:type="pct"/>
                  <w:vMerge w:val="restart"/>
                  <w:vAlign w:val="center"/>
                </w:tcPr>
                <w:p>
                  <w:pPr>
                    <w:widowControl/>
                    <w:jc w:val="center"/>
                    <w:rPr>
                      <w:kern w:val="0"/>
                      <w:szCs w:val="21"/>
                    </w:rPr>
                  </w:pPr>
                  <w:r>
                    <w:rPr>
                      <w:kern w:val="0"/>
                      <w:szCs w:val="21"/>
                    </w:rPr>
                    <w:t>伊拉湖220kV变电站站址西侧5#</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20.3</w:t>
                  </w:r>
                </w:p>
              </w:tc>
              <w:tc>
                <w:tcPr>
                  <w:tcW w:w="387" w:type="pct"/>
                  <w:tcBorders>
                    <w:right w:val="single" w:color="auto" w:sz="2" w:space="0"/>
                  </w:tcBorders>
                  <w:vAlign w:val="center"/>
                </w:tcPr>
                <w:p>
                  <w:pPr>
                    <w:widowControl/>
                    <w:jc w:val="center"/>
                    <w:rPr>
                      <w:kern w:val="0"/>
                      <w:szCs w:val="21"/>
                    </w:rPr>
                  </w:pPr>
                  <w:r>
                    <w:rPr>
                      <w:kern w:val="0"/>
                      <w:szCs w:val="21"/>
                    </w:rPr>
                    <w:t>3.6</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0"/>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-5.7</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6</w:t>
                  </w:r>
                </w:p>
              </w:tc>
              <w:tc>
                <w:tcPr>
                  <w:tcW w:w="1264" w:type="pct"/>
                  <w:vMerge w:val="restart"/>
                  <w:vAlign w:val="center"/>
                </w:tcPr>
                <w:p>
                  <w:pPr>
                    <w:widowControl/>
                    <w:jc w:val="center"/>
                    <w:rPr>
                      <w:kern w:val="0"/>
                      <w:szCs w:val="21"/>
                    </w:rPr>
                  </w:pPr>
                  <w:r>
                    <w:rPr>
                      <w:kern w:val="0"/>
                      <w:szCs w:val="21"/>
                    </w:rPr>
                    <w:t>伊拉湖220kV变电站站址西侧6#</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20.1</w:t>
                  </w:r>
                </w:p>
              </w:tc>
              <w:tc>
                <w:tcPr>
                  <w:tcW w:w="387" w:type="pct"/>
                  <w:tcBorders>
                    <w:right w:val="single" w:color="auto" w:sz="2" w:space="0"/>
                  </w:tcBorders>
                  <w:vAlign w:val="center"/>
                </w:tcPr>
                <w:p>
                  <w:pPr>
                    <w:widowControl/>
                    <w:jc w:val="center"/>
                    <w:rPr>
                      <w:kern w:val="0"/>
                      <w:szCs w:val="21"/>
                    </w:rPr>
                  </w:pPr>
                  <w:r>
                    <w:rPr>
                      <w:kern w:val="0"/>
                      <w:szCs w:val="21"/>
                    </w:rPr>
                    <w:t>3.6</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0"/>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-5.7</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7</w:t>
                  </w:r>
                </w:p>
              </w:tc>
              <w:tc>
                <w:tcPr>
                  <w:tcW w:w="1264" w:type="pct"/>
                  <w:vMerge w:val="restart"/>
                  <w:vAlign w:val="center"/>
                </w:tcPr>
                <w:p>
                  <w:pPr>
                    <w:widowControl/>
                    <w:jc w:val="center"/>
                    <w:rPr>
                      <w:kern w:val="0"/>
                      <w:szCs w:val="21"/>
                    </w:rPr>
                  </w:pPr>
                  <w:r>
                    <w:rPr>
                      <w:kern w:val="0"/>
                      <w:szCs w:val="21"/>
                    </w:rPr>
                    <w:t>伊拉湖220kV变电站站址北侧7#</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20.1</w:t>
                  </w:r>
                </w:p>
              </w:tc>
              <w:tc>
                <w:tcPr>
                  <w:tcW w:w="387" w:type="pct"/>
                  <w:tcBorders>
                    <w:right w:val="single" w:color="auto" w:sz="2" w:space="0"/>
                  </w:tcBorders>
                  <w:vAlign w:val="center"/>
                </w:tcPr>
                <w:p>
                  <w:pPr>
                    <w:widowControl/>
                    <w:jc w:val="center"/>
                    <w:rPr>
                      <w:kern w:val="0"/>
                      <w:szCs w:val="21"/>
                    </w:rPr>
                  </w:pPr>
                  <w:r>
                    <w:rPr>
                      <w:kern w:val="0"/>
                      <w:szCs w:val="21"/>
                    </w:rPr>
                    <w:t>3.6</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0"/>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-5.8</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8</w:t>
                  </w:r>
                </w:p>
              </w:tc>
              <w:tc>
                <w:tcPr>
                  <w:tcW w:w="1264" w:type="pct"/>
                  <w:vMerge w:val="restart"/>
                  <w:vAlign w:val="center"/>
                </w:tcPr>
                <w:p>
                  <w:pPr>
                    <w:widowControl/>
                    <w:jc w:val="center"/>
                    <w:rPr>
                      <w:kern w:val="0"/>
                      <w:szCs w:val="21"/>
                    </w:rPr>
                  </w:pPr>
                  <w:r>
                    <w:rPr>
                      <w:kern w:val="0"/>
                      <w:szCs w:val="21"/>
                    </w:rPr>
                    <w:t>伊拉湖220kV变电站站址北侧8#</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20.2</w:t>
                  </w:r>
                </w:p>
              </w:tc>
              <w:tc>
                <w:tcPr>
                  <w:tcW w:w="387" w:type="pct"/>
                  <w:tcBorders>
                    <w:right w:val="single" w:color="auto" w:sz="2" w:space="0"/>
                  </w:tcBorders>
                  <w:vAlign w:val="center"/>
                </w:tcPr>
                <w:p>
                  <w:pPr>
                    <w:widowControl/>
                    <w:jc w:val="center"/>
                    <w:rPr>
                      <w:kern w:val="0"/>
                      <w:szCs w:val="21"/>
                    </w:rPr>
                  </w:pPr>
                  <w:r>
                    <w:rPr>
                      <w:kern w:val="0"/>
                      <w:szCs w:val="21"/>
                    </w:rPr>
                    <w:t>3.7</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0.7</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0"/>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-5.9</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9</w:t>
                  </w:r>
                </w:p>
              </w:tc>
              <w:tc>
                <w:tcPr>
                  <w:tcW w:w="1264" w:type="pct"/>
                  <w:vMerge w:val="restart"/>
                  <w:vAlign w:val="center"/>
                </w:tcPr>
                <w:p>
                  <w:pPr>
                    <w:widowControl/>
                    <w:jc w:val="center"/>
                    <w:rPr>
                      <w:kern w:val="0"/>
                      <w:szCs w:val="21"/>
                    </w:rPr>
                  </w:pPr>
                  <w:r>
                    <w:rPr>
                      <w:kern w:val="0"/>
                      <w:szCs w:val="21"/>
                    </w:rPr>
                    <w:t>伊拉湖220kV变电站站址中心9#</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19.9</w:t>
                  </w:r>
                </w:p>
              </w:tc>
              <w:tc>
                <w:tcPr>
                  <w:tcW w:w="387" w:type="pct"/>
                  <w:tcBorders>
                    <w:right w:val="single" w:color="auto" w:sz="2" w:space="0"/>
                  </w:tcBorders>
                  <w:vAlign w:val="center"/>
                </w:tcPr>
                <w:p>
                  <w:pPr>
                    <w:widowControl/>
                    <w:jc w:val="center"/>
                    <w:rPr>
                      <w:kern w:val="0"/>
                      <w:szCs w:val="21"/>
                    </w:rPr>
                  </w:pPr>
                  <w:r>
                    <w:rPr>
                      <w:kern w:val="0"/>
                      <w:szCs w:val="21"/>
                    </w:rPr>
                    <w:t>3.9</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0"/>
                    </w:numPr>
                    <w:ind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-5.9</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10"/>
                  <w:vAlign w:val="center"/>
                </w:tcPr>
                <w:p>
                  <w:pPr>
                    <w:widowControl/>
                    <w:rPr>
                      <w:kern w:val="0"/>
                      <w:szCs w:val="21"/>
                    </w:rPr>
                  </w:pPr>
                  <w:r>
                    <w:rPr>
                      <w:b/>
                      <w:kern w:val="0"/>
                      <w:szCs w:val="21"/>
                    </w:rPr>
                    <w:t>二</w:t>
                  </w:r>
                  <w:r>
                    <w:rPr>
                      <w:rFonts w:hint="eastAsia"/>
                      <w:b/>
                      <w:kern w:val="0"/>
                      <w:szCs w:val="21"/>
                    </w:rPr>
                    <w:t>、</w:t>
                  </w:r>
                  <w:r>
                    <w:rPr>
                      <w:b/>
                      <w:kern w:val="0"/>
                      <w:szCs w:val="21"/>
                    </w:rPr>
                    <w:t>吐鲁番电厂～阿拉沟变Ⅰ、Ⅱ回π入伊拉湖变220千伏线路工程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1</w:t>
                  </w:r>
                </w:p>
              </w:tc>
              <w:tc>
                <w:tcPr>
                  <w:tcW w:w="1264" w:type="pct"/>
                  <w:vMerge w:val="restart"/>
                  <w:vAlign w:val="center"/>
                </w:tcPr>
                <w:p>
                  <w:pPr>
                    <w:widowControl/>
                    <w:jc w:val="center"/>
                    <w:rPr>
                      <w:kern w:val="0"/>
                      <w:szCs w:val="21"/>
                    </w:rPr>
                  </w:pPr>
                  <w:r>
                    <w:rPr>
                      <w:kern w:val="0"/>
                      <w:szCs w:val="21"/>
                    </w:rPr>
                    <w:t>线路背景值测点1#</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19.7</w:t>
                  </w:r>
                </w:p>
              </w:tc>
              <w:tc>
                <w:tcPr>
                  <w:tcW w:w="387" w:type="pct"/>
                  <w:tcBorders>
                    <w:right w:val="single" w:color="auto" w:sz="2" w:space="0"/>
                  </w:tcBorders>
                  <w:vAlign w:val="center"/>
                </w:tcPr>
                <w:p>
                  <w:pPr>
                    <w:widowControl/>
                    <w:jc w:val="center"/>
                    <w:rPr>
                      <w:kern w:val="0"/>
                      <w:szCs w:val="21"/>
                    </w:rPr>
                  </w:pPr>
                  <w:r>
                    <w:rPr>
                      <w:kern w:val="0"/>
                      <w:szCs w:val="21"/>
                    </w:rPr>
                    <w:t>4.1</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1"/>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-6.2</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2</w:t>
                  </w:r>
                </w:p>
              </w:tc>
              <w:tc>
                <w:tcPr>
                  <w:tcW w:w="1264" w:type="pct"/>
                  <w:vMerge w:val="restart"/>
                  <w:vAlign w:val="center"/>
                </w:tcPr>
                <w:p>
                  <w:pPr>
                    <w:widowControl/>
                    <w:jc w:val="center"/>
                    <w:rPr>
                      <w:kern w:val="0"/>
                      <w:szCs w:val="21"/>
                    </w:rPr>
                  </w:pPr>
                  <w:r>
                    <w:rPr>
                      <w:kern w:val="0"/>
                      <w:szCs w:val="21"/>
                    </w:rPr>
                    <w:t>线路背景值测点2#</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19.8</w:t>
                  </w:r>
                </w:p>
              </w:tc>
              <w:tc>
                <w:tcPr>
                  <w:tcW w:w="387" w:type="pct"/>
                  <w:tcBorders>
                    <w:right w:val="single" w:color="auto" w:sz="2" w:space="0"/>
                  </w:tcBorders>
                  <w:vAlign w:val="center"/>
                </w:tcPr>
                <w:p>
                  <w:pPr>
                    <w:widowControl/>
                    <w:jc w:val="center"/>
                    <w:rPr>
                      <w:kern w:val="0"/>
                      <w:szCs w:val="21"/>
                    </w:rPr>
                  </w:pPr>
                  <w:r>
                    <w:rPr>
                      <w:kern w:val="0"/>
                      <w:szCs w:val="21"/>
                    </w:rPr>
                    <w:t>4.3</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1"/>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-6.4</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3</w:t>
                  </w:r>
                </w:p>
              </w:tc>
              <w:tc>
                <w:tcPr>
                  <w:tcW w:w="1264" w:type="pct"/>
                  <w:vMerge w:val="restart"/>
                  <w:vAlign w:val="center"/>
                </w:tcPr>
                <w:p>
                  <w:pPr>
                    <w:widowControl/>
                    <w:jc w:val="center"/>
                    <w:rPr>
                      <w:kern w:val="0"/>
                      <w:szCs w:val="21"/>
                    </w:rPr>
                  </w:pPr>
                  <w:r>
                    <w:rPr>
                      <w:kern w:val="0"/>
                      <w:szCs w:val="21"/>
                    </w:rPr>
                    <w:t>线路背景值测点3#</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19.8</w:t>
                  </w:r>
                </w:p>
              </w:tc>
              <w:tc>
                <w:tcPr>
                  <w:tcW w:w="387" w:type="pct"/>
                  <w:tcBorders>
                    <w:right w:val="single" w:color="auto" w:sz="2" w:space="0"/>
                  </w:tcBorders>
                  <w:vAlign w:val="center"/>
                </w:tcPr>
                <w:p>
                  <w:pPr>
                    <w:widowControl/>
                    <w:jc w:val="center"/>
                    <w:rPr>
                      <w:kern w:val="0"/>
                      <w:szCs w:val="21"/>
                    </w:rPr>
                  </w:pPr>
                  <w:r>
                    <w:rPr>
                      <w:kern w:val="0"/>
                      <w:szCs w:val="21"/>
                    </w:rPr>
                    <w:t>4.3</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1"/>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-6.4</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4</w:t>
                  </w:r>
                </w:p>
              </w:tc>
              <w:tc>
                <w:tcPr>
                  <w:tcW w:w="1264" w:type="pct"/>
                  <w:vMerge w:val="restart"/>
                  <w:vAlign w:val="center"/>
                </w:tcPr>
                <w:p>
                  <w:pPr>
                    <w:widowControl/>
                    <w:jc w:val="center"/>
                    <w:rPr>
                      <w:kern w:val="0"/>
                      <w:szCs w:val="21"/>
                    </w:rPr>
                  </w:pPr>
                  <w:r>
                    <w:rPr>
                      <w:kern w:val="0"/>
                      <w:szCs w:val="21"/>
                    </w:rPr>
                    <w:t>线路背景值测点4#</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19.6</w:t>
                  </w:r>
                </w:p>
              </w:tc>
              <w:tc>
                <w:tcPr>
                  <w:tcW w:w="387" w:type="pct"/>
                  <w:tcBorders>
                    <w:right w:val="single" w:color="auto" w:sz="2" w:space="0"/>
                  </w:tcBorders>
                  <w:vAlign w:val="center"/>
                </w:tcPr>
                <w:p>
                  <w:pPr>
                    <w:widowControl/>
                    <w:jc w:val="center"/>
                    <w:rPr>
                      <w:kern w:val="0"/>
                      <w:szCs w:val="21"/>
                    </w:rPr>
                  </w:pPr>
                  <w:r>
                    <w:rPr>
                      <w:kern w:val="0"/>
                      <w:szCs w:val="21"/>
                    </w:rPr>
                    <w:t>4.5</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1"/>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-6.5</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5</w:t>
                  </w:r>
                </w:p>
              </w:tc>
              <w:tc>
                <w:tcPr>
                  <w:tcW w:w="1264" w:type="pct"/>
                  <w:vMerge w:val="restart"/>
                  <w:vAlign w:val="center"/>
                </w:tcPr>
                <w:p>
                  <w:pPr>
                    <w:widowControl/>
                    <w:jc w:val="center"/>
                    <w:rPr>
                      <w:kern w:val="0"/>
                      <w:szCs w:val="21"/>
                    </w:rPr>
                  </w:pPr>
                  <w:r>
                    <w:rPr>
                      <w:kern w:val="0"/>
                      <w:szCs w:val="21"/>
                    </w:rPr>
                    <w:t>线路背景值测点5#</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19.5</w:t>
                  </w:r>
                </w:p>
              </w:tc>
              <w:tc>
                <w:tcPr>
                  <w:tcW w:w="387" w:type="pct"/>
                  <w:tcBorders>
                    <w:right w:val="single" w:color="auto" w:sz="2" w:space="0"/>
                  </w:tcBorders>
                  <w:vAlign w:val="center"/>
                </w:tcPr>
                <w:p>
                  <w:pPr>
                    <w:widowControl/>
                    <w:jc w:val="center"/>
                    <w:rPr>
                      <w:kern w:val="0"/>
                      <w:szCs w:val="21"/>
                    </w:rPr>
                  </w:pPr>
                  <w:r>
                    <w:rPr>
                      <w:kern w:val="0"/>
                      <w:szCs w:val="21"/>
                    </w:rPr>
                    <w:t>4.6</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1"/>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-6.7</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6</w:t>
                  </w:r>
                </w:p>
              </w:tc>
              <w:tc>
                <w:tcPr>
                  <w:tcW w:w="1264" w:type="pct"/>
                  <w:vMerge w:val="restart"/>
                  <w:vAlign w:val="center"/>
                </w:tcPr>
                <w:p>
                  <w:pPr>
                    <w:widowControl/>
                    <w:jc w:val="center"/>
                    <w:rPr>
                      <w:kern w:val="0"/>
                      <w:szCs w:val="21"/>
                    </w:rPr>
                  </w:pPr>
                  <w:r>
                    <w:rPr>
                      <w:kern w:val="0"/>
                      <w:szCs w:val="21"/>
                    </w:rPr>
                    <w:t>线路背景值测点6#</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19.6</w:t>
                  </w:r>
                </w:p>
              </w:tc>
              <w:tc>
                <w:tcPr>
                  <w:tcW w:w="387" w:type="pct"/>
                  <w:tcBorders>
                    <w:right w:val="single" w:color="auto" w:sz="2" w:space="0"/>
                  </w:tcBorders>
                  <w:vAlign w:val="center"/>
                </w:tcPr>
                <w:p>
                  <w:pPr>
                    <w:widowControl/>
                    <w:jc w:val="center"/>
                    <w:rPr>
                      <w:kern w:val="0"/>
                      <w:szCs w:val="21"/>
                    </w:rPr>
                  </w:pPr>
                  <w:r>
                    <w:rPr>
                      <w:kern w:val="0"/>
                      <w:szCs w:val="21"/>
                    </w:rPr>
                    <w:t>4.8</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1"/>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-6.6</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7</w:t>
                  </w:r>
                </w:p>
              </w:tc>
              <w:tc>
                <w:tcPr>
                  <w:tcW w:w="1264" w:type="pct"/>
                  <w:vMerge w:val="restart"/>
                  <w:vAlign w:val="center"/>
                </w:tcPr>
                <w:p>
                  <w:pPr>
                    <w:widowControl/>
                    <w:jc w:val="center"/>
                    <w:rPr>
                      <w:kern w:val="0"/>
                      <w:szCs w:val="21"/>
                    </w:rPr>
                  </w:pPr>
                  <w:r>
                    <w:rPr>
                      <w:kern w:val="0"/>
                      <w:szCs w:val="21"/>
                    </w:rPr>
                    <w:t>线路背景值测点7#</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19.5</w:t>
                  </w:r>
                </w:p>
              </w:tc>
              <w:tc>
                <w:tcPr>
                  <w:tcW w:w="387" w:type="pct"/>
                  <w:tcBorders>
                    <w:right w:val="single" w:color="auto" w:sz="2" w:space="0"/>
                  </w:tcBorders>
                  <w:vAlign w:val="center"/>
                </w:tcPr>
                <w:p>
                  <w:pPr>
                    <w:widowControl/>
                    <w:jc w:val="center"/>
                    <w:rPr>
                      <w:kern w:val="0"/>
                      <w:szCs w:val="21"/>
                    </w:rPr>
                  </w:pPr>
                  <w:r>
                    <w:rPr>
                      <w:kern w:val="0"/>
                      <w:szCs w:val="21"/>
                    </w:rPr>
                    <w:t>4.9</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1"/>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-6.7</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8</w:t>
                  </w:r>
                </w:p>
              </w:tc>
              <w:tc>
                <w:tcPr>
                  <w:tcW w:w="1264" w:type="pct"/>
                  <w:vMerge w:val="restart"/>
                  <w:vAlign w:val="center"/>
                </w:tcPr>
                <w:p>
                  <w:pPr>
                    <w:widowControl/>
                    <w:jc w:val="center"/>
                    <w:rPr>
                      <w:kern w:val="0"/>
                      <w:szCs w:val="21"/>
                    </w:rPr>
                  </w:pPr>
                  <w:r>
                    <w:rPr>
                      <w:kern w:val="0"/>
                      <w:szCs w:val="21"/>
                    </w:rPr>
                    <w:t>线路背景值测点8#</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19.4</w:t>
                  </w:r>
                </w:p>
              </w:tc>
              <w:tc>
                <w:tcPr>
                  <w:tcW w:w="387" w:type="pct"/>
                  <w:tcBorders>
                    <w:right w:val="single" w:color="auto" w:sz="2" w:space="0"/>
                  </w:tcBorders>
                  <w:vAlign w:val="center"/>
                </w:tcPr>
                <w:p>
                  <w:pPr>
                    <w:widowControl/>
                    <w:jc w:val="center"/>
                    <w:rPr>
                      <w:kern w:val="0"/>
                      <w:szCs w:val="21"/>
                    </w:rPr>
                  </w:pPr>
                  <w:r>
                    <w:rPr>
                      <w:kern w:val="0"/>
                      <w:szCs w:val="21"/>
                    </w:rPr>
                    <w:t>4.8</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1"/>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-6.9</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9</w:t>
                  </w:r>
                </w:p>
              </w:tc>
              <w:tc>
                <w:tcPr>
                  <w:tcW w:w="1264" w:type="pct"/>
                  <w:vMerge w:val="restart"/>
                  <w:vAlign w:val="center"/>
                </w:tcPr>
                <w:p>
                  <w:pPr>
                    <w:widowControl/>
                    <w:jc w:val="center"/>
                    <w:rPr>
                      <w:kern w:val="0"/>
                      <w:szCs w:val="21"/>
                    </w:rPr>
                  </w:pPr>
                  <w:r>
                    <w:rPr>
                      <w:kern w:val="0"/>
                      <w:szCs w:val="21"/>
                    </w:rPr>
                    <w:t>电缆段背景值测点9#</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19.4</w:t>
                  </w:r>
                </w:p>
              </w:tc>
              <w:tc>
                <w:tcPr>
                  <w:tcW w:w="387" w:type="pct"/>
                  <w:tcBorders>
                    <w:right w:val="single" w:color="auto" w:sz="2" w:space="0"/>
                  </w:tcBorders>
                  <w:vAlign w:val="center"/>
                </w:tcPr>
                <w:p>
                  <w:pPr>
                    <w:widowControl/>
                    <w:jc w:val="center"/>
                    <w:rPr>
                      <w:kern w:val="0"/>
                      <w:szCs w:val="21"/>
                    </w:rPr>
                  </w:pPr>
                  <w:r>
                    <w:rPr>
                      <w:kern w:val="0"/>
                      <w:szCs w:val="21"/>
                    </w:rPr>
                    <w:t>4.9</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1"/>
                    </w:numPr>
                    <w:ind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-6.9</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10"/>
                  <w:vAlign w:val="center"/>
                </w:tcPr>
                <w:p>
                  <w:pPr>
                    <w:widowControl/>
                    <w:rPr>
                      <w:kern w:val="0"/>
                      <w:szCs w:val="21"/>
                      <w:highlight w:val="yellow"/>
                    </w:rPr>
                  </w:pPr>
                  <w:r>
                    <w:rPr>
                      <w:b/>
                      <w:kern w:val="0"/>
                      <w:szCs w:val="21"/>
                    </w:rPr>
                    <w:t>三</w:t>
                  </w:r>
                  <w:r>
                    <w:rPr>
                      <w:rFonts w:hint="eastAsia"/>
                      <w:b/>
                      <w:kern w:val="0"/>
                      <w:szCs w:val="21"/>
                    </w:rPr>
                    <w:t>、</w:t>
                  </w:r>
                  <w:r>
                    <w:rPr>
                      <w:b/>
                      <w:kern w:val="0"/>
                      <w:szCs w:val="21"/>
                    </w:rPr>
                    <w:t>吐鲁番电厂～阿拉沟变Ⅰ、Ⅱ回改接入托克逊变220千伏线路工程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1</w:t>
                  </w:r>
                </w:p>
              </w:tc>
              <w:tc>
                <w:tcPr>
                  <w:tcW w:w="1264" w:type="pct"/>
                  <w:vMerge w:val="restart"/>
                  <w:vAlign w:val="center"/>
                </w:tcPr>
                <w:p>
                  <w:pPr>
                    <w:widowControl/>
                    <w:jc w:val="center"/>
                    <w:rPr>
                      <w:kern w:val="0"/>
                      <w:szCs w:val="21"/>
                    </w:rPr>
                  </w:pPr>
                  <w:r>
                    <w:rPr>
                      <w:kern w:val="0"/>
                      <w:szCs w:val="21"/>
                    </w:rPr>
                    <w:t>新疆维吾尔自治区吐鲁番市托克逊县郭勒布依乡河东村六组阿布来克木宅东侧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24.7</w:t>
                  </w:r>
                </w:p>
              </w:tc>
              <w:tc>
                <w:tcPr>
                  <w:tcW w:w="387" w:type="pct"/>
                  <w:tcBorders>
                    <w:right w:val="single" w:color="auto" w:sz="2" w:space="0"/>
                  </w:tcBorders>
                  <w:vAlign w:val="center"/>
                </w:tcPr>
                <w:p>
                  <w:pPr>
                    <w:widowControl/>
                    <w:jc w:val="center"/>
                    <w:rPr>
                      <w:kern w:val="0"/>
                      <w:szCs w:val="21"/>
                    </w:rPr>
                  </w:pPr>
                  <w:r>
                    <w:rPr>
                      <w:kern w:val="0"/>
                      <w:szCs w:val="21"/>
                    </w:rPr>
                    <w:t>2.6</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2"/>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-6.2</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2</w:t>
                  </w:r>
                </w:p>
              </w:tc>
              <w:tc>
                <w:tcPr>
                  <w:tcW w:w="1264" w:type="pct"/>
                  <w:vMerge w:val="restart"/>
                  <w:vAlign w:val="center"/>
                </w:tcPr>
                <w:p>
                  <w:pPr>
                    <w:widowControl/>
                    <w:jc w:val="center"/>
                    <w:rPr>
                      <w:kern w:val="0"/>
                      <w:szCs w:val="21"/>
                    </w:rPr>
                  </w:pPr>
                  <w:r>
                    <w:rPr>
                      <w:kern w:val="0"/>
                      <w:szCs w:val="21"/>
                    </w:rPr>
                    <w:t>新疆维吾尔自治区吐鲁番市托克逊县郭勒布依乡河东村六组阿布来肯宅北侧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24.6</w:t>
                  </w:r>
                </w:p>
              </w:tc>
              <w:tc>
                <w:tcPr>
                  <w:tcW w:w="387" w:type="pct"/>
                  <w:tcBorders>
                    <w:right w:val="single" w:color="auto" w:sz="2" w:space="0"/>
                  </w:tcBorders>
                  <w:vAlign w:val="center"/>
                </w:tcPr>
                <w:p>
                  <w:pPr>
                    <w:widowControl/>
                    <w:jc w:val="center"/>
                    <w:rPr>
                      <w:kern w:val="0"/>
                      <w:szCs w:val="21"/>
                    </w:rPr>
                  </w:pPr>
                  <w:r>
                    <w:rPr>
                      <w:kern w:val="0"/>
                      <w:szCs w:val="21"/>
                    </w:rPr>
                    <w:t>2.8</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2"/>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-6.3</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3</w:t>
                  </w:r>
                </w:p>
              </w:tc>
              <w:tc>
                <w:tcPr>
                  <w:tcW w:w="1264" w:type="pct"/>
                  <w:vMerge w:val="restart"/>
                  <w:vAlign w:val="center"/>
                </w:tcPr>
                <w:p>
                  <w:pPr>
                    <w:widowControl/>
                    <w:jc w:val="center"/>
                    <w:rPr>
                      <w:kern w:val="0"/>
                      <w:szCs w:val="21"/>
                    </w:rPr>
                  </w:pPr>
                  <w:r>
                    <w:rPr>
                      <w:kern w:val="0"/>
                      <w:szCs w:val="21"/>
                    </w:rPr>
                    <w:t>新疆维吾尔自治区吐鲁番市托克逊县郭勒布依乡巴格万村二组223户西侧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23.9</w:t>
                  </w:r>
                </w:p>
              </w:tc>
              <w:tc>
                <w:tcPr>
                  <w:tcW w:w="387" w:type="pct"/>
                  <w:tcBorders>
                    <w:right w:val="single" w:color="auto" w:sz="2" w:space="0"/>
                  </w:tcBorders>
                  <w:vAlign w:val="center"/>
                </w:tcPr>
                <w:p>
                  <w:pPr>
                    <w:widowControl/>
                    <w:jc w:val="center"/>
                    <w:rPr>
                      <w:kern w:val="0"/>
                      <w:szCs w:val="21"/>
                    </w:rPr>
                  </w:pPr>
                  <w:r>
                    <w:rPr>
                      <w:kern w:val="0"/>
                      <w:szCs w:val="21"/>
                    </w:rPr>
                    <w:t>3.7</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2"/>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-6.5</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4</w:t>
                  </w:r>
                </w:p>
              </w:tc>
              <w:tc>
                <w:tcPr>
                  <w:tcW w:w="1264" w:type="pct"/>
                  <w:vMerge w:val="restart"/>
                  <w:vAlign w:val="center"/>
                </w:tcPr>
                <w:p>
                  <w:pPr>
                    <w:widowControl/>
                    <w:jc w:val="center"/>
                    <w:rPr>
                      <w:kern w:val="0"/>
                      <w:szCs w:val="21"/>
                    </w:rPr>
                  </w:pPr>
                  <w:r>
                    <w:rPr>
                      <w:kern w:val="0"/>
                      <w:szCs w:val="21"/>
                    </w:rPr>
                    <w:t>新疆维吾尔自治区吐鲁番市托克逊县郭勒布依乡巴格万村二组238户北侧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24.1</w:t>
                  </w:r>
                </w:p>
              </w:tc>
              <w:tc>
                <w:tcPr>
                  <w:tcW w:w="387" w:type="pct"/>
                  <w:tcBorders>
                    <w:right w:val="single" w:color="auto" w:sz="2" w:space="0"/>
                  </w:tcBorders>
                  <w:vAlign w:val="center"/>
                </w:tcPr>
                <w:p>
                  <w:pPr>
                    <w:widowControl/>
                    <w:jc w:val="center"/>
                    <w:rPr>
                      <w:kern w:val="0"/>
                      <w:szCs w:val="21"/>
                    </w:rPr>
                  </w:pPr>
                  <w:r>
                    <w:rPr>
                      <w:kern w:val="0"/>
                      <w:szCs w:val="21"/>
                    </w:rPr>
                    <w:t>3.8</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2"/>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-6.5</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5</w:t>
                  </w:r>
                </w:p>
              </w:tc>
              <w:tc>
                <w:tcPr>
                  <w:tcW w:w="1264" w:type="pct"/>
                  <w:vMerge w:val="restart"/>
                  <w:vAlign w:val="center"/>
                </w:tcPr>
                <w:p>
                  <w:pPr>
                    <w:widowControl/>
                    <w:jc w:val="center"/>
                    <w:rPr>
                      <w:kern w:val="0"/>
                      <w:szCs w:val="21"/>
                    </w:rPr>
                  </w:pPr>
                  <w:r>
                    <w:rPr>
                      <w:kern w:val="0"/>
                      <w:szCs w:val="21"/>
                    </w:rPr>
                    <w:t>新疆维吾尔自治区吐鲁番市托克逊县夏镇闲置厂房西侧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23.3</w:t>
                  </w:r>
                </w:p>
              </w:tc>
              <w:tc>
                <w:tcPr>
                  <w:tcW w:w="387" w:type="pct"/>
                  <w:tcBorders>
                    <w:right w:val="single" w:color="auto" w:sz="2" w:space="0"/>
                  </w:tcBorders>
                  <w:vAlign w:val="center"/>
                </w:tcPr>
                <w:p>
                  <w:pPr>
                    <w:widowControl/>
                    <w:jc w:val="center"/>
                    <w:rPr>
                      <w:kern w:val="0"/>
                      <w:szCs w:val="21"/>
                    </w:rPr>
                  </w:pPr>
                  <w:r>
                    <w:rPr>
                      <w:kern w:val="0"/>
                      <w:szCs w:val="21"/>
                    </w:rPr>
                    <w:t>4.1</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2"/>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-6.5</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6</w:t>
                  </w:r>
                </w:p>
              </w:tc>
              <w:tc>
                <w:tcPr>
                  <w:tcW w:w="1264" w:type="pct"/>
                  <w:vMerge w:val="restart"/>
                  <w:vAlign w:val="center"/>
                </w:tcPr>
                <w:p>
                  <w:pPr>
                    <w:widowControl/>
                    <w:jc w:val="center"/>
                    <w:rPr>
                      <w:kern w:val="0"/>
                      <w:szCs w:val="21"/>
                    </w:rPr>
                  </w:pPr>
                  <w:r>
                    <w:rPr>
                      <w:kern w:val="0"/>
                      <w:szCs w:val="21"/>
                    </w:rPr>
                    <w:t>新疆维吾尔自治区吐鲁番市托克逊县夏镇乐渔垂钓园看护房西侧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22.4</w:t>
                  </w:r>
                </w:p>
              </w:tc>
              <w:tc>
                <w:tcPr>
                  <w:tcW w:w="387" w:type="pct"/>
                  <w:tcBorders>
                    <w:right w:val="single" w:color="auto" w:sz="2" w:space="0"/>
                  </w:tcBorders>
                  <w:vAlign w:val="center"/>
                </w:tcPr>
                <w:p>
                  <w:pPr>
                    <w:widowControl/>
                    <w:jc w:val="center"/>
                    <w:rPr>
                      <w:kern w:val="0"/>
                      <w:szCs w:val="21"/>
                    </w:rPr>
                  </w:pPr>
                  <w:r>
                    <w:rPr>
                      <w:kern w:val="0"/>
                      <w:szCs w:val="21"/>
                    </w:rPr>
                    <w:t>4.2</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2"/>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-6.7</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7</w:t>
                  </w:r>
                </w:p>
              </w:tc>
              <w:tc>
                <w:tcPr>
                  <w:tcW w:w="1264" w:type="pct"/>
                  <w:vMerge w:val="restart"/>
                  <w:vAlign w:val="center"/>
                </w:tcPr>
                <w:p>
                  <w:pPr>
                    <w:widowControl/>
                    <w:jc w:val="center"/>
                    <w:rPr>
                      <w:kern w:val="0"/>
                      <w:szCs w:val="21"/>
                    </w:rPr>
                  </w:pPr>
                  <w:r>
                    <w:rPr>
                      <w:kern w:val="0"/>
                      <w:szCs w:val="21"/>
                    </w:rPr>
                    <w:t>新疆维吾尔自治区吐鲁番市托克逊县夏镇海柱资源有限公司宿舍南侧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22.2</w:t>
                  </w:r>
                </w:p>
              </w:tc>
              <w:tc>
                <w:tcPr>
                  <w:tcW w:w="387" w:type="pct"/>
                  <w:tcBorders>
                    <w:right w:val="single" w:color="auto" w:sz="2" w:space="0"/>
                  </w:tcBorders>
                  <w:vAlign w:val="center"/>
                </w:tcPr>
                <w:p>
                  <w:pPr>
                    <w:widowControl/>
                    <w:jc w:val="center"/>
                    <w:rPr>
                      <w:kern w:val="0"/>
                      <w:szCs w:val="21"/>
                    </w:rPr>
                  </w:pPr>
                  <w:r>
                    <w:rPr>
                      <w:kern w:val="0"/>
                      <w:szCs w:val="21"/>
                    </w:rPr>
                    <w:t>4.4</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2"/>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-6.6</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8</w:t>
                  </w:r>
                </w:p>
              </w:tc>
              <w:tc>
                <w:tcPr>
                  <w:tcW w:w="1264" w:type="pct"/>
                  <w:vMerge w:val="restart"/>
                  <w:vAlign w:val="center"/>
                </w:tcPr>
                <w:p>
                  <w:pPr>
                    <w:widowControl/>
                    <w:jc w:val="center"/>
                    <w:rPr>
                      <w:kern w:val="0"/>
                      <w:szCs w:val="21"/>
                    </w:rPr>
                  </w:pPr>
                  <w:r>
                    <w:rPr>
                      <w:kern w:val="0"/>
                      <w:szCs w:val="21"/>
                    </w:rPr>
                    <w:t>新疆维吾尔自治区吐鲁番市托克逊县夏镇恒氿庄园生活区东侧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21.5</w:t>
                  </w:r>
                </w:p>
              </w:tc>
              <w:tc>
                <w:tcPr>
                  <w:tcW w:w="387" w:type="pct"/>
                  <w:tcBorders>
                    <w:right w:val="single" w:color="auto" w:sz="2" w:space="0"/>
                  </w:tcBorders>
                  <w:vAlign w:val="center"/>
                </w:tcPr>
                <w:p>
                  <w:pPr>
                    <w:widowControl/>
                    <w:jc w:val="center"/>
                    <w:rPr>
                      <w:kern w:val="0"/>
                      <w:szCs w:val="21"/>
                    </w:rPr>
                  </w:pPr>
                  <w:r>
                    <w:rPr>
                      <w:kern w:val="0"/>
                      <w:szCs w:val="21"/>
                    </w:rPr>
                    <w:t>4.7</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2"/>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-6.8</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9</w:t>
                  </w:r>
                </w:p>
              </w:tc>
              <w:tc>
                <w:tcPr>
                  <w:tcW w:w="1264" w:type="pct"/>
                  <w:vMerge w:val="restart"/>
                  <w:vAlign w:val="center"/>
                </w:tcPr>
                <w:p>
                  <w:pPr>
                    <w:widowControl/>
                    <w:jc w:val="center"/>
                    <w:rPr>
                      <w:kern w:val="0"/>
                      <w:szCs w:val="21"/>
                    </w:rPr>
                  </w:pPr>
                  <w:r>
                    <w:rPr>
                      <w:kern w:val="0"/>
                      <w:szCs w:val="21"/>
                    </w:rPr>
                    <w:t>线路背景值测点1#</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20.9</w:t>
                  </w:r>
                </w:p>
              </w:tc>
              <w:tc>
                <w:tcPr>
                  <w:tcW w:w="387" w:type="pct"/>
                  <w:tcBorders>
                    <w:right w:val="single" w:color="auto" w:sz="2" w:space="0"/>
                  </w:tcBorders>
                  <w:vAlign w:val="center"/>
                </w:tcPr>
                <w:p>
                  <w:pPr>
                    <w:widowControl/>
                    <w:jc w:val="center"/>
                    <w:rPr>
                      <w:kern w:val="0"/>
                      <w:szCs w:val="21"/>
                    </w:rPr>
                  </w:pPr>
                  <w:r>
                    <w:rPr>
                      <w:kern w:val="0"/>
                      <w:szCs w:val="21"/>
                    </w:rPr>
                    <w:t>4.8</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2"/>
                    </w:numPr>
                    <w:ind w:left="0" w:firstLine="0"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-6.9</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vAlign w:val="center"/>
                </w:tcPr>
                <w:p>
                  <w:pPr>
                    <w:pStyle w:val="107"/>
                    <w:widowControl/>
                    <w:ind w:firstLine="0" w:firstLineChars="0"/>
                    <w:jc w:val="center"/>
                    <w:rPr>
                      <w:kern w:val="0"/>
                      <w:szCs w:val="21"/>
                    </w:rPr>
                  </w:pPr>
                  <w:r>
                    <w:rPr>
                      <w:rFonts w:hint="eastAsia"/>
                      <w:kern w:val="0"/>
                      <w:szCs w:val="21"/>
                    </w:rPr>
                    <w:t>10</w:t>
                  </w:r>
                </w:p>
              </w:tc>
              <w:tc>
                <w:tcPr>
                  <w:tcW w:w="1264" w:type="pct"/>
                  <w:vMerge w:val="restart"/>
                  <w:vAlign w:val="center"/>
                </w:tcPr>
                <w:p>
                  <w:pPr>
                    <w:widowControl/>
                    <w:jc w:val="center"/>
                    <w:rPr>
                      <w:kern w:val="0"/>
                      <w:szCs w:val="21"/>
                    </w:rPr>
                  </w:pPr>
                  <w:r>
                    <w:rPr>
                      <w:kern w:val="0"/>
                      <w:szCs w:val="21"/>
                    </w:rPr>
                    <w:t>线路背景值测点2#</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20.3</w:t>
                  </w:r>
                </w:p>
              </w:tc>
              <w:tc>
                <w:tcPr>
                  <w:tcW w:w="387" w:type="pct"/>
                  <w:tcBorders>
                    <w:right w:val="single" w:color="auto" w:sz="2" w:space="0"/>
                  </w:tcBorders>
                  <w:vAlign w:val="center"/>
                </w:tcPr>
                <w:p>
                  <w:pPr>
                    <w:widowControl/>
                    <w:jc w:val="center"/>
                    <w:rPr>
                      <w:kern w:val="0"/>
                      <w:szCs w:val="21"/>
                    </w:rPr>
                  </w:pPr>
                  <w:r>
                    <w:rPr>
                      <w:kern w:val="0"/>
                      <w:szCs w:val="21"/>
                    </w:rPr>
                    <w:t>5.5</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0.7</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continue"/>
                  <w:vAlign w:val="center"/>
                </w:tcPr>
                <w:p>
                  <w:pPr>
                    <w:pStyle w:val="107"/>
                    <w:widowControl/>
                    <w:numPr>
                      <w:ilvl w:val="0"/>
                      <w:numId w:val="12"/>
                    </w:numPr>
                    <w:ind w:firstLineChars="0"/>
                    <w:jc w:val="center"/>
                    <w:rPr>
                      <w:kern w:val="0"/>
                      <w:szCs w:val="21"/>
                    </w:rPr>
                  </w:pPr>
                </w:p>
              </w:tc>
              <w:tc>
                <w:tcPr>
                  <w:tcW w:w="1264"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w:t>
                  </w:r>
                </w:p>
              </w:tc>
              <w:tc>
                <w:tcPr>
                  <w:tcW w:w="387" w:type="pct"/>
                  <w:tcBorders>
                    <w:right w:val="single" w:color="auto" w:sz="2" w:space="0"/>
                  </w:tcBorders>
                  <w:vAlign w:val="center"/>
                </w:tcPr>
                <w:p>
                  <w:pPr>
                    <w:widowControl/>
                    <w:jc w:val="center"/>
                    <w:rPr>
                      <w:kern w:val="0"/>
                      <w:szCs w:val="21"/>
                    </w:rPr>
                  </w:pPr>
                  <w:r>
                    <w:rPr>
                      <w:kern w:val="0"/>
                      <w:szCs w:val="21"/>
                    </w:rPr>
                    <w:t>-7.1</w:t>
                  </w:r>
                </w:p>
              </w:tc>
              <w:tc>
                <w:tcPr>
                  <w:tcW w:w="387"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bl>
          <w:p>
            <w:pPr>
              <w:pStyle w:val="10"/>
              <w:keepNext/>
              <w:jc w:val="left"/>
              <w:rPr>
                <w:rFonts w:ascii="黑体" w:hAnsi="黑体"/>
                <w:b/>
              </w:rPr>
            </w:pPr>
          </w:p>
          <w:p>
            <w:pPr>
              <w:pStyle w:val="2"/>
              <w:numPr>
                <w:ilvl w:val="1"/>
                <w:numId w:val="8"/>
              </w:numPr>
              <w:spacing w:after="0" w:line="360" w:lineRule="auto"/>
              <w:rPr>
                <w:rFonts w:eastAsia="宋体"/>
                <w:sz w:val="24"/>
                <w:szCs w:val="24"/>
              </w:rPr>
            </w:pPr>
            <w:bookmarkStart w:id="483" w:name="_Toc110439155"/>
            <w:bookmarkStart w:id="484" w:name="_Toc96031378"/>
            <w:bookmarkStart w:id="485" w:name="_Toc109473567"/>
            <w:bookmarkStart w:id="486" w:name="_Toc96031295"/>
            <w:bookmarkStart w:id="487" w:name="_Toc109472628"/>
            <w:bookmarkStart w:id="488" w:name="_Toc95464669"/>
            <w:bookmarkStart w:id="489" w:name="_Toc96935415"/>
            <w:bookmarkStart w:id="490" w:name="_Toc81308151"/>
            <w:bookmarkStart w:id="491" w:name="_Toc97290585"/>
            <w:bookmarkStart w:id="492" w:name="_Toc91493267"/>
            <w:bookmarkStart w:id="493" w:name="_Toc85036881"/>
            <w:bookmarkStart w:id="494" w:name="_Toc88558521"/>
            <w:bookmarkStart w:id="495" w:name="_Toc109473880"/>
            <w:bookmarkStart w:id="496" w:name="_Toc111564319"/>
            <w:bookmarkStart w:id="497" w:name="_Toc109473801"/>
            <w:bookmarkStart w:id="498" w:name="_Toc85037215"/>
            <w:bookmarkStart w:id="499" w:name="_Toc91532174"/>
            <w:bookmarkStart w:id="500" w:name="_Toc81415623"/>
            <w:bookmarkStart w:id="501" w:name="_Toc21524"/>
            <w:bookmarkStart w:id="502" w:name="_Toc1032"/>
            <w:r>
              <w:rPr>
                <w:rFonts w:eastAsia="宋体"/>
                <w:sz w:val="24"/>
                <w:szCs w:val="24"/>
              </w:rPr>
              <w:t>监测方法及测量仪器</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pStyle w:val="5"/>
              <w:rPr>
                <w:color w:val="000000"/>
                <w:szCs w:val="24"/>
              </w:rPr>
            </w:pPr>
            <w:r>
              <w:rPr>
                <w:color w:val="000000"/>
                <w:szCs w:val="24"/>
              </w:rPr>
              <w:t>（1）监测方法</w:t>
            </w:r>
          </w:p>
          <w:p>
            <w:pPr>
              <w:pStyle w:val="5"/>
              <w:rPr>
                <w:color w:val="000000"/>
                <w:szCs w:val="24"/>
              </w:rPr>
            </w:pPr>
            <w:r>
              <w:rPr>
                <w:color w:val="000000"/>
                <w:szCs w:val="24"/>
              </w:rPr>
              <w:t>按《声环境质量标准》（GB3096-2008）执行。</w:t>
            </w:r>
          </w:p>
          <w:p>
            <w:pPr>
              <w:pStyle w:val="5"/>
              <w:rPr>
                <w:color w:val="000000"/>
                <w:szCs w:val="24"/>
              </w:rPr>
            </w:pPr>
            <w:r>
              <w:rPr>
                <w:color w:val="000000"/>
                <w:szCs w:val="24"/>
              </w:rPr>
              <w:t>（2）测量仪器</w:t>
            </w:r>
          </w:p>
          <w:p>
            <w:pPr>
              <w:pStyle w:val="5"/>
              <w:rPr>
                <w:color w:val="000000"/>
                <w:szCs w:val="24"/>
              </w:rPr>
            </w:pPr>
            <w:r>
              <w:rPr>
                <w:color w:val="000000"/>
                <w:szCs w:val="24"/>
              </w:rPr>
              <w:t>本工程所用测量仪器情况见</w:t>
            </w:r>
            <w:r>
              <w:rPr>
                <w:rFonts w:hint="default"/>
                <w:b w:val="0"/>
                <w:bCs w:val="0"/>
                <w:color w:val="000000"/>
                <w:szCs w:val="24"/>
                <w:lang w:val="en-US"/>
              </w:rPr>
              <w:fldChar w:fldCharType="begin"/>
            </w:r>
            <w:r>
              <w:rPr>
                <w:b w:val="0"/>
                <w:bCs w:val="0"/>
              </w:rPr>
              <w:instrText xml:space="preserve"> REF _Ref157246544 \h  \* MERGEFORMAT</w:instrText>
            </w:r>
            <w:r>
              <w:rPr>
                <w:rFonts w:hint="default"/>
                <w:b w:val="0"/>
                <w:bCs w:val="0"/>
                <w:color w:val="000000"/>
                <w:szCs w:val="24"/>
                <w:lang w:val="en-US"/>
              </w:rPr>
              <w:fldChar w:fldCharType="separate"/>
            </w:r>
            <w:r>
              <w:rPr>
                <w:rFonts w:ascii="Times New Roman" w:hAnsi="Times New Roman" w:eastAsia="宋体"/>
                <w:b w:val="0"/>
                <w:bCs w:val="0"/>
              </w:rPr>
              <w:t>表14</w:t>
            </w:r>
            <w:r>
              <w:rPr>
                <w:rFonts w:hint="default"/>
                <w:b w:val="0"/>
                <w:bCs w:val="0"/>
                <w:color w:val="000000"/>
                <w:szCs w:val="24"/>
                <w:lang w:val="en-US"/>
              </w:rPr>
              <w:fldChar w:fldCharType="end"/>
            </w:r>
            <w:r>
              <w:rPr>
                <w:color w:val="000000"/>
                <w:szCs w:val="24"/>
              </w:rPr>
              <w:t>。</w:t>
            </w:r>
          </w:p>
          <w:p>
            <w:pPr>
              <w:pStyle w:val="10"/>
              <w:keepNext/>
              <w:jc w:val="left"/>
              <w:rPr>
                <w:rFonts w:ascii="Times New Roman" w:hAnsi="Times New Roman"/>
                <w:b/>
              </w:rPr>
            </w:pPr>
            <w:bookmarkStart w:id="503" w:name="_Ref157246544"/>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14</w:t>
            </w:r>
            <w:r>
              <w:rPr>
                <w:rFonts w:ascii="Times New Roman" w:hAnsi="Times New Roman" w:eastAsia="宋体"/>
                <w:b/>
              </w:rPr>
              <w:fldChar w:fldCharType="end"/>
            </w:r>
            <w:bookmarkEnd w:id="503"/>
            <w:r>
              <w:rPr>
                <w:rFonts w:ascii="Times New Roman" w:hAnsi="Times New Roman" w:eastAsia="宋体"/>
                <w:b/>
              </w:rPr>
              <w:t>声环境现状监测仪器及型号</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8"/>
              <w:gridCol w:w="2282"/>
              <w:gridCol w:w="3195"/>
              <w:gridCol w:w="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311" w:type="pct"/>
                  <w:vAlign w:val="center"/>
                </w:tcPr>
                <w:p>
                  <w:pPr>
                    <w:snapToGrid w:val="0"/>
                    <w:jc w:val="center"/>
                    <w:rPr>
                      <w:b/>
                      <w:snapToGrid w:val="0"/>
                      <w:kern w:val="0"/>
                      <w:sz w:val="18"/>
                      <w:szCs w:val="18"/>
                    </w:rPr>
                  </w:pPr>
                  <w:bookmarkStart w:id="504" w:name="_Toc111564320"/>
                  <w:bookmarkStart w:id="505" w:name="_Toc14153"/>
                  <w:bookmarkStart w:id="506" w:name="_Toc109473568"/>
                  <w:bookmarkStart w:id="507" w:name="_Toc85037216"/>
                  <w:bookmarkStart w:id="508" w:name="_Toc96935416"/>
                  <w:bookmarkStart w:id="509" w:name="_Toc91532175"/>
                  <w:bookmarkStart w:id="510" w:name="_Toc91493268"/>
                  <w:bookmarkStart w:id="511" w:name="_Toc109472629"/>
                  <w:bookmarkStart w:id="512" w:name="_Toc109473881"/>
                  <w:bookmarkStart w:id="513" w:name="_Toc110439156"/>
                  <w:bookmarkStart w:id="514" w:name="_Toc96031379"/>
                  <w:bookmarkStart w:id="515" w:name="_Toc97290586"/>
                  <w:bookmarkStart w:id="516" w:name="_Toc95464670"/>
                  <w:bookmarkStart w:id="517" w:name="_Toc81415624"/>
                  <w:bookmarkStart w:id="518" w:name="_Toc85036882"/>
                  <w:bookmarkStart w:id="519" w:name="_Toc96031296"/>
                  <w:bookmarkStart w:id="520" w:name="_Toc81308152"/>
                  <w:bookmarkStart w:id="521" w:name="_Toc109473802"/>
                  <w:bookmarkStart w:id="522" w:name="_Toc19817"/>
                  <w:bookmarkStart w:id="523" w:name="_Toc88558522"/>
                  <w:r>
                    <w:rPr>
                      <w:b/>
                      <w:snapToGrid w:val="0"/>
                      <w:kern w:val="0"/>
                      <w:sz w:val="18"/>
                      <w:szCs w:val="18"/>
                    </w:rPr>
                    <w:t>仪器名称型号及出厂编号</w:t>
                  </w:r>
                </w:p>
              </w:tc>
              <w:tc>
                <w:tcPr>
                  <w:tcW w:w="1387" w:type="pct"/>
                  <w:vAlign w:val="center"/>
                </w:tcPr>
                <w:p>
                  <w:pPr>
                    <w:snapToGrid w:val="0"/>
                    <w:jc w:val="center"/>
                    <w:rPr>
                      <w:b/>
                      <w:snapToGrid w:val="0"/>
                      <w:kern w:val="0"/>
                      <w:sz w:val="18"/>
                      <w:szCs w:val="18"/>
                    </w:rPr>
                  </w:pPr>
                  <w:r>
                    <w:rPr>
                      <w:b/>
                      <w:snapToGrid w:val="0"/>
                      <w:kern w:val="0"/>
                      <w:sz w:val="18"/>
                      <w:szCs w:val="18"/>
                    </w:rPr>
                    <w:t>技术指标</w:t>
                  </w:r>
                </w:p>
              </w:tc>
              <w:tc>
                <w:tcPr>
                  <w:tcW w:w="1942" w:type="pct"/>
                  <w:vAlign w:val="center"/>
                </w:tcPr>
                <w:p>
                  <w:pPr>
                    <w:snapToGrid w:val="0"/>
                    <w:jc w:val="center"/>
                    <w:rPr>
                      <w:b/>
                      <w:snapToGrid w:val="0"/>
                      <w:kern w:val="0"/>
                      <w:sz w:val="18"/>
                      <w:szCs w:val="18"/>
                    </w:rPr>
                  </w:pPr>
                  <w:r>
                    <w:rPr>
                      <w:b/>
                      <w:snapToGrid w:val="0"/>
                      <w:kern w:val="0"/>
                      <w:sz w:val="18"/>
                      <w:szCs w:val="18"/>
                    </w:rPr>
                    <w:t>校准/检定证书编号及有效期</w:t>
                  </w:r>
                </w:p>
              </w:tc>
              <w:tc>
                <w:tcPr>
                  <w:tcW w:w="359" w:type="pct"/>
                  <w:vAlign w:val="center"/>
                </w:tcPr>
                <w:p>
                  <w:pPr>
                    <w:snapToGrid w:val="0"/>
                    <w:jc w:val="center"/>
                    <w:rPr>
                      <w:b/>
                      <w:snapToGrid w:val="0"/>
                      <w:kern w:val="0"/>
                      <w:sz w:val="18"/>
                      <w:szCs w:val="18"/>
                    </w:rPr>
                  </w:pPr>
                  <w:r>
                    <w:rPr>
                      <w:b/>
                      <w:snapToGrid w:val="0"/>
                      <w:kern w:val="0"/>
                      <w:sz w:val="18"/>
                      <w:szCs w:val="18"/>
                    </w:rPr>
                    <w:t>仪器状态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1" w:type="pct"/>
                  <w:vAlign w:val="center"/>
                </w:tcPr>
                <w:p>
                  <w:pPr>
                    <w:rPr>
                      <w:b/>
                      <w:sz w:val="18"/>
                      <w:szCs w:val="18"/>
                    </w:rPr>
                  </w:pPr>
                  <w:r>
                    <w:rPr>
                      <w:b/>
                      <w:sz w:val="18"/>
                      <w:szCs w:val="18"/>
                    </w:rPr>
                    <w:t>噪声</w:t>
                  </w:r>
                </w:p>
                <w:p>
                  <w:pPr>
                    <w:rPr>
                      <w:sz w:val="18"/>
                      <w:szCs w:val="18"/>
                    </w:rPr>
                  </w:pPr>
                  <w:r>
                    <w:rPr>
                      <w:sz w:val="18"/>
                      <w:szCs w:val="18"/>
                    </w:rPr>
                    <w:t>仪器名称：声级计</w:t>
                  </w:r>
                </w:p>
                <w:p>
                  <w:pPr>
                    <w:rPr>
                      <w:sz w:val="18"/>
                      <w:szCs w:val="18"/>
                    </w:rPr>
                  </w:pPr>
                  <w:r>
                    <w:rPr>
                      <w:sz w:val="18"/>
                      <w:szCs w:val="18"/>
                    </w:rPr>
                    <w:t>仪器型号：AWA6228+</w:t>
                  </w:r>
                </w:p>
                <w:p>
                  <w:pPr>
                    <w:rPr>
                      <w:sz w:val="18"/>
                      <w:szCs w:val="18"/>
                    </w:rPr>
                  </w:pPr>
                  <w:r>
                    <w:rPr>
                      <w:sz w:val="18"/>
                      <w:szCs w:val="18"/>
                    </w:rPr>
                    <w:t>出厂编号：10348858</w:t>
                  </w:r>
                </w:p>
                <w:p>
                  <w:pPr>
                    <w:rPr>
                      <w:sz w:val="18"/>
                      <w:szCs w:val="18"/>
                    </w:rPr>
                  </w:pPr>
                </w:p>
                <w:p>
                  <w:pPr>
                    <w:rPr>
                      <w:sz w:val="18"/>
                      <w:szCs w:val="18"/>
                    </w:rPr>
                  </w:pPr>
                  <w:r>
                    <w:rPr>
                      <w:sz w:val="18"/>
                      <w:szCs w:val="18"/>
                    </w:rPr>
                    <w:t>仪器名称：声校准器</w:t>
                  </w:r>
                </w:p>
                <w:p>
                  <w:pPr>
                    <w:rPr>
                      <w:sz w:val="18"/>
                      <w:szCs w:val="18"/>
                    </w:rPr>
                  </w:pPr>
                  <w:r>
                    <w:rPr>
                      <w:sz w:val="18"/>
                      <w:szCs w:val="18"/>
                    </w:rPr>
                    <w:t>仪器型号：AWA6021A</w:t>
                  </w:r>
                </w:p>
                <w:p>
                  <w:pPr>
                    <w:rPr>
                      <w:sz w:val="18"/>
                      <w:szCs w:val="18"/>
                    </w:rPr>
                  </w:pPr>
                  <w:r>
                    <w:rPr>
                      <w:sz w:val="18"/>
                      <w:szCs w:val="18"/>
                    </w:rPr>
                    <w:t>出厂编号：1010860</w:t>
                  </w:r>
                </w:p>
              </w:tc>
              <w:tc>
                <w:tcPr>
                  <w:tcW w:w="1387" w:type="pct"/>
                  <w:vAlign w:val="center"/>
                </w:tcPr>
                <w:p>
                  <w:pPr>
                    <w:jc w:val="left"/>
                    <w:rPr>
                      <w:b/>
                      <w:sz w:val="18"/>
                      <w:szCs w:val="18"/>
                    </w:rPr>
                  </w:pPr>
                  <w:r>
                    <w:rPr>
                      <w:b/>
                      <w:sz w:val="18"/>
                      <w:szCs w:val="18"/>
                    </w:rPr>
                    <w:t>测量范围：</w:t>
                  </w:r>
                </w:p>
                <w:p>
                  <w:pPr>
                    <w:rPr>
                      <w:sz w:val="18"/>
                      <w:szCs w:val="18"/>
                    </w:rPr>
                  </w:pPr>
                  <w:r>
                    <w:rPr>
                      <w:sz w:val="18"/>
                      <w:szCs w:val="18"/>
                    </w:rPr>
                    <w:t>低量程（20～132）dB(A)</w:t>
                  </w:r>
                </w:p>
                <w:p>
                  <w:pPr>
                    <w:snapToGrid w:val="0"/>
                    <w:rPr>
                      <w:sz w:val="18"/>
                      <w:szCs w:val="18"/>
                    </w:rPr>
                  </w:pPr>
                  <w:r>
                    <w:rPr>
                      <w:sz w:val="18"/>
                      <w:szCs w:val="18"/>
                    </w:rPr>
                    <w:t>高量程（30～142）dB(A)</w:t>
                  </w:r>
                </w:p>
                <w:p>
                  <w:pPr>
                    <w:snapToGrid w:val="0"/>
                    <w:jc w:val="left"/>
                    <w:rPr>
                      <w:sz w:val="18"/>
                      <w:szCs w:val="18"/>
                    </w:rPr>
                  </w:pPr>
                  <w:r>
                    <w:rPr>
                      <w:b/>
                      <w:sz w:val="18"/>
                      <w:szCs w:val="18"/>
                    </w:rPr>
                    <w:t>频率范围</w:t>
                  </w:r>
                  <w:r>
                    <w:rPr>
                      <w:sz w:val="18"/>
                      <w:szCs w:val="18"/>
                    </w:rPr>
                    <w:t>：10Hz-20kHz</w:t>
                  </w:r>
                </w:p>
                <w:p>
                  <w:pPr>
                    <w:snapToGrid w:val="0"/>
                    <w:jc w:val="left"/>
                    <w:rPr>
                      <w:sz w:val="18"/>
                      <w:szCs w:val="18"/>
                    </w:rPr>
                  </w:pPr>
                </w:p>
                <w:p>
                  <w:r>
                    <w:rPr>
                      <w:b/>
                      <w:sz w:val="18"/>
                      <w:szCs w:val="18"/>
                    </w:rPr>
                    <w:t>声压级</w:t>
                  </w:r>
                  <w:r>
                    <w:rPr>
                      <w:sz w:val="18"/>
                      <w:szCs w:val="18"/>
                    </w:rPr>
                    <w:t>：</w:t>
                  </w:r>
                </w:p>
                <w:p>
                  <w:pPr>
                    <w:snapToGrid w:val="0"/>
                    <w:jc w:val="left"/>
                    <w:rPr>
                      <w:sz w:val="18"/>
                      <w:szCs w:val="18"/>
                    </w:rPr>
                  </w:pPr>
                  <w:r>
                    <w:rPr>
                      <w:sz w:val="18"/>
                      <w:szCs w:val="18"/>
                    </w:rPr>
                    <w:t>（94.0/114.0）dB</w:t>
                  </w:r>
                </w:p>
                <w:p>
                  <w:pPr>
                    <w:snapToGrid w:val="0"/>
                    <w:rPr>
                      <w:spacing w:val="-10"/>
                      <w:sz w:val="18"/>
                      <w:szCs w:val="18"/>
                    </w:rPr>
                  </w:pPr>
                  <w:r>
                    <w:rPr>
                      <w:b/>
                      <w:spacing w:val="-10"/>
                      <w:sz w:val="18"/>
                      <w:szCs w:val="18"/>
                    </w:rPr>
                    <w:t>频率范围：</w:t>
                  </w:r>
                  <w:r>
                    <w:rPr>
                      <w:spacing w:val="-10"/>
                      <w:sz w:val="18"/>
                      <w:szCs w:val="18"/>
                    </w:rPr>
                    <w:t>1000.0Hz±1Hz</w:t>
                  </w:r>
                </w:p>
              </w:tc>
              <w:tc>
                <w:tcPr>
                  <w:tcW w:w="1942" w:type="pct"/>
                  <w:vAlign w:val="center"/>
                </w:tcPr>
                <w:p>
                  <w:pPr>
                    <w:snapToGrid w:val="0"/>
                    <w:rPr>
                      <w:snapToGrid w:val="0"/>
                      <w:kern w:val="0"/>
                      <w:sz w:val="18"/>
                      <w:szCs w:val="18"/>
                    </w:rPr>
                  </w:pPr>
                  <w:r>
                    <w:rPr>
                      <w:b/>
                      <w:snapToGrid w:val="0"/>
                      <w:kern w:val="0"/>
                      <w:sz w:val="18"/>
                      <w:szCs w:val="18"/>
                    </w:rPr>
                    <w:t>检定单位：</w:t>
                  </w:r>
                  <w:r>
                    <w:rPr>
                      <w:snapToGrid w:val="0"/>
                      <w:kern w:val="0"/>
                      <w:sz w:val="18"/>
                      <w:szCs w:val="18"/>
                    </w:rPr>
                    <w:t>湖北省计量测试技术研究院</w:t>
                  </w:r>
                </w:p>
                <w:p>
                  <w:pPr>
                    <w:snapToGrid w:val="0"/>
                    <w:rPr>
                      <w:snapToGrid w:val="0"/>
                      <w:kern w:val="0"/>
                      <w:sz w:val="18"/>
                      <w:szCs w:val="18"/>
                    </w:rPr>
                  </w:pPr>
                  <w:r>
                    <w:rPr>
                      <w:b/>
                      <w:snapToGrid w:val="0"/>
                      <w:kern w:val="0"/>
                      <w:sz w:val="18"/>
                      <w:szCs w:val="18"/>
                    </w:rPr>
                    <w:t>证书编号：</w:t>
                  </w:r>
                  <w:r>
                    <w:rPr>
                      <w:snapToGrid w:val="0"/>
                      <w:kern w:val="0"/>
                      <w:sz w:val="18"/>
                      <w:szCs w:val="18"/>
                    </w:rPr>
                    <w:t>2025SZ041400623</w:t>
                  </w:r>
                </w:p>
                <w:p>
                  <w:pPr>
                    <w:snapToGrid w:val="0"/>
                    <w:rPr>
                      <w:snapToGrid w:val="0"/>
                      <w:kern w:val="0"/>
                      <w:sz w:val="18"/>
                      <w:szCs w:val="18"/>
                    </w:rPr>
                  </w:pPr>
                  <w:r>
                    <w:rPr>
                      <w:b/>
                      <w:snapToGrid w:val="0"/>
                      <w:kern w:val="0"/>
                      <w:sz w:val="18"/>
                      <w:szCs w:val="18"/>
                    </w:rPr>
                    <w:t>有效期：</w:t>
                  </w:r>
                  <w:r>
                    <w:rPr>
                      <w:snapToGrid w:val="0"/>
                      <w:kern w:val="0"/>
                      <w:sz w:val="18"/>
                      <w:szCs w:val="18"/>
                    </w:rPr>
                    <w:t>2025.06.27-2026.06.26</w:t>
                  </w:r>
                </w:p>
                <w:p>
                  <w:pPr>
                    <w:snapToGrid w:val="0"/>
                    <w:rPr>
                      <w:snapToGrid w:val="0"/>
                      <w:kern w:val="0"/>
                      <w:sz w:val="18"/>
                      <w:szCs w:val="18"/>
                    </w:rPr>
                  </w:pPr>
                </w:p>
                <w:p>
                  <w:pPr>
                    <w:snapToGrid w:val="0"/>
                    <w:rPr>
                      <w:bCs/>
                      <w:snapToGrid w:val="0"/>
                      <w:kern w:val="0"/>
                      <w:sz w:val="18"/>
                      <w:szCs w:val="18"/>
                    </w:rPr>
                  </w:pPr>
                  <w:r>
                    <w:rPr>
                      <w:b/>
                      <w:snapToGrid w:val="0"/>
                      <w:kern w:val="0"/>
                      <w:sz w:val="18"/>
                      <w:szCs w:val="18"/>
                    </w:rPr>
                    <w:t>检定单位：</w:t>
                  </w:r>
                  <w:r>
                    <w:rPr>
                      <w:bCs/>
                      <w:snapToGrid w:val="0"/>
                      <w:kern w:val="0"/>
                      <w:sz w:val="18"/>
                      <w:szCs w:val="18"/>
                    </w:rPr>
                    <w:t>湖北省计量测试技术研究院</w:t>
                  </w:r>
                </w:p>
                <w:p>
                  <w:pPr>
                    <w:snapToGrid w:val="0"/>
                    <w:rPr>
                      <w:snapToGrid w:val="0"/>
                      <w:kern w:val="0"/>
                      <w:sz w:val="18"/>
                      <w:szCs w:val="18"/>
                    </w:rPr>
                  </w:pPr>
                  <w:r>
                    <w:rPr>
                      <w:b/>
                      <w:snapToGrid w:val="0"/>
                      <w:kern w:val="0"/>
                      <w:sz w:val="18"/>
                      <w:szCs w:val="18"/>
                    </w:rPr>
                    <w:t>证书编号：</w:t>
                  </w:r>
                  <w:r>
                    <w:rPr>
                      <w:snapToGrid w:val="0"/>
                      <w:kern w:val="0"/>
                      <w:sz w:val="18"/>
                      <w:szCs w:val="18"/>
                    </w:rPr>
                    <w:t>2025SZ060400279</w:t>
                  </w:r>
                </w:p>
                <w:p>
                  <w:pPr>
                    <w:snapToGrid w:val="0"/>
                    <w:rPr>
                      <w:b/>
                      <w:snapToGrid w:val="0"/>
                      <w:kern w:val="0"/>
                      <w:sz w:val="18"/>
                      <w:szCs w:val="18"/>
                    </w:rPr>
                  </w:pPr>
                  <w:r>
                    <w:rPr>
                      <w:b/>
                      <w:snapToGrid w:val="0"/>
                      <w:kern w:val="0"/>
                      <w:sz w:val="18"/>
                      <w:szCs w:val="18"/>
                    </w:rPr>
                    <w:t>有效期：</w:t>
                  </w:r>
                  <w:r>
                    <w:rPr>
                      <w:snapToGrid w:val="0"/>
                      <w:kern w:val="0"/>
                      <w:sz w:val="18"/>
                      <w:szCs w:val="18"/>
                    </w:rPr>
                    <w:t>2025.05.06-2026.05.05</w:t>
                  </w:r>
                </w:p>
              </w:tc>
              <w:tc>
                <w:tcPr>
                  <w:tcW w:w="359" w:type="pct"/>
                  <w:vAlign w:val="center"/>
                </w:tcPr>
                <w:p>
                  <w:pPr>
                    <w:snapToGrid w:val="0"/>
                    <w:rPr>
                      <w:b/>
                      <w:snapToGrid w:val="0"/>
                      <w:kern w:val="0"/>
                      <w:sz w:val="18"/>
                      <w:szCs w:val="18"/>
                    </w:rPr>
                  </w:pPr>
                  <w:r>
                    <w:rPr>
                      <w:b/>
                      <w:snapToGrid w:val="0"/>
                      <w:kern w:val="0"/>
                      <w:sz w:val="18"/>
                      <w:szCs w:val="1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1" w:type="pct"/>
                  <w:vAlign w:val="center"/>
                </w:tcPr>
                <w:p>
                  <w:pPr>
                    <w:rPr>
                      <w:b/>
                      <w:sz w:val="18"/>
                      <w:szCs w:val="18"/>
                    </w:rPr>
                  </w:pPr>
                  <w:r>
                    <w:rPr>
                      <w:b/>
                      <w:sz w:val="18"/>
                      <w:szCs w:val="18"/>
                    </w:rPr>
                    <w:t>温湿度风速仪</w:t>
                  </w:r>
                </w:p>
                <w:p>
                  <w:pPr>
                    <w:rPr>
                      <w:sz w:val="18"/>
                      <w:szCs w:val="18"/>
                    </w:rPr>
                  </w:pPr>
                  <w:r>
                    <w:rPr>
                      <w:sz w:val="18"/>
                      <w:szCs w:val="18"/>
                    </w:rPr>
                    <w:t>仪器名称：多功能风速计</w:t>
                  </w:r>
                </w:p>
                <w:p>
                  <w:pPr>
                    <w:rPr>
                      <w:sz w:val="18"/>
                      <w:szCs w:val="18"/>
                    </w:rPr>
                  </w:pPr>
                  <w:r>
                    <w:rPr>
                      <w:sz w:val="18"/>
                      <w:szCs w:val="18"/>
                    </w:rPr>
                    <w:t>仪器型号：Testo410-2</w:t>
                  </w:r>
                </w:p>
                <w:p>
                  <w:pPr>
                    <w:rPr>
                      <w:b/>
                      <w:sz w:val="18"/>
                      <w:szCs w:val="18"/>
                    </w:rPr>
                  </w:pPr>
                  <w:r>
                    <w:rPr>
                      <w:sz w:val="18"/>
                      <w:szCs w:val="18"/>
                    </w:rPr>
                    <w:t>出厂编号：38580621/909</w:t>
                  </w:r>
                </w:p>
              </w:tc>
              <w:tc>
                <w:tcPr>
                  <w:tcW w:w="1387" w:type="pct"/>
                  <w:vAlign w:val="center"/>
                </w:tcPr>
                <w:p>
                  <w:pPr>
                    <w:jc w:val="left"/>
                    <w:rPr>
                      <w:b/>
                      <w:sz w:val="18"/>
                      <w:szCs w:val="18"/>
                    </w:rPr>
                  </w:pPr>
                  <w:r>
                    <w:rPr>
                      <w:b/>
                      <w:sz w:val="18"/>
                      <w:szCs w:val="18"/>
                    </w:rPr>
                    <w:t>温度</w:t>
                  </w:r>
                </w:p>
                <w:p>
                  <w:pPr>
                    <w:rPr>
                      <w:sz w:val="18"/>
                      <w:szCs w:val="18"/>
                    </w:rPr>
                  </w:pPr>
                  <w:r>
                    <w:rPr>
                      <w:sz w:val="18"/>
                      <w:szCs w:val="18"/>
                    </w:rPr>
                    <w:t>测量范围：-10℃~+50℃</w:t>
                  </w:r>
                </w:p>
                <w:p>
                  <w:pPr>
                    <w:jc w:val="left"/>
                    <w:rPr>
                      <w:b/>
                      <w:sz w:val="18"/>
                      <w:szCs w:val="18"/>
                    </w:rPr>
                  </w:pPr>
                  <w:r>
                    <w:rPr>
                      <w:b/>
                      <w:sz w:val="18"/>
                      <w:szCs w:val="18"/>
                    </w:rPr>
                    <w:t>湿度</w:t>
                  </w:r>
                </w:p>
                <w:p>
                  <w:pPr>
                    <w:rPr>
                      <w:sz w:val="18"/>
                      <w:szCs w:val="18"/>
                    </w:rPr>
                  </w:pPr>
                  <w:r>
                    <w:rPr>
                      <w:sz w:val="18"/>
                      <w:szCs w:val="18"/>
                    </w:rPr>
                    <w:t>测量范围：0% ~100%（无结露）</w:t>
                  </w:r>
                </w:p>
                <w:p>
                  <w:pPr>
                    <w:jc w:val="left"/>
                    <w:rPr>
                      <w:b/>
                      <w:sz w:val="18"/>
                      <w:szCs w:val="18"/>
                    </w:rPr>
                  </w:pPr>
                  <w:r>
                    <w:rPr>
                      <w:b/>
                      <w:sz w:val="18"/>
                      <w:szCs w:val="18"/>
                    </w:rPr>
                    <w:t>风速</w:t>
                  </w:r>
                </w:p>
                <w:p>
                  <w:pPr>
                    <w:rPr>
                      <w:b/>
                      <w:sz w:val="18"/>
                      <w:szCs w:val="18"/>
                    </w:rPr>
                  </w:pPr>
                  <w:r>
                    <w:rPr>
                      <w:sz w:val="18"/>
                      <w:szCs w:val="18"/>
                    </w:rPr>
                    <w:t>测量范围：0.4m/s~20m/s</w:t>
                  </w:r>
                </w:p>
              </w:tc>
              <w:tc>
                <w:tcPr>
                  <w:tcW w:w="1942" w:type="pct"/>
                  <w:vAlign w:val="center"/>
                </w:tcPr>
                <w:p>
                  <w:pPr>
                    <w:snapToGrid w:val="0"/>
                    <w:rPr>
                      <w:snapToGrid w:val="0"/>
                      <w:kern w:val="0"/>
                      <w:sz w:val="18"/>
                      <w:szCs w:val="18"/>
                    </w:rPr>
                  </w:pPr>
                  <w:r>
                    <w:rPr>
                      <w:b/>
                      <w:snapToGrid w:val="0"/>
                      <w:kern w:val="0"/>
                      <w:sz w:val="18"/>
                      <w:szCs w:val="18"/>
                    </w:rPr>
                    <w:t>校准单位：</w:t>
                  </w:r>
                  <w:r>
                    <w:rPr>
                      <w:snapToGrid w:val="0"/>
                      <w:kern w:val="0"/>
                      <w:sz w:val="18"/>
                      <w:szCs w:val="18"/>
                    </w:rPr>
                    <w:t>湖北省计量测试技术研究院</w:t>
                  </w:r>
                </w:p>
                <w:p>
                  <w:pPr>
                    <w:snapToGrid w:val="0"/>
                    <w:rPr>
                      <w:snapToGrid w:val="0"/>
                      <w:kern w:val="0"/>
                      <w:sz w:val="18"/>
                      <w:szCs w:val="18"/>
                    </w:rPr>
                  </w:pPr>
                  <w:r>
                    <w:rPr>
                      <w:b/>
                      <w:snapToGrid w:val="0"/>
                      <w:kern w:val="0"/>
                      <w:sz w:val="18"/>
                      <w:szCs w:val="18"/>
                    </w:rPr>
                    <w:t>证书编号：</w:t>
                  </w:r>
                  <w:r>
                    <w:rPr>
                      <w:snapToGrid w:val="0"/>
                      <w:kern w:val="0"/>
                      <w:sz w:val="18"/>
                      <w:szCs w:val="18"/>
                    </w:rPr>
                    <w:t>2025RG011802703</w:t>
                  </w:r>
                </w:p>
                <w:p>
                  <w:pPr>
                    <w:snapToGrid w:val="0"/>
                    <w:rPr>
                      <w:snapToGrid w:val="0"/>
                      <w:kern w:val="0"/>
                      <w:sz w:val="18"/>
                      <w:szCs w:val="18"/>
                    </w:rPr>
                  </w:pPr>
                  <w:r>
                    <w:rPr>
                      <w:b/>
                      <w:snapToGrid w:val="0"/>
                      <w:kern w:val="0"/>
                      <w:sz w:val="18"/>
                      <w:szCs w:val="18"/>
                    </w:rPr>
                    <w:t>有效期：</w:t>
                  </w:r>
                  <w:r>
                    <w:rPr>
                      <w:snapToGrid w:val="0"/>
                      <w:kern w:val="0"/>
                      <w:sz w:val="18"/>
                      <w:szCs w:val="18"/>
                    </w:rPr>
                    <w:t>2025.11.20-2026.11.19</w:t>
                  </w:r>
                </w:p>
                <w:p>
                  <w:pPr>
                    <w:snapToGrid w:val="0"/>
                    <w:rPr>
                      <w:b/>
                      <w:snapToGrid w:val="0"/>
                      <w:kern w:val="0"/>
                      <w:sz w:val="18"/>
                      <w:szCs w:val="18"/>
                    </w:rPr>
                  </w:pPr>
                </w:p>
                <w:p>
                  <w:pPr>
                    <w:snapToGrid w:val="0"/>
                    <w:rPr>
                      <w:b/>
                      <w:snapToGrid w:val="0"/>
                      <w:kern w:val="0"/>
                      <w:sz w:val="18"/>
                      <w:szCs w:val="18"/>
                    </w:rPr>
                  </w:pPr>
                  <w:r>
                    <w:rPr>
                      <w:b/>
                      <w:snapToGrid w:val="0"/>
                      <w:kern w:val="0"/>
                      <w:sz w:val="18"/>
                      <w:szCs w:val="18"/>
                    </w:rPr>
                    <w:t>检定单位：</w:t>
                  </w:r>
                  <w:r>
                    <w:rPr>
                      <w:snapToGrid w:val="0"/>
                      <w:kern w:val="0"/>
                      <w:sz w:val="18"/>
                      <w:szCs w:val="18"/>
                    </w:rPr>
                    <w:t>湖北省气象计量检定站</w:t>
                  </w:r>
                </w:p>
                <w:p>
                  <w:pPr>
                    <w:snapToGrid w:val="0"/>
                    <w:rPr>
                      <w:b/>
                      <w:snapToGrid w:val="0"/>
                      <w:kern w:val="0"/>
                      <w:sz w:val="18"/>
                      <w:szCs w:val="18"/>
                    </w:rPr>
                  </w:pPr>
                  <w:r>
                    <w:rPr>
                      <w:b/>
                      <w:snapToGrid w:val="0"/>
                      <w:kern w:val="0"/>
                      <w:sz w:val="18"/>
                      <w:szCs w:val="18"/>
                    </w:rPr>
                    <w:t>证书编号：</w:t>
                  </w:r>
                  <w:r>
                    <w:rPr>
                      <w:snapToGrid w:val="0"/>
                      <w:kern w:val="0"/>
                      <w:sz w:val="18"/>
                      <w:szCs w:val="18"/>
                    </w:rPr>
                    <w:t>鄂气检42511096</w:t>
                  </w:r>
                </w:p>
                <w:p>
                  <w:pPr>
                    <w:snapToGrid w:val="0"/>
                    <w:rPr>
                      <w:b/>
                      <w:snapToGrid w:val="0"/>
                      <w:kern w:val="0"/>
                      <w:sz w:val="18"/>
                      <w:szCs w:val="18"/>
                    </w:rPr>
                  </w:pPr>
                  <w:r>
                    <w:rPr>
                      <w:b/>
                      <w:snapToGrid w:val="0"/>
                      <w:kern w:val="0"/>
                      <w:sz w:val="18"/>
                      <w:szCs w:val="18"/>
                    </w:rPr>
                    <w:t>有效期：</w:t>
                  </w:r>
                  <w:r>
                    <w:rPr>
                      <w:snapToGrid w:val="0"/>
                      <w:kern w:val="0"/>
                      <w:sz w:val="18"/>
                      <w:szCs w:val="18"/>
                    </w:rPr>
                    <w:t>2025.11.25-2026.11.24</w:t>
                  </w:r>
                </w:p>
              </w:tc>
              <w:tc>
                <w:tcPr>
                  <w:tcW w:w="359" w:type="pct"/>
                  <w:vAlign w:val="center"/>
                </w:tcPr>
                <w:p>
                  <w:pPr>
                    <w:snapToGrid w:val="0"/>
                    <w:rPr>
                      <w:b/>
                      <w:snapToGrid w:val="0"/>
                      <w:kern w:val="0"/>
                      <w:sz w:val="18"/>
                      <w:szCs w:val="18"/>
                    </w:rPr>
                  </w:pPr>
                  <w:r>
                    <w:rPr>
                      <w:b/>
                      <w:snapToGrid w:val="0"/>
                      <w:kern w:val="0"/>
                      <w:sz w:val="18"/>
                      <w:szCs w:val="18"/>
                    </w:rPr>
                    <w:t>合格</w:t>
                  </w:r>
                </w:p>
              </w:tc>
            </w:tr>
          </w:tbl>
          <w:p>
            <w:pPr>
              <w:pStyle w:val="2"/>
              <w:numPr>
                <w:ilvl w:val="1"/>
                <w:numId w:val="8"/>
              </w:numPr>
              <w:spacing w:before="0" w:after="0" w:line="360" w:lineRule="auto"/>
              <w:rPr>
                <w:rFonts w:eastAsia="宋体"/>
                <w:sz w:val="24"/>
                <w:szCs w:val="24"/>
              </w:rPr>
            </w:pPr>
            <w:r>
              <w:rPr>
                <w:rFonts w:eastAsia="宋体"/>
                <w:sz w:val="24"/>
                <w:szCs w:val="24"/>
              </w:rPr>
              <w:t>监测结果及分析</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pPr>
              <w:pStyle w:val="5"/>
              <w:rPr>
                <w:color w:val="000000"/>
                <w:szCs w:val="24"/>
              </w:rPr>
            </w:pPr>
            <w:r>
              <w:rPr>
                <w:rFonts w:hint="eastAsia"/>
                <w:color w:val="000000"/>
                <w:szCs w:val="24"/>
              </w:rPr>
              <w:t>（1）监测结果</w:t>
            </w:r>
          </w:p>
          <w:p>
            <w:pPr>
              <w:pStyle w:val="5"/>
            </w:pPr>
            <w:r>
              <w:rPr>
                <w:rFonts w:hint="eastAsia"/>
                <w:color w:val="000000"/>
                <w:szCs w:val="24"/>
              </w:rPr>
              <w:t>本工程声环境监测结果见</w:t>
            </w:r>
            <w:r>
              <w:rPr>
                <w:rFonts w:hint="eastAsia"/>
                <w:b w:val="0"/>
                <w:bCs w:val="0"/>
                <w:color w:val="000000"/>
                <w:szCs w:val="24"/>
                <w:lang w:eastAsia="zh-CN"/>
              </w:rPr>
              <w:fldChar w:fldCharType="begin"/>
            </w:r>
            <w:r>
              <w:rPr>
                <w:b w:val="0"/>
                <w:bCs w:val="0"/>
              </w:rPr>
              <w:instrText xml:space="preserve"> REF _Ref157246590 \h  \* MERGEFORMAT</w:instrText>
            </w:r>
            <w:r>
              <w:rPr>
                <w:rFonts w:hint="eastAsia"/>
                <w:b w:val="0"/>
                <w:bCs w:val="0"/>
                <w:color w:val="000000"/>
                <w:szCs w:val="24"/>
                <w:lang w:eastAsia="zh-CN"/>
              </w:rPr>
              <w:fldChar w:fldCharType="separate"/>
            </w:r>
            <w:r>
              <w:rPr>
                <w:rFonts w:ascii="Times New Roman" w:hAnsi="Times New Roman" w:eastAsia="宋体"/>
                <w:b w:val="0"/>
                <w:bCs w:val="0"/>
              </w:rPr>
              <w:t>表15</w:t>
            </w:r>
            <w:r>
              <w:rPr>
                <w:rFonts w:hint="eastAsia"/>
                <w:b w:val="0"/>
                <w:bCs w:val="0"/>
                <w:color w:val="000000"/>
                <w:szCs w:val="24"/>
                <w:lang w:eastAsia="zh-CN"/>
              </w:rPr>
              <w:fldChar w:fldCharType="end"/>
            </w:r>
            <w:r>
              <w:rPr>
                <w:rFonts w:hint="eastAsia"/>
                <w:color w:val="000000"/>
                <w:szCs w:val="24"/>
              </w:rPr>
              <w:t>。</w:t>
            </w:r>
            <w:r>
              <w:rPr>
                <w:rFonts w:hint="eastAsia"/>
              </w:rPr>
              <w:t>本环评对声环境现状监测结果按《数值修约规则与极限数值的表示和判定》（</w:t>
            </w:r>
            <w:r>
              <w:t>GB/T8170-2008</w:t>
            </w:r>
            <w:r>
              <w:rPr>
                <w:rFonts w:hint="eastAsia"/>
              </w:rPr>
              <w:t>）修约到个位数进行评价。</w:t>
            </w:r>
          </w:p>
          <w:p>
            <w:pPr>
              <w:pStyle w:val="10"/>
              <w:keepNext/>
              <w:jc w:val="left"/>
              <w:rPr>
                <w:rFonts w:ascii="Times New Roman" w:hAnsi="Times New Roman"/>
                <w:bCs/>
              </w:rPr>
            </w:pPr>
            <w:bookmarkStart w:id="524" w:name="_Ref157246590"/>
            <w:bookmarkStart w:id="525" w:name="_Ref26499"/>
            <w:bookmarkStart w:id="526" w:name="_Ref3280"/>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15</w:t>
            </w:r>
            <w:r>
              <w:rPr>
                <w:rFonts w:ascii="Times New Roman" w:hAnsi="Times New Roman" w:eastAsia="宋体"/>
                <w:b/>
              </w:rPr>
              <w:fldChar w:fldCharType="end"/>
            </w:r>
            <w:bookmarkEnd w:id="524"/>
            <w:bookmarkEnd w:id="525"/>
            <w:bookmarkEnd w:id="526"/>
            <w:r>
              <w:rPr>
                <w:rFonts w:ascii="Times New Roman" w:hAnsi="Times New Roman" w:eastAsia="宋体"/>
                <w:b/>
              </w:rPr>
              <w:t>声环境现状监测结果</w:t>
            </w:r>
            <w:r>
              <w:rPr>
                <w:rFonts w:hint="eastAsia" w:ascii="Times New Roman" w:hAnsi="Times New Roman" w:eastAsia="宋体"/>
                <w:b/>
              </w:rPr>
              <w:t xml:space="preserve">                                           </w:t>
            </w:r>
            <w:r>
              <w:rPr>
                <w:rFonts w:ascii="Times New Roman" w:hAnsi="Times New Roman" w:eastAsia="宋体"/>
                <w:b/>
              </w:rPr>
              <w:t>单位：dB(A)</w:t>
            </w:r>
          </w:p>
          <w:tbl>
            <w:tblPr>
              <w:tblStyle w:val="37"/>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2987"/>
              <w:gridCol w:w="1177"/>
              <w:gridCol w:w="1113"/>
              <w:gridCol w:w="1150"/>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trPr>
              <w:tc>
                <w:tcPr>
                  <w:tcW w:w="303" w:type="pct"/>
                  <w:vMerge w:val="restart"/>
                  <w:vAlign w:val="center"/>
                </w:tcPr>
                <w:p>
                  <w:pPr>
                    <w:widowControl/>
                    <w:jc w:val="center"/>
                    <w:rPr>
                      <w:b/>
                      <w:bCs/>
                      <w:kern w:val="0"/>
                      <w:szCs w:val="21"/>
                    </w:rPr>
                  </w:pPr>
                  <w:r>
                    <w:rPr>
                      <w:b/>
                      <w:bCs/>
                      <w:kern w:val="0"/>
                      <w:szCs w:val="21"/>
                    </w:rPr>
                    <w:t>序号</w:t>
                  </w:r>
                </w:p>
              </w:tc>
              <w:tc>
                <w:tcPr>
                  <w:tcW w:w="1812" w:type="pct"/>
                  <w:vMerge w:val="restart"/>
                  <w:vAlign w:val="center"/>
                </w:tcPr>
                <w:p>
                  <w:pPr>
                    <w:widowControl/>
                    <w:jc w:val="center"/>
                    <w:rPr>
                      <w:b/>
                      <w:bCs/>
                      <w:kern w:val="0"/>
                      <w:szCs w:val="21"/>
                    </w:rPr>
                  </w:pPr>
                  <w:r>
                    <w:rPr>
                      <w:b/>
                      <w:bCs/>
                      <w:kern w:val="0"/>
                      <w:szCs w:val="21"/>
                    </w:rPr>
                    <w:t>检测点位</w:t>
                  </w:r>
                </w:p>
              </w:tc>
              <w:tc>
                <w:tcPr>
                  <w:tcW w:w="2884" w:type="pct"/>
                  <w:gridSpan w:val="4"/>
                  <w:vAlign w:val="center"/>
                </w:tcPr>
                <w:p>
                  <w:pPr>
                    <w:widowControl/>
                    <w:jc w:val="center"/>
                    <w:rPr>
                      <w:b/>
                      <w:snapToGrid w:val="0"/>
                      <w:kern w:val="0"/>
                      <w:szCs w:val="21"/>
                    </w:rPr>
                  </w:pPr>
                  <w:r>
                    <w:rPr>
                      <w:b/>
                      <w:snapToGrid w:val="0"/>
                      <w:kern w:val="0"/>
                      <w:szCs w:val="21"/>
                    </w:rPr>
                    <w:t>等效连续A声级</w:t>
                  </w:r>
                </w:p>
                <w:p>
                  <w:pPr>
                    <w:widowControl/>
                    <w:jc w:val="center"/>
                    <w:rPr>
                      <w:b/>
                      <w:bCs/>
                      <w:kern w:val="0"/>
                      <w:szCs w:val="21"/>
                    </w:rPr>
                  </w:pPr>
                  <w:r>
                    <w:rPr>
                      <w:b/>
                      <w:snapToGrid w:val="0"/>
                      <w:kern w:val="0"/>
                      <w:szCs w:val="21"/>
                    </w:rPr>
                    <w:t>（L</w:t>
                  </w:r>
                  <w:r>
                    <w:rPr>
                      <w:b/>
                      <w:snapToGrid w:val="0"/>
                      <w:kern w:val="0"/>
                      <w:szCs w:val="21"/>
                      <w:vertAlign w:val="subscript"/>
                    </w:rPr>
                    <w:t>eq</w:t>
                  </w:r>
                  <w:r>
                    <w:rPr>
                      <w:sz w:val="22"/>
                    </w:rPr>
                    <w:t>，</w:t>
                  </w:r>
                  <w:r>
                    <w:rPr>
                      <w:b/>
                      <w:sz w:val="24"/>
                    </w:rPr>
                    <w:t>dB(A)</w:t>
                  </w:r>
                  <w:r>
                    <w:rPr>
                      <w:b/>
                      <w:snapToGrid w:val="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blHeader/>
              </w:trPr>
              <w:tc>
                <w:tcPr>
                  <w:tcW w:w="303" w:type="pct"/>
                  <w:vMerge w:val="continue"/>
                  <w:vAlign w:val="center"/>
                </w:tcPr>
                <w:p>
                  <w:pPr>
                    <w:widowControl/>
                    <w:jc w:val="center"/>
                    <w:rPr>
                      <w:b/>
                      <w:bCs/>
                      <w:kern w:val="0"/>
                      <w:szCs w:val="21"/>
                    </w:rPr>
                  </w:pPr>
                </w:p>
              </w:tc>
              <w:tc>
                <w:tcPr>
                  <w:tcW w:w="1812" w:type="pct"/>
                  <w:vMerge w:val="continue"/>
                  <w:vAlign w:val="center"/>
                </w:tcPr>
                <w:p>
                  <w:pPr>
                    <w:widowControl/>
                    <w:jc w:val="center"/>
                    <w:rPr>
                      <w:b/>
                      <w:bCs/>
                      <w:kern w:val="0"/>
                      <w:szCs w:val="21"/>
                    </w:rPr>
                  </w:pPr>
                </w:p>
              </w:tc>
              <w:tc>
                <w:tcPr>
                  <w:tcW w:w="1389" w:type="pct"/>
                  <w:gridSpan w:val="2"/>
                  <w:vAlign w:val="center"/>
                </w:tcPr>
                <w:p>
                  <w:pPr>
                    <w:widowControl/>
                    <w:jc w:val="center"/>
                    <w:rPr>
                      <w:b/>
                      <w:snapToGrid w:val="0"/>
                      <w:kern w:val="0"/>
                      <w:szCs w:val="21"/>
                    </w:rPr>
                  </w:pPr>
                  <w:r>
                    <w:rPr>
                      <w:b/>
                      <w:snapToGrid w:val="0"/>
                      <w:kern w:val="0"/>
                      <w:szCs w:val="21"/>
                    </w:rPr>
                    <w:t>测量值</w:t>
                  </w:r>
                </w:p>
              </w:tc>
              <w:tc>
                <w:tcPr>
                  <w:tcW w:w="1495" w:type="pct"/>
                  <w:gridSpan w:val="2"/>
                  <w:vAlign w:val="center"/>
                </w:tcPr>
                <w:p>
                  <w:pPr>
                    <w:widowControl/>
                    <w:jc w:val="center"/>
                    <w:rPr>
                      <w:b/>
                      <w:bCs/>
                      <w:kern w:val="0"/>
                      <w:szCs w:val="21"/>
                    </w:rPr>
                  </w:pPr>
                  <w:r>
                    <w:rPr>
                      <w:b/>
                      <w:snapToGrid w:val="0"/>
                      <w:kern w:val="0"/>
                      <w:szCs w:val="21"/>
                    </w:rPr>
                    <w:t>修约值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303" w:type="pct"/>
                  <w:vMerge w:val="continue"/>
                  <w:vAlign w:val="center"/>
                </w:tcPr>
                <w:p>
                  <w:pPr>
                    <w:widowControl/>
                    <w:jc w:val="center"/>
                    <w:rPr>
                      <w:b/>
                      <w:bCs/>
                      <w:kern w:val="0"/>
                      <w:szCs w:val="21"/>
                    </w:rPr>
                  </w:pPr>
                </w:p>
              </w:tc>
              <w:tc>
                <w:tcPr>
                  <w:tcW w:w="1812" w:type="pct"/>
                  <w:vMerge w:val="continue"/>
                  <w:vAlign w:val="center"/>
                </w:tcPr>
                <w:p>
                  <w:pPr>
                    <w:widowControl/>
                    <w:jc w:val="center"/>
                    <w:rPr>
                      <w:b/>
                      <w:bCs/>
                      <w:kern w:val="0"/>
                      <w:szCs w:val="21"/>
                    </w:rPr>
                  </w:pPr>
                </w:p>
              </w:tc>
              <w:tc>
                <w:tcPr>
                  <w:tcW w:w="714" w:type="pct"/>
                  <w:vAlign w:val="center"/>
                </w:tcPr>
                <w:p>
                  <w:pPr>
                    <w:widowControl/>
                    <w:jc w:val="center"/>
                    <w:rPr>
                      <w:b/>
                      <w:bCs/>
                      <w:kern w:val="0"/>
                      <w:szCs w:val="21"/>
                    </w:rPr>
                  </w:pPr>
                  <w:r>
                    <w:rPr>
                      <w:b/>
                      <w:snapToGrid w:val="0"/>
                      <w:kern w:val="0"/>
                      <w:szCs w:val="21"/>
                    </w:rPr>
                    <w:t>昼间</w:t>
                  </w:r>
                </w:p>
              </w:tc>
              <w:tc>
                <w:tcPr>
                  <w:tcW w:w="673" w:type="pct"/>
                  <w:vAlign w:val="center"/>
                </w:tcPr>
                <w:p>
                  <w:pPr>
                    <w:widowControl/>
                    <w:jc w:val="center"/>
                    <w:rPr>
                      <w:b/>
                      <w:bCs/>
                      <w:kern w:val="0"/>
                      <w:szCs w:val="21"/>
                    </w:rPr>
                  </w:pPr>
                  <w:r>
                    <w:rPr>
                      <w:b/>
                      <w:snapToGrid w:val="0"/>
                      <w:kern w:val="0"/>
                      <w:szCs w:val="21"/>
                    </w:rPr>
                    <w:t>夜间</w:t>
                  </w:r>
                </w:p>
              </w:tc>
              <w:tc>
                <w:tcPr>
                  <w:tcW w:w="698" w:type="pct"/>
                  <w:vAlign w:val="center"/>
                </w:tcPr>
                <w:p>
                  <w:pPr>
                    <w:widowControl/>
                    <w:jc w:val="center"/>
                    <w:rPr>
                      <w:b/>
                      <w:bCs/>
                      <w:kern w:val="0"/>
                      <w:szCs w:val="21"/>
                    </w:rPr>
                  </w:pPr>
                  <w:r>
                    <w:rPr>
                      <w:b/>
                      <w:snapToGrid w:val="0"/>
                      <w:kern w:val="0"/>
                      <w:szCs w:val="21"/>
                    </w:rPr>
                    <w:t>昼间</w:t>
                  </w:r>
                </w:p>
              </w:tc>
              <w:tc>
                <w:tcPr>
                  <w:tcW w:w="798" w:type="pct"/>
                  <w:vAlign w:val="center"/>
                </w:tcPr>
                <w:p>
                  <w:pPr>
                    <w:widowControl/>
                    <w:jc w:val="center"/>
                    <w:rPr>
                      <w:b/>
                      <w:bCs/>
                      <w:kern w:val="0"/>
                      <w:szCs w:val="21"/>
                    </w:rPr>
                  </w:pPr>
                  <w:r>
                    <w:rPr>
                      <w:b/>
                      <w:snapToGrid w:val="0"/>
                      <w:kern w:val="0"/>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6"/>
                  <w:vAlign w:val="center"/>
                </w:tcPr>
                <w:p>
                  <w:pPr>
                    <w:widowControl/>
                    <w:jc w:val="left"/>
                    <w:rPr>
                      <w:b/>
                      <w:kern w:val="0"/>
                      <w:szCs w:val="21"/>
                    </w:rPr>
                  </w:pPr>
                  <w:r>
                    <w:rPr>
                      <w:b/>
                      <w:kern w:val="0"/>
                      <w:szCs w:val="21"/>
                    </w:rPr>
                    <w:t>一</w:t>
                  </w:r>
                  <w:r>
                    <w:rPr>
                      <w:rFonts w:hint="eastAsia"/>
                      <w:b/>
                      <w:kern w:val="0"/>
                      <w:szCs w:val="21"/>
                    </w:rPr>
                    <w:t>、</w:t>
                  </w:r>
                  <w:r>
                    <w:rPr>
                      <w:b/>
                      <w:kern w:val="0"/>
                      <w:szCs w:val="21"/>
                    </w:rPr>
                    <w:t>伊拉湖220千伏变电站新建工程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1</w:t>
                  </w:r>
                </w:p>
              </w:tc>
              <w:tc>
                <w:tcPr>
                  <w:tcW w:w="1812" w:type="pct"/>
                  <w:vAlign w:val="center"/>
                </w:tcPr>
                <w:p>
                  <w:pPr>
                    <w:widowControl/>
                    <w:jc w:val="center"/>
                    <w:rPr>
                      <w:kern w:val="0"/>
                      <w:szCs w:val="21"/>
                    </w:rPr>
                  </w:pPr>
                  <w:r>
                    <w:rPr>
                      <w:kern w:val="0"/>
                      <w:szCs w:val="21"/>
                    </w:rPr>
                    <w:t>伊拉湖220kV变电站站址东侧1#</w:t>
                  </w:r>
                </w:p>
              </w:tc>
              <w:tc>
                <w:tcPr>
                  <w:tcW w:w="714" w:type="pct"/>
                  <w:vAlign w:val="center"/>
                </w:tcPr>
                <w:p>
                  <w:pPr>
                    <w:widowControl/>
                    <w:jc w:val="center"/>
                    <w:rPr>
                      <w:kern w:val="0"/>
                      <w:szCs w:val="21"/>
                    </w:rPr>
                  </w:pPr>
                  <w:r>
                    <w:rPr>
                      <w:kern w:val="0"/>
                      <w:szCs w:val="21"/>
                    </w:rPr>
                    <w:t>39.9</w:t>
                  </w:r>
                </w:p>
              </w:tc>
              <w:tc>
                <w:tcPr>
                  <w:tcW w:w="673" w:type="pct"/>
                  <w:vAlign w:val="center"/>
                </w:tcPr>
                <w:p>
                  <w:pPr>
                    <w:widowControl/>
                    <w:jc w:val="center"/>
                    <w:rPr>
                      <w:kern w:val="0"/>
                      <w:szCs w:val="21"/>
                    </w:rPr>
                  </w:pPr>
                  <w:r>
                    <w:rPr>
                      <w:kern w:val="0"/>
                      <w:szCs w:val="21"/>
                    </w:rPr>
                    <w:t>37.8</w:t>
                  </w:r>
                </w:p>
              </w:tc>
              <w:tc>
                <w:tcPr>
                  <w:tcW w:w="698" w:type="pct"/>
                  <w:vAlign w:val="center"/>
                </w:tcPr>
                <w:p>
                  <w:pPr>
                    <w:widowControl/>
                    <w:jc w:val="center"/>
                    <w:rPr>
                      <w:kern w:val="0"/>
                      <w:szCs w:val="21"/>
                    </w:rPr>
                  </w:pPr>
                  <w:r>
                    <w:rPr>
                      <w:kern w:val="0"/>
                      <w:szCs w:val="21"/>
                    </w:rPr>
                    <w:t>40</w:t>
                  </w:r>
                </w:p>
              </w:tc>
              <w:tc>
                <w:tcPr>
                  <w:tcW w:w="798" w:type="pct"/>
                  <w:vAlign w:val="center"/>
                </w:tcPr>
                <w:p>
                  <w:pPr>
                    <w:widowControl/>
                    <w:jc w:val="center"/>
                    <w:rPr>
                      <w:kern w:val="0"/>
                      <w:szCs w:val="21"/>
                    </w:rPr>
                  </w:pPr>
                  <w:r>
                    <w:rPr>
                      <w:rFonts w:hint="eastAsia"/>
                      <w:kern w:val="0"/>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2</w:t>
                  </w:r>
                </w:p>
              </w:tc>
              <w:tc>
                <w:tcPr>
                  <w:tcW w:w="1812" w:type="pct"/>
                  <w:vAlign w:val="center"/>
                </w:tcPr>
                <w:p>
                  <w:pPr>
                    <w:widowControl/>
                    <w:jc w:val="center"/>
                    <w:rPr>
                      <w:kern w:val="0"/>
                      <w:szCs w:val="21"/>
                    </w:rPr>
                  </w:pPr>
                  <w:r>
                    <w:rPr>
                      <w:kern w:val="0"/>
                      <w:szCs w:val="21"/>
                    </w:rPr>
                    <w:t>伊拉湖220kV变电站站址东侧2#</w:t>
                  </w:r>
                </w:p>
              </w:tc>
              <w:tc>
                <w:tcPr>
                  <w:tcW w:w="714" w:type="pct"/>
                  <w:vAlign w:val="center"/>
                </w:tcPr>
                <w:p>
                  <w:pPr>
                    <w:widowControl/>
                    <w:jc w:val="center"/>
                    <w:rPr>
                      <w:kern w:val="0"/>
                      <w:szCs w:val="21"/>
                    </w:rPr>
                  </w:pPr>
                  <w:r>
                    <w:rPr>
                      <w:kern w:val="0"/>
                      <w:szCs w:val="21"/>
                    </w:rPr>
                    <w:t>39.8</w:t>
                  </w:r>
                </w:p>
              </w:tc>
              <w:tc>
                <w:tcPr>
                  <w:tcW w:w="673" w:type="pct"/>
                  <w:vAlign w:val="center"/>
                </w:tcPr>
                <w:p>
                  <w:pPr>
                    <w:widowControl/>
                    <w:jc w:val="center"/>
                    <w:rPr>
                      <w:kern w:val="0"/>
                      <w:szCs w:val="21"/>
                    </w:rPr>
                  </w:pPr>
                  <w:r>
                    <w:rPr>
                      <w:kern w:val="0"/>
                      <w:szCs w:val="21"/>
                    </w:rPr>
                    <w:t>38.0</w:t>
                  </w:r>
                </w:p>
              </w:tc>
              <w:tc>
                <w:tcPr>
                  <w:tcW w:w="698" w:type="pct"/>
                  <w:vAlign w:val="center"/>
                </w:tcPr>
                <w:p>
                  <w:pPr>
                    <w:widowControl/>
                    <w:jc w:val="center"/>
                    <w:rPr>
                      <w:kern w:val="0"/>
                      <w:szCs w:val="21"/>
                    </w:rPr>
                  </w:pPr>
                  <w:r>
                    <w:rPr>
                      <w:kern w:val="0"/>
                      <w:szCs w:val="21"/>
                    </w:rPr>
                    <w:t>40</w:t>
                  </w:r>
                </w:p>
              </w:tc>
              <w:tc>
                <w:tcPr>
                  <w:tcW w:w="798" w:type="pct"/>
                  <w:vAlign w:val="center"/>
                </w:tcPr>
                <w:p>
                  <w:pPr>
                    <w:widowControl/>
                    <w:jc w:val="center"/>
                    <w:rPr>
                      <w:kern w:val="0"/>
                      <w:szCs w:val="21"/>
                    </w:rPr>
                  </w:pPr>
                  <w:r>
                    <w:rPr>
                      <w:kern w:val="0"/>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3</w:t>
                  </w:r>
                </w:p>
              </w:tc>
              <w:tc>
                <w:tcPr>
                  <w:tcW w:w="1812" w:type="pct"/>
                  <w:vAlign w:val="center"/>
                </w:tcPr>
                <w:p>
                  <w:pPr>
                    <w:widowControl/>
                    <w:jc w:val="center"/>
                    <w:rPr>
                      <w:kern w:val="0"/>
                      <w:szCs w:val="21"/>
                    </w:rPr>
                  </w:pPr>
                  <w:r>
                    <w:rPr>
                      <w:kern w:val="0"/>
                      <w:szCs w:val="21"/>
                    </w:rPr>
                    <w:t>伊拉湖220kV变电站站址南侧3#</w:t>
                  </w:r>
                </w:p>
              </w:tc>
              <w:tc>
                <w:tcPr>
                  <w:tcW w:w="714" w:type="pct"/>
                  <w:vAlign w:val="center"/>
                </w:tcPr>
                <w:p>
                  <w:pPr>
                    <w:widowControl/>
                    <w:jc w:val="center"/>
                    <w:rPr>
                      <w:kern w:val="0"/>
                      <w:szCs w:val="21"/>
                    </w:rPr>
                  </w:pPr>
                  <w:r>
                    <w:rPr>
                      <w:kern w:val="0"/>
                      <w:szCs w:val="21"/>
                    </w:rPr>
                    <w:t>39.5</w:t>
                  </w:r>
                </w:p>
              </w:tc>
              <w:tc>
                <w:tcPr>
                  <w:tcW w:w="673" w:type="pct"/>
                  <w:vAlign w:val="center"/>
                </w:tcPr>
                <w:p>
                  <w:pPr>
                    <w:widowControl/>
                    <w:jc w:val="center"/>
                    <w:rPr>
                      <w:kern w:val="0"/>
                      <w:szCs w:val="21"/>
                    </w:rPr>
                  </w:pPr>
                  <w:r>
                    <w:rPr>
                      <w:kern w:val="0"/>
                      <w:szCs w:val="21"/>
                    </w:rPr>
                    <w:t>37.6</w:t>
                  </w:r>
                </w:p>
              </w:tc>
              <w:tc>
                <w:tcPr>
                  <w:tcW w:w="698" w:type="pct"/>
                  <w:vAlign w:val="center"/>
                </w:tcPr>
                <w:p>
                  <w:pPr>
                    <w:widowControl/>
                    <w:jc w:val="center"/>
                    <w:rPr>
                      <w:kern w:val="0"/>
                      <w:szCs w:val="21"/>
                    </w:rPr>
                  </w:pPr>
                  <w:r>
                    <w:rPr>
                      <w:kern w:val="0"/>
                      <w:szCs w:val="21"/>
                    </w:rPr>
                    <w:t>40</w:t>
                  </w:r>
                </w:p>
              </w:tc>
              <w:tc>
                <w:tcPr>
                  <w:tcW w:w="798" w:type="pct"/>
                  <w:vAlign w:val="center"/>
                </w:tcPr>
                <w:p>
                  <w:pPr>
                    <w:widowControl/>
                    <w:jc w:val="center"/>
                    <w:rPr>
                      <w:kern w:val="0"/>
                      <w:szCs w:val="21"/>
                    </w:rPr>
                  </w:pPr>
                  <w:r>
                    <w:rPr>
                      <w:kern w:val="0"/>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4</w:t>
                  </w:r>
                </w:p>
              </w:tc>
              <w:tc>
                <w:tcPr>
                  <w:tcW w:w="1812" w:type="pct"/>
                  <w:vAlign w:val="center"/>
                </w:tcPr>
                <w:p>
                  <w:pPr>
                    <w:widowControl/>
                    <w:jc w:val="center"/>
                    <w:rPr>
                      <w:kern w:val="0"/>
                      <w:szCs w:val="21"/>
                    </w:rPr>
                  </w:pPr>
                  <w:r>
                    <w:rPr>
                      <w:kern w:val="0"/>
                      <w:szCs w:val="21"/>
                    </w:rPr>
                    <w:t>伊拉湖220kV变电站站址南侧4#</w:t>
                  </w:r>
                </w:p>
              </w:tc>
              <w:tc>
                <w:tcPr>
                  <w:tcW w:w="714" w:type="pct"/>
                  <w:vAlign w:val="center"/>
                </w:tcPr>
                <w:p>
                  <w:pPr>
                    <w:widowControl/>
                    <w:jc w:val="center"/>
                    <w:rPr>
                      <w:kern w:val="0"/>
                      <w:szCs w:val="21"/>
                    </w:rPr>
                  </w:pPr>
                  <w:r>
                    <w:rPr>
                      <w:kern w:val="0"/>
                      <w:szCs w:val="21"/>
                    </w:rPr>
                    <w:t>39.6</w:t>
                  </w:r>
                </w:p>
              </w:tc>
              <w:tc>
                <w:tcPr>
                  <w:tcW w:w="673" w:type="pct"/>
                  <w:vAlign w:val="center"/>
                </w:tcPr>
                <w:p>
                  <w:pPr>
                    <w:widowControl/>
                    <w:jc w:val="center"/>
                    <w:rPr>
                      <w:kern w:val="0"/>
                      <w:szCs w:val="21"/>
                    </w:rPr>
                  </w:pPr>
                  <w:r>
                    <w:rPr>
                      <w:kern w:val="0"/>
                      <w:szCs w:val="21"/>
                    </w:rPr>
                    <w:t>37.5</w:t>
                  </w:r>
                </w:p>
              </w:tc>
              <w:tc>
                <w:tcPr>
                  <w:tcW w:w="698" w:type="pct"/>
                  <w:vAlign w:val="center"/>
                </w:tcPr>
                <w:p>
                  <w:pPr>
                    <w:widowControl/>
                    <w:jc w:val="center"/>
                    <w:rPr>
                      <w:kern w:val="0"/>
                      <w:szCs w:val="21"/>
                    </w:rPr>
                  </w:pPr>
                  <w:r>
                    <w:rPr>
                      <w:kern w:val="0"/>
                      <w:szCs w:val="21"/>
                    </w:rPr>
                    <w:t>40</w:t>
                  </w:r>
                </w:p>
              </w:tc>
              <w:tc>
                <w:tcPr>
                  <w:tcW w:w="798" w:type="pct"/>
                  <w:vAlign w:val="center"/>
                </w:tcPr>
                <w:p>
                  <w:pPr>
                    <w:widowControl/>
                    <w:jc w:val="center"/>
                    <w:rPr>
                      <w:kern w:val="0"/>
                      <w:szCs w:val="21"/>
                    </w:rPr>
                  </w:pPr>
                  <w:r>
                    <w:rPr>
                      <w:kern w:val="0"/>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5</w:t>
                  </w:r>
                </w:p>
              </w:tc>
              <w:tc>
                <w:tcPr>
                  <w:tcW w:w="1812" w:type="pct"/>
                  <w:vAlign w:val="center"/>
                </w:tcPr>
                <w:p>
                  <w:pPr>
                    <w:widowControl/>
                    <w:jc w:val="center"/>
                    <w:rPr>
                      <w:kern w:val="0"/>
                      <w:szCs w:val="21"/>
                    </w:rPr>
                  </w:pPr>
                  <w:r>
                    <w:rPr>
                      <w:kern w:val="0"/>
                      <w:szCs w:val="21"/>
                    </w:rPr>
                    <w:t>伊拉湖220kV变电站站址西侧5#</w:t>
                  </w:r>
                </w:p>
              </w:tc>
              <w:tc>
                <w:tcPr>
                  <w:tcW w:w="714" w:type="pct"/>
                  <w:vAlign w:val="center"/>
                </w:tcPr>
                <w:p>
                  <w:pPr>
                    <w:widowControl/>
                    <w:jc w:val="center"/>
                    <w:rPr>
                      <w:kern w:val="0"/>
                      <w:szCs w:val="21"/>
                    </w:rPr>
                  </w:pPr>
                  <w:r>
                    <w:rPr>
                      <w:kern w:val="0"/>
                      <w:szCs w:val="21"/>
                    </w:rPr>
                    <w:t>39.6</w:t>
                  </w:r>
                </w:p>
              </w:tc>
              <w:tc>
                <w:tcPr>
                  <w:tcW w:w="673" w:type="pct"/>
                  <w:vAlign w:val="center"/>
                </w:tcPr>
                <w:p>
                  <w:pPr>
                    <w:widowControl/>
                    <w:jc w:val="center"/>
                    <w:rPr>
                      <w:kern w:val="0"/>
                      <w:szCs w:val="21"/>
                    </w:rPr>
                  </w:pPr>
                  <w:r>
                    <w:rPr>
                      <w:kern w:val="0"/>
                      <w:szCs w:val="21"/>
                    </w:rPr>
                    <w:t>37.6</w:t>
                  </w:r>
                </w:p>
              </w:tc>
              <w:tc>
                <w:tcPr>
                  <w:tcW w:w="698" w:type="pct"/>
                  <w:vAlign w:val="center"/>
                </w:tcPr>
                <w:p>
                  <w:pPr>
                    <w:widowControl/>
                    <w:jc w:val="center"/>
                    <w:rPr>
                      <w:kern w:val="0"/>
                      <w:szCs w:val="21"/>
                    </w:rPr>
                  </w:pPr>
                  <w:r>
                    <w:rPr>
                      <w:kern w:val="0"/>
                      <w:szCs w:val="21"/>
                    </w:rPr>
                    <w:t>40</w:t>
                  </w:r>
                </w:p>
              </w:tc>
              <w:tc>
                <w:tcPr>
                  <w:tcW w:w="798" w:type="pct"/>
                  <w:vAlign w:val="center"/>
                </w:tcPr>
                <w:p>
                  <w:pPr>
                    <w:widowControl/>
                    <w:jc w:val="center"/>
                    <w:rPr>
                      <w:kern w:val="0"/>
                      <w:szCs w:val="21"/>
                    </w:rPr>
                  </w:pPr>
                  <w:r>
                    <w:rPr>
                      <w:kern w:val="0"/>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6</w:t>
                  </w:r>
                </w:p>
              </w:tc>
              <w:tc>
                <w:tcPr>
                  <w:tcW w:w="1812" w:type="pct"/>
                  <w:vAlign w:val="center"/>
                </w:tcPr>
                <w:p>
                  <w:pPr>
                    <w:widowControl/>
                    <w:jc w:val="center"/>
                    <w:rPr>
                      <w:kern w:val="0"/>
                      <w:szCs w:val="21"/>
                    </w:rPr>
                  </w:pPr>
                  <w:r>
                    <w:rPr>
                      <w:kern w:val="0"/>
                      <w:szCs w:val="21"/>
                    </w:rPr>
                    <w:t>伊拉湖220kV变电站站址西侧6#</w:t>
                  </w:r>
                </w:p>
              </w:tc>
              <w:tc>
                <w:tcPr>
                  <w:tcW w:w="714" w:type="pct"/>
                  <w:vAlign w:val="center"/>
                </w:tcPr>
                <w:p>
                  <w:pPr>
                    <w:widowControl/>
                    <w:jc w:val="center"/>
                    <w:rPr>
                      <w:kern w:val="0"/>
                      <w:szCs w:val="21"/>
                    </w:rPr>
                  </w:pPr>
                  <w:r>
                    <w:rPr>
                      <w:kern w:val="0"/>
                      <w:szCs w:val="21"/>
                    </w:rPr>
                    <w:t>40.1</w:t>
                  </w:r>
                </w:p>
              </w:tc>
              <w:tc>
                <w:tcPr>
                  <w:tcW w:w="673" w:type="pct"/>
                  <w:vAlign w:val="center"/>
                </w:tcPr>
                <w:p>
                  <w:pPr>
                    <w:widowControl/>
                    <w:jc w:val="center"/>
                    <w:rPr>
                      <w:kern w:val="0"/>
                      <w:szCs w:val="21"/>
                    </w:rPr>
                  </w:pPr>
                  <w:r>
                    <w:rPr>
                      <w:kern w:val="0"/>
                      <w:szCs w:val="21"/>
                    </w:rPr>
                    <w:t>37.8</w:t>
                  </w:r>
                </w:p>
              </w:tc>
              <w:tc>
                <w:tcPr>
                  <w:tcW w:w="698" w:type="pct"/>
                  <w:vAlign w:val="center"/>
                </w:tcPr>
                <w:p>
                  <w:pPr>
                    <w:widowControl/>
                    <w:jc w:val="center"/>
                    <w:rPr>
                      <w:kern w:val="0"/>
                      <w:szCs w:val="21"/>
                    </w:rPr>
                  </w:pPr>
                  <w:r>
                    <w:rPr>
                      <w:kern w:val="0"/>
                      <w:szCs w:val="21"/>
                    </w:rPr>
                    <w:t>40</w:t>
                  </w:r>
                </w:p>
              </w:tc>
              <w:tc>
                <w:tcPr>
                  <w:tcW w:w="798" w:type="pct"/>
                  <w:vAlign w:val="center"/>
                </w:tcPr>
                <w:p>
                  <w:pPr>
                    <w:widowControl/>
                    <w:jc w:val="center"/>
                    <w:rPr>
                      <w:kern w:val="0"/>
                      <w:szCs w:val="21"/>
                    </w:rPr>
                  </w:pPr>
                  <w:r>
                    <w:rPr>
                      <w:kern w:val="0"/>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7</w:t>
                  </w:r>
                </w:p>
              </w:tc>
              <w:tc>
                <w:tcPr>
                  <w:tcW w:w="1812" w:type="pct"/>
                  <w:vAlign w:val="center"/>
                </w:tcPr>
                <w:p>
                  <w:pPr>
                    <w:widowControl/>
                    <w:jc w:val="center"/>
                    <w:rPr>
                      <w:kern w:val="0"/>
                      <w:szCs w:val="21"/>
                    </w:rPr>
                  </w:pPr>
                  <w:r>
                    <w:rPr>
                      <w:kern w:val="0"/>
                      <w:szCs w:val="21"/>
                    </w:rPr>
                    <w:t>伊拉湖220kV变电站站址北侧7#</w:t>
                  </w:r>
                </w:p>
              </w:tc>
              <w:tc>
                <w:tcPr>
                  <w:tcW w:w="714" w:type="pct"/>
                  <w:vAlign w:val="center"/>
                </w:tcPr>
                <w:p>
                  <w:pPr>
                    <w:widowControl/>
                    <w:jc w:val="center"/>
                    <w:rPr>
                      <w:kern w:val="0"/>
                      <w:szCs w:val="21"/>
                    </w:rPr>
                  </w:pPr>
                  <w:r>
                    <w:rPr>
                      <w:kern w:val="0"/>
                      <w:szCs w:val="21"/>
                    </w:rPr>
                    <w:t>39.7</w:t>
                  </w:r>
                </w:p>
              </w:tc>
              <w:tc>
                <w:tcPr>
                  <w:tcW w:w="673" w:type="pct"/>
                  <w:vAlign w:val="center"/>
                </w:tcPr>
                <w:p>
                  <w:pPr>
                    <w:widowControl/>
                    <w:jc w:val="center"/>
                    <w:rPr>
                      <w:kern w:val="0"/>
                      <w:szCs w:val="21"/>
                    </w:rPr>
                  </w:pPr>
                  <w:r>
                    <w:rPr>
                      <w:kern w:val="0"/>
                      <w:szCs w:val="21"/>
                    </w:rPr>
                    <w:t>37.9</w:t>
                  </w:r>
                </w:p>
              </w:tc>
              <w:tc>
                <w:tcPr>
                  <w:tcW w:w="698" w:type="pct"/>
                  <w:vAlign w:val="center"/>
                </w:tcPr>
                <w:p>
                  <w:pPr>
                    <w:widowControl/>
                    <w:jc w:val="center"/>
                    <w:rPr>
                      <w:kern w:val="0"/>
                      <w:szCs w:val="21"/>
                    </w:rPr>
                  </w:pPr>
                  <w:r>
                    <w:rPr>
                      <w:kern w:val="0"/>
                      <w:szCs w:val="21"/>
                    </w:rPr>
                    <w:t>40</w:t>
                  </w:r>
                </w:p>
              </w:tc>
              <w:tc>
                <w:tcPr>
                  <w:tcW w:w="798" w:type="pct"/>
                  <w:vAlign w:val="center"/>
                </w:tcPr>
                <w:p>
                  <w:pPr>
                    <w:widowControl/>
                    <w:jc w:val="center"/>
                    <w:rPr>
                      <w:kern w:val="0"/>
                      <w:szCs w:val="21"/>
                    </w:rPr>
                  </w:pPr>
                  <w:r>
                    <w:rPr>
                      <w:kern w:val="0"/>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8</w:t>
                  </w:r>
                </w:p>
              </w:tc>
              <w:tc>
                <w:tcPr>
                  <w:tcW w:w="1812" w:type="pct"/>
                  <w:vAlign w:val="center"/>
                </w:tcPr>
                <w:p>
                  <w:pPr>
                    <w:widowControl/>
                    <w:jc w:val="center"/>
                    <w:rPr>
                      <w:kern w:val="0"/>
                      <w:szCs w:val="21"/>
                    </w:rPr>
                  </w:pPr>
                  <w:r>
                    <w:rPr>
                      <w:kern w:val="0"/>
                      <w:szCs w:val="21"/>
                    </w:rPr>
                    <w:t>伊拉湖220kV变电站站址北侧8#</w:t>
                  </w:r>
                </w:p>
              </w:tc>
              <w:tc>
                <w:tcPr>
                  <w:tcW w:w="714" w:type="pct"/>
                  <w:vAlign w:val="center"/>
                </w:tcPr>
                <w:p>
                  <w:pPr>
                    <w:widowControl/>
                    <w:jc w:val="center"/>
                    <w:rPr>
                      <w:kern w:val="0"/>
                      <w:szCs w:val="21"/>
                    </w:rPr>
                  </w:pPr>
                  <w:r>
                    <w:rPr>
                      <w:kern w:val="0"/>
                      <w:szCs w:val="21"/>
                    </w:rPr>
                    <w:t>40.4</w:t>
                  </w:r>
                </w:p>
              </w:tc>
              <w:tc>
                <w:tcPr>
                  <w:tcW w:w="673" w:type="pct"/>
                  <w:vAlign w:val="center"/>
                </w:tcPr>
                <w:p>
                  <w:pPr>
                    <w:widowControl/>
                    <w:jc w:val="center"/>
                    <w:rPr>
                      <w:kern w:val="0"/>
                      <w:szCs w:val="21"/>
                    </w:rPr>
                  </w:pPr>
                  <w:r>
                    <w:rPr>
                      <w:kern w:val="0"/>
                      <w:szCs w:val="21"/>
                    </w:rPr>
                    <w:t>37.7</w:t>
                  </w:r>
                </w:p>
              </w:tc>
              <w:tc>
                <w:tcPr>
                  <w:tcW w:w="698" w:type="pct"/>
                  <w:vAlign w:val="center"/>
                </w:tcPr>
                <w:p>
                  <w:pPr>
                    <w:widowControl/>
                    <w:jc w:val="center"/>
                    <w:rPr>
                      <w:kern w:val="0"/>
                      <w:szCs w:val="21"/>
                    </w:rPr>
                  </w:pPr>
                  <w:r>
                    <w:rPr>
                      <w:kern w:val="0"/>
                      <w:szCs w:val="21"/>
                    </w:rPr>
                    <w:t>40</w:t>
                  </w:r>
                </w:p>
              </w:tc>
              <w:tc>
                <w:tcPr>
                  <w:tcW w:w="798" w:type="pct"/>
                  <w:vAlign w:val="center"/>
                </w:tcPr>
                <w:p>
                  <w:pPr>
                    <w:widowControl/>
                    <w:jc w:val="center"/>
                    <w:rPr>
                      <w:kern w:val="0"/>
                      <w:szCs w:val="21"/>
                    </w:rPr>
                  </w:pPr>
                  <w:r>
                    <w:rPr>
                      <w:kern w:val="0"/>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9</w:t>
                  </w:r>
                </w:p>
              </w:tc>
              <w:tc>
                <w:tcPr>
                  <w:tcW w:w="1812" w:type="pct"/>
                  <w:vAlign w:val="center"/>
                </w:tcPr>
                <w:p>
                  <w:pPr>
                    <w:widowControl/>
                    <w:jc w:val="center"/>
                    <w:rPr>
                      <w:kern w:val="0"/>
                      <w:szCs w:val="21"/>
                    </w:rPr>
                  </w:pPr>
                  <w:r>
                    <w:rPr>
                      <w:kern w:val="0"/>
                      <w:szCs w:val="21"/>
                    </w:rPr>
                    <w:t>伊拉湖220kV变电站站址中心9#</w:t>
                  </w:r>
                </w:p>
              </w:tc>
              <w:tc>
                <w:tcPr>
                  <w:tcW w:w="714" w:type="pct"/>
                  <w:vAlign w:val="center"/>
                </w:tcPr>
                <w:p>
                  <w:pPr>
                    <w:widowControl/>
                    <w:jc w:val="center"/>
                    <w:rPr>
                      <w:kern w:val="0"/>
                      <w:szCs w:val="21"/>
                    </w:rPr>
                  </w:pPr>
                  <w:r>
                    <w:rPr>
                      <w:kern w:val="0"/>
                      <w:szCs w:val="21"/>
                    </w:rPr>
                    <w:t>39.8</w:t>
                  </w:r>
                </w:p>
              </w:tc>
              <w:tc>
                <w:tcPr>
                  <w:tcW w:w="673" w:type="pct"/>
                  <w:vAlign w:val="center"/>
                </w:tcPr>
                <w:p>
                  <w:pPr>
                    <w:widowControl/>
                    <w:jc w:val="center"/>
                    <w:rPr>
                      <w:kern w:val="0"/>
                      <w:szCs w:val="21"/>
                    </w:rPr>
                  </w:pPr>
                  <w:r>
                    <w:rPr>
                      <w:kern w:val="0"/>
                      <w:szCs w:val="21"/>
                    </w:rPr>
                    <w:t>37.5</w:t>
                  </w:r>
                </w:p>
              </w:tc>
              <w:tc>
                <w:tcPr>
                  <w:tcW w:w="698" w:type="pct"/>
                  <w:vAlign w:val="center"/>
                </w:tcPr>
                <w:p>
                  <w:pPr>
                    <w:widowControl/>
                    <w:jc w:val="center"/>
                    <w:rPr>
                      <w:kern w:val="0"/>
                      <w:szCs w:val="21"/>
                    </w:rPr>
                  </w:pPr>
                  <w:r>
                    <w:rPr>
                      <w:kern w:val="0"/>
                      <w:szCs w:val="21"/>
                    </w:rPr>
                    <w:t>40</w:t>
                  </w:r>
                </w:p>
              </w:tc>
              <w:tc>
                <w:tcPr>
                  <w:tcW w:w="798" w:type="pct"/>
                  <w:vAlign w:val="center"/>
                </w:tcPr>
                <w:p>
                  <w:pPr>
                    <w:widowControl/>
                    <w:jc w:val="center"/>
                    <w:rPr>
                      <w:kern w:val="0"/>
                      <w:szCs w:val="21"/>
                    </w:rPr>
                  </w:pPr>
                  <w:r>
                    <w:rPr>
                      <w:kern w:val="0"/>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6"/>
                  <w:vAlign w:val="center"/>
                </w:tcPr>
                <w:p>
                  <w:pPr>
                    <w:widowControl/>
                    <w:rPr>
                      <w:szCs w:val="21"/>
                      <w:highlight w:val="yellow"/>
                    </w:rPr>
                  </w:pPr>
                  <w:r>
                    <w:rPr>
                      <w:b/>
                      <w:kern w:val="0"/>
                      <w:szCs w:val="21"/>
                    </w:rPr>
                    <w:t>二</w:t>
                  </w:r>
                  <w:r>
                    <w:rPr>
                      <w:rFonts w:hint="eastAsia"/>
                      <w:b/>
                      <w:kern w:val="0"/>
                      <w:szCs w:val="21"/>
                    </w:rPr>
                    <w:t>、</w:t>
                  </w:r>
                  <w:r>
                    <w:rPr>
                      <w:b/>
                      <w:kern w:val="0"/>
                      <w:szCs w:val="21"/>
                    </w:rPr>
                    <w:t>吐鲁番电厂</w:t>
                  </w:r>
                  <w:r>
                    <w:rPr>
                      <w:rFonts w:hint="eastAsia"/>
                      <w:b/>
                      <w:kern w:val="0"/>
                      <w:szCs w:val="21"/>
                    </w:rPr>
                    <w:t>-</w:t>
                  </w:r>
                  <w:r>
                    <w:rPr>
                      <w:b/>
                      <w:kern w:val="0"/>
                      <w:szCs w:val="21"/>
                    </w:rPr>
                    <w:t>阿拉沟变Ⅰ、Ⅱ回π入伊拉湖变220千伏线路工程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1</w:t>
                  </w:r>
                </w:p>
              </w:tc>
              <w:tc>
                <w:tcPr>
                  <w:tcW w:w="1812" w:type="pct"/>
                  <w:vAlign w:val="center"/>
                </w:tcPr>
                <w:p>
                  <w:pPr>
                    <w:widowControl/>
                    <w:jc w:val="center"/>
                    <w:rPr>
                      <w:kern w:val="0"/>
                      <w:szCs w:val="21"/>
                    </w:rPr>
                  </w:pPr>
                  <w:r>
                    <w:rPr>
                      <w:kern w:val="0"/>
                      <w:szCs w:val="21"/>
                    </w:rPr>
                    <w:t>线路背景值</w:t>
                  </w:r>
                  <w:r>
                    <w:rPr>
                      <w:rFonts w:hint="eastAsia"/>
                      <w:kern w:val="0"/>
                      <w:szCs w:val="21"/>
                    </w:rPr>
                    <w:t>测点</w:t>
                  </w:r>
                  <w:r>
                    <w:rPr>
                      <w:kern w:val="0"/>
                      <w:szCs w:val="21"/>
                    </w:rPr>
                    <w:t>1#</w:t>
                  </w:r>
                </w:p>
              </w:tc>
              <w:tc>
                <w:tcPr>
                  <w:tcW w:w="714" w:type="pct"/>
                  <w:vAlign w:val="center"/>
                </w:tcPr>
                <w:p>
                  <w:pPr>
                    <w:widowControl/>
                    <w:jc w:val="center"/>
                    <w:rPr>
                      <w:kern w:val="0"/>
                      <w:szCs w:val="21"/>
                    </w:rPr>
                  </w:pPr>
                  <w:r>
                    <w:rPr>
                      <w:kern w:val="0"/>
                      <w:szCs w:val="21"/>
                    </w:rPr>
                    <w:t>38.3</w:t>
                  </w:r>
                </w:p>
              </w:tc>
              <w:tc>
                <w:tcPr>
                  <w:tcW w:w="673" w:type="pct"/>
                  <w:vAlign w:val="center"/>
                </w:tcPr>
                <w:p>
                  <w:pPr>
                    <w:widowControl/>
                    <w:jc w:val="center"/>
                    <w:rPr>
                      <w:kern w:val="0"/>
                      <w:szCs w:val="21"/>
                    </w:rPr>
                  </w:pPr>
                  <w:r>
                    <w:rPr>
                      <w:kern w:val="0"/>
                      <w:szCs w:val="21"/>
                    </w:rPr>
                    <w:t>36.9</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2</w:t>
                  </w:r>
                </w:p>
              </w:tc>
              <w:tc>
                <w:tcPr>
                  <w:tcW w:w="1812" w:type="pct"/>
                  <w:vAlign w:val="center"/>
                </w:tcPr>
                <w:p>
                  <w:pPr>
                    <w:widowControl/>
                    <w:jc w:val="center"/>
                    <w:rPr>
                      <w:kern w:val="0"/>
                      <w:szCs w:val="21"/>
                    </w:rPr>
                  </w:pPr>
                  <w:r>
                    <w:rPr>
                      <w:kern w:val="0"/>
                      <w:szCs w:val="21"/>
                    </w:rPr>
                    <w:t>线路背景值</w:t>
                  </w:r>
                  <w:r>
                    <w:rPr>
                      <w:rFonts w:hint="eastAsia"/>
                      <w:kern w:val="0"/>
                      <w:szCs w:val="21"/>
                    </w:rPr>
                    <w:t>测点</w:t>
                  </w:r>
                  <w:r>
                    <w:rPr>
                      <w:kern w:val="0"/>
                      <w:szCs w:val="21"/>
                    </w:rPr>
                    <w:t>2#</w:t>
                  </w:r>
                </w:p>
              </w:tc>
              <w:tc>
                <w:tcPr>
                  <w:tcW w:w="714" w:type="pct"/>
                  <w:vAlign w:val="center"/>
                </w:tcPr>
                <w:p>
                  <w:pPr>
                    <w:widowControl/>
                    <w:jc w:val="center"/>
                    <w:rPr>
                      <w:kern w:val="0"/>
                      <w:szCs w:val="21"/>
                    </w:rPr>
                  </w:pPr>
                  <w:r>
                    <w:rPr>
                      <w:kern w:val="0"/>
                      <w:szCs w:val="21"/>
                    </w:rPr>
                    <w:t>37.5</w:t>
                  </w:r>
                </w:p>
              </w:tc>
              <w:tc>
                <w:tcPr>
                  <w:tcW w:w="673" w:type="pct"/>
                  <w:vAlign w:val="center"/>
                </w:tcPr>
                <w:p>
                  <w:pPr>
                    <w:widowControl/>
                    <w:jc w:val="center"/>
                    <w:rPr>
                      <w:kern w:val="0"/>
                      <w:szCs w:val="21"/>
                    </w:rPr>
                  </w:pPr>
                  <w:r>
                    <w:rPr>
                      <w:kern w:val="0"/>
                      <w:szCs w:val="21"/>
                    </w:rPr>
                    <w:t>36.4</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3</w:t>
                  </w:r>
                </w:p>
              </w:tc>
              <w:tc>
                <w:tcPr>
                  <w:tcW w:w="1812" w:type="pct"/>
                  <w:vAlign w:val="center"/>
                </w:tcPr>
                <w:p>
                  <w:pPr>
                    <w:widowControl/>
                    <w:jc w:val="center"/>
                    <w:rPr>
                      <w:kern w:val="0"/>
                      <w:szCs w:val="21"/>
                    </w:rPr>
                  </w:pPr>
                  <w:r>
                    <w:rPr>
                      <w:kern w:val="0"/>
                      <w:szCs w:val="21"/>
                    </w:rPr>
                    <w:t>线路背景值</w:t>
                  </w:r>
                  <w:r>
                    <w:rPr>
                      <w:rFonts w:hint="eastAsia"/>
                      <w:kern w:val="0"/>
                      <w:szCs w:val="21"/>
                    </w:rPr>
                    <w:t>测点</w:t>
                  </w:r>
                  <w:r>
                    <w:rPr>
                      <w:kern w:val="0"/>
                      <w:szCs w:val="21"/>
                    </w:rPr>
                    <w:t>3#</w:t>
                  </w:r>
                </w:p>
              </w:tc>
              <w:tc>
                <w:tcPr>
                  <w:tcW w:w="714" w:type="pct"/>
                  <w:vAlign w:val="center"/>
                </w:tcPr>
                <w:p>
                  <w:pPr>
                    <w:widowControl/>
                    <w:jc w:val="center"/>
                    <w:rPr>
                      <w:kern w:val="0"/>
                      <w:szCs w:val="21"/>
                    </w:rPr>
                  </w:pPr>
                  <w:r>
                    <w:rPr>
                      <w:kern w:val="0"/>
                      <w:szCs w:val="21"/>
                    </w:rPr>
                    <w:t>37.6</w:t>
                  </w:r>
                </w:p>
              </w:tc>
              <w:tc>
                <w:tcPr>
                  <w:tcW w:w="673" w:type="pct"/>
                  <w:vAlign w:val="center"/>
                </w:tcPr>
                <w:p>
                  <w:pPr>
                    <w:widowControl/>
                    <w:jc w:val="center"/>
                    <w:rPr>
                      <w:kern w:val="0"/>
                      <w:szCs w:val="21"/>
                    </w:rPr>
                  </w:pPr>
                  <w:r>
                    <w:rPr>
                      <w:kern w:val="0"/>
                      <w:szCs w:val="21"/>
                    </w:rPr>
                    <w:t>36.2</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303" w:type="pct"/>
                  <w:vAlign w:val="center"/>
                </w:tcPr>
                <w:p>
                  <w:pPr>
                    <w:pStyle w:val="107"/>
                    <w:widowControl/>
                    <w:ind w:firstLine="0" w:firstLineChars="0"/>
                    <w:jc w:val="center"/>
                    <w:rPr>
                      <w:kern w:val="0"/>
                      <w:szCs w:val="21"/>
                    </w:rPr>
                  </w:pPr>
                  <w:r>
                    <w:rPr>
                      <w:rFonts w:hint="eastAsia"/>
                      <w:kern w:val="0"/>
                      <w:szCs w:val="21"/>
                    </w:rPr>
                    <w:t>4</w:t>
                  </w:r>
                </w:p>
              </w:tc>
              <w:tc>
                <w:tcPr>
                  <w:tcW w:w="1812" w:type="pct"/>
                  <w:vAlign w:val="center"/>
                </w:tcPr>
                <w:p>
                  <w:pPr>
                    <w:widowControl/>
                    <w:jc w:val="center"/>
                    <w:rPr>
                      <w:kern w:val="0"/>
                      <w:szCs w:val="21"/>
                    </w:rPr>
                  </w:pPr>
                  <w:r>
                    <w:rPr>
                      <w:kern w:val="0"/>
                      <w:szCs w:val="21"/>
                    </w:rPr>
                    <w:t>线路背景值</w:t>
                  </w:r>
                  <w:r>
                    <w:rPr>
                      <w:rFonts w:hint="eastAsia"/>
                      <w:kern w:val="0"/>
                      <w:szCs w:val="21"/>
                    </w:rPr>
                    <w:t>测点</w:t>
                  </w:r>
                  <w:r>
                    <w:rPr>
                      <w:kern w:val="0"/>
                      <w:szCs w:val="21"/>
                    </w:rPr>
                    <w:t>4#</w:t>
                  </w:r>
                </w:p>
              </w:tc>
              <w:tc>
                <w:tcPr>
                  <w:tcW w:w="714" w:type="pct"/>
                  <w:vAlign w:val="center"/>
                </w:tcPr>
                <w:p>
                  <w:pPr>
                    <w:widowControl/>
                    <w:jc w:val="center"/>
                    <w:rPr>
                      <w:kern w:val="0"/>
                      <w:szCs w:val="21"/>
                    </w:rPr>
                  </w:pPr>
                  <w:r>
                    <w:rPr>
                      <w:kern w:val="0"/>
                      <w:szCs w:val="21"/>
                    </w:rPr>
                    <w:t>38.4</w:t>
                  </w:r>
                </w:p>
              </w:tc>
              <w:tc>
                <w:tcPr>
                  <w:tcW w:w="673" w:type="pct"/>
                  <w:vAlign w:val="center"/>
                </w:tcPr>
                <w:p>
                  <w:pPr>
                    <w:widowControl/>
                    <w:jc w:val="center"/>
                    <w:rPr>
                      <w:kern w:val="0"/>
                      <w:szCs w:val="21"/>
                    </w:rPr>
                  </w:pPr>
                  <w:r>
                    <w:rPr>
                      <w:kern w:val="0"/>
                      <w:szCs w:val="21"/>
                    </w:rPr>
                    <w:t>36.6</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303" w:type="pct"/>
                  <w:vAlign w:val="center"/>
                </w:tcPr>
                <w:p>
                  <w:pPr>
                    <w:pStyle w:val="107"/>
                    <w:widowControl/>
                    <w:ind w:firstLine="0" w:firstLineChars="0"/>
                    <w:jc w:val="center"/>
                    <w:rPr>
                      <w:kern w:val="0"/>
                      <w:szCs w:val="21"/>
                    </w:rPr>
                  </w:pPr>
                  <w:r>
                    <w:rPr>
                      <w:rFonts w:hint="eastAsia"/>
                      <w:kern w:val="0"/>
                      <w:szCs w:val="21"/>
                    </w:rPr>
                    <w:t>5</w:t>
                  </w:r>
                </w:p>
              </w:tc>
              <w:tc>
                <w:tcPr>
                  <w:tcW w:w="1812" w:type="pct"/>
                  <w:vAlign w:val="center"/>
                </w:tcPr>
                <w:p>
                  <w:pPr>
                    <w:widowControl/>
                    <w:jc w:val="center"/>
                    <w:rPr>
                      <w:kern w:val="0"/>
                      <w:szCs w:val="21"/>
                    </w:rPr>
                  </w:pPr>
                  <w:r>
                    <w:rPr>
                      <w:kern w:val="0"/>
                      <w:szCs w:val="21"/>
                    </w:rPr>
                    <w:t>线路背景值</w:t>
                  </w:r>
                  <w:r>
                    <w:rPr>
                      <w:rFonts w:hint="eastAsia"/>
                      <w:kern w:val="0"/>
                      <w:szCs w:val="21"/>
                    </w:rPr>
                    <w:t>测点</w:t>
                  </w:r>
                  <w:r>
                    <w:rPr>
                      <w:kern w:val="0"/>
                      <w:szCs w:val="21"/>
                    </w:rPr>
                    <w:t>5#</w:t>
                  </w:r>
                </w:p>
              </w:tc>
              <w:tc>
                <w:tcPr>
                  <w:tcW w:w="714" w:type="pct"/>
                  <w:vAlign w:val="center"/>
                </w:tcPr>
                <w:p>
                  <w:pPr>
                    <w:widowControl/>
                    <w:jc w:val="center"/>
                    <w:rPr>
                      <w:kern w:val="0"/>
                      <w:szCs w:val="21"/>
                    </w:rPr>
                  </w:pPr>
                  <w:r>
                    <w:rPr>
                      <w:kern w:val="0"/>
                      <w:szCs w:val="21"/>
                    </w:rPr>
                    <w:t>37.9</w:t>
                  </w:r>
                </w:p>
              </w:tc>
              <w:tc>
                <w:tcPr>
                  <w:tcW w:w="673" w:type="pct"/>
                  <w:vAlign w:val="center"/>
                </w:tcPr>
                <w:p>
                  <w:pPr>
                    <w:widowControl/>
                    <w:jc w:val="center"/>
                    <w:rPr>
                      <w:kern w:val="0"/>
                      <w:szCs w:val="21"/>
                    </w:rPr>
                  </w:pPr>
                  <w:r>
                    <w:rPr>
                      <w:kern w:val="0"/>
                      <w:szCs w:val="21"/>
                    </w:rPr>
                    <w:t>36.5</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303" w:type="pct"/>
                  <w:vAlign w:val="center"/>
                </w:tcPr>
                <w:p>
                  <w:pPr>
                    <w:pStyle w:val="107"/>
                    <w:widowControl/>
                    <w:ind w:firstLine="0" w:firstLineChars="0"/>
                    <w:jc w:val="center"/>
                    <w:rPr>
                      <w:kern w:val="0"/>
                      <w:szCs w:val="21"/>
                    </w:rPr>
                  </w:pPr>
                  <w:r>
                    <w:rPr>
                      <w:rFonts w:hint="eastAsia"/>
                      <w:kern w:val="0"/>
                      <w:szCs w:val="21"/>
                    </w:rPr>
                    <w:t>6</w:t>
                  </w:r>
                </w:p>
              </w:tc>
              <w:tc>
                <w:tcPr>
                  <w:tcW w:w="1812" w:type="pct"/>
                  <w:vAlign w:val="center"/>
                </w:tcPr>
                <w:p>
                  <w:pPr>
                    <w:widowControl/>
                    <w:jc w:val="center"/>
                    <w:rPr>
                      <w:kern w:val="0"/>
                      <w:szCs w:val="21"/>
                    </w:rPr>
                  </w:pPr>
                  <w:r>
                    <w:rPr>
                      <w:kern w:val="0"/>
                      <w:szCs w:val="21"/>
                    </w:rPr>
                    <w:t>线路背景值</w:t>
                  </w:r>
                  <w:r>
                    <w:rPr>
                      <w:rFonts w:hint="eastAsia"/>
                      <w:kern w:val="0"/>
                      <w:szCs w:val="21"/>
                    </w:rPr>
                    <w:t>测点</w:t>
                  </w:r>
                  <w:r>
                    <w:rPr>
                      <w:kern w:val="0"/>
                      <w:szCs w:val="21"/>
                    </w:rPr>
                    <w:t>6#</w:t>
                  </w:r>
                </w:p>
              </w:tc>
              <w:tc>
                <w:tcPr>
                  <w:tcW w:w="714" w:type="pct"/>
                  <w:vAlign w:val="center"/>
                </w:tcPr>
                <w:p>
                  <w:pPr>
                    <w:widowControl/>
                    <w:jc w:val="center"/>
                    <w:rPr>
                      <w:kern w:val="0"/>
                      <w:szCs w:val="21"/>
                    </w:rPr>
                  </w:pPr>
                  <w:r>
                    <w:rPr>
                      <w:kern w:val="0"/>
                      <w:szCs w:val="21"/>
                    </w:rPr>
                    <w:t>37.0</w:t>
                  </w:r>
                </w:p>
              </w:tc>
              <w:tc>
                <w:tcPr>
                  <w:tcW w:w="673" w:type="pct"/>
                  <w:vAlign w:val="center"/>
                </w:tcPr>
                <w:p>
                  <w:pPr>
                    <w:widowControl/>
                    <w:jc w:val="center"/>
                    <w:rPr>
                      <w:kern w:val="0"/>
                      <w:szCs w:val="21"/>
                    </w:rPr>
                  </w:pPr>
                  <w:r>
                    <w:rPr>
                      <w:kern w:val="0"/>
                      <w:szCs w:val="21"/>
                    </w:rPr>
                    <w:t>36.1</w:t>
                  </w:r>
                </w:p>
              </w:tc>
              <w:tc>
                <w:tcPr>
                  <w:tcW w:w="698" w:type="pct"/>
                  <w:vAlign w:val="center"/>
                </w:tcPr>
                <w:p>
                  <w:pPr>
                    <w:widowControl/>
                    <w:jc w:val="center"/>
                    <w:rPr>
                      <w:kern w:val="0"/>
                      <w:szCs w:val="21"/>
                    </w:rPr>
                  </w:pPr>
                  <w:r>
                    <w:rPr>
                      <w:kern w:val="0"/>
                      <w:szCs w:val="21"/>
                    </w:rPr>
                    <w:t>37</w:t>
                  </w:r>
                </w:p>
              </w:tc>
              <w:tc>
                <w:tcPr>
                  <w:tcW w:w="798" w:type="pct"/>
                  <w:vAlign w:val="center"/>
                </w:tcPr>
                <w:p>
                  <w:pPr>
                    <w:widowControl/>
                    <w:jc w:val="center"/>
                    <w:rPr>
                      <w:kern w:val="0"/>
                      <w:szCs w:val="21"/>
                    </w:rPr>
                  </w:pPr>
                  <w:r>
                    <w:rPr>
                      <w:kern w:val="0"/>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303" w:type="pct"/>
                  <w:vAlign w:val="center"/>
                </w:tcPr>
                <w:p>
                  <w:pPr>
                    <w:pStyle w:val="107"/>
                    <w:widowControl/>
                    <w:ind w:firstLine="0" w:firstLineChars="0"/>
                    <w:jc w:val="center"/>
                    <w:rPr>
                      <w:kern w:val="0"/>
                      <w:szCs w:val="21"/>
                    </w:rPr>
                  </w:pPr>
                  <w:r>
                    <w:rPr>
                      <w:rFonts w:hint="eastAsia"/>
                      <w:kern w:val="0"/>
                      <w:szCs w:val="21"/>
                    </w:rPr>
                    <w:t>7</w:t>
                  </w:r>
                </w:p>
              </w:tc>
              <w:tc>
                <w:tcPr>
                  <w:tcW w:w="1812" w:type="pct"/>
                  <w:vAlign w:val="center"/>
                </w:tcPr>
                <w:p>
                  <w:pPr>
                    <w:widowControl/>
                    <w:jc w:val="center"/>
                    <w:rPr>
                      <w:kern w:val="0"/>
                      <w:szCs w:val="21"/>
                    </w:rPr>
                  </w:pPr>
                  <w:r>
                    <w:rPr>
                      <w:kern w:val="0"/>
                      <w:szCs w:val="21"/>
                    </w:rPr>
                    <w:t>线路背景值</w:t>
                  </w:r>
                  <w:r>
                    <w:rPr>
                      <w:rFonts w:hint="eastAsia"/>
                      <w:kern w:val="0"/>
                      <w:szCs w:val="21"/>
                    </w:rPr>
                    <w:t>测点</w:t>
                  </w:r>
                  <w:r>
                    <w:rPr>
                      <w:kern w:val="0"/>
                      <w:szCs w:val="21"/>
                    </w:rPr>
                    <w:t>7#</w:t>
                  </w:r>
                </w:p>
              </w:tc>
              <w:tc>
                <w:tcPr>
                  <w:tcW w:w="714" w:type="pct"/>
                  <w:vAlign w:val="center"/>
                </w:tcPr>
                <w:p>
                  <w:pPr>
                    <w:widowControl/>
                    <w:jc w:val="center"/>
                    <w:rPr>
                      <w:kern w:val="0"/>
                      <w:szCs w:val="21"/>
                    </w:rPr>
                  </w:pPr>
                  <w:r>
                    <w:rPr>
                      <w:kern w:val="0"/>
                      <w:szCs w:val="21"/>
                    </w:rPr>
                    <w:t>37.2</w:t>
                  </w:r>
                </w:p>
              </w:tc>
              <w:tc>
                <w:tcPr>
                  <w:tcW w:w="673" w:type="pct"/>
                  <w:vAlign w:val="center"/>
                </w:tcPr>
                <w:p>
                  <w:pPr>
                    <w:widowControl/>
                    <w:jc w:val="center"/>
                    <w:rPr>
                      <w:kern w:val="0"/>
                      <w:szCs w:val="21"/>
                    </w:rPr>
                  </w:pPr>
                  <w:r>
                    <w:rPr>
                      <w:kern w:val="0"/>
                      <w:szCs w:val="21"/>
                    </w:rPr>
                    <w:t>35.8</w:t>
                  </w:r>
                </w:p>
              </w:tc>
              <w:tc>
                <w:tcPr>
                  <w:tcW w:w="698" w:type="pct"/>
                  <w:vAlign w:val="center"/>
                </w:tcPr>
                <w:p>
                  <w:pPr>
                    <w:widowControl/>
                    <w:jc w:val="center"/>
                    <w:rPr>
                      <w:kern w:val="0"/>
                      <w:szCs w:val="21"/>
                    </w:rPr>
                  </w:pPr>
                  <w:r>
                    <w:rPr>
                      <w:kern w:val="0"/>
                      <w:szCs w:val="21"/>
                    </w:rPr>
                    <w:t>37</w:t>
                  </w:r>
                </w:p>
              </w:tc>
              <w:tc>
                <w:tcPr>
                  <w:tcW w:w="798" w:type="pct"/>
                  <w:vAlign w:val="center"/>
                </w:tcPr>
                <w:p>
                  <w:pPr>
                    <w:widowControl/>
                    <w:jc w:val="center"/>
                    <w:rPr>
                      <w:kern w:val="0"/>
                      <w:szCs w:val="21"/>
                    </w:rPr>
                  </w:pPr>
                  <w:r>
                    <w:rPr>
                      <w:kern w:val="0"/>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303" w:type="pct"/>
                  <w:vAlign w:val="center"/>
                </w:tcPr>
                <w:p>
                  <w:pPr>
                    <w:pStyle w:val="107"/>
                    <w:widowControl/>
                    <w:ind w:firstLine="0" w:firstLineChars="0"/>
                    <w:jc w:val="center"/>
                    <w:rPr>
                      <w:kern w:val="0"/>
                      <w:szCs w:val="21"/>
                    </w:rPr>
                  </w:pPr>
                  <w:r>
                    <w:rPr>
                      <w:rFonts w:hint="eastAsia"/>
                      <w:kern w:val="0"/>
                      <w:szCs w:val="21"/>
                    </w:rPr>
                    <w:t>8</w:t>
                  </w:r>
                </w:p>
              </w:tc>
              <w:tc>
                <w:tcPr>
                  <w:tcW w:w="1812" w:type="pct"/>
                  <w:vAlign w:val="center"/>
                </w:tcPr>
                <w:p>
                  <w:pPr>
                    <w:widowControl/>
                    <w:jc w:val="center"/>
                    <w:rPr>
                      <w:kern w:val="0"/>
                      <w:szCs w:val="21"/>
                    </w:rPr>
                  </w:pPr>
                  <w:r>
                    <w:rPr>
                      <w:kern w:val="0"/>
                      <w:szCs w:val="21"/>
                    </w:rPr>
                    <w:t>线路背景值</w:t>
                  </w:r>
                  <w:r>
                    <w:rPr>
                      <w:rFonts w:hint="eastAsia"/>
                      <w:kern w:val="0"/>
                      <w:szCs w:val="21"/>
                    </w:rPr>
                    <w:t>测点</w:t>
                  </w:r>
                  <w:r>
                    <w:rPr>
                      <w:kern w:val="0"/>
                      <w:szCs w:val="21"/>
                    </w:rPr>
                    <w:t>8#</w:t>
                  </w:r>
                </w:p>
              </w:tc>
              <w:tc>
                <w:tcPr>
                  <w:tcW w:w="714" w:type="pct"/>
                  <w:vAlign w:val="center"/>
                </w:tcPr>
                <w:p>
                  <w:pPr>
                    <w:widowControl/>
                    <w:jc w:val="center"/>
                    <w:rPr>
                      <w:kern w:val="0"/>
                      <w:szCs w:val="21"/>
                    </w:rPr>
                  </w:pPr>
                  <w:r>
                    <w:rPr>
                      <w:kern w:val="0"/>
                      <w:szCs w:val="21"/>
                    </w:rPr>
                    <w:t>38.0</w:t>
                  </w:r>
                </w:p>
              </w:tc>
              <w:tc>
                <w:tcPr>
                  <w:tcW w:w="673" w:type="pct"/>
                  <w:vAlign w:val="center"/>
                </w:tcPr>
                <w:p>
                  <w:pPr>
                    <w:widowControl/>
                    <w:jc w:val="center"/>
                    <w:rPr>
                      <w:kern w:val="0"/>
                      <w:szCs w:val="21"/>
                    </w:rPr>
                  </w:pPr>
                  <w:r>
                    <w:rPr>
                      <w:kern w:val="0"/>
                      <w:szCs w:val="21"/>
                    </w:rPr>
                    <w:t>36.6</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6"/>
                  <w:vAlign w:val="center"/>
                </w:tcPr>
                <w:p>
                  <w:pPr>
                    <w:widowControl/>
                    <w:rPr>
                      <w:szCs w:val="21"/>
                      <w:highlight w:val="yellow"/>
                    </w:rPr>
                  </w:pPr>
                  <w:r>
                    <w:rPr>
                      <w:b/>
                      <w:kern w:val="0"/>
                      <w:szCs w:val="21"/>
                    </w:rPr>
                    <w:t>三</w:t>
                  </w:r>
                  <w:r>
                    <w:rPr>
                      <w:rFonts w:hint="eastAsia"/>
                      <w:b/>
                      <w:kern w:val="0"/>
                      <w:szCs w:val="21"/>
                    </w:rPr>
                    <w:t>、</w:t>
                  </w:r>
                  <w:r>
                    <w:rPr>
                      <w:b/>
                      <w:kern w:val="0"/>
                      <w:szCs w:val="21"/>
                    </w:rPr>
                    <w:t>吐鲁番电厂</w:t>
                  </w:r>
                  <w:r>
                    <w:rPr>
                      <w:rFonts w:hint="eastAsia"/>
                      <w:b/>
                      <w:kern w:val="0"/>
                      <w:szCs w:val="21"/>
                    </w:rPr>
                    <w:t>-</w:t>
                  </w:r>
                  <w:r>
                    <w:rPr>
                      <w:b/>
                      <w:kern w:val="0"/>
                      <w:szCs w:val="21"/>
                    </w:rPr>
                    <w:t>阿拉沟变Ⅰ、Ⅱ回改接入托克逊变220千伏线路工程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1</w:t>
                  </w:r>
                </w:p>
              </w:tc>
              <w:tc>
                <w:tcPr>
                  <w:tcW w:w="1812" w:type="pct"/>
                  <w:vAlign w:val="center"/>
                </w:tcPr>
                <w:p>
                  <w:pPr>
                    <w:widowControl/>
                    <w:jc w:val="center"/>
                    <w:rPr>
                      <w:kern w:val="0"/>
                      <w:szCs w:val="21"/>
                    </w:rPr>
                  </w:pPr>
                  <w:r>
                    <w:rPr>
                      <w:kern w:val="0"/>
                      <w:szCs w:val="21"/>
                    </w:rPr>
                    <w:t>新疆维吾尔自治区吐鲁番市托克逊县郭勒布依乡河东村六组阿</w:t>
                  </w:r>
                  <w:r>
                    <w:rPr>
                      <w:rFonts w:hint="eastAsia"/>
                      <w:kern w:val="0"/>
                      <w:szCs w:val="21"/>
                    </w:rPr>
                    <w:t>某</w:t>
                  </w:r>
                  <w:r>
                    <w:rPr>
                      <w:kern w:val="0"/>
                      <w:szCs w:val="21"/>
                    </w:rPr>
                    <w:t>肯宅北侧</w:t>
                  </w:r>
                </w:p>
              </w:tc>
              <w:tc>
                <w:tcPr>
                  <w:tcW w:w="714" w:type="pct"/>
                  <w:vAlign w:val="center"/>
                </w:tcPr>
                <w:p>
                  <w:pPr>
                    <w:widowControl/>
                    <w:jc w:val="center"/>
                    <w:rPr>
                      <w:kern w:val="0"/>
                      <w:szCs w:val="21"/>
                    </w:rPr>
                  </w:pPr>
                  <w:r>
                    <w:rPr>
                      <w:kern w:val="0"/>
                      <w:szCs w:val="21"/>
                    </w:rPr>
                    <w:t>37.4</w:t>
                  </w:r>
                </w:p>
              </w:tc>
              <w:tc>
                <w:tcPr>
                  <w:tcW w:w="673" w:type="pct"/>
                  <w:vAlign w:val="center"/>
                </w:tcPr>
                <w:p>
                  <w:pPr>
                    <w:widowControl/>
                    <w:jc w:val="center"/>
                    <w:rPr>
                      <w:kern w:val="0"/>
                      <w:szCs w:val="21"/>
                    </w:rPr>
                  </w:pPr>
                  <w:r>
                    <w:rPr>
                      <w:kern w:val="0"/>
                      <w:szCs w:val="21"/>
                    </w:rPr>
                    <w:t>36.2</w:t>
                  </w:r>
                </w:p>
              </w:tc>
              <w:tc>
                <w:tcPr>
                  <w:tcW w:w="698" w:type="pct"/>
                  <w:vAlign w:val="center"/>
                </w:tcPr>
                <w:p>
                  <w:pPr>
                    <w:widowControl/>
                    <w:jc w:val="center"/>
                    <w:rPr>
                      <w:kern w:val="0"/>
                      <w:szCs w:val="21"/>
                    </w:rPr>
                  </w:pPr>
                  <w:r>
                    <w:rPr>
                      <w:kern w:val="0"/>
                      <w:szCs w:val="21"/>
                    </w:rPr>
                    <w:t>37</w:t>
                  </w:r>
                </w:p>
              </w:tc>
              <w:tc>
                <w:tcPr>
                  <w:tcW w:w="798" w:type="pct"/>
                  <w:vAlign w:val="center"/>
                </w:tcPr>
                <w:p>
                  <w:pPr>
                    <w:widowControl/>
                    <w:jc w:val="center"/>
                    <w:rPr>
                      <w:kern w:val="0"/>
                      <w:szCs w:val="21"/>
                    </w:rPr>
                  </w:pPr>
                  <w:r>
                    <w:rPr>
                      <w:kern w:val="0"/>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2</w:t>
                  </w:r>
                </w:p>
              </w:tc>
              <w:tc>
                <w:tcPr>
                  <w:tcW w:w="1812" w:type="pct"/>
                  <w:vAlign w:val="center"/>
                </w:tcPr>
                <w:p>
                  <w:pPr>
                    <w:widowControl/>
                    <w:jc w:val="center"/>
                    <w:rPr>
                      <w:kern w:val="0"/>
                      <w:szCs w:val="21"/>
                    </w:rPr>
                  </w:pPr>
                  <w:r>
                    <w:rPr>
                      <w:kern w:val="0"/>
                      <w:szCs w:val="21"/>
                    </w:rPr>
                    <w:t>新疆维吾尔自治区吐鲁番市托克逊县郭勒布依乡巴格万村二组238户北侧</w:t>
                  </w:r>
                </w:p>
              </w:tc>
              <w:tc>
                <w:tcPr>
                  <w:tcW w:w="714" w:type="pct"/>
                  <w:vAlign w:val="center"/>
                </w:tcPr>
                <w:p>
                  <w:pPr>
                    <w:widowControl/>
                    <w:jc w:val="center"/>
                    <w:rPr>
                      <w:kern w:val="0"/>
                      <w:szCs w:val="21"/>
                    </w:rPr>
                  </w:pPr>
                  <w:r>
                    <w:rPr>
                      <w:kern w:val="0"/>
                      <w:szCs w:val="21"/>
                    </w:rPr>
                    <w:t>38.2</w:t>
                  </w:r>
                </w:p>
              </w:tc>
              <w:tc>
                <w:tcPr>
                  <w:tcW w:w="673" w:type="pct"/>
                  <w:vAlign w:val="center"/>
                </w:tcPr>
                <w:p>
                  <w:pPr>
                    <w:widowControl/>
                    <w:jc w:val="center"/>
                    <w:rPr>
                      <w:kern w:val="0"/>
                      <w:szCs w:val="21"/>
                    </w:rPr>
                  </w:pPr>
                  <w:r>
                    <w:rPr>
                      <w:kern w:val="0"/>
                      <w:szCs w:val="21"/>
                    </w:rPr>
                    <w:t>36.6</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3</w:t>
                  </w:r>
                </w:p>
              </w:tc>
              <w:tc>
                <w:tcPr>
                  <w:tcW w:w="1812" w:type="pct"/>
                  <w:vAlign w:val="center"/>
                </w:tcPr>
                <w:p>
                  <w:pPr>
                    <w:widowControl/>
                    <w:jc w:val="center"/>
                    <w:rPr>
                      <w:kern w:val="0"/>
                      <w:szCs w:val="21"/>
                    </w:rPr>
                  </w:pPr>
                  <w:r>
                    <w:rPr>
                      <w:kern w:val="0"/>
                      <w:szCs w:val="21"/>
                    </w:rPr>
                    <w:t>新疆维吾尔自治区吐鲁番市托克逊县夏镇闲置厂房西侧</w:t>
                  </w:r>
                </w:p>
              </w:tc>
              <w:tc>
                <w:tcPr>
                  <w:tcW w:w="714" w:type="pct"/>
                  <w:vAlign w:val="center"/>
                </w:tcPr>
                <w:p>
                  <w:pPr>
                    <w:widowControl/>
                    <w:jc w:val="center"/>
                    <w:rPr>
                      <w:kern w:val="0"/>
                      <w:szCs w:val="21"/>
                    </w:rPr>
                  </w:pPr>
                  <w:r>
                    <w:rPr>
                      <w:kern w:val="0"/>
                      <w:szCs w:val="21"/>
                    </w:rPr>
                    <w:t>37.6</w:t>
                  </w:r>
                </w:p>
              </w:tc>
              <w:tc>
                <w:tcPr>
                  <w:tcW w:w="673" w:type="pct"/>
                  <w:vAlign w:val="center"/>
                </w:tcPr>
                <w:p>
                  <w:pPr>
                    <w:widowControl/>
                    <w:jc w:val="center"/>
                    <w:rPr>
                      <w:kern w:val="0"/>
                      <w:szCs w:val="21"/>
                    </w:rPr>
                  </w:pPr>
                  <w:r>
                    <w:rPr>
                      <w:kern w:val="0"/>
                      <w:szCs w:val="21"/>
                    </w:rPr>
                    <w:t>36.7</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4</w:t>
                  </w:r>
                </w:p>
              </w:tc>
              <w:tc>
                <w:tcPr>
                  <w:tcW w:w="1812" w:type="pct"/>
                  <w:vAlign w:val="center"/>
                </w:tcPr>
                <w:p>
                  <w:pPr>
                    <w:widowControl/>
                    <w:jc w:val="center"/>
                    <w:rPr>
                      <w:kern w:val="0"/>
                      <w:szCs w:val="21"/>
                    </w:rPr>
                  </w:pPr>
                  <w:r>
                    <w:rPr>
                      <w:kern w:val="0"/>
                      <w:szCs w:val="21"/>
                    </w:rPr>
                    <w:t>新疆维吾尔自治区吐鲁番市托克逊县夏镇海柱资源有限公司宿舍南侧</w:t>
                  </w:r>
                </w:p>
              </w:tc>
              <w:tc>
                <w:tcPr>
                  <w:tcW w:w="714" w:type="pct"/>
                  <w:vAlign w:val="center"/>
                </w:tcPr>
                <w:p>
                  <w:pPr>
                    <w:widowControl/>
                    <w:jc w:val="center"/>
                    <w:rPr>
                      <w:kern w:val="0"/>
                      <w:szCs w:val="21"/>
                    </w:rPr>
                  </w:pPr>
                  <w:r>
                    <w:rPr>
                      <w:kern w:val="0"/>
                      <w:szCs w:val="21"/>
                    </w:rPr>
                    <w:t>37.8</w:t>
                  </w:r>
                </w:p>
              </w:tc>
              <w:tc>
                <w:tcPr>
                  <w:tcW w:w="673" w:type="pct"/>
                  <w:vAlign w:val="center"/>
                </w:tcPr>
                <w:p>
                  <w:pPr>
                    <w:widowControl/>
                    <w:jc w:val="center"/>
                    <w:rPr>
                      <w:kern w:val="0"/>
                      <w:szCs w:val="21"/>
                    </w:rPr>
                  </w:pPr>
                  <w:r>
                    <w:rPr>
                      <w:kern w:val="0"/>
                      <w:szCs w:val="21"/>
                    </w:rPr>
                    <w:t>36.5</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3" w:type="pct"/>
                  <w:vAlign w:val="center"/>
                </w:tcPr>
                <w:p>
                  <w:pPr>
                    <w:pStyle w:val="107"/>
                    <w:widowControl/>
                    <w:ind w:firstLine="0" w:firstLineChars="0"/>
                    <w:jc w:val="center"/>
                    <w:rPr>
                      <w:kern w:val="0"/>
                      <w:szCs w:val="21"/>
                    </w:rPr>
                  </w:pPr>
                  <w:r>
                    <w:rPr>
                      <w:rFonts w:hint="eastAsia"/>
                      <w:kern w:val="0"/>
                      <w:szCs w:val="21"/>
                    </w:rPr>
                    <w:t>5</w:t>
                  </w:r>
                </w:p>
              </w:tc>
              <w:tc>
                <w:tcPr>
                  <w:tcW w:w="1812" w:type="pct"/>
                  <w:vAlign w:val="center"/>
                </w:tcPr>
                <w:p>
                  <w:pPr>
                    <w:widowControl/>
                    <w:jc w:val="center"/>
                    <w:rPr>
                      <w:kern w:val="0"/>
                      <w:szCs w:val="21"/>
                    </w:rPr>
                  </w:pPr>
                  <w:r>
                    <w:rPr>
                      <w:kern w:val="0"/>
                      <w:szCs w:val="21"/>
                    </w:rPr>
                    <w:t>新疆维吾尔自治区吐鲁番市托克逊县夏镇恒氿庄园生活区东侧</w:t>
                  </w:r>
                </w:p>
              </w:tc>
              <w:tc>
                <w:tcPr>
                  <w:tcW w:w="714" w:type="pct"/>
                  <w:vAlign w:val="center"/>
                </w:tcPr>
                <w:p>
                  <w:pPr>
                    <w:widowControl/>
                    <w:jc w:val="center"/>
                    <w:rPr>
                      <w:kern w:val="0"/>
                      <w:szCs w:val="21"/>
                    </w:rPr>
                  </w:pPr>
                  <w:r>
                    <w:rPr>
                      <w:kern w:val="0"/>
                      <w:szCs w:val="21"/>
                    </w:rPr>
                    <w:t>37.3</w:t>
                  </w:r>
                </w:p>
              </w:tc>
              <w:tc>
                <w:tcPr>
                  <w:tcW w:w="673" w:type="pct"/>
                  <w:vAlign w:val="center"/>
                </w:tcPr>
                <w:p>
                  <w:pPr>
                    <w:widowControl/>
                    <w:jc w:val="center"/>
                    <w:rPr>
                      <w:kern w:val="0"/>
                      <w:szCs w:val="21"/>
                    </w:rPr>
                  </w:pPr>
                  <w:r>
                    <w:rPr>
                      <w:kern w:val="0"/>
                      <w:szCs w:val="21"/>
                    </w:rPr>
                    <w:t>36.3</w:t>
                  </w:r>
                </w:p>
              </w:tc>
              <w:tc>
                <w:tcPr>
                  <w:tcW w:w="698" w:type="pct"/>
                  <w:vAlign w:val="center"/>
                </w:tcPr>
                <w:p>
                  <w:pPr>
                    <w:widowControl/>
                    <w:jc w:val="center"/>
                    <w:rPr>
                      <w:kern w:val="0"/>
                      <w:szCs w:val="21"/>
                    </w:rPr>
                  </w:pPr>
                  <w:r>
                    <w:rPr>
                      <w:kern w:val="0"/>
                      <w:szCs w:val="21"/>
                    </w:rPr>
                    <w:t>37</w:t>
                  </w:r>
                </w:p>
              </w:tc>
              <w:tc>
                <w:tcPr>
                  <w:tcW w:w="798" w:type="pct"/>
                  <w:vAlign w:val="center"/>
                </w:tcPr>
                <w:p>
                  <w:pPr>
                    <w:widowControl/>
                    <w:jc w:val="center"/>
                    <w:rPr>
                      <w:kern w:val="0"/>
                      <w:szCs w:val="21"/>
                    </w:rPr>
                  </w:pPr>
                  <w:r>
                    <w:rPr>
                      <w:kern w:val="0"/>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303" w:type="pct"/>
                  <w:vAlign w:val="center"/>
                </w:tcPr>
                <w:p>
                  <w:pPr>
                    <w:pStyle w:val="107"/>
                    <w:widowControl/>
                    <w:ind w:firstLine="0" w:firstLineChars="0"/>
                    <w:jc w:val="center"/>
                    <w:rPr>
                      <w:kern w:val="0"/>
                      <w:szCs w:val="21"/>
                    </w:rPr>
                  </w:pPr>
                  <w:r>
                    <w:rPr>
                      <w:rFonts w:hint="eastAsia"/>
                      <w:kern w:val="0"/>
                      <w:szCs w:val="21"/>
                    </w:rPr>
                    <w:t>6</w:t>
                  </w:r>
                </w:p>
              </w:tc>
              <w:tc>
                <w:tcPr>
                  <w:tcW w:w="1812" w:type="pct"/>
                  <w:vAlign w:val="center"/>
                </w:tcPr>
                <w:p>
                  <w:pPr>
                    <w:widowControl/>
                    <w:jc w:val="center"/>
                    <w:rPr>
                      <w:kern w:val="0"/>
                      <w:szCs w:val="21"/>
                    </w:rPr>
                  </w:pPr>
                  <w:r>
                    <w:rPr>
                      <w:kern w:val="0"/>
                      <w:szCs w:val="21"/>
                    </w:rPr>
                    <w:t>线路背景值</w:t>
                  </w:r>
                  <w:r>
                    <w:rPr>
                      <w:rFonts w:hint="eastAsia"/>
                      <w:kern w:val="0"/>
                      <w:szCs w:val="21"/>
                    </w:rPr>
                    <w:t>测点</w:t>
                  </w:r>
                  <w:r>
                    <w:rPr>
                      <w:kern w:val="0"/>
                      <w:szCs w:val="21"/>
                    </w:rPr>
                    <w:t>1#</w:t>
                  </w:r>
                </w:p>
              </w:tc>
              <w:tc>
                <w:tcPr>
                  <w:tcW w:w="714" w:type="pct"/>
                  <w:vAlign w:val="center"/>
                </w:tcPr>
                <w:p>
                  <w:pPr>
                    <w:widowControl/>
                    <w:jc w:val="center"/>
                    <w:rPr>
                      <w:kern w:val="0"/>
                      <w:szCs w:val="21"/>
                    </w:rPr>
                  </w:pPr>
                  <w:r>
                    <w:rPr>
                      <w:kern w:val="0"/>
                      <w:szCs w:val="21"/>
                    </w:rPr>
                    <w:t>37.6</w:t>
                  </w:r>
                </w:p>
              </w:tc>
              <w:tc>
                <w:tcPr>
                  <w:tcW w:w="673" w:type="pct"/>
                  <w:vAlign w:val="center"/>
                </w:tcPr>
                <w:p>
                  <w:pPr>
                    <w:widowControl/>
                    <w:jc w:val="center"/>
                    <w:rPr>
                      <w:kern w:val="0"/>
                      <w:szCs w:val="21"/>
                    </w:rPr>
                  </w:pPr>
                  <w:r>
                    <w:rPr>
                      <w:kern w:val="0"/>
                      <w:szCs w:val="21"/>
                    </w:rPr>
                    <w:t>36.5</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303" w:type="pct"/>
                  <w:vAlign w:val="center"/>
                </w:tcPr>
                <w:p>
                  <w:pPr>
                    <w:pStyle w:val="107"/>
                    <w:widowControl/>
                    <w:ind w:firstLine="0" w:firstLineChars="0"/>
                    <w:jc w:val="center"/>
                    <w:rPr>
                      <w:kern w:val="0"/>
                      <w:szCs w:val="21"/>
                    </w:rPr>
                  </w:pPr>
                  <w:r>
                    <w:rPr>
                      <w:rFonts w:hint="eastAsia"/>
                      <w:kern w:val="0"/>
                      <w:szCs w:val="21"/>
                    </w:rPr>
                    <w:t>7</w:t>
                  </w:r>
                </w:p>
              </w:tc>
              <w:tc>
                <w:tcPr>
                  <w:tcW w:w="1812" w:type="pct"/>
                  <w:vAlign w:val="center"/>
                </w:tcPr>
                <w:p>
                  <w:pPr>
                    <w:widowControl/>
                    <w:jc w:val="center"/>
                    <w:rPr>
                      <w:kern w:val="0"/>
                      <w:szCs w:val="21"/>
                    </w:rPr>
                  </w:pPr>
                  <w:r>
                    <w:rPr>
                      <w:kern w:val="0"/>
                      <w:szCs w:val="21"/>
                    </w:rPr>
                    <w:t>线路背景值</w:t>
                  </w:r>
                  <w:r>
                    <w:rPr>
                      <w:rFonts w:hint="eastAsia"/>
                      <w:kern w:val="0"/>
                      <w:szCs w:val="21"/>
                    </w:rPr>
                    <w:t>测点</w:t>
                  </w:r>
                  <w:r>
                    <w:rPr>
                      <w:kern w:val="0"/>
                      <w:szCs w:val="21"/>
                    </w:rPr>
                    <w:t>2#</w:t>
                  </w:r>
                </w:p>
              </w:tc>
              <w:tc>
                <w:tcPr>
                  <w:tcW w:w="714" w:type="pct"/>
                  <w:vAlign w:val="center"/>
                </w:tcPr>
                <w:p>
                  <w:pPr>
                    <w:widowControl/>
                    <w:jc w:val="center"/>
                    <w:rPr>
                      <w:kern w:val="0"/>
                      <w:szCs w:val="21"/>
                    </w:rPr>
                  </w:pPr>
                  <w:r>
                    <w:rPr>
                      <w:kern w:val="0"/>
                      <w:szCs w:val="21"/>
                    </w:rPr>
                    <w:t>37.9</w:t>
                  </w:r>
                </w:p>
              </w:tc>
              <w:tc>
                <w:tcPr>
                  <w:tcW w:w="673" w:type="pct"/>
                  <w:vAlign w:val="center"/>
                </w:tcPr>
                <w:p>
                  <w:pPr>
                    <w:widowControl/>
                    <w:jc w:val="center"/>
                    <w:rPr>
                      <w:kern w:val="0"/>
                      <w:szCs w:val="21"/>
                    </w:rPr>
                  </w:pPr>
                  <w:r>
                    <w:rPr>
                      <w:kern w:val="0"/>
                      <w:szCs w:val="21"/>
                    </w:rPr>
                    <w:t>36.4</w:t>
                  </w:r>
                </w:p>
              </w:tc>
              <w:tc>
                <w:tcPr>
                  <w:tcW w:w="698" w:type="pct"/>
                  <w:vAlign w:val="center"/>
                </w:tcPr>
                <w:p>
                  <w:pPr>
                    <w:widowControl/>
                    <w:jc w:val="center"/>
                    <w:rPr>
                      <w:kern w:val="0"/>
                      <w:szCs w:val="21"/>
                    </w:rPr>
                  </w:pPr>
                  <w:r>
                    <w:rPr>
                      <w:kern w:val="0"/>
                      <w:szCs w:val="21"/>
                    </w:rPr>
                    <w:t>38</w:t>
                  </w:r>
                </w:p>
              </w:tc>
              <w:tc>
                <w:tcPr>
                  <w:tcW w:w="798" w:type="pct"/>
                  <w:vAlign w:val="center"/>
                </w:tcPr>
                <w:p>
                  <w:pPr>
                    <w:widowControl/>
                    <w:jc w:val="center"/>
                    <w:rPr>
                      <w:kern w:val="0"/>
                      <w:szCs w:val="21"/>
                    </w:rPr>
                  </w:pPr>
                  <w:r>
                    <w:rPr>
                      <w:kern w:val="0"/>
                      <w:szCs w:val="21"/>
                    </w:rPr>
                    <w:t>36</w:t>
                  </w:r>
                </w:p>
              </w:tc>
            </w:tr>
          </w:tbl>
          <w:p>
            <w:pPr>
              <w:pStyle w:val="5"/>
              <w:spacing w:before="120" w:beforeLines="50"/>
              <w:rPr>
                <w:color w:val="000000"/>
                <w:szCs w:val="24"/>
              </w:rPr>
            </w:pPr>
            <w:r>
              <w:rPr>
                <w:rFonts w:hint="eastAsia"/>
                <w:color w:val="000000"/>
                <w:szCs w:val="24"/>
              </w:rPr>
              <w:t>（2）监测结果分析</w:t>
            </w:r>
          </w:p>
          <w:p>
            <w:pPr>
              <w:pStyle w:val="5"/>
              <w:rPr>
                <w:color w:val="000000"/>
                <w:szCs w:val="24"/>
              </w:rPr>
            </w:pPr>
            <w:r>
              <w:rPr>
                <w:rFonts w:hint="eastAsia"/>
                <w:color w:val="000000"/>
                <w:szCs w:val="24"/>
              </w:rPr>
              <w:t>1）伊拉湖220千伏变电站新建工程</w:t>
            </w:r>
          </w:p>
          <w:p>
            <w:pPr>
              <w:pStyle w:val="5"/>
              <w:wordWrap w:val="0"/>
              <w:rPr>
                <w:color w:val="000000"/>
                <w:szCs w:val="24"/>
              </w:rPr>
            </w:pPr>
            <w:r>
              <w:rPr>
                <w:rFonts w:hint="eastAsia"/>
                <w:color w:val="000000"/>
                <w:szCs w:val="24"/>
              </w:rPr>
              <w:t>拟建伊拉湖220千伏变电站站址及四侧的昼间噪声监测值范围为40dB</w:t>
            </w:r>
            <w:r>
              <w:rPr>
                <w:color w:val="000000"/>
                <w:szCs w:val="24"/>
              </w:rPr>
              <w:t>(A)</w:t>
            </w:r>
            <w:r>
              <w:rPr>
                <w:rFonts w:hint="eastAsia"/>
                <w:color w:val="000000"/>
                <w:szCs w:val="24"/>
              </w:rPr>
              <w:t>，夜间噪声监测值范围为38dB</w:t>
            </w:r>
            <w:r>
              <w:rPr>
                <w:color w:val="000000"/>
                <w:szCs w:val="24"/>
              </w:rPr>
              <w:t>(A)</w:t>
            </w:r>
            <w:r>
              <w:rPr>
                <w:rFonts w:hint="eastAsia"/>
                <w:color w:val="000000"/>
                <w:szCs w:val="24"/>
              </w:rPr>
              <w:t>，满足</w:t>
            </w:r>
            <w:r>
              <w:rPr>
                <w:color w:val="000000"/>
                <w:szCs w:val="24"/>
              </w:rPr>
              <w:t>《声环境质量标准》（GB3096-2008）2类标准</w:t>
            </w:r>
            <w:r>
              <w:rPr>
                <w:rFonts w:hint="eastAsia"/>
                <w:color w:val="000000"/>
                <w:szCs w:val="24"/>
              </w:rPr>
              <w:t>限值要求</w:t>
            </w:r>
            <w:r>
              <w:rPr>
                <w:color w:val="000000"/>
                <w:szCs w:val="24"/>
              </w:rPr>
              <w:t>。</w:t>
            </w:r>
          </w:p>
          <w:p>
            <w:pPr>
              <w:pStyle w:val="5"/>
              <w:rPr>
                <w:color w:val="000000"/>
                <w:szCs w:val="24"/>
              </w:rPr>
            </w:pPr>
            <w:r>
              <w:rPr>
                <w:rFonts w:hint="eastAsia"/>
                <w:color w:val="000000"/>
                <w:szCs w:val="24"/>
              </w:rPr>
              <w:t>2）吐鲁番电厂-阿拉沟变Ⅰ、Ⅱ回π入伊拉湖变220千伏线路工程</w:t>
            </w:r>
          </w:p>
          <w:p>
            <w:pPr>
              <w:pStyle w:val="5"/>
              <w:wordWrap w:val="0"/>
              <w:rPr>
                <w:color w:val="000000"/>
                <w:szCs w:val="24"/>
              </w:rPr>
            </w:pPr>
            <w:r>
              <w:rPr>
                <w:rFonts w:hint="eastAsia"/>
                <w:color w:val="000000"/>
                <w:szCs w:val="24"/>
              </w:rPr>
              <w:t>输电线路线下现状点的昼间噪声监测值为37</w:t>
            </w:r>
            <w:r>
              <w:rPr>
                <w:color w:val="000000"/>
                <w:szCs w:val="24"/>
              </w:rPr>
              <w:t>dB(A)</w:t>
            </w:r>
            <w:r>
              <w:rPr>
                <w:rFonts w:hint="eastAsia"/>
                <w:color w:val="000000"/>
                <w:szCs w:val="24"/>
              </w:rPr>
              <w:t>~38</w:t>
            </w:r>
            <w:r>
              <w:rPr>
                <w:color w:val="000000"/>
                <w:szCs w:val="24"/>
              </w:rPr>
              <w:t>dB(A)</w:t>
            </w:r>
            <w:r>
              <w:rPr>
                <w:rFonts w:hint="eastAsia"/>
                <w:color w:val="000000"/>
                <w:szCs w:val="24"/>
              </w:rPr>
              <w:t>，夜间噪声监测值为36</w:t>
            </w:r>
            <w:r>
              <w:rPr>
                <w:color w:val="000000"/>
                <w:szCs w:val="24"/>
              </w:rPr>
              <w:t>dB(A)</w:t>
            </w:r>
            <w:r>
              <w:rPr>
                <w:rFonts w:hint="eastAsia"/>
                <w:color w:val="000000"/>
                <w:szCs w:val="24"/>
              </w:rPr>
              <w:t>~37</w:t>
            </w:r>
            <w:r>
              <w:rPr>
                <w:color w:val="000000"/>
                <w:szCs w:val="24"/>
              </w:rPr>
              <w:t>dB(A)</w:t>
            </w:r>
            <w:r>
              <w:rPr>
                <w:rFonts w:hint="eastAsia"/>
                <w:color w:val="000000"/>
                <w:szCs w:val="24"/>
              </w:rPr>
              <w:t>，</w:t>
            </w:r>
            <w:r>
              <w:rPr>
                <w:color w:val="000000"/>
                <w:szCs w:val="24"/>
              </w:rPr>
              <w:t>满足《声环境质量标准》（GB3096-2008）</w:t>
            </w:r>
            <w:r>
              <w:rPr>
                <w:rFonts w:hint="eastAsia"/>
                <w:color w:val="000000"/>
                <w:szCs w:val="24"/>
              </w:rPr>
              <w:t>2</w:t>
            </w:r>
            <w:r>
              <w:rPr>
                <w:color w:val="000000"/>
                <w:szCs w:val="24"/>
              </w:rPr>
              <w:t>类标准</w:t>
            </w:r>
            <w:r>
              <w:rPr>
                <w:rFonts w:hint="eastAsia"/>
                <w:color w:val="000000"/>
                <w:szCs w:val="24"/>
              </w:rPr>
              <w:t>限值要求</w:t>
            </w:r>
            <w:r>
              <w:rPr>
                <w:color w:val="000000"/>
                <w:szCs w:val="24"/>
              </w:rPr>
              <w:t>。</w:t>
            </w:r>
            <w:r>
              <w:rPr>
                <w:rFonts w:hint="eastAsia"/>
                <w:color w:val="000000"/>
                <w:szCs w:val="24"/>
              </w:rPr>
              <w:t>声环境评价范围内无声环境保护目标。</w:t>
            </w:r>
          </w:p>
          <w:p>
            <w:pPr>
              <w:pStyle w:val="5"/>
              <w:wordWrap w:val="0"/>
              <w:rPr>
                <w:color w:val="000000"/>
                <w:szCs w:val="24"/>
              </w:rPr>
            </w:pPr>
            <w:r>
              <w:rPr>
                <w:rFonts w:hint="eastAsia"/>
                <w:color w:val="000000"/>
                <w:szCs w:val="24"/>
              </w:rPr>
              <w:t>3）吐鲁番电厂-阿拉沟变Ⅰ、Ⅱ回改接入托克逊变220千伏线路工程</w:t>
            </w:r>
          </w:p>
          <w:p>
            <w:pPr>
              <w:pStyle w:val="5"/>
              <w:wordWrap w:val="0"/>
              <w:rPr>
                <w:color w:val="000000"/>
                <w:szCs w:val="24"/>
              </w:rPr>
            </w:pPr>
            <w:r>
              <w:rPr>
                <w:rFonts w:hint="eastAsia"/>
                <w:color w:val="000000"/>
                <w:szCs w:val="24"/>
              </w:rPr>
              <w:t>输电线路线下现状点的昼间噪声监测值为38</w:t>
            </w:r>
            <w:r>
              <w:rPr>
                <w:color w:val="000000"/>
                <w:szCs w:val="24"/>
              </w:rPr>
              <w:t>dB(A)</w:t>
            </w:r>
            <w:r>
              <w:rPr>
                <w:rFonts w:hint="eastAsia"/>
                <w:color w:val="000000"/>
                <w:szCs w:val="24"/>
              </w:rPr>
              <w:t>，夜间噪声监测值为36</w:t>
            </w:r>
            <w:r>
              <w:rPr>
                <w:color w:val="000000"/>
                <w:szCs w:val="24"/>
              </w:rPr>
              <w:t>dB(A)</w:t>
            </w:r>
            <w:r>
              <w:rPr>
                <w:rFonts w:hint="eastAsia"/>
                <w:color w:val="000000"/>
                <w:szCs w:val="24"/>
              </w:rPr>
              <w:t>；</w:t>
            </w:r>
            <w:r>
              <w:rPr>
                <w:color w:val="000000"/>
                <w:szCs w:val="24"/>
              </w:rPr>
              <w:t>输电线路沿线声环境</w:t>
            </w:r>
            <w:r>
              <w:rPr>
                <w:rFonts w:hint="eastAsia"/>
                <w:color w:val="000000"/>
                <w:szCs w:val="24"/>
              </w:rPr>
              <w:t>保护</w:t>
            </w:r>
            <w:r>
              <w:rPr>
                <w:color w:val="000000"/>
                <w:szCs w:val="24"/>
              </w:rPr>
              <w:t>目标</w:t>
            </w:r>
            <w:r>
              <w:rPr>
                <w:rFonts w:hint="eastAsia"/>
                <w:color w:val="000000"/>
                <w:szCs w:val="24"/>
              </w:rPr>
              <w:t>处的</w:t>
            </w:r>
            <w:r>
              <w:rPr>
                <w:color w:val="000000"/>
                <w:szCs w:val="24"/>
              </w:rPr>
              <w:t>昼间噪声监测值</w:t>
            </w:r>
            <w:r>
              <w:rPr>
                <w:rFonts w:hint="eastAsia"/>
                <w:color w:val="000000"/>
                <w:szCs w:val="24"/>
              </w:rPr>
              <w:t>范围</w:t>
            </w:r>
            <w:r>
              <w:rPr>
                <w:color w:val="000000"/>
                <w:szCs w:val="24"/>
              </w:rPr>
              <w:t>为</w:t>
            </w:r>
            <w:r>
              <w:rPr>
                <w:rFonts w:hint="eastAsia"/>
                <w:color w:val="000000"/>
                <w:szCs w:val="24"/>
              </w:rPr>
              <w:t>37</w:t>
            </w:r>
            <w:r>
              <w:rPr>
                <w:color w:val="000000"/>
                <w:szCs w:val="24"/>
              </w:rPr>
              <w:t>dB(A)</w:t>
            </w:r>
            <w:r>
              <w:rPr>
                <w:rFonts w:hint="eastAsia"/>
                <w:color w:val="000000"/>
                <w:szCs w:val="24"/>
              </w:rPr>
              <w:t>~38</w:t>
            </w:r>
            <w:r>
              <w:rPr>
                <w:color w:val="000000"/>
                <w:szCs w:val="24"/>
              </w:rPr>
              <w:t>dB(A)，夜间噪声监测值</w:t>
            </w:r>
            <w:r>
              <w:rPr>
                <w:rFonts w:hint="eastAsia"/>
                <w:color w:val="000000"/>
                <w:szCs w:val="24"/>
              </w:rPr>
              <w:t>范围</w:t>
            </w:r>
            <w:r>
              <w:rPr>
                <w:color w:val="000000"/>
                <w:szCs w:val="24"/>
              </w:rPr>
              <w:t>为</w:t>
            </w:r>
            <w:r>
              <w:rPr>
                <w:rFonts w:hint="eastAsia"/>
                <w:color w:val="000000"/>
                <w:szCs w:val="24"/>
              </w:rPr>
              <w:t>36</w:t>
            </w:r>
            <w:r>
              <w:rPr>
                <w:color w:val="000000"/>
                <w:szCs w:val="24"/>
              </w:rPr>
              <w:t>dB(A)</w:t>
            </w:r>
            <w:r>
              <w:rPr>
                <w:rFonts w:hint="eastAsia"/>
                <w:color w:val="000000"/>
                <w:szCs w:val="24"/>
              </w:rPr>
              <w:t>~37</w:t>
            </w:r>
            <w:r>
              <w:rPr>
                <w:color w:val="000000"/>
                <w:szCs w:val="24"/>
              </w:rPr>
              <w:t>dB(A)</w:t>
            </w:r>
            <w:r>
              <w:rPr>
                <w:rFonts w:hint="eastAsia"/>
                <w:color w:val="000000"/>
                <w:szCs w:val="24"/>
              </w:rPr>
              <w:t>，</w:t>
            </w:r>
            <w:r>
              <w:rPr>
                <w:color w:val="000000"/>
                <w:szCs w:val="24"/>
              </w:rPr>
              <w:t>满足《声环境质量标准》（GB3096-2008）</w:t>
            </w:r>
            <w:r>
              <w:rPr>
                <w:rFonts w:hint="eastAsia"/>
                <w:color w:val="000000"/>
                <w:szCs w:val="24"/>
              </w:rPr>
              <w:t>2</w:t>
            </w:r>
            <w:r>
              <w:rPr>
                <w:color w:val="000000"/>
                <w:szCs w:val="24"/>
              </w:rPr>
              <w:t>类标准</w:t>
            </w:r>
            <w:r>
              <w:rPr>
                <w:rFonts w:hint="eastAsia"/>
                <w:color w:val="000000"/>
                <w:szCs w:val="24"/>
              </w:rPr>
              <w:t>限值要求</w:t>
            </w:r>
            <w:r>
              <w:rPr>
                <w:color w:val="000000"/>
                <w:szCs w:val="24"/>
              </w:rPr>
              <w:t>。</w:t>
            </w:r>
          </w:p>
          <w:p>
            <w:pPr>
              <w:pStyle w:val="2"/>
              <w:numPr>
                <w:ilvl w:val="0"/>
                <w:numId w:val="8"/>
              </w:numPr>
              <w:spacing w:before="0" w:after="0" w:line="360" w:lineRule="auto"/>
              <w:rPr>
                <w:rFonts w:eastAsia="宋体"/>
                <w:sz w:val="24"/>
                <w:szCs w:val="24"/>
              </w:rPr>
            </w:pPr>
            <w:bookmarkStart w:id="527" w:name="_Toc31495"/>
            <w:r>
              <w:rPr>
                <w:rFonts w:hint="eastAsia" w:eastAsia="宋体"/>
                <w:sz w:val="24"/>
                <w:szCs w:val="24"/>
              </w:rPr>
              <w:t>电磁</w:t>
            </w:r>
            <w:r>
              <w:rPr>
                <w:rFonts w:eastAsia="宋体"/>
                <w:sz w:val="24"/>
                <w:szCs w:val="24"/>
              </w:rPr>
              <w:t>环境质量现状</w:t>
            </w:r>
            <w:bookmarkEnd w:id="527"/>
          </w:p>
          <w:p>
            <w:pPr>
              <w:pStyle w:val="5"/>
              <w:rPr>
                <w:szCs w:val="24"/>
              </w:rPr>
            </w:pPr>
            <w:r>
              <w:rPr>
                <w:color w:val="000000"/>
                <w:szCs w:val="24"/>
              </w:rPr>
              <w:t>根据电磁环境影响专题评价，本工程区域电磁环境质量现状如下：</w:t>
            </w:r>
          </w:p>
          <w:p>
            <w:pPr>
              <w:pStyle w:val="5"/>
              <w:rPr>
                <w:szCs w:val="24"/>
              </w:rPr>
            </w:pPr>
            <w:r>
              <w:rPr>
                <w:rFonts w:hint="eastAsia"/>
                <w:color w:val="000000"/>
                <w:szCs w:val="24"/>
              </w:rPr>
              <w:t>（1）伊拉湖220千伏变电站新建工程</w:t>
            </w:r>
          </w:p>
          <w:p>
            <w:pPr>
              <w:spacing w:line="360" w:lineRule="auto"/>
              <w:ind w:firstLine="480" w:firstLineChars="200"/>
              <w:rPr>
                <w:color w:val="000000" w:themeColor="text1"/>
                <w:sz w:val="24"/>
                <w14:textFill>
                  <w14:solidFill>
                    <w14:schemeClr w14:val="tx1"/>
                  </w14:solidFill>
                </w14:textFill>
              </w:rPr>
            </w:pPr>
            <w:r>
              <w:rPr>
                <w:rFonts w:hint="eastAsia"/>
                <w:sz w:val="24"/>
                <w:szCs w:val="32"/>
              </w:rPr>
              <w:t>拟建伊拉湖220千伏变电站站址中心及站址四周工频电场强度监测值范围为0.07</w:t>
            </w:r>
            <w:r>
              <w:rPr>
                <w:color w:val="000000" w:themeColor="text1"/>
                <w:sz w:val="24"/>
                <w14:textFill>
                  <w14:solidFill>
                    <w14:schemeClr w14:val="tx1"/>
                  </w14:solidFill>
                </w14:textFill>
              </w:rPr>
              <w:t>V/m</w:t>
            </w:r>
            <w:r>
              <w:rPr>
                <w:rFonts w:hint="eastAsia"/>
                <w:sz w:val="24"/>
              </w:rPr>
              <w:t>~0.16</w:t>
            </w:r>
            <w:r>
              <w:rPr>
                <w:color w:val="000000" w:themeColor="text1"/>
                <w:sz w:val="24"/>
                <w14:textFill>
                  <w14:solidFill>
                    <w14:schemeClr w14:val="tx1"/>
                  </w14:solidFill>
                </w14:textFill>
              </w:rPr>
              <w:t>V/m</w:t>
            </w:r>
            <w:r>
              <w:rPr>
                <w:rFonts w:hint="eastAsia"/>
                <w:sz w:val="24"/>
                <w:szCs w:val="32"/>
              </w:rPr>
              <w:t>，工频磁感应强度监测值为0.014</w:t>
            </w:r>
            <w:r>
              <w:rPr>
                <w:color w:val="000000" w:themeColor="text1"/>
                <w14:textFill>
                  <w14:solidFill>
                    <w14:schemeClr w14:val="tx1"/>
                  </w14:solidFill>
                </w14:textFill>
              </w:rPr>
              <w:t>μT</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工频电场强度、工频磁感应强度分别满足《电磁环境控制限值》（GB8702-2014）中4000V/m、100μT的限值要求。</w:t>
            </w:r>
          </w:p>
          <w:p>
            <w:pPr>
              <w:pStyle w:val="5"/>
              <w:rPr>
                <w:szCs w:val="24"/>
              </w:rPr>
            </w:pPr>
            <w:r>
              <w:rPr>
                <w:rFonts w:hint="eastAsia"/>
                <w:color w:val="000000"/>
                <w:szCs w:val="24"/>
              </w:rPr>
              <w:t>（2）吐鲁番电厂-阿拉沟变Ⅰ、Ⅱ回π入伊拉湖变220千伏线路工程</w:t>
            </w:r>
          </w:p>
          <w:p>
            <w:pPr>
              <w:wordWrap w:val="0"/>
              <w:spacing w:line="360" w:lineRule="auto"/>
              <w:ind w:firstLine="480" w:firstLineChars="200"/>
              <w:rPr>
                <w:sz w:val="24"/>
                <w:szCs w:val="32"/>
              </w:rPr>
            </w:pPr>
            <w:r>
              <w:rPr>
                <w:rFonts w:hint="eastAsia"/>
                <w:sz w:val="24"/>
                <w:szCs w:val="32"/>
              </w:rPr>
              <w:t>拟建输电线路沿线</w:t>
            </w:r>
            <w:r>
              <w:rPr>
                <w:rFonts w:hint="eastAsia"/>
                <w:color w:val="000000" w:themeColor="text1"/>
                <w:sz w:val="24"/>
                <w14:textFill>
                  <w14:solidFill>
                    <w14:schemeClr w14:val="tx1"/>
                  </w14:solidFill>
                </w14:textFill>
              </w:rPr>
              <w:t>电磁环境现状监测点的</w:t>
            </w:r>
            <w:r>
              <w:rPr>
                <w:color w:val="000000" w:themeColor="text1"/>
                <w:sz w:val="24"/>
                <w14:textFill>
                  <w14:solidFill>
                    <w14:schemeClr w14:val="tx1"/>
                  </w14:solidFill>
                </w14:textFill>
              </w:rPr>
              <w:t>电场强度监测值范围为</w:t>
            </w:r>
            <w:r>
              <w:rPr>
                <w:rFonts w:hint="eastAsia"/>
                <w:sz w:val="24"/>
                <w:szCs w:val="32"/>
              </w:rPr>
              <w:t>0.13</w:t>
            </w:r>
            <w:r>
              <w:rPr>
                <w:color w:val="000000" w:themeColor="text1"/>
                <w:sz w:val="24"/>
                <w14:textFill>
                  <w14:solidFill>
                    <w14:schemeClr w14:val="tx1"/>
                  </w14:solidFill>
                </w14:textFill>
              </w:rPr>
              <w:t>V/m</w:t>
            </w:r>
            <w:r>
              <w:rPr>
                <w:rFonts w:hint="eastAsia"/>
                <w:sz w:val="24"/>
              </w:rPr>
              <w:t>~2.48</w:t>
            </w:r>
            <w:r>
              <w:rPr>
                <w:color w:val="000000" w:themeColor="text1"/>
                <w:sz w:val="24"/>
                <w14:textFill>
                  <w14:solidFill>
                    <w14:schemeClr w14:val="tx1"/>
                  </w14:solidFill>
                </w14:textFill>
              </w:rPr>
              <w:t>V/m，</w:t>
            </w:r>
            <w:r>
              <w:rPr>
                <w:rFonts w:hint="eastAsia"/>
                <w:sz w:val="24"/>
                <w:szCs w:val="32"/>
              </w:rPr>
              <w:t>工频磁感应强度监测值为0.014</w:t>
            </w:r>
            <w:r>
              <w:rPr>
                <w:color w:val="000000" w:themeColor="text1"/>
                <w14:textFill>
                  <w14:solidFill>
                    <w14:schemeClr w14:val="tx1"/>
                  </w14:solidFill>
                </w14:textFill>
              </w:rPr>
              <w:t>μT</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电缆背景值监测点处工频电场强度监测值为0.21V/m、工频磁场强度监测值为0.014μT</w:t>
            </w:r>
            <w:r>
              <w:rPr>
                <w:color w:val="000000" w:themeColor="text1"/>
                <w:sz w:val="24"/>
                <w14:textFill>
                  <w14:solidFill>
                    <w14:schemeClr w14:val="tx1"/>
                  </w14:solidFill>
                </w14:textFill>
              </w:rPr>
              <w:t>电场强度、磁感应强度均分别满足《电磁环境控制限值》（GB8702-2014）中的</w:t>
            </w:r>
            <w:r>
              <w:rPr>
                <w:rFonts w:hint="eastAsia"/>
                <w:color w:val="000000" w:themeColor="text1"/>
                <w:sz w:val="24"/>
                <w14:textFill>
                  <w14:solidFill>
                    <w14:schemeClr w14:val="tx1"/>
                  </w14:solidFill>
                </w14:textFill>
              </w:rPr>
              <w:t>4000</w:t>
            </w:r>
            <w:r>
              <w:rPr>
                <w:color w:val="000000" w:themeColor="text1"/>
                <w:sz w:val="24"/>
                <w14:textFill>
                  <w14:solidFill>
                    <w14:schemeClr w14:val="tx1"/>
                  </w14:solidFill>
                </w14:textFill>
              </w:rPr>
              <w:t>V/m、100μT的控制限值</w:t>
            </w:r>
            <w:r>
              <w:rPr>
                <w:rFonts w:hint="eastAsia"/>
                <w:color w:val="000000" w:themeColor="text1"/>
                <w:sz w:val="24"/>
                <w14:textFill>
                  <w14:solidFill>
                    <w14:schemeClr w14:val="tx1"/>
                  </w14:solidFill>
                </w14:textFill>
              </w:rPr>
              <w:t>要求</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电磁环境评价范围内无电磁环境敏感目标。</w:t>
            </w:r>
          </w:p>
          <w:p>
            <w:pPr>
              <w:pStyle w:val="5"/>
              <w:rPr>
                <w:szCs w:val="24"/>
              </w:rPr>
            </w:pPr>
            <w:r>
              <w:rPr>
                <w:rFonts w:hint="eastAsia"/>
                <w:color w:val="000000"/>
                <w:szCs w:val="24"/>
              </w:rPr>
              <w:t>（3）吐鲁番电厂-阿拉沟变Ⅰ、Ⅱ回改接入托克逊变220千伏线路工程</w:t>
            </w:r>
          </w:p>
          <w:p>
            <w:pPr>
              <w:spacing w:line="360" w:lineRule="auto"/>
              <w:ind w:firstLine="480" w:firstLineChars="200"/>
            </w:pPr>
            <w:r>
              <w:rPr>
                <w:rFonts w:hint="eastAsia"/>
                <w:sz w:val="24"/>
                <w:szCs w:val="32"/>
              </w:rPr>
              <w:t>本工程拟建线路沿线电磁环境敏感目标处的工频电场强度监测值为0.07V/m~12.49V/m、工频磁感应强度监测值为0.021</w:t>
            </w:r>
            <w:r>
              <w:rPr>
                <w:color w:val="000000" w:themeColor="text1"/>
                <w:sz w:val="24"/>
                <w14:textFill>
                  <w14:solidFill>
                    <w14:schemeClr w14:val="tx1"/>
                  </w14:solidFill>
                </w14:textFill>
              </w:rPr>
              <w:t>μT</w:t>
            </w:r>
            <w:r>
              <w:rPr>
                <w:rFonts w:hint="eastAsia"/>
                <w:color w:val="000000" w:themeColor="text1"/>
                <w:sz w:val="24"/>
                <w14:textFill>
                  <w14:solidFill>
                    <w14:schemeClr w14:val="tx1"/>
                  </w14:solidFill>
                </w14:textFill>
              </w:rPr>
              <w:t>~</w:t>
            </w:r>
            <w:r>
              <w:rPr>
                <w:rFonts w:hint="eastAsia"/>
                <w:sz w:val="24"/>
                <w:szCs w:val="32"/>
              </w:rPr>
              <w:t>0.068</w:t>
            </w:r>
            <w:r>
              <w:rPr>
                <w:color w:val="000000" w:themeColor="text1"/>
                <w:sz w:val="24"/>
                <w14:textFill>
                  <w14:solidFill>
                    <w14:schemeClr w14:val="tx1"/>
                  </w14:solidFill>
                </w14:textFill>
              </w:rPr>
              <w:t>μT</w:t>
            </w:r>
            <w:r>
              <w:rPr>
                <w:rFonts w:hint="eastAsia"/>
                <w:sz w:val="24"/>
                <w:szCs w:val="32"/>
              </w:rPr>
              <w:t>，工频电场强度、磁感应强度均分别满足4000V/m、100</w:t>
            </w:r>
            <w:r>
              <w:rPr>
                <w:color w:val="000000" w:themeColor="text1"/>
                <w:sz w:val="24"/>
                <w14:textFill>
                  <w14:solidFill>
                    <w14:schemeClr w14:val="tx1"/>
                  </w14:solidFill>
                </w14:textFill>
              </w:rPr>
              <w:t>μT</w:t>
            </w:r>
            <w:r>
              <w:rPr>
                <w:rFonts w:hint="eastAsia"/>
                <w:sz w:val="24"/>
                <w:szCs w:val="32"/>
              </w:rPr>
              <w:t>的限值要求。拟建线路</w:t>
            </w:r>
            <w:r>
              <w:rPr>
                <w:rFonts w:hint="eastAsia"/>
                <w:color w:val="000000" w:themeColor="text1"/>
                <w:sz w:val="24"/>
                <w14:textFill>
                  <w14:solidFill>
                    <w14:schemeClr w14:val="tx1"/>
                  </w14:solidFill>
                </w14:textFill>
              </w:rPr>
              <w:t>电磁环境现状监测点的</w:t>
            </w:r>
            <w:r>
              <w:rPr>
                <w:color w:val="000000" w:themeColor="text1"/>
                <w:sz w:val="24"/>
                <w14:textFill>
                  <w14:solidFill>
                    <w14:schemeClr w14:val="tx1"/>
                  </w14:solidFill>
                </w14:textFill>
              </w:rPr>
              <w:t>电场强度监测范围值为</w:t>
            </w:r>
            <w:r>
              <w:rPr>
                <w:rFonts w:hint="eastAsia"/>
                <w:color w:val="000000" w:themeColor="text1"/>
                <w:sz w:val="24"/>
                <w14:textFill>
                  <w14:solidFill>
                    <w14:schemeClr w14:val="tx1"/>
                  </w14:solidFill>
                </w14:textFill>
              </w:rPr>
              <w:t>17.35</w:t>
            </w:r>
            <w:r>
              <w:rPr>
                <w:color w:val="000000" w:themeColor="text1"/>
                <w:sz w:val="24"/>
                <w14:textFill>
                  <w14:solidFill>
                    <w14:schemeClr w14:val="tx1"/>
                  </w14:solidFill>
                </w14:textFill>
              </w:rPr>
              <w:t>V/m</w:t>
            </w:r>
            <w:r>
              <w:rPr>
                <w:rFonts w:hint="eastAsia"/>
                <w:color w:val="000000" w:themeColor="text1"/>
                <w:sz w:val="24"/>
                <w14:textFill>
                  <w14:solidFill>
                    <w14:schemeClr w14:val="tx1"/>
                  </w14:solidFill>
                </w14:textFill>
              </w:rPr>
              <w:t>~960.60</w:t>
            </w:r>
            <w:r>
              <w:rPr>
                <w:color w:val="000000" w:themeColor="text1"/>
                <w:sz w:val="24"/>
                <w14:textFill>
                  <w14:solidFill>
                    <w14:schemeClr w14:val="tx1"/>
                  </w14:solidFill>
                </w14:textFill>
              </w:rPr>
              <w:t>V/m，</w:t>
            </w:r>
            <w:r>
              <w:rPr>
                <w:rFonts w:hint="eastAsia"/>
                <w:color w:val="000000" w:themeColor="text1"/>
                <w:sz w:val="24"/>
                <w14:textFill>
                  <w14:solidFill>
                    <w14:schemeClr w14:val="tx1"/>
                  </w14:solidFill>
                </w14:textFill>
              </w:rPr>
              <w:t>工频</w:t>
            </w:r>
            <w:r>
              <w:rPr>
                <w:color w:val="000000" w:themeColor="text1"/>
                <w:sz w:val="24"/>
                <w14:textFill>
                  <w14:solidFill>
                    <w14:schemeClr w14:val="tx1"/>
                  </w14:solidFill>
                </w14:textFill>
              </w:rPr>
              <w:t>磁感应强度监测值范围为</w:t>
            </w:r>
            <w:r>
              <w:rPr>
                <w:rFonts w:hint="eastAsia"/>
                <w:color w:val="000000" w:themeColor="text1"/>
                <w:sz w:val="24"/>
                <w14:textFill>
                  <w14:solidFill>
                    <w14:schemeClr w14:val="tx1"/>
                  </w14:solidFill>
                </w14:textFill>
              </w:rPr>
              <w:t>0.032</w:t>
            </w:r>
            <w:r>
              <w:rPr>
                <w:color w:val="000000" w:themeColor="text1"/>
                <w:sz w:val="24"/>
                <w14:textFill>
                  <w14:solidFill>
                    <w14:schemeClr w14:val="tx1"/>
                  </w14:solidFill>
                </w14:textFill>
              </w:rPr>
              <w:t>µT</w:t>
            </w:r>
            <w:r>
              <w:rPr>
                <w:rFonts w:hint="eastAsia"/>
                <w:color w:val="000000" w:themeColor="text1"/>
                <w:sz w:val="24"/>
                <w14:textFill>
                  <w14:solidFill>
                    <w14:schemeClr w14:val="tx1"/>
                  </w14:solidFill>
                </w14:textFill>
              </w:rPr>
              <w:t>~0.999</w:t>
            </w:r>
            <w:r>
              <w:rPr>
                <w:color w:val="000000" w:themeColor="text1"/>
                <w:sz w:val="24"/>
                <w14:textFill>
                  <w14:solidFill>
                    <w14:schemeClr w14:val="tx1"/>
                  </w14:solidFill>
                </w14:textFill>
              </w:rPr>
              <w:t>µT，电场强度、磁感应强度均分别满足《电磁环境控制限值》（GB8702-2014）中的</w:t>
            </w:r>
            <w:r>
              <w:rPr>
                <w:rFonts w:hint="eastAsia"/>
                <w:color w:val="000000" w:themeColor="text1"/>
                <w:sz w:val="24"/>
                <w14:textFill>
                  <w14:solidFill>
                    <w14:schemeClr w14:val="tx1"/>
                  </w14:solidFill>
                </w14:textFill>
              </w:rPr>
              <w:t>4000</w:t>
            </w:r>
            <w:r>
              <w:rPr>
                <w:color w:val="000000" w:themeColor="text1"/>
                <w:sz w:val="24"/>
                <w14:textFill>
                  <w14:solidFill>
                    <w14:schemeClr w14:val="tx1"/>
                  </w14:solidFill>
                </w14:textFill>
              </w:rPr>
              <w:t>V/m、100μT的控制限值</w:t>
            </w:r>
            <w:r>
              <w:rPr>
                <w:rFonts w:hint="eastAsia"/>
                <w:color w:val="000000" w:themeColor="text1"/>
                <w:sz w:val="24"/>
                <w14:textFill>
                  <w14:solidFill>
                    <w14:schemeClr w14:val="tx1"/>
                  </w14:solidFill>
                </w14:textFill>
              </w:rPr>
              <w:t>要求</w:t>
            </w:r>
            <w:r>
              <w:rPr>
                <w:color w:val="000000" w:themeColor="text1"/>
                <w:sz w:val="24"/>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89" w:hRule="atLeast"/>
          <w:jc w:val="center"/>
        </w:trPr>
        <w:tc>
          <w:tcPr>
            <w:tcW w:w="457" w:type="dxa"/>
            <w:vAlign w:val="center"/>
          </w:tcPr>
          <w:p>
            <w:pPr>
              <w:adjustRightInd w:val="0"/>
              <w:snapToGrid w:val="0"/>
              <w:jc w:val="center"/>
              <w:rPr>
                <w:b/>
                <w:color w:val="000000"/>
                <w:kern w:val="0"/>
                <w:sz w:val="24"/>
              </w:rPr>
            </w:pPr>
            <w:r>
              <w:rPr>
                <w:b/>
                <w:color w:val="000000"/>
                <w:kern w:val="0"/>
                <w:sz w:val="24"/>
              </w:rPr>
              <w:t>与项目有关的原有环境污染和生态破坏问题</w:t>
            </w:r>
          </w:p>
        </w:tc>
        <w:tc>
          <w:tcPr>
            <w:tcW w:w="8452" w:type="dxa"/>
            <w:vAlign w:val="center"/>
          </w:tcPr>
          <w:p>
            <w:pPr>
              <w:pStyle w:val="5"/>
              <w:ind w:firstLine="0" w:firstLineChars="0"/>
              <w:jc w:val="center"/>
              <w:rPr>
                <w:snapToGrid w:val="0"/>
              </w:rPr>
            </w:pPr>
            <w:r>
              <w:rPr>
                <w:rFonts w:hint="eastAsia"/>
                <w:snapToGrid w:val="0"/>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457" w:type="dxa"/>
            <w:vAlign w:val="center"/>
          </w:tcPr>
          <w:p>
            <w:pPr>
              <w:adjustRightInd w:val="0"/>
              <w:snapToGrid w:val="0"/>
              <w:jc w:val="center"/>
              <w:rPr>
                <w:b/>
                <w:color w:val="000000"/>
                <w:kern w:val="0"/>
                <w:sz w:val="24"/>
              </w:rPr>
            </w:pPr>
            <w:r>
              <w:rPr>
                <w:rFonts w:hint="eastAsia"/>
                <w:b/>
                <w:color w:val="000000"/>
                <w:kern w:val="0"/>
                <w:sz w:val="24"/>
              </w:rPr>
              <w:t>生态环境保护目标</w:t>
            </w:r>
          </w:p>
        </w:tc>
        <w:tc>
          <w:tcPr>
            <w:tcW w:w="8452" w:type="dxa"/>
            <w:vAlign w:val="center"/>
          </w:tcPr>
          <w:p>
            <w:pPr>
              <w:pStyle w:val="5"/>
              <w:rPr>
                <w:color w:val="000000"/>
                <w:kern w:val="44"/>
                <w:szCs w:val="24"/>
              </w:rPr>
            </w:pPr>
            <w:r>
              <w:rPr>
                <w:rFonts w:hint="eastAsia"/>
                <w:color w:val="000000"/>
                <w:kern w:val="44"/>
                <w:szCs w:val="24"/>
              </w:rPr>
              <w:t>根据现场踏勘、资料收集和调研工作，本工程不涉及《建设项目环境影响评价分类管理名录（2021年版）》第（一）类中的饮用水水源保护区，不涉及国家公园、自然保护区、风景名胜区、世界文化和自然遗产地、海洋特别保护区等环境敏感区。</w:t>
            </w:r>
          </w:p>
          <w:p>
            <w:pPr>
              <w:pStyle w:val="5"/>
              <w:ind w:firstLine="0" w:firstLineChars="0"/>
              <w:rPr>
                <w:b/>
                <w:bCs/>
                <w:color w:val="000000"/>
                <w:kern w:val="44"/>
                <w:szCs w:val="24"/>
              </w:rPr>
            </w:pPr>
            <w:r>
              <w:rPr>
                <w:rFonts w:hint="eastAsia"/>
                <w:b/>
                <w:bCs/>
                <w:color w:val="000000"/>
                <w:kern w:val="44"/>
                <w:szCs w:val="24"/>
              </w:rPr>
              <w:t>1生态环境敏感区</w:t>
            </w:r>
          </w:p>
          <w:p>
            <w:pPr>
              <w:pStyle w:val="5"/>
              <w:rPr>
                <w:rFonts w:ascii="宋体" w:hAnsi="宋体" w:cs="宋体"/>
              </w:rPr>
            </w:pPr>
            <w:r>
              <w:rPr>
                <w:rFonts w:hint="eastAsia" w:cs="宋体"/>
              </w:rPr>
              <w:t>本工程不涉及《环境影响评价技术导则 生态影响》（HJ19-2022）中规定的依据法律法规、政策等规范性文件划定或确认的国家公园、自然保护区、自然公园等自然保护地、世界自然遗产、生态保护红线等区域以及重要生境；不涉及重要物种的天然集中分布区、栖息地，重要水生生物的产卵场、索饵场、越冬场和洄游通道迁徙鸟类的重要繁殖地、停歇地、越冬地以及野生动物迁徙通道等生态敏感区。</w:t>
            </w:r>
          </w:p>
          <w:p>
            <w:pPr>
              <w:pStyle w:val="5"/>
              <w:ind w:firstLine="0" w:firstLineChars="0"/>
              <w:rPr>
                <w:b/>
                <w:bCs/>
                <w:color w:val="000000"/>
                <w:kern w:val="44"/>
                <w:szCs w:val="24"/>
              </w:rPr>
            </w:pPr>
            <w:r>
              <w:rPr>
                <w:rFonts w:hint="eastAsia"/>
                <w:b/>
                <w:bCs/>
                <w:color w:val="000000"/>
                <w:kern w:val="44"/>
                <w:szCs w:val="24"/>
              </w:rPr>
              <w:t>2水环境保护目标</w:t>
            </w:r>
          </w:p>
          <w:p>
            <w:pPr>
              <w:pStyle w:val="5"/>
              <w:ind w:firstLineChars="0"/>
              <w:rPr>
                <w:color w:val="000000"/>
                <w:kern w:val="44"/>
                <w:szCs w:val="24"/>
              </w:rPr>
            </w:pPr>
            <w:r>
              <w:rPr>
                <w:rFonts w:hint="eastAsia"/>
                <w:color w:val="000000"/>
                <w:kern w:val="44"/>
                <w:szCs w:val="24"/>
              </w:rPr>
              <w:t>本工程不涉及《环境影响评价技术导则 地表水环境》（HJ2.3-2018）中水环境保护目标，即不涉及饮用水水源保护区、饮用水取水口，涉水的自然保护区、风景名胜区，重要湿地、重点保护与珍稀水生生物的栖息地、重要水生生物的自然产卵场及索饵场、越冬场和洄游通道，天然渔场等渔业水体，以及水产种质资源保护区等。</w:t>
            </w:r>
          </w:p>
          <w:p>
            <w:pPr>
              <w:pStyle w:val="5"/>
              <w:ind w:firstLine="0" w:firstLineChars="0"/>
              <w:rPr>
                <w:b/>
                <w:bCs/>
                <w:color w:val="000000"/>
                <w:kern w:val="44"/>
                <w:szCs w:val="24"/>
              </w:rPr>
            </w:pPr>
            <w:r>
              <w:rPr>
                <w:rFonts w:hint="eastAsia"/>
                <w:b/>
                <w:bCs/>
                <w:color w:val="000000"/>
                <w:kern w:val="44"/>
                <w:szCs w:val="24"/>
              </w:rPr>
              <w:t>3电磁环境、声环境保护目标</w:t>
            </w:r>
          </w:p>
          <w:p>
            <w:pPr>
              <w:pStyle w:val="5"/>
              <w:ind w:firstLineChars="0"/>
            </w:pPr>
            <w:r>
              <w:rPr>
                <w:rFonts w:hint="eastAsia" w:cs="宋体"/>
                <w:szCs w:val="24"/>
              </w:rPr>
              <w:t>根据《环境影响评价技术导则 输变电》（</w:t>
            </w:r>
            <w:r>
              <w:rPr>
                <w:szCs w:val="24"/>
              </w:rPr>
              <w:t>HJ24-2020</w:t>
            </w:r>
            <w:r>
              <w:rPr>
                <w:rFonts w:hint="eastAsia" w:cs="宋体"/>
                <w:szCs w:val="24"/>
              </w:rPr>
              <w:t>）及现场踏勘，本工程拟建伊拉湖220千伏变电站声环境评价范围内无声环境保护目标，电磁环境评价范围内无电磁环境敏感目标；吐鲁番电厂-阿拉沟变Ⅰ、Ⅱ回π入伊拉湖变电站220千伏线路工程声环境评价范围内无声环境保护目标，电磁环境评价范围内无电磁环境敏感目标；吐鲁番电厂-阿拉沟变Ⅰ、Ⅱ回改接入托克逊变电站220千伏线路工程声环境评价范围内有5处声环境保护目标，电磁环境评价范围内有5处电磁环境敏感目标。概况详见</w:t>
            </w:r>
            <w:r>
              <w:fldChar w:fldCharType="begin"/>
            </w:r>
            <w:r>
              <w:instrText xml:space="preserve"> </w:instrText>
            </w:r>
            <w:r>
              <w:rPr>
                <w:rFonts w:hint="eastAsia"/>
              </w:rPr>
              <w:instrText xml:space="preserve">REF _Ref183091911 \h</w:instrText>
            </w:r>
            <w:r>
              <w:instrText xml:space="preserve">  \* MERGEFORMAT </w:instrText>
            </w:r>
            <w:r>
              <w:fldChar w:fldCharType="separate"/>
            </w:r>
            <w:r>
              <w:rPr>
                <w:rFonts w:hint="eastAsia"/>
              </w:rPr>
              <w:t>表20</w:t>
            </w:r>
            <w:r>
              <w:fldChar w:fldCharType="end"/>
            </w:r>
            <w:r>
              <w:rPr>
                <w:rFonts w:hint="eastAsia"/>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457" w:type="dxa"/>
            <w:vAlign w:val="center"/>
          </w:tcPr>
          <w:p>
            <w:pPr>
              <w:adjustRightInd w:val="0"/>
              <w:snapToGrid w:val="0"/>
              <w:jc w:val="center"/>
              <w:rPr>
                <w:b/>
                <w:color w:val="000000"/>
                <w:kern w:val="0"/>
                <w:sz w:val="24"/>
              </w:rPr>
            </w:pPr>
            <w:r>
              <w:rPr>
                <w:b/>
                <w:color w:val="000000"/>
                <w:kern w:val="0"/>
                <w:sz w:val="24"/>
              </w:rPr>
              <w:t>评价</w:t>
            </w:r>
          </w:p>
          <w:p>
            <w:pPr>
              <w:adjustRightInd w:val="0"/>
              <w:snapToGrid w:val="0"/>
              <w:jc w:val="center"/>
              <w:rPr>
                <w:color w:val="000000"/>
                <w:kern w:val="0"/>
                <w:szCs w:val="21"/>
                <w:highlight w:val="yellow"/>
              </w:rPr>
            </w:pPr>
            <w:r>
              <w:rPr>
                <w:b/>
                <w:color w:val="000000"/>
                <w:kern w:val="0"/>
                <w:sz w:val="24"/>
              </w:rPr>
              <w:t>标准</w:t>
            </w:r>
          </w:p>
        </w:tc>
        <w:tc>
          <w:tcPr>
            <w:tcW w:w="8452" w:type="dxa"/>
            <w:vAlign w:val="center"/>
          </w:tcPr>
          <w:p>
            <w:pPr>
              <w:pStyle w:val="2"/>
              <w:numPr>
                <w:ilvl w:val="0"/>
                <w:numId w:val="13"/>
              </w:numPr>
              <w:spacing w:before="0" w:after="0" w:line="360" w:lineRule="auto"/>
              <w:rPr>
                <w:rFonts w:eastAsia="宋体"/>
                <w:sz w:val="24"/>
                <w:szCs w:val="24"/>
              </w:rPr>
            </w:pPr>
            <w:bookmarkStart w:id="528" w:name="_Toc24197"/>
            <w:bookmarkStart w:id="529" w:name="_Toc4496"/>
            <w:bookmarkStart w:id="530" w:name="_Toc109472634"/>
            <w:bookmarkStart w:id="531" w:name="_Toc95464678"/>
            <w:bookmarkStart w:id="532" w:name="_Toc96031387"/>
            <w:bookmarkStart w:id="533" w:name="_Toc17622"/>
            <w:bookmarkStart w:id="534" w:name="_Toc109473886"/>
            <w:bookmarkStart w:id="535" w:name="_Toc91493276"/>
            <w:bookmarkStart w:id="536" w:name="_Toc81415631"/>
            <w:bookmarkStart w:id="537" w:name="_Toc109473807"/>
            <w:bookmarkStart w:id="538" w:name="_Toc111564325"/>
            <w:bookmarkStart w:id="539" w:name="_Toc81308159"/>
            <w:bookmarkStart w:id="540" w:name="_Toc85037234"/>
            <w:bookmarkStart w:id="541" w:name="_Toc91532183"/>
            <w:bookmarkStart w:id="542" w:name="_Toc97290594"/>
            <w:bookmarkStart w:id="543" w:name="_Toc96935424"/>
            <w:bookmarkStart w:id="544" w:name="_Toc109473573"/>
            <w:bookmarkStart w:id="545" w:name="_Toc85036900"/>
            <w:bookmarkStart w:id="546" w:name="_Toc96031304"/>
            <w:bookmarkStart w:id="547" w:name="_Toc110439161"/>
            <w:bookmarkStart w:id="548" w:name="_Toc88558539"/>
            <w:r>
              <w:rPr>
                <w:rFonts w:hint="eastAsia" w:eastAsia="宋体"/>
                <w:sz w:val="24"/>
                <w:szCs w:val="24"/>
              </w:rPr>
              <w:t>评价范围</w:t>
            </w:r>
            <w:bookmarkEnd w:id="528"/>
            <w:bookmarkEnd w:id="529"/>
          </w:p>
          <w:p>
            <w:pPr>
              <w:spacing w:line="360" w:lineRule="auto"/>
              <w:ind w:firstLine="240" w:firstLineChars="100"/>
              <w:rPr>
                <w:sz w:val="24"/>
              </w:rPr>
            </w:pPr>
            <w:r>
              <w:rPr>
                <w:sz w:val="24"/>
              </w:rPr>
              <w:t>（1）声环境</w:t>
            </w:r>
          </w:p>
          <w:p>
            <w:pPr>
              <w:spacing w:line="360" w:lineRule="auto"/>
              <w:ind w:firstLine="480" w:firstLineChars="200"/>
              <w:rPr>
                <w:sz w:val="24"/>
              </w:rPr>
            </w:pPr>
            <w:r>
              <w:rPr>
                <w:rFonts w:hint="eastAsia"/>
                <w:sz w:val="24"/>
              </w:rPr>
              <w:t>变电站：本工程变电站声环境影响评价范围为变电站厂界外200m范围。</w:t>
            </w:r>
          </w:p>
          <w:p>
            <w:pPr>
              <w:spacing w:line="360" w:lineRule="auto"/>
              <w:ind w:firstLine="480" w:firstLineChars="200"/>
              <w:rPr>
                <w:sz w:val="24"/>
              </w:rPr>
            </w:pPr>
            <w:r>
              <w:rPr>
                <w:rFonts w:hint="eastAsia"/>
                <w:sz w:val="24"/>
              </w:rPr>
              <w:t>输电线路：</w:t>
            </w:r>
            <w:r>
              <w:rPr>
                <w:sz w:val="24"/>
              </w:rPr>
              <w:t>声环境影响评价范围为边导线地面垂直投影外两侧各40m范围内。</w:t>
            </w:r>
          </w:p>
          <w:p>
            <w:pPr>
              <w:spacing w:line="360" w:lineRule="auto"/>
              <w:ind w:firstLine="480" w:firstLineChars="200"/>
              <w:rPr>
                <w:sz w:val="24"/>
              </w:rPr>
            </w:pPr>
            <w:r>
              <w:rPr>
                <w:rFonts w:hint="eastAsia"/>
                <w:sz w:val="24"/>
              </w:rPr>
              <w:t>电缆线路：可不进行声环境影响评价。</w:t>
            </w:r>
          </w:p>
          <w:p>
            <w:pPr>
              <w:spacing w:line="360" w:lineRule="auto"/>
              <w:ind w:firstLine="200"/>
              <w:rPr>
                <w:sz w:val="24"/>
              </w:rPr>
            </w:pPr>
            <w:r>
              <w:rPr>
                <w:sz w:val="24"/>
              </w:rPr>
              <w:t>（2）工频电场、工频磁场</w:t>
            </w:r>
          </w:p>
          <w:p>
            <w:pPr>
              <w:spacing w:line="360" w:lineRule="auto"/>
              <w:ind w:firstLine="480" w:firstLineChars="200"/>
              <w:rPr>
                <w:bCs/>
                <w:sz w:val="24"/>
              </w:rPr>
            </w:pPr>
            <w:r>
              <w:rPr>
                <w:rFonts w:hint="eastAsia"/>
                <w:bCs/>
                <w:sz w:val="24"/>
              </w:rPr>
              <w:t>变电站：伊拉湖220千伏变电站工频电场、工频磁场环境影响评价范围为变电站厂界外4</w:t>
            </w:r>
            <w:r>
              <w:rPr>
                <w:bCs/>
                <w:sz w:val="24"/>
              </w:rPr>
              <w:t>0</w:t>
            </w:r>
            <w:r>
              <w:rPr>
                <w:rFonts w:hint="eastAsia"/>
                <w:bCs/>
                <w:sz w:val="24"/>
              </w:rPr>
              <w:t>m范围。</w:t>
            </w:r>
          </w:p>
          <w:p>
            <w:pPr>
              <w:spacing w:line="360" w:lineRule="auto"/>
              <w:ind w:firstLine="480" w:firstLineChars="200"/>
              <w:rPr>
                <w:sz w:val="24"/>
              </w:rPr>
            </w:pPr>
            <w:r>
              <w:rPr>
                <w:rFonts w:hint="eastAsia"/>
                <w:bCs/>
                <w:sz w:val="24"/>
              </w:rPr>
              <w:t>输电线路：</w:t>
            </w:r>
            <w:r>
              <w:rPr>
                <w:bCs/>
                <w:sz w:val="24"/>
              </w:rPr>
              <w:t>电磁</w:t>
            </w:r>
            <w:r>
              <w:rPr>
                <w:sz w:val="24"/>
              </w:rPr>
              <w:t>环境影响评价范围为边导线地面垂直投影外两侧各40m范围内</w:t>
            </w:r>
            <w:r>
              <w:rPr>
                <w:rFonts w:hint="eastAsia"/>
                <w:sz w:val="24"/>
              </w:rPr>
              <w:t>。</w:t>
            </w:r>
          </w:p>
          <w:p>
            <w:pPr>
              <w:spacing w:line="360" w:lineRule="auto"/>
              <w:ind w:firstLine="480" w:firstLineChars="200"/>
            </w:pPr>
            <w:r>
              <w:rPr>
                <w:rFonts w:hint="eastAsia"/>
                <w:sz w:val="24"/>
              </w:rPr>
              <w:t>电缆线路：电缆管廊两侧边缘各外延5m范围内（水平距离）。</w:t>
            </w:r>
          </w:p>
          <w:p>
            <w:pPr>
              <w:spacing w:line="360" w:lineRule="auto"/>
              <w:ind w:firstLine="200"/>
              <w:rPr>
                <w:sz w:val="24"/>
              </w:rPr>
            </w:pPr>
            <w:r>
              <w:rPr>
                <w:rFonts w:hint="eastAsia"/>
                <w:sz w:val="24"/>
              </w:rPr>
              <w:t>（3）生态环境</w:t>
            </w:r>
          </w:p>
          <w:p>
            <w:pPr>
              <w:pStyle w:val="5"/>
            </w:pPr>
            <w:r>
              <w:rPr>
                <w:rFonts w:hint="eastAsia"/>
              </w:rPr>
              <w:t>变电站：变电站生态环境影响评价范围为变电站厂界外5</w:t>
            </w:r>
            <w:r>
              <w:t>00</w:t>
            </w:r>
            <w:r>
              <w:rPr>
                <w:rFonts w:hint="eastAsia"/>
              </w:rPr>
              <w:t>m。</w:t>
            </w:r>
          </w:p>
          <w:p>
            <w:pPr>
              <w:spacing w:line="360" w:lineRule="auto"/>
              <w:ind w:firstLine="480" w:firstLineChars="200"/>
              <w:rPr>
                <w:sz w:val="24"/>
                <w:szCs w:val="32"/>
              </w:rPr>
            </w:pPr>
            <w:r>
              <w:rPr>
                <w:rFonts w:hint="eastAsia"/>
                <w:sz w:val="24"/>
                <w:szCs w:val="32"/>
              </w:rPr>
              <w:t>输电线路：本工程不涉及生态敏感区，生态影响评价范围为输电线路边导线地面投影外两侧各300m形成的带状区域。</w:t>
            </w:r>
          </w:p>
          <w:p>
            <w:pPr>
              <w:pStyle w:val="2"/>
              <w:numPr>
                <w:ilvl w:val="0"/>
                <w:numId w:val="13"/>
              </w:numPr>
              <w:spacing w:before="0" w:after="0" w:line="360" w:lineRule="auto"/>
              <w:rPr>
                <w:rFonts w:eastAsia="宋体"/>
                <w:sz w:val="24"/>
                <w:szCs w:val="24"/>
              </w:rPr>
            </w:pPr>
            <w:bookmarkStart w:id="549" w:name="_Toc24734"/>
            <w:bookmarkStart w:id="550" w:name="_Toc30910"/>
            <w:r>
              <w:rPr>
                <w:rFonts w:eastAsia="宋体"/>
                <w:sz w:val="24"/>
                <w:szCs w:val="24"/>
              </w:rPr>
              <w:t>环境质量标准</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pPr>
              <w:pStyle w:val="5"/>
              <w:rPr>
                <w:color w:val="000000"/>
              </w:rPr>
            </w:pPr>
            <w:r>
              <w:rPr>
                <w:color w:val="000000"/>
              </w:rPr>
              <w:t>根据建设项目区域的环境现状、国家相关环境保护标准，本工程执行如下标准：</w:t>
            </w:r>
          </w:p>
          <w:p>
            <w:pPr>
              <w:pStyle w:val="5"/>
              <w:rPr>
                <w:color w:val="000000"/>
              </w:rPr>
            </w:pPr>
            <w:r>
              <w:rPr>
                <w:rFonts w:hint="eastAsia"/>
                <w:color w:val="000000"/>
              </w:rPr>
              <w:t>（1）</w:t>
            </w:r>
            <w:r>
              <w:rPr>
                <w:color w:val="000000"/>
              </w:rPr>
              <w:t>声环境</w:t>
            </w:r>
          </w:p>
          <w:p>
            <w:pPr>
              <w:pStyle w:val="5"/>
              <w:wordWrap w:val="0"/>
              <w:rPr>
                <w:color w:val="000000"/>
              </w:rPr>
            </w:pPr>
            <w:r>
              <w:t>本</w:t>
            </w:r>
            <w:r>
              <w:rPr>
                <w:rFonts w:hint="eastAsia"/>
              </w:rPr>
              <w:t>工程所在区域暂无声环境功能区划。</w:t>
            </w:r>
          </w:p>
          <w:p>
            <w:pPr>
              <w:pStyle w:val="5"/>
              <w:wordWrap w:val="0"/>
              <w:rPr>
                <w:color w:val="000000"/>
              </w:rPr>
            </w:pPr>
            <w:r>
              <w:rPr>
                <w:rFonts w:hint="eastAsia"/>
                <w:color w:val="000000"/>
              </w:rPr>
              <w:t>拟建伊拉湖220千伏变电</w:t>
            </w:r>
            <w:r>
              <w:rPr>
                <w:color w:val="000000"/>
              </w:rPr>
              <w:t>站</w:t>
            </w:r>
            <w:r>
              <w:rPr>
                <w:rFonts w:hint="eastAsia"/>
                <w:color w:val="000000"/>
              </w:rPr>
              <w:t>站</w:t>
            </w:r>
            <w:r>
              <w:rPr>
                <w:color w:val="000000"/>
              </w:rPr>
              <w:t>址</w:t>
            </w:r>
            <w:r>
              <w:rPr>
                <w:rFonts w:hint="eastAsia"/>
                <w:color w:val="000000"/>
              </w:rPr>
              <w:t>区域声环境执行</w:t>
            </w:r>
            <w:r>
              <w:rPr>
                <w:color w:val="000000"/>
              </w:rPr>
              <w:t>《声环境质量标准》（GB3096-2008）</w:t>
            </w:r>
            <w:r>
              <w:rPr>
                <w:rFonts w:hint="eastAsia"/>
                <w:color w:val="000000"/>
              </w:rPr>
              <w:t>中</w:t>
            </w:r>
            <w:r>
              <w:rPr>
                <w:color w:val="000000"/>
              </w:rPr>
              <w:t>2类标准</w:t>
            </w:r>
            <w:r>
              <w:rPr>
                <w:rFonts w:hint="eastAsia"/>
                <w:color w:val="000000"/>
              </w:rPr>
              <w:t>。</w:t>
            </w:r>
          </w:p>
          <w:p>
            <w:pPr>
              <w:pStyle w:val="5"/>
              <w:wordWrap w:val="0"/>
              <w:rPr>
                <w:color w:val="000000"/>
              </w:rPr>
            </w:pPr>
            <w:r>
              <w:rPr>
                <w:rFonts w:hint="eastAsia"/>
                <w:color w:val="000000" w:themeColor="text1"/>
                <w14:textFill>
                  <w14:solidFill>
                    <w14:schemeClr w14:val="tx1"/>
                  </w14:solidFill>
                </w14:textFill>
              </w:rPr>
              <w:t>根据《声环境功能区划分技术规范》（G</w:t>
            </w:r>
            <w:r>
              <w:rPr>
                <w:color w:val="000000" w:themeColor="text1"/>
                <w14:textFill>
                  <w14:solidFill>
                    <w14:schemeClr w14:val="tx1"/>
                  </w14:solidFill>
                </w14:textFill>
              </w:rPr>
              <w:t>B/T15190-2014</w:t>
            </w:r>
            <w:r>
              <w:rPr>
                <w:rFonts w:hint="eastAsia"/>
                <w:color w:val="000000" w:themeColor="text1"/>
                <w14:textFill>
                  <w14:solidFill>
                    <w14:schemeClr w14:val="tx1"/>
                  </w14:solidFill>
                </w14:textFill>
              </w:rPr>
              <w:t>），</w:t>
            </w:r>
            <w:r>
              <w:rPr>
                <w:rFonts w:hint="eastAsia"/>
                <w:color w:val="000000"/>
              </w:rPr>
              <w:t>输电线路跨越G314国道、G580国道、S208省道等，跨越处执行</w:t>
            </w:r>
            <w:r>
              <w:rPr>
                <w:color w:val="000000"/>
              </w:rPr>
              <w:t>《声环境质量标准》（GB3096-2008）</w:t>
            </w:r>
            <w:r>
              <w:rPr>
                <w:rFonts w:hint="eastAsia"/>
                <w:color w:val="000000"/>
              </w:rPr>
              <w:t>中4a</w:t>
            </w:r>
            <w:r>
              <w:rPr>
                <w:color w:val="000000"/>
              </w:rPr>
              <w:t>类标准</w:t>
            </w:r>
            <w:r>
              <w:rPr>
                <w:rFonts w:hint="eastAsia"/>
                <w:color w:val="000000"/>
              </w:rPr>
              <w:t>。</w:t>
            </w:r>
            <w:r>
              <w:rPr>
                <w:rFonts w:hint="eastAsia"/>
                <w:color w:val="000000" w:themeColor="text1"/>
                <w14:textFill>
                  <w14:solidFill>
                    <w14:schemeClr w14:val="tx1"/>
                  </w14:solidFill>
                </w14:textFill>
              </w:rPr>
              <w:t>综合工程拟建线路沿线地形地貌及用地功能，</w:t>
            </w:r>
            <w:r>
              <w:rPr>
                <w:rFonts w:hint="eastAsia"/>
                <w:color w:val="000000"/>
              </w:rPr>
              <w:t>沿线其余地方及声环境保护目标处声环境执行</w:t>
            </w:r>
            <w:r>
              <w:rPr>
                <w:color w:val="000000"/>
              </w:rPr>
              <w:t>《声环境质量标准》（GB3096-2008）</w:t>
            </w:r>
            <w:r>
              <w:rPr>
                <w:rFonts w:hint="eastAsia"/>
                <w:color w:val="000000"/>
              </w:rPr>
              <w:t>中2</w:t>
            </w:r>
            <w:r>
              <w:rPr>
                <w:color w:val="000000"/>
              </w:rPr>
              <w:t>类标准</w:t>
            </w:r>
            <w:r>
              <w:rPr>
                <w:rFonts w:hint="eastAsia"/>
                <w:color w:val="000000"/>
              </w:rPr>
              <w:t>。</w:t>
            </w:r>
          </w:p>
          <w:p>
            <w:pPr>
              <w:pStyle w:val="5"/>
              <w:wordWrap w:val="0"/>
              <w:rPr>
                <w:color w:val="000000"/>
              </w:rPr>
            </w:pPr>
            <w:r>
              <w:rPr>
                <w:rFonts w:hint="eastAsia"/>
                <w:color w:val="000000"/>
              </w:rPr>
              <w:t>（2）</w:t>
            </w:r>
            <w:r>
              <w:rPr>
                <w:color w:val="000000"/>
              </w:rPr>
              <w:t>工频电场、工频磁场</w:t>
            </w:r>
          </w:p>
          <w:p>
            <w:pPr>
              <w:pStyle w:val="5"/>
              <w:wordWrap w:val="0"/>
              <w:rPr>
                <w:color w:val="000000"/>
              </w:rPr>
            </w:pPr>
            <w:r>
              <w:rPr>
                <w:color w:val="000000"/>
              </w:rPr>
              <w:t>执行《电磁环境控制限值》（GB8702-2014）的规定，即电磁环境目标处工频电场为4000V/m、</w:t>
            </w:r>
            <w:r>
              <w:rPr>
                <w:rFonts w:hint="eastAsia"/>
                <w:color w:val="000000"/>
              </w:rPr>
              <w:t>工频磁场</w:t>
            </w:r>
            <w:r>
              <w:rPr>
                <w:color w:val="000000"/>
              </w:rPr>
              <w:t>为100μT；架空线路线下耕地、园地、牧草地、畜禽饲养地、养殖水面、道路等场所，其频率</w:t>
            </w:r>
            <w:r>
              <w:rPr>
                <w:rFonts w:hint="eastAsia"/>
                <w:color w:val="000000"/>
              </w:rPr>
              <w:t>5</w:t>
            </w:r>
            <w:r>
              <w:rPr>
                <w:color w:val="000000"/>
              </w:rPr>
              <w:t>0Hz的电场强度控制限值为10kV/m</w:t>
            </w:r>
            <w:r>
              <w:rPr>
                <w:rFonts w:hint="eastAsia"/>
                <w:color w:val="000000"/>
              </w:rPr>
              <w:t>，并应给出警示标志</w:t>
            </w:r>
            <w:r>
              <w:rPr>
                <w:color w:val="000000"/>
              </w:rPr>
              <w:t>。</w:t>
            </w:r>
          </w:p>
          <w:p>
            <w:pPr>
              <w:pStyle w:val="2"/>
              <w:numPr>
                <w:ilvl w:val="0"/>
                <w:numId w:val="13"/>
              </w:numPr>
              <w:spacing w:before="0" w:after="0" w:line="360" w:lineRule="auto"/>
              <w:rPr>
                <w:rFonts w:eastAsia="宋体"/>
                <w:sz w:val="24"/>
                <w:szCs w:val="24"/>
              </w:rPr>
            </w:pPr>
            <w:bookmarkStart w:id="551" w:name="_Toc85037235"/>
            <w:bookmarkEnd w:id="551"/>
            <w:bookmarkStart w:id="552" w:name="_Toc85037236"/>
            <w:bookmarkEnd w:id="552"/>
            <w:bookmarkStart w:id="553" w:name="_Toc85037147"/>
            <w:bookmarkEnd w:id="553"/>
            <w:bookmarkStart w:id="554" w:name="_Toc85036902"/>
            <w:bookmarkEnd w:id="554"/>
            <w:bookmarkStart w:id="555" w:name="_Toc85037148"/>
            <w:bookmarkEnd w:id="555"/>
            <w:bookmarkStart w:id="556" w:name="_Toc85036901"/>
            <w:bookmarkEnd w:id="556"/>
            <w:bookmarkStart w:id="557" w:name="_Toc19878"/>
            <w:bookmarkStart w:id="558" w:name="_Toc81415632"/>
            <w:bookmarkStart w:id="559" w:name="_Toc85037237"/>
            <w:bookmarkStart w:id="560" w:name="_Toc88558540"/>
            <w:bookmarkStart w:id="561" w:name="_Toc110439162"/>
            <w:bookmarkStart w:id="562" w:name="_Toc85036903"/>
            <w:bookmarkStart w:id="563" w:name="_Toc96031388"/>
            <w:bookmarkStart w:id="564" w:name="_Toc96935425"/>
            <w:bookmarkStart w:id="565" w:name="_Toc109473808"/>
            <w:bookmarkStart w:id="566" w:name="_Toc91532184"/>
            <w:bookmarkStart w:id="567" w:name="_Toc109472635"/>
            <w:bookmarkStart w:id="568" w:name="_Toc111564326"/>
            <w:bookmarkStart w:id="569" w:name="_Toc95464679"/>
            <w:bookmarkStart w:id="570" w:name="_Toc109473887"/>
            <w:bookmarkStart w:id="571" w:name="_Toc81308160"/>
            <w:bookmarkStart w:id="572" w:name="_Toc109473574"/>
            <w:bookmarkStart w:id="573" w:name="_Toc91493277"/>
            <w:bookmarkStart w:id="574" w:name="_Toc17468"/>
            <w:bookmarkStart w:id="575" w:name="_Toc96031305"/>
            <w:bookmarkStart w:id="576" w:name="_Toc97290595"/>
            <w:bookmarkStart w:id="577" w:name="_Toc241"/>
            <w:r>
              <w:rPr>
                <w:rFonts w:eastAsia="宋体"/>
                <w:sz w:val="24"/>
                <w:szCs w:val="24"/>
              </w:rPr>
              <w:t>污染物排放标准</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pPr>
              <w:pStyle w:val="5"/>
              <w:wordWrap w:val="0"/>
              <w:ind w:firstLine="482" w:firstLineChars="0"/>
              <w:rPr>
                <w:color w:val="000000"/>
              </w:rPr>
            </w:pPr>
            <w:r>
              <w:rPr>
                <w:rFonts w:hint="eastAsia"/>
                <w:color w:val="000000"/>
              </w:rPr>
              <w:t>（</w:t>
            </w:r>
            <w:r>
              <w:rPr>
                <w:color w:val="000000"/>
              </w:rPr>
              <w:t>1）施工期施工场界：执行《</w:t>
            </w:r>
            <w:r>
              <w:rPr>
                <w:rFonts w:hint="eastAsia"/>
                <w:color w:val="000000"/>
              </w:rPr>
              <w:t>建筑施工噪声排放标准</w:t>
            </w:r>
            <w:r>
              <w:rPr>
                <w:color w:val="000000"/>
              </w:rPr>
              <w:t>》（GB12523-</w:t>
            </w:r>
            <w:r>
              <w:rPr>
                <w:rFonts w:hint="eastAsia"/>
                <w:color w:val="000000"/>
              </w:rPr>
              <w:t>2025</w:t>
            </w:r>
            <w:r>
              <w:rPr>
                <w:color w:val="000000"/>
              </w:rPr>
              <w:t>）。</w:t>
            </w:r>
          </w:p>
          <w:p>
            <w:pPr>
              <w:pStyle w:val="5"/>
              <w:ind w:firstLineChars="0"/>
              <w:rPr>
                <w:color w:val="000000"/>
              </w:rPr>
            </w:pPr>
            <w:r>
              <w:rPr>
                <w:color w:val="000000"/>
              </w:rPr>
              <w:t>（</w:t>
            </w:r>
            <w:r>
              <w:rPr>
                <w:rFonts w:hint="eastAsia"/>
                <w:color w:val="000000"/>
              </w:rPr>
              <w:t>2</w:t>
            </w:r>
            <w:r>
              <w:rPr>
                <w:color w:val="000000"/>
              </w:rPr>
              <w:t>）运行期变电站厂界噪声：</w:t>
            </w:r>
            <w:r>
              <w:rPr>
                <w:rFonts w:hint="eastAsia"/>
                <w:color w:val="000000"/>
              </w:rPr>
              <w:t>伊拉湖220千伏变电站运行期厂界噪声执行《工业企业厂界环境噪声排放标准》（GB12348-2008）2类标准。</w:t>
            </w:r>
          </w:p>
          <w:p>
            <w:pPr>
              <w:pStyle w:val="5"/>
              <w:ind w:firstLineChars="0"/>
              <w:rPr>
                <w:color w:val="000000" w:themeColor="text1"/>
                <w:szCs w:val="24"/>
                <w14:textFill>
                  <w14:solidFill>
                    <w14:schemeClr w14:val="tx1"/>
                  </w14:solidFill>
                </w14:textFill>
              </w:rPr>
            </w:pPr>
            <w:r>
              <w:rPr>
                <w:rFonts w:hint="eastAsia"/>
                <w:color w:val="000000"/>
              </w:rPr>
              <w:t>（3）</w:t>
            </w:r>
            <w:r>
              <w:rPr>
                <w:rFonts w:hint="eastAsia"/>
                <w:color w:val="000000" w:themeColor="text1"/>
                <w:szCs w:val="24"/>
                <w14:textFill>
                  <w14:solidFill>
                    <w14:schemeClr w14:val="tx1"/>
                  </w14:solidFill>
                </w14:textFill>
              </w:rPr>
              <w:t>固体废物及危险废物</w:t>
            </w:r>
          </w:p>
          <w:p>
            <w:pPr>
              <w:pStyle w:val="5"/>
              <w:wordWrap w:val="0"/>
              <w:ind w:firstLine="482" w:firstLineChars="0"/>
              <w:rPr>
                <w:color w:val="000000" w:themeColor="text1"/>
                <w:szCs w:val="24"/>
                <w14:textFill>
                  <w14:solidFill>
                    <w14:schemeClr w14:val="tx1"/>
                  </w14:solidFill>
                </w14:textFill>
              </w:rPr>
            </w:pPr>
            <w:r>
              <w:rPr>
                <w:rFonts w:ascii="宋体" w:hAnsi="宋体"/>
                <w:color w:val="000000"/>
                <w:szCs w:val="24"/>
              </w:rPr>
              <w:t>一般固体废物执行《一般工业固体废物贮存和填埋污染控制标准》</w:t>
            </w:r>
            <w:r>
              <w:rPr>
                <w:color w:val="000000"/>
                <w:szCs w:val="24"/>
              </w:rPr>
              <w:t>（GB18599-2020）</w:t>
            </w:r>
            <w:r>
              <w:rPr>
                <w:rFonts w:hint="eastAsia" w:ascii="宋体" w:hAnsi="宋体"/>
                <w:color w:val="000000"/>
                <w:szCs w:val="24"/>
              </w:rPr>
              <w:t>。</w:t>
            </w:r>
          </w:p>
          <w:p>
            <w:pPr>
              <w:pStyle w:val="5"/>
              <w:ind w:firstLineChars="0"/>
              <w:rPr>
                <w:bCs/>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危险废物</w:t>
            </w:r>
            <w:r>
              <w:rPr>
                <w:bCs/>
                <w:color w:val="000000" w:themeColor="text1"/>
                <w:szCs w:val="24"/>
                <w14:textFill>
                  <w14:solidFill>
                    <w14:schemeClr w14:val="tx1"/>
                  </w14:solidFill>
                </w14:textFill>
              </w:rPr>
              <w:t>执行《危险废物贮存污染控制标准》</w:t>
            </w:r>
            <w:r>
              <w:rPr>
                <w:rFonts w:hint="eastAsia"/>
                <w:bCs/>
                <w:color w:val="000000" w:themeColor="text1"/>
                <w:szCs w:val="24"/>
                <w14:textFill>
                  <w14:solidFill>
                    <w14:schemeClr w14:val="tx1"/>
                  </w14:solidFill>
                </w14:textFill>
              </w:rPr>
              <w:t>（</w:t>
            </w:r>
            <w:r>
              <w:rPr>
                <w:bCs/>
                <w:color w:val="000000" w:themeColor="text1"/>
                <w:szCs w:val="24"/>
                <w14:textFill>
                  <w14:solidFill>
                    <w14:schemeClr w14:val="tx1"/>
                  </w14:solidFill>
                </w14:textFill>
              </w:rPr>
              <w:t>GB18597-2023</w:t>
            </w:r>
            <w:r>
              <w:rPr>
                <w:rFonts w:hint="eastAsia"/>
                <w:bCs/>
                <w:color w:val="000000" w:themeColor="text1"/>
                <w:szCs w:val="24"/>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74" w:hRule="atLeast"/>
          <w:jc w:val="center"/>
        </w:trPr>
        <w:tc>
          <w:tcPr>
            <w:tcW w:w="457" w:type="dxa"/>
            <w:vAlign w:val="center"/>
          </w:tcPr>
          <w:p>
            <w:pPr>
              <w:adjustRightInd w:val="0"/>
              <w:snapToGrid w:val="0"/>
              <w:jc w:val="center"/>
              <w:rPr>
                <w:b/>
                <w:color w:val="000000"/>
                <w:kern w:val="0"/>
                <w:szCs w:val="21"/>
              </w:rPr>
            </w:pPr>
            <w:r>
              <w:rPr>
                <w:b/>
                <w:color w:val="000000"/>
                <w:kern w:val="0"/>
                <w:sz w:val="24"/>
              </w:rPr>
              <w:t>其他</w:t>
            </w:r>
          </w:p>
        </w:tc>
        <w:tc>
          <w:tcPr>
            <w:tcW w:w="8452" w:type="dxa"/>
            <w:vAlign w:val="center"/>
          </w:tcPr>
          <w:p>
            <w:pPr>
              <w:pStyle w:val="5"/>
              <w:jc w:val="center"/>
              <w:rPr>
                <w:color w:val="000000"/>
                <w:kern w:val="0"/>
                <w:szCs w:val="21"/>
              </w:rPr>
            </w:pPr>
            <w:bookmarkStart w:id="578" w:name="_Toc91532189"/>
            <w:bookmarkStart w:id="579" w:name="_Toc97290600"/>
            <w:bookmarkStart w:id="580" w:name="_Toc96031310"/>
            <w:bookmarkStart w:id="581" w:name="_Toc91493282"/>
            <w:bookmarkStart w:id="582" w:name="_Toc88558545"/>
            <w:bookmarkStart w:id="583" w:name="_Toc85037242"/>
            <w:bookmarkStart w:id="584" w:name="_Toc81308169"/>
            <w:bookmarkStart w:id="585" w:name="_Toc96031393"/>
            <w:bookmarkStart w:id="586" w:name="_Toc85036908"/>
            <w:bookmarkStart w:id="587" w:name="_Toc96935430"/>
            <w:bookmarkStart w:id="588" w:name="_Toc81415641"/>
            <w:bookmarkStart w:id="589" w:name="_Toc95464684"/>
            <w:r>
              <w:rPr>
                <w:rFonts w:hint="eastAsia"/>
                <w:color w:val="000000"/>
                <w:szCs w:val="24"/>
              </w:rPr>
              <w:t>总量</w:t>
            </w:r>
            <w:r>
              <w:rPr>
                <w:color w:val="000000"/>
                <w:szCs w:val="24"/>
              </w:rPr>
              <w:t>控制指标</w:t>
            </w:r>
            <w:bookmarkEnd w:id="578"/>
            <w:bookmarkEnd w:id="579"/>
            <w:bookmarkEnd w:id="580"/>
            <w:bookmarkEnd w:id="581"/>
            <w:bookmarkEnd w:id="582"/>
            <w:bookmarkEnd w:id="583"/>
            <w:bookmarkEnd w:id="584"/>
            <w:bookmarkEnd w:id="585"/>
            <w:bookmarkEnd w:id="586"/>
            <w:bookmarkEnd w:id="587"/>
            <w:bookmarkEnd w:id="588"/>
            <w:bookmarkEnd w:id="589"/>
            <w:r>
              <w:rPr>
                <w:color w:val="000000"/>
                <w:kern w:val="0"/>
                <w:szCs w:val="21"/>
              </w:rPr>
              <w:t>无具体要求。</w:t>
            </w:r>
          </w:p>
        </w:tc>
      </w:tr>
    </w:tbl>
    <w:p>
      <w:pPr>
        <w:pStyle w:val="33"/>
        <w:jc w:val="center"/>
        <w:outlineLvl w:val="0"/>
        <w:rPr>
          <w:rFonts w:ascii="Times New Roman" w:hAnsi="Times New Roman"/>
          <w:b/>
          <w:bCs/>
          <w:snapToGrid w:val="0"/>
          <w:color w:val="000000"/>
          <w:sz w:val="32"/>
          <w:szCs w:val="32"/>
          <w:highlight w:val="yellow"/>
        </w:rPr>
        <w:sectPr>
          <w:pgSz w:w="11906" w:h="16838"/>
          <w:pgMar w:top="1440" w:right="1800" w:bottom="1440" w:left="1800" w:header="851" w:footer="1077" w:gutter="0"/>
          <w:cols w:space="720" w:num="1"/>
          <w:docGrid w:linePitch="312" w:charSpace="0"/>
        </w:sectPr>
      </w:pPr>
    </w:p>
    <w:p>
      <w:pPr>
        <w:pStyle w:val="33"/>
        <w:spacing w:before="0" w:beforeAutospacing="0" w:after="0" w:afterAutospacing="0"/>
        <w:jc w:val="center"/>
        <w:outlineLvl w:val="0"/>
        <w:rPr>
          <w:rFonts w:ascii="Times New Roman" w:hAnsi="Times New Roman"/>
          <w:b/>
          <w:bCs/>
          <w:snapToGrid w:val="0"/>
          <w:color w:val="000000"/>
          <w:sz w:val="32"/>
          <w:szCs w:val="32"/>
        </w:rPr>
      </w:pPr>
      <w:bookmarkStart w:id="590" w:name="_Toc3125"/>
      <w:bookmarkStart w:id="591" w:name="_Toc111564327"/>
      <w:bookmarkStart w:id="592" w:name="_Toc8359"/>
      <w:r>
        <w:rPr>
          <w:rFonts w:ascii="Times New Roman" w:hAnsi="Times New Roman"/>
          <w:b/>
          <w:bCs/>
          <w:snapToGrid w:val="0"/>
          <w:color w:val="000000"/>
          <w:sz w:val="32"/>
          <w:szCs w:val="32"/>
        </w:rPr>
        <w:t>四、生态环境影响分析</w:t>
      </w:r>
      <w:bookmarkEnd w:id="590"/>
      <w:bookmarkEnd w:id="591"/>
      <w:bookmarkEnd w:id="592"/>
    </w:p>
    <w:tbl>
      <w:tblPr>
        <w:tblStyle w:val="37"/>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54"/>
        <w:gridCol w:w="85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85" w:hRule="atLeast"/>
          <w:jc w:val="center"/>
        </w:trPr>
        <w:tc>
          <w:tcPr>
            <w:tcW w:w="454" w:type="dxa"/>
            <w:tcMar>
              <w:left w:w="28" w:type="dxa"/>
              <w:right w:w="28" w:type="dxa"/>
            </w:tcMar>
            <w:vAlign w:val="center"/>
          </w:tcPr>
          <w:p>
            <w:pPr>
              <w:pStyle w:val="33"/>
              <w:adjustRightInd w:val="0"/>
              <w:snapToGrid w:val="0"/>
              <w:spacing w:before="0" w:beforeAutospacing="0" w:after="0" w:afterAutospacing="0"/>
              <w:jc w:val="center"/>
              <w:rPr>
                <w:rFonts w:ascii="Times New Roman" w:hAnsi="Times New Roman"/>
                <w:b/>
                <w:bCs/>
                <w:color w:val="000000"/>
                <w:kern w:val="2"/>
                <w:sz w:val="21"/>
                <w:szCs w:val="21"/>
                <w:highlight w:val="yellow"/>
              </w:rPr>
            </w:pPr>
            <w:r>
              <w:rPr>
                <w:rFonts w:ascii="Times New Roman" w:hAnsi="Times New Roman"/>
                <w:b/>
                <w:bCs/>
                <w:color w:val="000000"/>
                <w:spacing w:val="10"/>
                <w:kern w:val="2"/>
                <w:szCs w:val="24"/>
              </w:rPr>
              <w:t>施工期生态环境影响分析</w:t>
            </w:r>
          </w:p>
        </w:tc>
        <w:tc>
          <w:tcPr>
            <w:tcW w:w="8526" w:type="dxa"/>
          </w:tcPr>
          <w:p>
            <w:pPr>
              <w:pStyle w:val="5"/>
              <w:numPr>
                <w:ilvl w:val="0"/>
                <w:numId w:val="14"/>
              </w:numPr>
              <w:ind w:firstLineChars="0"/>
              <w:rPr>
                <w:b/>
                <w:color w:val="000000"/>
                <w:kern w:val="0"/>
                <w:szCs w:val="21"/>
              </w:rPr>
            </w:pPr>
            <w:r>
              <w:rPr>
                <w:rFonts w:hint="eastAsia"/>
                <w:b/>
                <w:color w:val="000000"/>
                <w:kern w:val="0"/>
                <w:szCs w:val="21"/>
              </w:rPr>
              <w:t>产污环节</w:t>
            </w:r>
            <w:r>
              <w:rPr>
                <w:b/>
                <w:color w:val="000000"/>
                <w:kern w:val="0"/>
                <w:szCs w:val="21"/>
              </w:rPr>
              <w:t>分析</w:t>
            </w:r>
          </w:p>
          <w:p>
            <w:pPr>
              <w:pStyle w:val="5"/>
              <w:rPr>
                <w:color w:val="000000"/>
                <w:szCs w:val="24"/>
              </w:rPr>
            </w:pPr>
            <w:r>
              <w:rPr>
                <w:color w:val="000000"/>
                <w:szCs w:val="24"/>
              </w:rPr>
              <w:t>输变电工程建设期材料运输、土建施工、设备安装等过程中会产生一定的扬尘、施工噪声、废污水以及固体废物等影响因子。</w:t>
            </w:r>
          </w:p>
          <w:p>
            <w:pPr>
              <w:pStyle w:val="5"/>
              <w:rPr>
                <w:color w:val="000000"/>
                <w:szCs w:val="24"/>
              </w:rPr>
            </w:pPr>
            <w:r>
              <w:rPr>
                <w:color w:val="000000"/>
                <w:szCs w:val="24"/>
              </w:rPr>
              <w:t>变电站工程施工期的产污节点图参见</w:t>
            </w:r>
            <w:r>
              <w:rPr>
                <w:rFonts w:hint="default"/>
                <w:b w:val="0"/>
                <w:bCs w:val="0"/>
                <w:color w:val="000000"/>
                <w:szCs w:val="24"/>
                <w:lang w:val="en-US"/>
              </w:rPr>
              <w:fldChar w:fldCharType="begin"/>
            </w:r>
            <w:r>
              <w:rPr>
                <w:b w:val="0"/>
                <w:bCs w:val="0"/>
              </w:rPr>
              <w:instrText xml:space="preserve"> REF _Ref157204525 \h  \* MERGEFORMAT</w:instrText>
            </w:r>
            <w:r>
              <w:rPr>
                <w:rFonts w:hint="default"/>
                <w:b w:val="0"/>
                <w:bCs w:val="0"/>
                <w:color w:val="000000"/>
                <w:szCs w:val="24"/>
                <w:lang w:val="en-US"/>
              </w:rPr>
              <w:fldChar w:fldCharType="separate"/>
            </w:r>
            <w:r>
              <w:rPr>
                <w:rFonts w:ascii="Times New Roman" w:hAnsi="Times New Roman" w:eastAsia="宋体"/>
                <w:b w:val="0"/>
                <w:bCs w:val="0"/>
              </w:rPr>
              <w:t>图6</w:t>
            </w:r>
            <w:r>
              <w:rPr>
                <w:rFonts w:hint="default"/>
                <w:b w:val="0"/>
                <w:bCs w:val="0"/>
                <w:color w:val="000000"/>
                <w:szCs w:val="24"/>
                <w:lang w:val="en-US"/>
              </w:rPr>
              <w:fldChar w:fldCharType="end"/>
            </w:r>
            <w:r>
              <w:rPr>
                <w:rFonts w:hint="eastAsia"/>
                <w:color w:val="000000"/>
                <w:szCs w:val="24"/>
              </w:rPr>
              <w:t>，新建</w:t>
            </w:r>
            <w:r>
              <w:rPr>
                <w:color w:val="000000"/>
                <w:szCs w:val="24"/>
              </w:rPr>
              <w:t>架空输电线路工程施工期的产污节点图参见</w:t>
            </w:r>
            <w:r>
              <w:rPr>
                <w:rFonts w:hint="default"/>
                <w:b w:val="0"/>
                <w:bCs w:val="0"/>
                <w:color w:val="000000"/>
                <w:szCs w:val="24"/>
                <w:lang w:val="en-US"/>
              </w:rPr>
              <w:fldChar w:fldCharType="begin"/>
            </w:r>
            <w:r>
              <w:rPr>
                <w:b w:val="0"/>
                <w:bCs w:val="0"/>
              </w:rPr>
              <w:instrText xml:space="preserve"> REF _Ref157204567 \h  \* MERGEFORMAT</w:instrText>
            </w:r>
            <w:r>
              <w:rPr>
                <w:rFonts w:hint="default"/>
                <w:b w:val="0"/>
                <w:bCs w:val="0"/>
                <w:color w:val="000000"/>
                <w:szCs w:val="24"/>
                <w:lang w:val="en-US"/>
              </w:rPr>
              <w:fldChar w:fldCharType="separate"/>
            </w:r>
            <w:r>
              <w:rPr>
                <w:rFonts w:ascii="Times New Roman" w:hAnsi="Times New Roman" w:eastAsia="宋体"/>
                <w:b w:val="0"/>
                <w:bCs w:val="0"/>
              </w:rPr>
              <w:t>图7</w:t>
            </w:r>
            <w:r>
              <w:rPr>
                <w:rFonts w:hint="default"/>
                <w:b w:val="0"/>
                <w:bCs w:val="0"/>
                <w:color w:val="000000"/>
                <w:szCs w:val="24"/>
                <w:lang w:val="en-US"/>
              </w:rPr>
              <w:fldChar w:fldCharType="end"/>
            </w:r>
            <w:r>
              <w:rPr>
                <w:rFonts w:hint="eastAsia"/>
                <w:color w:val="000000"/>
                <w:szCs w:val="24"/>
              </w:rPr>
              <w:t>。</w:t>
            </w:r>
          </w:p>
          <w:p>
            <w:pPr>
              <w:pStyle w:val="83"/>
              <w:keepNext/>
            </w:pPr>
            <w:r>
              <w:rPr>
                <w:color w:val="000000"/>
              </w:rPr>
              <w:drawing>
                <wp:inline distT="0" distB="0" distL="0" distR="0">
                  <wp:extent cx="2078355" cy="2352675"/>
                  <wp:effectExtent l="0" t="0" r="0" b="952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2078794" cy="2353191"/>
                          </a:xfrm>
                          <a:prstGeom prst="rect">
                            <a:avLst/>
                          </a:prstGeom>
                          <a:noFill/>
                          <a:ln>
                            <a:noFill/>
                          </a:ln>
                        </pic:spPr>
                      </pic:pic>
                    </a:graphicData>
                  </a:graphic>
                </wp:inline>
              </w:drawing>
            </w:r>
          </w:p>
          <w:p>
            <w:pPr>
              <w:pStyle w:val="10"/>
              <w:jc w:val="center"/>
              <w:rPr>
                <w:rFonts w:ascii="Times New Roman" w:hAnsi="Times New Roman" w:eastAsia="宋体"/>
                <w:b/>
                <w:snapToGrid w:val="0"/>
                <w:color w:val="000000"/>
                <w:highlight w:val="yellow"/>
              </w:rPr>
            </w:pPr>
            <w:bookmarkStart w:id="593" w:name="_Ref157204525"/>
            <w:r>
              <w:rPr>
                <w:rFonts w:ascii="Times New Roman" w:hAnsi="Times New Roman" w:eastAsia="宋体"/>
                <w:b/>
              </w:rPr>
              <w:t>图</w:t>
            </w:r>
            <w:r>
              <w:rPr>
                <w:rFonts w:ascii="Times New Roman" w:hAnsi="Times New Roman" w:eastAsia="宋体"/>
                <w:b/>
              </w:rPr>
              <w:fldChar w:fldCharType="begin"/>
            </w:r>
            <w:r>
              <w:rPr>
                <w:rFonts w:ascii="Times New Roman" w:hAnsi="Times New Roman" w:eastAsia="宋体"/>
                <w:b/>
              </w:rPr>
              <w:instrText xml:space="preserve"> SEQ 图 \* ARABIC </w:instrText>
            </w:r>
            <w:r>
              <w:rPr>
                <w:rFonts w:ascii="Times New Roman" w:hAnsi="Times New Roman" w:eastAsia="宋体"/>
                <w:b/>
              </w:rPr>
              <w:fldChar w:fldCharType="separate"/>
            </w:r>
            <w:r>
              <w:rPr>
                <w:rFonts w:ascii="Times New Roman" w:hAnsi="Times New Roman" w:eastAsia="宋体"/>
                <w:b/>
              </w:rPr>
              <w:t>6</w:t>
            </w:r>
            <w:r>
              <w:rPr>
                <w:rFonts w:ascii="Times New Roman" w:hAnsi="Times New Roman" w:eastAsia="宋体"/>
                <w:b/>
              </w:rPr>
              <w:fldChar w:fldCharType="end"/>
            </w:r>
            <w:bookmarkEnd w:id="593"/>
            <w:r>
              <w:rPr>
                <w:rFonts w:ascii="Times New Roman" w:hAnsi="Times New Roman" w:eastAsia="宋体"/>
                <w:b/>
              </w:rPr>
              <w:t>变电站工程施工期的产污节点图</w:t>
            </w:r>
          </w:p>
          <w:p>
            <w:pPr>
              <w:pStyle w:val="5"/>
              <w:rPr>
                <w:color w:val="000000"/>
                <w:szCs w:val="24"/>
                <w:highlight w:val="yellow"/>
              </w:rPr>
            </w:pPr>
          </w:p>
          <w:p>
            <w:pPr>
              <w:pStyle w:val="83"/>
              <w:keepNext/>
            </w:pPr>
            <w:r>
              <w:rPr>
                <w:color w:val="000000"/>
                <w:sz w:val="21"/>
              </w:rPr>
              <w:drawing>
                <wp:inline distT="0" distB="0" distL="0" distR="0">
                  <wp:extent cx="4119880" cy="2628265"/>
                  <wp:effectExtent l="0" t="0" r="0" b="635"/>
                  <wp:docPr id="21"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4120222" cy="2628875"/>
                          </a:xfrm>
                          <a:prstGeom prst="rect">
                            <a:avLst/>
                          </a:prstGeom>
                          <a:noFill/>
                          <a:ln>
                            <a:noFill/>
                          </a:ln>
                          <a:effectLst/>
                        </pic:spPr>
                      </pic:pic>
                    </a:graphicData>
                  </a:graphic>
                </wp:inline>
              </w:drawing>
            </w:r>
          </w:p>
          <w:p>
            <w:pPr>
              <w:pStyle w:val="10"/>
              <w:jc w:val="center"/>
              <w:rPr>
                <w:rFonts w:ascii="Times New Roman" w:hAnsi="Times New Roman" w:eastAsia="宋体"/>
                <w:b/>
              </w:rPr>
            </w:pPr>
            <w:bookmarkStart w:id="594" w:name="_Ref157204567"/>
            <w:r>
              <w:rPr>
                <w:rFonts w:ascii="Times New Roman" w:hAnsi="Times New Roman" w:eastAsia="宋体"/>
                <w:b/>
              </w:rPr>
              <w:t>图</w:t>
            </w:r>
            <w:r>
              <w:rPr>
                <w:rFonts w:ascii="Times New Roman" w:hAnsi="Times New Roman" w:eastAsia="宋体"/>
                <w:b/>
              </w:rPr>
              <w:fldChar w:fldCharType="begin"/>
            </w:r>
            <w:r>
              <w:rPr>
                <w:rFonts w:ascii="Times New Roman" w:hAnsi="Times New Roman" w:eastAsia="宋体"/>
                <w:b/>
              </w:rPr>
              <w:instrText xml:space="preserve"> SEQ 图 \* ARABIC </w:instrText>
            </w:r>
            <w:r>
              <w:rPr>
                <w:rFonts w:ascii="Times New Roman" w:hAnsi="Times New Roman" w:eastAsia="宋体"/>
                <w:b/>
              </w:rPr>
              <w:fldChar w:fldCharType="separate"/>
            </w:r>
            <w:r>
              <w:rPr>
                <w:rFonts w:ascii="Times New Roman" w:hAnsi="Times New Roman" w:eastAsia="宋体"/>
                <w:b/>
              </w:rPr>
              <w:t>7</w:t>
            </w:r>
            <w:r>
              <w:rPr>
                <w:rFonts w:ascii="Times New Roman" w:hAnsi="Times New Roman" w:eastAsia="宋体"/>
                <w:b/>
              </w:rPr>
              <w:fldChar w:fldCharType="end"/>
            </w:r>
            <w:bookmarkEnd w:id="594"/>
            <w:r>
              <w:rPr>
                <w:rFonts w:ascii="Times New Roman" w:hAnsi="Times New Roman" w:eastAsia="宋体"/>
                <w:b/>
              </w:rPr>
              <w:t>架空输电线路工程施工期的产污节点图</w:t>
            </w:r>
          </w:p>
          <w:p>
            <w:pPr>
              <w:pStyle w:val="5"/>
              <w:numPr>
                <w:ilvl w:val="0"/>
                <w:numId w:val="14"/>
              </w:numPr>
              <w:ind w:firstLineChars="0"/>
              <w:rPr>
                <w:b/>
                <w:color w:val="000000"/>
                <w:kern w:val="0"/>
                <w:szCs w:val="21"/>
              </w:rPr>
            </w:pPr>
            <w:r>
              <w:rPr>
                <w:rFonts w:hint="eastAsia"/>
                <w:b/>
                <w:color w:val="000000"/>
                <w:kern w:val="0"/>
                <w:szCs w:val="21"/>
              </w:rPr>
              <w:t>污染源</w:t>
            </w:r>
            <w:r>
              <w:rPr>
                <w:b/>
                <w:color w:val="000000"/>
                <w:kern w:val="0"/>
                <w:szCs w:val="21"/>
              </w:rPr>
              <w:t>分析</w:t>
            </w:r>
          </w:p>
          <w:p>
            <w:pPr>
              <w:pStyle w:val="5"/>
              <w:rPr>
                <w:color w:val="000000"/>
              </w:rPr>
            </w:pPr>
            <w:r>
              <w:rPr>
                <w:color w:val="000000"/>
              </w:rPr>
              <w:t>本工程施工期对环境产生的影响如下：</w:t>
            </w:r>
          </w:p>
          <w:p>
            <w:pPr>
              <w:pStyle w:val="5"/>
              <w:rPr>
                <w:color w:val="000000"/>
              </w:rPr>
            </w:pPr>
            <w:r>
              <w:rPr>
                <w:color w:val="000000"/>
              </w:rPr>
              <w:t>（1）生态环境：工程永久占地及施工场地、牵张场、临时施工道路等临时占地会损坏原地表植被。同时随着工程的开工，施工机械、施工人员陆续进场，将破坏和改变局部原有野生动物的生存、栖息环境，施工机械噪声会驱赶野生动物，使施工区域的动物被迫暂时迁移到适宜的环境中去栖息和繁衍。</w:t>
            </w:r>
          </w:p>
          <w:p>
            <w:pPr>
              <w:pStyle w:val="5"/>
              <w:rPr>
                <w:color w:val="000000"/>
              </w:rPr>
            </w:pPr>
            <w:r>
              <w:rPr>
                <w:color w:val="000000"/>
              </w:rPr>
              <w:t>（2）施工噪声：施工机械产生。</w:t>
            </w:r>
          </w:p>
          <w:p>
            <w:pPr>
              <w:pStyle w:val="5"/>
              <w:rPr>
                <w:color w:val="000000"/>
              </w:rPr>
            </w:pPr>
            <w:r>
              <w:rPr>
                <w:color w:val="000000"/>
              </w:rPr>
              <w:t>（3）施工扬尘：基础开挖、土方调运以及设备运输过程中产生。</w:t>
            </w:r>
          </w:p>
          <w:p>
            <w:pPr>
              <w:pStyle w:val="5"/>
              <w:rPr>
                <w:color w:val="000000"/>
              </w:rPr>
            </w:pPr>
            <w:r>
              <w:rPr>
                <w:color w:val="000000"/>
              </w:rPr>
              <w:t>（4）施工废污水：施工废水及施工人员的生活污水。</w:t>
            </w:r>
          </w:p>
          <w:p>
            <w:pPr>
              <w:pStyle w:val="5"/>
              <w:rPr>
                <w:b/>
                <w:color w:val="000000"/>
                <w:kern w:val="0"/>
                <w:szCs w:val="21"/>
              </w:rPr>
            </w:pPr>
            <w:r>
              <w:rPr>
                <w:color w:val="000000"/>
              </w:rPr>
              <w:t>（5）固体废物：施工过程中可能产生的建筑垃圾、弃土弃渣</w:t>
            </w:r>
            <w:r>
              <w:rPr>
                <w:rFonts w:hint="eastAsia"/>
                <w:color w:val="000000"/>
              </w:rPr>
              <w:t>、</w:t>
            </w:r>
            <w:r>
              <w:rPr>
                <w:color w:val="000000"/>
              </w:rPr>
              <w:t>生活垃圾</w:t>
            </w:r>
            <w:r>
              <w:t>等。</w:t>
            </w:r>
          </w:p>
          <w:p>
            <w:pPr>
              <w:pStyle w:val="5"/>
              <w:numPr>
                <w:ilvl w:val="0"/>
                <w:numId w:val="14"/>
              </w:numPr>
              <w:ind w:firstLineChars="0"/>
              <w:rPr>
                <w:b/>
                <w:color w:val="000000"/>
                <w:kern w:val="0"/>
                <w:szCs w:val="21"/>
              </w:rPr>
            </w:pPr>
            <w:r>
              <w:rPr>
                <w:rFonts w:hint="eastAsia"/>
                <w:b/>
                <w:color w:val="000000"/>
                <w:kern w:val="0"/>
                <w:szCs w:val="21"/>
              </w:rPr>
              <w:t>工程环保特点</w:t>
            </w:r>
          </w:p>
          <w:p>
            <w:pPr>
              <w:pStyle w:val="5"/>
              <w:rPr>
                <w:color w:val="000000"/>
              </w:rPr>
            </w:pPr>
            <w:r>
              <w:rPr>
                <w:color w:val="000000"/>
              </w:rPr>
              <w:t>本工程为220</w:t>
            </w:r>
            <w:r>
              <w:rPr>
                <w:rFonts w:hint="eastAsia"/>
                <w:color w:val="000000"/>
              </w:rPr>
              <w:t>千伏</w:t>
            </w:r>
            <w:r>
              <w:rPr>
                <w:color w:val="000000"/>
              </w:rPr>
              <w:t>输变电工程，施工期可能产生一定的生态环境</w:t>
            </w:r>
            <w:r>
              <w:rPr>
                <w:rFonts w:hint="eastAsia"/>
                <w:color w:val="000000"/>
              </w:rPr>
              <w:t>、声环境</w:t>
            </w:r>
            <w:r>
              <w:rPr>
                <w:color w:val="000000"/>
              </w:rPr>
              <w:t>、环境空气、水环境、固体废物等影响，但施工期的环境影响是</w:t>
            </w:r>
            <w:r>
              <w:rPr>
                <w:rFonts w:hint="eastAsia"/>
                <w:color w:val="000000"/>
              </w:rPr>
              <w:t>短暂</w:t>
            </w:r>
            <w:r>
              <w:rPr>
                <w:color w:val="000000"/>
              </w:rPr>
              <w:t>的</w:t>
            </w:r>
            <w:r>
              <w:rPr>
                <w:rFonts w:hint="eastAsia"/>
                <w:color w:val="000000"/>
              </w:rPr>
              <w:t>、</w:t>
            </w:r>
            <w:r>
              <w:rPr>
                <w:color w:val="000000"/>
              </w:rPr>
              <w:t>可逆的，并可在一定时间内得到恢复。</w:t>
            </w:r>
          </w:p>
          <w:p>
            <w:pPr>
              <w:pStyle w:val="5"/>
              <w:numPr>
                <w:ilvl w:val="0"/>
                <w:numId w:val="14"/>
              </w:numPr>
              <w:ind w:firstLineChars="0"/>
              <w:rPr>
                <w:b/>
                <w:color w:val="000000"/>
                <w:kern w:val="0"/>
                <w:szCs w:val="21"/>
              </w:rPr>
            </w:pPr>
            <w:r>
              <w:rPr>
                <w:rFonts w:hint="eastAsia"/>
                <w:b/>
                <w:color w:val="000000"/>
                <w:kern w:val="0"/>
                <w:szCs w:val="21"/>
              </w:rPr>
              <w:t>施工期各环境要素影响分析</w:t>
            </w:r>
          </w:p>
          <w:p>
            <w:pPr>
              <w:pStyle w:val="5"/>
              <w:numPr>
                <w:ilvl w:val="1"/>
                <w:numId w:val="14"/>
              </w:numPr>
              <w:ind w:firstLineChars="0"/>
              <w:rPr>
                <w:b/>
                <w:color w:val="000000"/>
                <w:kern w:val="0"/>
                <w:szCs w:val="21"/>
              </w:rPr>
            </w:pPr>
            <w:r>
              <w:rPr>
                <w:rFonts w:hint="eastAsia"/>
                <w:b/>
                <w:color w:val="000000"/>
                <w:kern w:val="0"/>
                <w:szCs w:val="21"/>
              </w:rPr>
              <w:t>施工期生态环境影响分析</w:t>
            </w:r>
          </w:p>
          <w:p>
            <w:pPr>
              <w:pStyle w:val="5"/>
              <w:rPr>
                <w:color w:val="000000"/>
              </w:rPr>
            </w:pPr>
            <w:r>
              <w:rPr>
                <w:color w:val="000000"/>
              </w:rPr>
              <w:t>施工期对生态环境的影响主要表现在施工</w:t>
            </w:r>
            <w:r>
              <w:rPr>
                <w:rFonts w:hint="eastAsia"/>
                <w:color w:val="000000"/>
              </w:rPr>
              <w:t>开挖</w:t>
            </w:r>
            <w:r>
              <w:rPr>
                <w:color w:val="000000"/>
              </w:rPr>
              <w:t>、占地和施工活动对土地的扰动、地表植被破坏和区域内野生动物活动</w:t>
            </w:r>
            <w:r>
              <w:rPr>
                <w:rFonts w:hint="eastAsia"/>
                <w:color w:val="000000"/>
              </w:rPr>
              <w:t>的</w:t>
            </w:r>
            <w:r>
              <w:rPr>
                <w:color w:val="000000"/>
              </w:rPr>
              <w:t>影响。</w:t>
            </w:r>
          </w:p>
          <w:p>
            <w:pPr>
              <w:pStyle w:val="5"/>
              <w:numPr>
                <w:ilvl w:val="2"/>
                <w:numId w:val="14"/>
              </w:numPr>
              <w:ind w:firstLineChars="0"/>
              <w:rPr>
                <w:b/>
                <w:color w:val="000000"/>
                <w:kern w:val="0"/>
                <w:szCs w:val="21"/>
              </w:rPr>
            </w:pPr>
            <w:r>
              <w:rPr>
                <w:rFonts w:hint="eastAsia"/>
                <w:b/>
                <w:color w:val="000000"/>
                <w:kern w:val="0"/>
                <w:szCs w:val="21"/>
              </w:rPr>
              <w:t>土地占用影响分析</w:t>
            </w:r>
          </w:p>
          <w:p>
            <w:pPr>
              <w:pStyle w:val="5"/>
              <w:rPr>
                <w:color w:val="000000"/>
                <w:szCs w:val="24"/>
              </w:rPr>
            </w:pPr>
            <w:r>
              <w:rPr>
                <w:color w:val="000000"/>
                <w:szCs w:val="24"/>
              </w:rPr>
              <w:t>本工程变电站永久占地主要为站区占地和进站道路</w:t>
            </w:r>
            <w:r>
              <w:rPr>
                <w:rFonts w:hint="eastAsia"/>
                <w:color w:val="000000"/>
                <w:szCs w:val="24"/>
              </w:rPr>
              <w:t>，永久占地会改变土地原有利用性质，造成生物量损失，</w:t>
            </w:r>
            <w:r>
              <w:rPr>
                <w:color w:val="000000"/>
                <w:szCs w:val="24"/>
              </w:rPr>
              <w:t>工程建设完成后对永久占地区域采取地面硬化和碎石覆盖措施</w:t>
            </w:r>
            <w:r>
              <w:rPr>
                <w:rFonts w:hint="eastAsia"/>
                <w:color w:val="000000"/>
                <w:szCs w:val="24"/>
              </w:rPr>
              <w:t>，降低变电站建设对土地占用的影响。变电站临时占地主要为供水管线区和施工场地区，临时占地会对周边生态植被造成破坏，通过严格控制占地范围，并在施工结束后采取土地整治和植被恢复的措施，降低临时占地对生态环境的影响。</w:t>
            </w:r>
          </w:p>
          <w:p>
            <w:pPr>
              <w:pStyle w:val="5"/>
              <w:rPr>
                <w:color w:val="000000"/>
                <w:szCs w:val="24"/>
              </w:rPr>
            </w:pPr>
            <w:r>
              <w:rPr>
                <w:rFonts w:hint="eastAsia"/>
                <w:color w:val="000000"/>
                <w:szCs w:val="24"/>
              </w:rPr>
              <w:t>本工程的建设占地面积很小且很分散，工程建设虽然</w:t>
            </w:r>
            <w:r>
              <w:rPr>
                <w:color w:val="000000"/>
                <w:szCs w:val="24"/>
              </w:rPr>
              <w:t>会局部破坏原有植被，</w:t>
            </w:r>
            <w:r>
              <w:rPr>
                <w:rFonts w:hint="eastAsia"/>
                <w:color w:val="000000"/>
                <w:szCs w:val="24"/>
              </w:rPr>
              <w:t>但是</w:t>
            </w:r>
            <w:r>
              <w:rPr>
                <w:color w:val="000000"/>
                <w:szCs w:val="24"/>
              </w:rPr>
              <w:t>因为其占地面积很小，</w:t>
            </w:r>
            <w:r>
              <w:rPr>
                <w:rFonts w:hint="eastAsia"/>
                <w:color w:val="000000"/>
                <w:szCs w:val="24"/>
              </w:rPr>
              <w:t>且</w:t>
            </w:r>
            <w:r>
              <w:rPr>
                <w:color w:val="000000"/>
                <w:szCs w:val="24"/>
              </w:rPr>
              <w:t>可通过积极有效的植被恢复措施可将其影响程度降到最低，因此</w:t>
            </w:r>
            <w:r>
              <w:rPr>
                <w:rFonts w:hint="eastAsia"/>
                <w:color w:val="000000"/>
                <w:szCs w:val="24"/>
              </w:rPr>
              <w:t>该</w:t>
            </w:r>
            <w:r>
              <w:rPr>
                <w:color w:val="000000"/>
                <w:szCs w:val="24"/>
              </w:rPr>
              <w:t>项目的实施</w:t>
            </w:r>
            <w:r>
              <w:rPr>
                <w:rFonts w:hint="eastAsia"/>
                <w:color w:val="000000"/>
                <w:szCs w:val="24"/>
              </w:rPr>
              <w:t>不会导致施工区的生物群落类型发生改变。</w:t>
            </w:r>
          </w:p>
          <w:p>
            <w:pPr>
              <w:pStyle w:val="5"/>
              <w:rPr>
                <w:color w:val="000000"/>
              </w:rPr>
            </w:pPr>
            <w:r>
              <w:rPr>
                <w:rFonts w:hint="eastAsia"/>
                <w:color w:val="000000"/>
                <w:szCs w:val="24"/>
              </w:rPr>
              <w:t>输电</w:t>
            </w:r>
            <w:r>
              <w:rPr>
                <w:color w:val="000000"/>
                <w:szCs w:val="24"/>
              </w:rPr>
              <w:t>线路临时占地主要包括塔基施工区域、牵张场区、施工临时道路区等临时施工占地等。临时占地占用</w:t>
            </w:r>
            <w:r>
              <w:rPr>
                <w:rFonts w:hint="eastAsia"/>
                <w:color w:val="000000"/>
                <w:szCs w:val="24"/>
              </w:rPr>
              <w:t>草地</w:t>
            </w:r>
            <w:r>
              <w:rPr>
                <w:color w:val="000000"/>
                <w:szCs w:val="24"/>
              </w:rPr>
              <w:t>，施工结束后可进行</w:t>
            </w:r>
            <w:r>
              <w:rPr>
                <w:rFonts w:hint="eastAsia"/>
                <w:color w:val="000000"/>
                <w:szCs w:val="24"/>
              </w:rPr>
              <w:t>植被恢复</w:t>
            </w:r>
            <w:r>
              <w:rPr>
                <w:color w:val="000000"/>
                <w:szCs w:val="24"/>
              </w:rPr>
              <w:t>，基本不影响其原有的土地用途。线路施工时会破坏部分自然植被，通过采用先进施工工艺，基本不会对线下植被产生较大影响。</w:t>
            </w:r>
          </w:p>
          <w:p>
            <w:pPr>
              <w:pStyle w:val="5"/>
              <w:numPr>
                <w:ilvl w:val="2"/>
                <w:numId w:val="14"/>
              </w:numPr>
              <w:ind w:firstLineChars="0"/>
              <w:rPr>
                <w:b/>
                <w:color w:val="000000"/>
                <w:kern w:val="0"/>
                <w:szCs w:val="21"/>
              </w:rPr>
            </w:pPr>
            <w:r>
              <w:rPr>
                <w:b/>
                <w:color w:val="000000"/>
                <w:kern w:val="0"/>
                <w:szCs w:val="21"/>
              </w:rPr>
              <w:t>植被影响分析</w:t>
            </w:r>
          </w:p>
          <w:p>
            <w:pPr>
              <w:tabs>
                <w:tab w:val="left" w:pos="720"/>
              </w:tabs>
              <w:adjustRightInd w:val="0"/>
              <w:snapToGrid w:val="0"/>
              <w:spacing w:line="360" w:lineRule="auto"/>
              <w:ind w:firstLine="480" w:firstLineChars="200"/>
              <w:rPr>
                <w:color w:val="000000"/>
                <w:sz w:val="24"/>
              </w:rPr>
            </w:pPr>
            <w:r>
              <w:rPr>
                <w:rFonts w:hint="eastAsia"/>
                <w:color w:val="000000"/>
                <w:sz w:val="24"/>
              </w:rPr>
              <w:t>伊拉湖220千伏</w:t>
            </w:r>
            <w:r>
              <w:rPr>
                <w:color w:val="000000"/>
                <w:sz w:val="24"/>
              </w:rPr>
              <w:t>变电站建设造成的植被破坏仅限于征地范围内。</w:t>
            </w:r>
          </w:p>
          <w:p>
            <w:pPr>
              <w:pStyle w:val="5"/>
              <w:rPr>
                <w:color w:val="000000"/>
              </w:rPr>
            </w:pPr>
            <w:r>
              <w:rPr>
                <w:color w:val="000000"/>
              </w:rPr>
              <w:t>输电线路新建工程永久占地破坏的植被仅限塔基范围之内，占地面积很小，对区域植被及植物资源的影响很小。临时施工占地影响主要为牵张场、施工道路</w:t>
            </w:r>
            <w:r>
              <w:rPr>
                <w:rFonts w:hint="eastAsia"/>
                <w:color w:val="000000"/>
              </w:rPr>
              <w:t>、</w:t>
            </w:r>
            <w:r>
              <w:rPr>
                <w:color w:val="000000"/>
              </w:rPr>
              <w:t>塔基施工用地</w:t>
            </w:r>
            <w:r>
              <w:t>对区域地表植被的破坏</w:t>
            </w:r>
            <w:r>
              <w:rPr>
                <w:color w:val="000000"/>
              </w:rPr>
              <w:t>，由于架空线路工程为点状作业，</w:t>
            </w:r>
            <w:r>
              <w:rPr>
                <w:rFonts w:hint="eastAsia"/>
                <w:color w:val="000000"/>
              </w:rPr>
              <w:t>单个塔基</w:t>
            </w:r>
            <w:r>
              <w:rPr>
                <w:color w:val="000000"/>
              </w:rPr>
              <w:t>施工时间短，临时占地对植被的破坏是短暂的，并随施工期的结束而逐步恢复。</w:t>
            </w:r>
          </w:p>
          <w:p>
            <w:pPr>
              <w:pStyle w:val="5"/>
            </w:pPr>
            <w:r>
              <w:rPr>
                <w:rFonts w:hint="eastAsia"/>
              </w:rPr>
              <w:t>施工期及施工后应采取相应的修复及补偿措施，对于耕地，应在施工前进行表土剥离并妥善保存，施工结束后将表土回填，恢复土壤肥力，同时根据耕地原有植被类型选择适宜的农作物或草种进行播种，恢复植被覆盖，并对施工扰动的土地进行平整，恢复耕种条件。针对林地，应结合原始地貌，选取乡土树种和草种，采用撒播草籽、铺植草皮、乔灌草结合等方式进行植被恢复，同时将剥离的表土回填，促进植被生长。对于园地，根据其原有植被类型选择适宜的果树进行种植，恢复园地植被，并对施工扰动的土壤进行改良，如添加有机肥料、土壤改良剂等，提高土壤肥力。这些修复措施能够有效减少工程施工对各类土地植被造成的损失，促进生态环境的恢复。</w:t>
            </w:r>
          </w:p>
          <w:p>
            <w:pPr>
              <w:pStyle w:val="5"/>
              <w:numPr>
                <w:ilvl w:val="2"/>
                <w:numId w:val="14"/>
              </w:numPr>
              <w:ind w:firstLineChars="0"/>
              <w:rPr>
                <w:b/>
                <w:color w:val="000000"/>
                <w:kern w:val="0"/>
                <w:szCs w:val="21"/>
              </w:rPr>
            </w:pPr>
            <w:r>
              <w:rPr>
                <w:b/>
                <w:color w:val="000000"/>
                <w:kern w:val="0"/>
                <w:szCs w:val="21"/>
              </w:rPr>
              <w:t>动物影响分析</w:t>
            </w:r>
          </w:p>
          <w:p>
            <w:pPr>
              <w:pStyle w:val="5"/>
              <w:rPr>
                <w:color w:val="000000"/>
              </w:rPr>
            </w:pPr>
            <w:r>
              <w:rPr>
                <w:color w:val="000000"/>
              </w:rPr>
              <w:t>根据本工程的特点，对野生动物的影响主要发生在施工期。随着工程的开工，施工机械、施工人员的进场，土、石料堆积场及其它施工场地的布置，施工中产生的噪声可能干扰现有野生动物的生存环境，导致野生动物栖息环境的改变。</w:t>
            </w:r>
          </w:p>
          <w:p>
            <w:pPr>
              <w:pStyle w:val="5"/>
              <w:rPr>
                <w:color w:val="000000"/>
              </w:rPr>
            </w:pPr>
            <w:r>
              <w:rPr>
                <w:color w:val="000000"/>
              </w:rPr>
              <w:t>本工程塔基占地为空间线性方式，施工方法为间断性的，施工通道则利用天然的小路，土建施工局部工作量较小。且施工人员的生活区一般安置在人类活动相对集中处，如村庄、集镇。因此本工程施工对野生动物的影响为间断性、暂时性的。施工完成后，部分野生动物仍可以到原栖息地附近区域栖息。</w:t>
            </w:r>
          </w:p>
          <w:p>
            <w:pPr>
              <w:pStyle w:val="5"/>
              <w:numPr>
                <w:ilvl w:val="1"/>
                <w:numId w:val="14"/>
              </w:numPr>
              <w:ind w:firstLineChars="0"/>
              <w:rPr>
                <w:b/>
                <w:color w:val="000000"/>
                <w:kern w:val="0"/>
                <w:szCs w:val="21"/>
              </w:rPr>
            </w:pPr>
            <w:r>
              <w:rPr>
                <w:b/>
                <w:color w:val="000000"/>
                <w:kern w:val="0"/>
                <w:szCs w:val="21"/>
              </w:rPr>
              <w:t>施工期环境空气影响分析</w:t>
            </w:r>
          </w:p>
          <w:p>
            <w:pPr>
              <w:pStyle w:val="5"/>
              <w:numPr>
                <w:ilvl w:val="2"/>
                <w:numId w:val="14"/>
              </w:numPr>
              <w:ind w:firstLineChars="0"/>
              <w:rPr>
                <w:b/>
                <w:color w:val="000000"/>
                <w:kern w:val="0"/>
                <w:szCs w:val="21"/>
              </w:rPr>
            </w:pPr>
            <w:r>
              <w:rPr>
                <w:b/>
                <w:color w:val="000000"/>
                <w:kern w:val="0"/>
                <w:szCs w:val="21"/>
              </w:rPr>
              <w:t>环境空气污染源</w:t>
            </w:r>
          </w:p>
          <w:p>
            <w:pPr>
              <w:pStyle w:val="5"/>
              <w:rPr>
                <w:color w:val="000000"/>
              </w:rPr>
            </w:pPr>
            <w:r>
              <w:rPr>
                <w:color w:val="000000"/>
              </w:rPr>
              <w:t>空气污染源主要是施工扬尘，施工扬尘主要来自变电站基础开挖、塔基土建施工的场地平整、基础开挖等土石方工程、设备材料的运输装卸、施工现场内车辆行驶</w:t>
            </w:r>
            <w:r>
              <w:rPr>
                <w:rFonts w:hint="eastAsia"/>
                <w:color w:val="000000"/>
              </w:rPr>
              <w:t>产生</w:t>
            </w:r>
            <w:r>
              <w:rPr>
                <w:color w:val="000000"/>
              </w:rPr>
              <w:t>道路扬尘等。由于扬尘源多且分散，源高一般在1.5m以下，属无组织排放。受施工方式、设备、气候等因素制约，产生的随机性和波动性较大。</w:t>
            </w:r>
          </w:p>
          <w:p>
            <w:pPr>
              <w:pStyle w:val="5"/>
              <w:rPr>
                <w:color w:val="000000"/>
              </w:rPr>
            </w:pPr>
            <w:r>
              <w:rPr>
                <w:color w:val="000000"/>
              </w:rPr>
              <w:t>施工阶段，尤其是施工初期，输电线路的基础开挖和土石方运输都会产生扬尘污染，特别是若遇久旱无雨的大风天气，扬尘污染更为突出。施工开挖、车辆运输等产生的粉尘短期内将使局部区域内空气中的总悬浮颗粒物</w:t>
            </w:r>
            <w:r>
              <w:rPr>
                <w:rFonts w:hint="eastAsia"/>
                <w:color w:val="000000"/>
              </w:rPr>
              <w:t>（</w:t>
            </w:r>
            <w:r>
              <w:rPr>
                <w:color w:val="000000"/>
              </w:rPr>
              <w:t>TSP</w:t>
            </w:r>
            <w:r>
              <w:rPr>
                <w:rFonts w:hint="eastAsia"/>
                <w:color w:val="000000"/>
              </w:rPr>
              <w:t>）</w:t>
            </w:r>
            <w:r>
              <w:rPr>
                <w:color w:val="000000"/>
              </w:rPr>
              <w:t>明显增加。</w:t>
            </w:r>
          </w:p>
          <w:p>
            <w:pPr>
              <w:pStyle w:val="5"/>
              <w:numPr>
                <w:ilvl w:val="2"/>
                <w:numId w:val="14"/>
              </w:numPr>
              <w:ind w:firstLineChars="0"/>
              <w:rPr>
                <w:b/>
                <w:color w:val="000000"/>
                <w:kern w:val="0"/>
                <w:szCs w:val="21"/>
              </w:rPr>
            </w:pPr>
            <w:r>
              <w:rPr>
                <w:b/>
                <w:color w:val="000000"/>
                <w:kern w:val="0"/>
                <w:szCs w:val="21"/>
              </w:rPr>
              <w:t>施工期扬尘影响分析</w:t>
            </w:r>
          </w:p>
          <w:p>
            <w:pPr>
              <w:pStyle w:val="5"/>
              <w:rPr>
                <w:color w:val="000000"/>
              </w:rPr>
            </w:pPr>
            <w:r>
              <w:rPr>
                <w:color w:val="000000"/>
              </w:rPr>
              <w:t>（1）变电站工程</w:t>
            </w:r>
          </w:p>
          <w:p>
            <w:pPr>
              <w:pStyle w:val="5"/>
              <w:rPr>
                <w:color w:val="000000"/>
              </w:rPr>
            </w:pPr>
            <w:r>
              <w:rPr>
                <w:color w:val="000000"/>
              </w:rPr>
              <w:t>新建变电站</w:t>
            </w:r>
            <w:r>
              <w:rPr>
                <w:rFonts w:hint="eastAsia"/>
                <w:color w:val="000000"/>
              </w:rPr>
              <w:t>及变电站间隔扩建工程</w:t>
            </w:r>
            <w:r>
              <w:rPr>
                <w:color w:val="000000"/>
              </w:rPr>
              <w:t>施工时，由于土石方的开挖造成土地裸露，产生局部二次扬尘，可能对周围50m以内的局部地区产生暂时影响，但施工扬尘的影响是短时间的，在土建工程结束后即可恢复。此外，在建设期间，大件设备及其他设备材料的运输，可能会使所经道路产生扬尘问题，但该扬尘问题只是暂时的和流动的，当建设期结束，此问题亦会消失。</w:t>
            </w:r>
          </w:p>
          <w:p>
            <w:pPr>
              <w:pStyle w:val="5"/>
              <w:rPr>
                <w:color w:val="000000"/>
              </w:rPr>
            </w:pPr>
            <w:r>
              <w:rPr>
                <w:color w:val="000000"/>
              </w:rPr>
              <w:t>（2）输电线路工程</w:t>
            </w:r>
          </w:p>
          <w:p>
            <w:pPr>
              <w:pStyle w:val="5"/>
              <w:rPr>
                <w:color w:val="000000"/>
              </w:rPr>
            </w:pPr>
            <w:r>
              <w:rPr>
                <w:rFonts w:hint="eastAsia"/>
              </w:rPr>
              <w:t>2</w:t>
            </w:r>
            <w:r>
              <w:t>20</w:t>
            </w:r>
            <w:r>
              <w:rPr>
                <w:rFonts w:hint="eastAsia"/>
              </w:rPr>
              <w:t>千伏线路塔基开挖面和土石方开挖量较小，单个塔基施工周期短，施工扬尘的影响范围和影响程度小，通过采取场地周围设置硬质拦挡、避开大风天气施工、开挖临时堆土及时采取表面苫盖等有效措施，可进一步降低施工扬尘污染风险。</w:t>
            </w:r>
          </w:p>
          <w:p>
            <w:pPr>
              <w:pStyle w:val="5"/>
              <w:numPr>
                <w:ilvl w:val="1"/>
                <w:numId w:val="14"/>
              </w:numPr>
              <w:ind w:firstLineChars="0"/>
              <w:rPr>
                <w:b/>
                <w:color w:val="000000"/>
                <w:kern w:val="0"/>
                <w:szCs w:val="21"/>
              </w:rPr>
            </w:pPr>
            <w:r>
              <w:rPr>
                <w:b/>
                <w:color w:val="000000"/>
                <w:kern w:val="0"/>
                <w:szCs w:val="21"/>
              </w:rPr>
              <w:t>施工期废污水环境影响分析</w:t>
            </w:r>
          </w:p>
          <w:p>
            <w:pPr>
              <w:pStyle w:val="5"/>
              <w:numPr>
                <w:ilvl w:val="2"/>
                <w:numId w:val="14"/>
              </w:numPr>
              <w:ind w:firstLineChars="0"/>
              <w:rPr>
                <w:b/>
                <w:color w:val="000000"/>
                <w:kern w:val="0"/>
                <w:szCs w:val="21"/>
              </w:rPr>
            </w:pPr>
            <w:r>
              <w:rPr>
                <w:b/>
                <w:color w:val="000000"/>
                <w:kern w:val="0"/>
                <w:szCs w:val="21"/>
              </w:rPr>
              <w:t>废污水污染源</w:t>
            </w:r>
          </w:p>
          <w:p>
            <w:pPr>
              <w:pStyle w:val="5"/>
              <w:rPr>
                <w:color w:val="000000"/>
              </w:rPr>
            </w:pPr>
            <w:r>
              <w:rPr>
                <w:color w:val="000000"/>
              </w:rPr>
              <w:t>本工程施工污水主要来自施工人员的生活污水和少量施工废水。</w:t>
            </w:r>
            <w:r>
              <w:rPr>
                <w:rFonts w:hint="eastAsia"/>
                <w:color w:val="000000"/>
              </w:rPr>
              <w:t>本工程施工期平均施工人员约40人，施工人员人均用水量约70L/（人</w:t>
            </w:r>
            <w:r>
              <w:rPr>
                <w:color w:val="000000"/>
              </w:rPr>
              <w:t>·</w:t>
            </w:r>
            <w:r>
              <w:rPr>
                <w:rFonts w:hint="eastAsia"/>
                <w:color w:val="000000"/>
              </w:rPr>
              <w:t>d），生活污水产生量按总用水量的80%计，则生活污水的产生量约2.24m</w:t>
            </w:r>
            <w:r>
              <w:rPr>
                <w:rFonts w:hint="eastAsia"/>
                <w:color w:val="000000"/>
                <w:vertAlign w:val="superscript"/>
              </w:rPr>
              <w:t>3</w:t>
            </w:r>
            <w:r>
              <w:rPr>
                <w:rFonts w:hint="eastAsia"/>
                <w:color w:val="000000"/>
              </w:rPr>
              <w:t>/d。</w:t>
            </w:r>
          </w:p>
          <w:p>
            <w:pPr>
              <w:pStyle w:val="5"/>
              <w:numPr>
                <w:ilvl w:val="2"/>
                <w:numId w:val="14"/>
              </w:numPr>
              <w:ind w:firstLineChars="0"/>
              <w:rPr>
                <w:b/>
                <w:color w:val="000000"/>
                <w:kern w:val="0"/>
                <w:szCs w:val="21"/>
              </w:rPr>
            </w:pPr>
            <w:r>
              <w:rPr>
                <w:b/>
                <w:color w:val="000000"/>
                <w:kern w:val="0"/>
                <w:szCs w:val="21"/>
              </w:rPr>
              <w:t>废污水影响分析</w:t>
            </w:r>
          </w:p>
          <w:p>
            <w:pPr>
              <w:pStyle w:val="5"/>
              <w:rPr>
                <w:rFonts w:ascii="宋体" w:hAnsi="宋体"/>
                <w:color w:val="000000"/>
                <w:shd w:val="clear" w:color="auto" w:fill="FFFFFF"/>
              </w:rPr>
            </w:pPr>
            <w:r>
              <w:rPr>
                <w:rFonts w:ascii="宋体" w:hAnsi="宋体"/>
                <w:color w:val="000000"/>
                <w:shd w:val="clear" w:color="auto" w:fill="FFFFFF"/>
              </w:rPr>
              <w:t>本工程变电站新建工程采取修筑临时污水处理设施对施工期生活污水进行处理</w:t>
            </w:r>
            <w:r>
              <w:rPr>
                <w:rFonts w:hint="eastAsia" w:ascii="宋体" w:hAnsi="宋体"/>
                <w:color w:val="000000"/>
                <w:shd w:val="clear" w:color="auto" w:fill="FFFFFF"/>
              </w:rPr>
              <w:t>；</w:t>
            </w:r>
            <w:r>
              <w:rPr>
                <w:rFonts w:ascii="宋体" w:hAnsi="宋体"/>
                <w:color w:val="000000"/>
                <w:shd w:val="clear" w:color="auto" w:fill="FFFFFF"/>
              </w:rPr>
              <w:t>输电线路施工人员就近租用民房，生活污水依托农村已有的污水处理设施处理，</w:t>
            </w:r>
            <w:r>
              <w:rPr>
                <w:rFonts w:hint="eastAsia" w:ascii="宋体" w:hAnsi="宋体"/>
                <w:color w:val="000000"/>
                <w:shd w:val="clear" w:color="auto" w:fill="FFFFFF"/>
              </w:rPr>
              <w:t>施工现场可设置移动式环保厕所，用于收集处理施工现场的生活污水，生活污水</w:t>
            </w:r>
            <w:r>
              <w:rPr>
                <w:rFonts w:ascii="宋体" w:hAnsi="宋体"/>
                <w:color w:val="000000"/>
                <w:shd w:val="clear" w:color="auto" w:fill="FFFFFF"/>
              </w:rPr>
              <w:t>不会对周围水环境产生影响。</w:t>
            </w:r>
          </w:p>
          <w:p>
            <w:pPr>
              <w:pStyle w:val="5"/>
              <w:rPr>
                <w:rFonts w:ascii="宋体" w:hAnsi="宋体"/>
                <w:color w:val="000000"/>
                <w:shd w:val="clear" w:color="auto" w:fill="FFFFFF"/>
              </w:rPr>
            </w:pPr>
            <w:r>
              <w:rPr>
                <w:rFonts w:ascii="宋体" w:hAnsi="宋体"/>
                <w:color w:val="000000"/>
                <w:shd w:val="clear" w:color="auto" w:fill="FFFFFF"/>
              </w:rPr>
              <w:t>本工程施工期产生的少量施工废水经处理后回用于施工场地喷洒抑尘等，不外排，</w:t>
            </w:r>
            <w:r>
              <w:rPr>
                <w:rFonts w:hint="eastAsia" w:ascii="宋体" w:hAnsi="宋体"/>
                <w:color w:val="000000"/>
                <w:shd w:val="clear" w:color="auto" w:fill="FFFFFF"/>
              </w:rPr>
              <w:t>施工废水</w:t>
            </w:r>
            <w:r>
              <w:rPr>
                <w:rFonts w:ascii="宋体" w:hAnsi="宋体"/>
                <w:color w:val="000000"/>
                <w:shd w:val="clear" w:color="auto" w:fill="FFFFFF"/>
              </w:rPr>
              <w:t>不会对周围水环境产生不良影响。</w:t>
            </w:r>
          </w:p>
          <w:p>
            <w:pPr>
              <w:pStyle w:val="5"/>
              <w:numPr>
                <w:ilvl w:val="1"/>
                <w:numId w:val="14"/>
              </w:numPr>
              <w:ind w:firstLineChars="0"/>
              <w:rPr>
                <w:b/>
                <w:color w:val="000000"/>
                <w:kern w:val="0"/>
                <w:szCs w:val="21"/>
              </w:rPr>
            </w:pPr>
            <w:r>
              <w:rPr>
                <w:b/>
                <w:color w:val="000000"/>
                <w:kern w:val="0"/>
                <w:szCs w:val="21"/>
              </w:rPr>
              <w:t>施工期固体废物环境影响分析</w:t>
            </w:r>
          </w:p>
          <w:p>
            <w:pPr>
              <w:pStyle w:val="5"/>
              <w:numPr>
                <w:ilvl w:val="2"/>
                <w:numId w:val="14"/>
              </w:numPr>
              <w:ind w:firstLineChars="0"/>
              <w:rPr>
                <w:b/>
                <w:color w:val="000000"/>
                <w:kern w:val="0"/>
                <w:szCs w:val="21"/>
              </w:rPr>
            </w:pPr>
            <w:r>
              <w:rPr>
                <w:b/>
                <w:color w:val="000000"/>
                <w:kern w:val="0"/>
                <w:szCs w:val="21"/>
              </w:rPr>
              <w:t>施工固废污染源</w:t>
            </w:r>
          </w:p>
          <w:p>
            <w:pPr>
              <w:pStyle w:val="5"/>
            </w:pPr>
            <w:r>
              <w:rPr>
                <w:rFonts w:hint="eastAsia"/>
                <w:color w:val="000000"/>
              </w:rPr>
              <w:t>新建</w:t>
            </w:r>
            <w:r>
              <w:rPr>
                <w:color w:val="000000"/>
              </w:rPr>
              <w:t>变电站施工期固体废弃物主要为建筑垃圾以及施工人员的生活垃圾</w:t>
            </w:r>
            <w:r>
              <w:rPr>
                <w:rFonts w:hint="eastAsia"/>
                <w:color w:val="000000"/>
              </w:rPr>
              <w:t>。</w:t>
            </w:r>
            <w:r>
              <w:rPr>
                <w:rFonts w:ascii="Segoe UI" w:hAnsi="Segoe UI" w:eastAsia="Segoe UI" w:cs="Segoe UI"/>
                <w:szCs w:val="24"/>
                <w:shd w:val="clear" w:color="auto" w:fill="FFFFFF"/>
              </w:rPr>
              <w:t>施工人员人均</w:t>
            </w:r>
            <w:r>
              <w:rPr>
                <w:rFonts w:hint="eastAsia" w:ascii="Segoe UI" w:hAnsi="Segoe UI" w:cs="Segoe UI"/>
                <w:szCs w:val="24"/>
                <w:shd w:val="clear" w:color="auto" w:fill="FFFFFF"/>
              </w:rPr>
              <w:t>生活垃圾</w:t>
            </w:r>
            <w:r>
              <w:rPr>
                <w:rFonts w:ascii="Segoe UI" w:hAnsi="Segoe UI" w:eastAsia="Segoe UI" w:cs="Segoe UI"/>
                <w:szCs w:val="24"/>
                <w:shd w:val="clear" w:color="auto" w:fill="FFFFFF"/>
              </w:rPr>
              <w:t>产生量</w:t>
            </w:r>
            <w:r>
              <w:rPr>
                <w:rFonts w:hint="eastAsia" w:ascii="Segoe UI" w:hAnsi="Segoe UI" w:cs="Segoe UI"/>
                <w:szCs w:val="24"/>
                <w:shd w:val="clear" w:color="auto" w:fill="FFFFFF"/>
              </w:rPr>
              <w:t>约</w:t>
            </w:r>
            <w:r>
              <w:rPr>
                <w:rFonts w:eastAsia="Segoe UI"/>
                <w:szCs w:val="24"/>
                <w:shd w:val="clear" w:color="auto" w:fill="FFFFFF"/>
              </w:rPr>
              <w:t>0.2kg</w:t>
            </w:r>
            <w:r>
              <w:rPr>
                <w:rFonts w:ascii="Segoe UI" w:hAnsi="Segoe UI" w:eastAsia="Segoe UI" w:cs="Segoe UI"/>
                <w:szCs w:val="24"/>
                <w:shd w:val="clear" w:color="auto" w:fill="FFFFFF"/>
              </w:rPr>
              <w:t>/</w:t>
            </w:r>
            <w:r>
              <w:rPr>
                <w:rFonts w:hint="eastAsia"/>
                <w:color w:val="000000"/>
              </w:rPr>
              <w:t>（人</w:t>
            </w:r>
            <w:r>
              <w:rPr>
                <w:color w:val="000000"/>
              </w:rPr>
              <w:t>·</w:t>
            </w:r>
            <w:r>
              <w:rPr>
                <w:rFonts w:hint="eastAsia"/>
                <w:color w:val="000000"/>
              </w:rPr>
              <w:t>d），则生活垃圾产生量约8kg/d。</w:t>
            </w:r>
          </w:p>
          <w:p>
            <w:pPr>
              <w:pStyle w:val="5"/>
              <w:rPr>
                <w:color w:val="000000"/>
              </w:rPr>
            </w:pPr>
            <w:r>
              <w:rPr>
                <w:color w:val="000000"/>
              </w:rPr>
              <w:t>输电线路工程施工期产生的固体废物主要为输电线路杆塔基础回填余土</w:t>
            </w:r>
            <w:r>
              <w:rPr>
                <w:rFonts w:hint="eastAsia"/>
                <w:color w:val="000000"/>
              </w:rPr>
              <w:t>、</w:t>
            </w:r>
            <w:r>
              <w:t>建筑垃圾、弃土弃渣</w:t>
            </w:r>
            <w:r>
              <w:rPr>
                <w:rFonts w:hint="eastAsia"/>
              </w:rPr>
              <w:t>、</w:t>
            </w:r>
            <w:r>
              <w:t>生活垃圾等。</w:t>
            </w:r>
          </w:p>
          <w:p>
            <w:pPr>
              <w:pStyle w:val="5"/>
              <w:numPr>
                <w:ilvl w:val="2"/>
                <w:numId w:val="14"/>
              </w:numPr>
              <w:ind w:firstLineChars="0"/>
              <w:rPr>
                <w:b/>
                <w:color w:val="000000"/>
                <w:kern w:val="0"/>
                <w:szCs w:val="21"/>
              </w:rPr>
            </w:pPr>
            <w:r>
              <w:rPr>
                <w:b/>
                <w:color w:val="000000"/>
                <w:kern w:val="0"/>
                <w:szCs w:val="21"/>
              </w:rPr>
              <w:t>施工期固体废物环境影响分析</w:t>
            </w:r>
          </w:p>
          <w:p>
            <w:pPr>
              <w:pStyle w:val="5"/>
              <w:rPr>
                <w:color w:val="000000"/>
              </w:rPr>
            </w:pPr>
            <w:r>
              <w:rPr>
                <w:color w:val="000000"/>
              </w:rPr>
              <w:t>施工产生的弃土弃渣、建筑垃圾若不妥善处置则会产生水土流失等环境影响，产生的生活垃圾若不妥善处置则不仅污染环境而且破坏景观。</w:t>
            </w:r>
          </w:p>
          <w:p>
            <w:pPr>
              <w:pStyle w:val="5"/>
              <w:rPr>
                <w:color w:val="000000"/>
                <w:u w:val="single"/>
              </w:rPr>
            </w:pPr>
            <w:r>
              <w:rPr>
                <w:rFonts w:hint="eastAsia"/>
                <w:color w:val="000000"/>
              </w:rPr>
              <w:t>本工程施工期产生的固体废物较少，对周围环境影响较小。</w:t>
            </w:r>
          </w:p>
          <w:p>
            <w:pPr>
              <w:pStyle w:val="5"/>
              <w:numPr>
                <w:ilvl w:val="1"/>
                <w:numId w:val="14"/>
              </w:numPr>
              <w:ind w:firstLineChars="0"/>
              <w:rPr>
                <w:b/>
                <w:color w:val="000000"/>
                <w:kern w:val="0"/>
                <w:szCs w:val="21"/>
              </w:rPr>
            </w:pPr>
            <w:r>
              <w:rPr>
                <w:b/>
                <w:color w:val="000000"/>
                <w:kern w:val="0"/>
                <w:szCs w:val="21"/>
              </w:rPr>
              <w:t>施工期声环境影响分析</w:t>
            </w:r>
          </w:p>
          <w:p>
            <w:pPr>
              <w:pStyle w:val="5"/>
              <w:numPr>
                <w:ilvl w:val="2"/>
                <w:numId w:val="14"/>
              </w:numPr>
              <w:ind w:firstLineChars="0"/>
              <w:rPr>
                <w:b/>
                <w:color w:val="000000"/>
                <w:kern w:val="0"/>
                <w:szCs w:val="21"/>
              </w:rPr>
            </w:pPr>
            <w:r>
              <w:rPr>
                <w:b/>
                <w:color w:val="000000"/>
                <w:kern w:val="0"/>
                <w:szCs w:val="21"/>
              </w:rPr>
              <w:t>噪声源</w:t>
            </w:r>
          </w:p>
          <w:p>
            <w:pPr>
              <w:pStyle w:val="5"/>
              <w:rPr>
                <w:color w:val="000000"/>
              </w:rPr>
            </w:pPr>
            <w:r>
              <w:rPr>
                <w:color w:val="000000"/>
              </w:rPr>
              <w:t>变电站施工期在挖填方、基础施工、设备安装等阶段中，可能产生施工噪声对环境的影响。噪声源主要来源于各类施工机械的运转噪声，如挖掘机、混凝土搅拌机、汽车等，噪声水平为70dB</w:t>
            </w:r>
            <w:r>
              <w:rPr>
                <w:rFonts w:hint="eastAsia"/>
                <w:color w:val="000000"/>
              </w:rPr>
              <w:t>(</w:t>
            </w:r>
            <w:r>
              <w:rPr>
                <w:color w:val="000000"/>
              </w:rPr>
              <w:t>A</w:t>
            </w:r>
            <w:r>
              <w:rPr>
                <w:rFonts w:hint="eastAsia"/>
                <w:color w:val="000000"/>
              </w:rPr>
              <w:t>)-</w:t>
            </w:r>
            <w:r>
              <w:rPr>
                <w:color w:val="000000"/>
              </w:rPr>
              <w:t>85dB</w:t>
            </w:r>
            <w:r>
              <w:rPr>
                <w:rFonts w:hint="eastAsia"/>
                <w:color w:val="000000"/>
              </w:rPr>
              <w:t>(</w:t>
            </w:r>
            <w:r>
              <w:rPr>
                <w:color w:val="000000"/>
              </w:rPr>
              <w:t>A</w:t>
            </w:r>
            <w:r>
              <w:rPr>
                <w:rFonts w:hint="eastAsia"/>
                <w:color w:val="000000"/>
              </w:rPr>
              <w:t>)</w:t>
            </w:r>
            <w:r>
              <w:rPr>
                <w:color w:val="000000"/>
              </w:rPr>
              <w:t>。</w:t>
            </w:r>
          </w:p>
          <w:p>
            <w:pPr>
              <w:pStyle w:val="5"/>
              <w:rPr>
                <w:color w:val="000000"/>
              </w:rPr>
            </w:pPr>
            <w:r>
              <w:rPr>
                <w:color w:val="000000"/>
              </w:rPr>
              <w:t>输电线路工程塔基基础施工、铁塔组立和架线活动过程中，挖掘机、牵张机、绞磨机等机械施工噪声亦可能会对线路附近的敏感点产生影响。另外，在架线过程中，各牵张场内的牵张机、绞磨机等设备也产生一定的机械噪声，线路施工噪声源声级值一般为70dB(A)</w:t>
            </w:r>
            <w:r>
              <w:rPr>
                <w:rFonts w:hint="eastAsia"/>
                <w:color w:val="000000"/>
              </w:rPr>
              <w:t>-</w:t>
            </w:r>
            <w:r>
              <w:rPr>
                <w:color w:val="000000"/>
              </w:rPr>
              <w:t>80dB(A)。</w:t>
            </w:r>
          </w:p>
          <w:p>
            <w:pPr>
              <w:pStyle w:val="5"/>
              <w:numPr>
                <w:ilvl w:val="2"/>
                <w:numId w:val="14"/>
              </w:numPr>
              <w:ind w:firstLineChars="0"/>
              <w:rPr>
                <w:b/>
                <w:color w:val="000000"/>
                <w:kern w:val="0"/>
                <w:szCs w:val="21"/>
              </w:rPr>
            </w:pPr>
            <w:r>
              <w:rPr>
                <w:b/>
                <w:color w:val="000000"/>
                <w:kern w:val="0"/>
                <w:szCs w:val="21"/>
              </w:rPr>
              <w:t>施工期声环境影响分析</w:t>
            </w:r>
          </w:p>
          <w:p>
            <w:pPr>
              <w:pStyle w:val="5"/>
              <w:rPr>
                <w:color w:val="000000"/>
              </w:rPr>
            </w:pPr>
            <w:r>
              <w:rPr>
                <w:color w:val="000000"/>
              </w:rPr>
              <w:t>（1）变电站工程声环境影响分析</w:t>
            </w:r>
          </w:p>
          <w:p>
            <w:pPr>
              <w:pStyle w:val="5"/>
              <w:rPr>
                <w:color w:val="000000"/>
              </w:rPr>
            </w:pPr>
            <w:r>
              <w:rPr>
                <w:color w:val="000000"/>
              </w:rPr>
              <w:t>施工期噪声预测计算公式如下：</w:t>
            </w:r>
          </w:p>
          <w:p>
            <w:pPr>
              <w:pStyle w:val="5"/>
              <w:ind w:firstLine="3120" w:firstLineChars="1300"/>
              <w:rPr>
                <w:color w:val="000000"/>
              </w:rPr>
            </w:pPr>
            <w:r>
              <w:rPr>
                <w:color w:val="000000"/>
              </w:rPr>
              <w:object>
                <v:shape id="_x0000_i1025" o:spt="75" type="#_x0000_t75" style="height:37.05pt;width:83.4pt;" o:ole="t" filled="f" o:preferrelative="t" stroked="f" coordsize="21600,21600">
                  <v:path/>
                  <v:fill on="f" focussize="0,0"/>
                  <v:stroke on="f" joinstyle="miter"/>
                  <v:imagedata r:id="rId31" o:title=""/>
                  <o:lock v:ext="edit" aspectratio="t"/>
                  <w10:wrap type="none"/>
                  <w10:anchorlock/>
                </v:shape>
                <o:OLEObject Type="Embed" ProgID="Equation.3" ShapeID="_x0000_i1025" DrawAspect="Content" ObjectID="_1468075725" r:id="rId30">
                  <o:LockedField>false</o:LockedField>
                </o:OLEObject>
              </w:object>
            </w:r>
          </w:p>
          <w:p>
            <w:pPr>
              <w:pStyle w:val="5"/>
              <w:rPr>
                <w:color w:val="000000"/>
              </w:rPr>
            </w:pPr>
            <w:r>
              <w:rPr>
                <w:color w:val="000000"/>
              </w:rPr>
              <w:t>式中，L</w:t>
            </w:r>
            <w:r>
              <w:rPr>
                <w:color w:val="000000"/>
                <w:vertAlign w:val="subscript"/>
              </w:rPr>
              <w:t>1</w:t>
            </w:r>
            <w:r>
              <w:rPr>
                <w:color w:val="000000"/>
              </w:rPr>
              <w:t>、L</w:t>
            </w:r>
            <w:r>
              <w:rPr>
                <w:color w:val="000000"/>
                <w:vertAlign w:val="subscript"/>
              </w:rPr>
              <w:t>2</w:t>
            </w:r>
            <w:r>
              <w:rPr>
                <w:color w:val="000000"/>
              </w:rPr>
              <w:t>－为与声源相距r</w:t>
            </w:r>
            <w:r>
              <w:rPr>
                <w:color w:val="000000"/>
                <w:vertAlign w:val="subscript"/>
              </w:rPr>
              <w:t>1</w:t>
            </w:r>
            <w:r>
              <w:rPr>
                <w:color w:val="000000"/>
              </w:rPr>
              <w:t>、r</w:t>
            </w:r>
            <w:r>
              <w:rPr>
                <w:color w:val="000000"/>
                <w:vertAlign w:val="subscript"/>
              </w:rPr>
              <w:t>2</w:t>
            </w:r>
            <w:r>
              <w:rPr>
                <w:color w:val="000000"/>
              </w:rPr>
              <w:t>处的施工噪声级，dB</w:t>
            </w:r>
            <w:r>
              <w:rPr>
                <w:rFonts w:hint="eastAsia"/>
                <w:color w:val="000000"/>
              </w:rPr>
              <w:t>(</w:t>
            </w:r>
            <w:r>
              <w:rPr>
                <w:color w:val="000000"/>
              </w:rPr>
              <w:t>A</w:t>
            </w:r>
            <w:r>
              <w:rPr>
                <w:rFonts w:hint="eastAsia"/>
                <w:color w:val="000000"/>
              </w:rPr>
              <w:t>)</w:t>
            </w:r>
            <w:r>
              <w:rPr>
                <w:color w:val="000000"/>
              </w:rPr>
              <w:t>。</w:t>
            </w:r>
          </w:p>
          <w:p>
            <w:pPr>
              <w:spacing w:line="360" w:lineRule="auto"/>
              <w:ind w:firstLine="480" w:firstLineChars="200"/>
            </w:pPr>
            <w:r>
              <w:rPr>
                <w:rFonts w:cs="宋体"/>
                <w:color w:val="000000"/>
                <w:sz w:val="24"/>
                <w:lang w:bidi="ar"/>
              </w:rPr>
              <w:t>由此公式计算各类建筑施工机械在不同距离处的噪声预测值见</w:t>
            </w:r>
            <w:r>
              <w:rPr>
                <w:rFonts w:hint="default" w:cs="宋体"/>
                <w:b w:val="0"/>
                <w:bCs w:val="0"/>
                <w:color w:val="000000"/>
                <w:sz w:val="24"/>
                <w:szCs w:val="24"/>
                <w:lang w:val="en-US" w:bidi="ar"/>
              </w:rPr>
              <w:fldChar w:fldCharType="begin"/>
            </w:r>
            <w:r>
              <w:rPr>
                <w:b w:val="0"/>
                <w:bCs w:val="0"/>
              </w:rPr>
              <w:instrText xml:space="preserve"> REF _Ref7756 \h  \* MERGEFORMAT</w:instrText>
            </w:r>
            <w:r>
              <w:rPr>
                <w:rFonts w:hint="default" w:cs="宋体"/>
                <w:b w:val="0"/>
                <w:bCs w:val="0"/>
                <w:color w:val="000000"/>
                <w:sz w:val="24"/>
                <w:szCs w:val="24"/>
                <w:lang w:val="en-US" w:bidi="ar"/>
              </w:rPr>
              <w:fldChar w:fldCharType="separate"/>
            </w:r>
            <w:r>
              <w:rPr>
                <w:rFonts w:ascii="Times New Roman" w:hAnsi="Times New Roman" w:eastAsia="宋体"/>
                <w:b w:val="0"/>
                <w:bCs w:val="0"/>
                <w:sz w:val="24"/>
                <w:szCs w:val="24"/>
              </w:rPr>
              <w:t>表16</w:t>
            </w:r>
            <w:r>
              <w:rPr>
                <w:rFonts w:hint="default" w:cs="宋体"/>
                <w:b w:val="0"/>
                <w:bCs w:val="0"/>
                <w:color w:val="000000"/>
                <w:sz w:val="24"/>
                <w:szCs w:val="24"/>
                <w:lang w:val="en-US" w:bidi="ar"/>
              </w:rPr>
              <w:fldChar w:fldCharType="end"/>
            </w:r>
            <w:r>
              <w:rPr>
                <w:rFonts w:cs="宋体"/>
                <w:color w:val="000000"/>
                <w:sz w:val="24"/>
                <w:lang w:bidi="ar"/>
              </w:rPr>
              <w:t>。</w:t>
            </w:r>
          </w:p>
          <w:p>
            <w:pPr>
              <w:pStyle w:val="10"/>
              <w:jc w:val="left"/>
              <w:rPr>
                <w:rFonts w:eastAsia="宋体"/>
              </w:rPr>
            </w:pPr>
            <w:bookmarkStart w:id="595" w:name="_Ref7756"/>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16</w:t>
            </w:r>
            <w:r>
              <w:rPr>
                <w:rFonts w:ascii="Times New Roman" w:hAnsi="Times New Roman" w:eastAsia="宋体"/>
                <w:b/>
                <w:bCs/>
              </w:rPr>
              <w:fldChar w:fldCharType="end"/>
            </w:r>
            <w:bookmarkEnd w:id="595"/>
            <w:r>
              <w:rPr>
                <w:rFonts w:ascii="Times New Roman" w:hAnsi="Times New Roman" w:eastAsia="宋体"/>
                <w:b/>
                <w:bCs/>
              </w:rPr>
              <w:t>距离噪声源不同距离所产生的噪声值</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065"/>
              <w:gridCol w:w="1032"/>
              <w:gridCol w:w="1033"/>
              <w:gridCol w:w="1033"/>
              <w:gridCol w:w="1033"/>
              <w:gridCol w:w="1033"/>
              <w:gridCol w:w="1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031" w:type="dxa"/>
                  <w:vMerge w:val="restart"/>
                  <w:vAlign w:val="center"/>
                </w:tcPr>
                <w:p>
                  <w:pPr>
                    <w:snapToGrid w:val="0"/>
                    <w:jc w:val="center"/>
                    <w:rPr>
                      <w:szCs w:val="21"/>
                    </w:rPr>
                  </w:pPr>
                  <w:r>
                    <w:rPr>
                      <w:rFonts w:hint="eastAsia"/>
                      <w:szCs w:val="21"/>
                    </w:rPr>
                    <w:t>机械类型</w:t>
                  </w:r>
                </w:p>
              </w:tc>
              <w:tc>
                <w:tcPr>
                  <w:tcW w:w="7268" w:type="dxa"/>
                  <w:gridSpan w:val="7"/>
                  <w:vAlign w:val="center"/>
                </w:tcPr>
                <w:p>
                  <w:pPr>
                    <w:snapToGrid w:val="0"/>
                    <w:jc w:val="center"/>
                    <w:rPr>
                      <w:szCs w:val="21"/>
                    </w:rPr>
                  </w:pPr>
                  <w:r>
                    <w:rPr>
                      <w:rFonts w:hint="eastAsia"/>
                      <w:szCs w:val="21"/>
                    </w:rPr>
                    <w:t>噪声预测值（dB（A））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031" w:type="dxa"/>
                  <w:vMerge w:val="continue"/>
                  <w:vAlign w:val="center"/>
                </w:tcPr>
                <w:p>
                  <w:pPr>
                    <w:snapToGrid w:val="0"/>
                    <w:jc w:val="center"/>
                    <w:rPr>
                      <w:szCs w:val="21"/>
                    </w:rPr>
                  </w:pPr>
                </w:p>
              </w:tc>
              <w:tc>
                <w:tcPr>
                  <w:tcW w:w="1065" w:type="dxa"/>
                  <w:vAlign w:val="center"/>
                </w:tcPr>
                <w:p>
                  <w:pPr>
                    <w:snapToGrid w:val="0"/>
                    <w:jc w:val="center"/>
                    <w:rPr>
                      <w:szCs w:val="21"/>
                    </w:rPr>
                  </w:pPr>
                  <w:r>
                    <w:rPr>
                      <w:rFonts w:hint="eastAsia"/>
                      <w:szCs w:val="21"/>
                    </w:rPr>
                    <w:t>10m</w:t>
                  </w:r>
                </w:p>
              </w:tc>
              <w:tc>
                <w:tcPr>
                  <w:tcW w:w="1032" w:type="dxa"/>
                  <w:vAlign w:val="center"/>
                </w:tcPr>
                <w:p>
                  <w:pPr>
                    <w:snapToGrid w:val="0"/>
                    <w:jc w:val="center"/>
                    <w:rPr>
                      <w:szCs w:val="21"/>
                    </w:rPr>
                  </w:pPr>
                  <w:r>
                    <w:rPr>
                      <w:rFonts w:hint="eastAsia"/>
                      <w:szCs w:val="21"/>
                    </w:rPr>
                    <w:t>20m</w:t>
                  </w:r>
                </w:p>
              </w:tc>
              <w:tc>
                <w:tcPr>
                  <w:tcW w:w="1033" w:type="dxa"/>
                  <w:vAlign w:val="center"/>
                </w:tcPr>
                <w:p>
                  <w:pPr>
                    <w:snapToGrid w:val="0"/>
                    <w:jc w:val="center"/>
                    <w:rPr>
                      <w:szCs w:val="21"/>
                    </w:rPr>
                  </w:pPr>
                  <w:r>
                    <w:rPr>
                      <w:rFonts w:hint="eastAsia"/>
                      <w:szCs w:val="21"/>
                    </w:rPr>
                    <w:t>40m</w:t>
                  </w:r>
                </w:p>
              </w:tc>
              <w:tc>
                <w:tcPr>
                  <w:tcW w:w="1033" w:type="dxa"/>
                  <w:vAlign w:val="center"/>
                </w:tcPr>
                <w:p>
                  <w:pPr>
                    <w:snapToGrid w:val="0"/>
                    <w:jc w:val="center"/>
                    <w:rPr>
                      <w:szCs w:val="21"/>
                    </w:rPr>
                  </w:pPr>
                  <w:r>
                    <w:rPr>
                      <w:rFonts w:hint="eastAsia"/>
                      <w:szCs w:val="21"/>
                    </w:rPr>
                    <w:t>50m</w:t>
                  </w:r>
                </w:p>
              </w:tc>
              <w:tc>
                <w:tcPr>
                  <w:tcW w:w="1033" w:type="dxa"/>
                  <w:vAlign w:val="center"/>
                </w:tcPr>
                <w:p>
                  <w:pPr>
                    <w:snapToGrid w:val="0"/>
                    <w:jc w:val="center"/>
                    <w:rPr>
                      <w:szCs w:val="21"/>
                    </w:rPr>
                  </w:pPr>
                  <w:r>
                    <w:rPr>
                      <w:rFonts w:hint="eastAsia"/>
                      <w:szCs w:val="21"/>
                    </w:rPr>
                    <w:t>100m</w:t>
                  </w:r>
                </w:p>
              </w:tc>
              <w:tc>
                <w:tcPr>
                  <w:tcW w:w="1033" w:type="dxa"/>
                  <w:vAlign w:val="center"/>
                </w:tcPr>
                <w:p>
                  <w:pPr>
                    <w:snapToGrid w:val="0"/>
                    <w:jc w:val="center"/>
                    <w:rPr>
                      <w:szCs w:val="21"/>
                    </w:rPr>
                  </w:pPr>
                  <w:r>
                    <w:rPr>
                      <w:rFonts w:hint="eastAsia"/>
                      <w:szCs w:val="21"/>
                    </w:rPr>
                    <w:t>150m</w:t>
                  </w:r>
                </w:p>
              </w:tc>
              <w:tc>
                <w:tcPr>
                  <w:tcW w:w="1039" w:type="dxa"/>
                  <w:vAlign w:val="center"/>
                </w:tcPr>
                <w:p>
                  <w:pPr>
                    <w:snapToGrid w:val="0"/>
                    <w:jc w:val="center"/>
                    <w:rPr>
                      <w:szCs w:val="21"/>
                    </w:rPr>
                  </w:pPr>
                  <w:r>
                    <w:rPr>
                      <w:rFonts w:hint="eastAsia"/>
                      <w:szCs w:val="21"/>
                    </w:rPr>
                    <w:t>200m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031" w:type="dxa"/>
                  <w:vAlign w:val="center"/>
                </w:tcPr>
                <w:p>
                  <w:pPr>
                    <w:snapToGrid w:val="0"/>
                    <w:jc w:val="center"/>
                    <w:rPr>
                      <w:szCs w:val="21"/>
                    </w:rPr>
                  </w:pPr>
                  <w:r>
                    <w:rPr>
                      <w:rFonts w:hint="eastAsia"/>
                      <w:szCs w:val="21"/>
                    </w:rPr>
                    <w:t>混凝土搅拌车</w:t>
                  </w:r>
                </w:p>
              </w:tc>
              <w:tc>
                <w:tcPr>
                  <w:tcW w:w="1065" w:type="dxa"/>
                  <w:vAlign w:val="center"/>
                </w:tcPr>
                <w:p>
                  <w:pPr>
                    <w:snapToGrid w:val="0"/>
                    <w:jc w:val="center"/>
                    <w:rPr>
                      <w:szCs w:val="21"/>
                    </w:rPr>
                  </w:pPr>
                  <w:r>
                    <w:rPr>
                      <w:rFonts w:hint="eastAsia"/>
                      <w:szCs w:val="21"/>
                    </w:rPr>
                    <w:t>71.2</w:t>
                  </w:r>
                </w:p>
              </w:tc>
              <w:tc>
                <w:tcPr>
                  <w:tcW w:w="1032" w:type="dxa"/>
                  <w:vAlign w:val="center"/>
                </w:tcPr>
                <w:p>
                  <w:pPr>
                    <w:snapToGrid w:val="0"/>
                    <w:jc w:val="center"/>
                    <w:rPr>
                      <w:szCs w:val="21"/>
                    </w:rPr>
                  </w:pPr>
                  <w:r>
                    <w:rPr>
                      <w:rFonts w:hint="eastAsia"/>
                      <w:szCs w:val="21"/>
                    </w:rPr>
                    <w:t>61.5</w:t>
                  </w:r>
                </w:p>
              </w:tc>
              <w:tc>
                <w:tcPr>
                  <w:tcW w:w="1033" w:type="dxa"/>
                  <w:vAlign w:val="center"/>
                </w:tcPr>
                <w:p>
                  <w:pPr>
                    <w:snapToGrid w:val="0"/>
                    <w:jc w:val="center"/>
                    <w:rPr>
                      <w:szCs w:val="21"/>
                    </w:rPr>
                  </w:pPr>
                  <w:r>
                    <w:rPr>
                      <w:rFonts w:hint="eastAsia"/>
                      <w:szCs w:val="21"/>
                    </w:rPr>
                    <w:t>54.1</w:t>
                  </w:r>
                </w:p>
              </w:tc>
              <w:tc>
                <w:tcPr>
                  <w:tcW w:w="1033" w:type="dxa"/>
                  <w:vAlign w:val="center"/>
                </w:tcPr>
                <w:p>
                  <w:pPr>
                    <w:snapToGrid w:val="0"/>
                    <w:jc w:val="center"/>
                    <w:rPr>
                      <w:szCs w:val="21"/>
                    </w:rPr>
                  </w:pPr>
                  <w:r>
                    <w:rPr>
                      <w:rFonts w:hint="eastAsia"/>
                      <w:szCs w:val="21"/>
                    </w:rPr>
                    <w:t>51.9</w:t>
                  </w:r>
                </w:p>
              </w:tc>
              <w:tc>
                <w:tcPr>
                  <w:tcW w:w="1033" w:type="dxa"/>
                  <w:vAlign w:val="center"/>
                </w:tcPr>
                <w:p>
                  <w:pPr>
                    <w:snapToGrid w:val="0"/>
                    <w:jc w:val="center"/>
                    <w:rPr>
                      <w:szCs w:val="21"/>
                    </w:rPr>
                  </w:pPr>
                  <w:r>
                    <w:rPr>
                      <w:rFonts w:hint="eastAsia"/>
                      <w:szCs w:val="21"/>
                    </w:rPr>
                    <w:t>45.4</w:t>
                  </w:r>
                </w:p>
              </w:tc>
              <w:tc>
                <w:tcPr>
                  <w:tcW w:w="1033" w:type="dxa"/>
                  <w:vAlign w:val="center"/>
                </w:tcPr>
                <w:p>
                  <w:pPr>
                    <w:snapToGrid w:val="0"/>
                    <w:jc w:val="center"/>
                    <w:rPr>
                      <w:szCs w:val="21"/>
                    </w:rPr>
                  </w:pPr>
                  <w:r>
                    <w:rPr>
                      <w:rFonts w:hint="eastAsia"/>
                      <w:szCs w:val="21"/>
                    </w:rPr>
                    <w:t>41.5</w:t>
                  </w:r>
                </w:p>
              </w:tc>
              <w:tc>
                <w:tcPr>
                  <w:tcW w:w="1039" w:type="dxa"/>
                  <w:vAlign w:val="center"/>
                </w:tcPr>
                <w:p>
                  <w:pPr>
                    <w:snapToGrid w:val="0"/>
                    <w:jc w:val="center"/>
                    <w:rPr>
                      <w:szCs w:val="21"/>
                    </w:rPr>
                  </w:pPr>
                  <w:r>
                    <w:rPr>
                      <w:rFonts w:hint="eastAsia"/>
                      <w:szCs w:val="21"/>
                    </w:rPr>
                    <w:t>38.9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031" w:type="dxa"/>
                  <w:vAlign w:val="center"/>
                </w:tcPr>
                <w:p>
                  <w:pPr>
                    <w:snapToGrid w:val="0"/>
                    <w:jc w:val="center"/>
                    <w:rPr>
                      <w:szCs w:val="21"/>
                    </w:rPr>
                  </w:pPr>
                  <w:r>
                    <w:rPr>
                      <w:rFonts w:hint="eastAsia"/>
                      <w:szCs w:val="21"/>
                    </w:rPr>
                    <w:t>铲料机</w:t>
                  </w:r>
                </w:p>
              </w:tc>
              <w:tc>
                <w:tcPr>
                  <w:tcW w:w="1065" w:type="dxa"/>
                  <w:vAlign w:val="center"/>
                </w:tcPr>
                <w:p>
                  <w:pPr>
                    <w:snapToGrid w:val="0"/>
                    <w:jc w:val="center"/>
                    <w:rPr>
                      <w:szCs w:val="21"/>
                    </w:rPr>
                  </w:pPr>
                  <w:r>
                    <w:rPr>
                      <w:rFonts w:hint="eastAsia"/>
                      <w:szCs w:val="21"/>
                    </w:rPr>
                    <w:t>71.2</w:t>
                  </w:r>
                </w:p>
              </w:tc>
              <w:tc>
                <w:tcPr>
                  <w:tcW w:w="1032" w:type="dxa"/>
                  <w:vAlign w:val="center"/>
                </w:tcPr>
                <w:p>
                  <w:pPr>
                    <w:snapToGrid w:val="0"/>
                    <w:jc w:val="center"/>
                    <w:rPr>
                      <w:szCs w:val="21"/>
                    </w:rPr>
                  </w:pPr>
                  <w:r>
                    <w:rPr>
                      <w:rFonts w:hint="eastAsia"/>
                      <w:szCs w:val="21"/>
                    </w:rPr>
                    <w:t>61.5</w:t>
                  </w:r>
                </w:p>
              </w:tc>
              <w:tc>
                <w:tcPr>
                  <w:tcW w:w="1033" w:type="dxa"/>
                  <w:vAlign w:val="center"/>
                </w:tcPr>
                <w:p>
                  <w:pPr>
                    <w:snapToGrid w:val="0"/>
                    <w:jc w:val="center"/>
                    <w:rPr>
                      <w:szCs w:val="21"/>
                    </w:rPr>
                  </w:pPr>
                  <w:r>
                    <w:rPr>
                      <w:rFonts w:hint="eastAsia"/>
                      <w:szCs w:val="21"/>
                    </w:rPr>
                    <w:t>54.1</w:t>
                  </w:r>
                </w:p>
              </w:tc>
              <w:tc>
                <w:tcPr>
                  <w:tcW w:w="1033" w:type="dxa"/>
                  <w:vAlign w:val="center"/>
                </w:tcPr>
                <w:p>
                  <w:pPr>
                    <w:snapToGrid w:val="0"/>
                    <w:jc w:val="center"/>
                    <w:rPr>
                      <w:szCs w:val="21"/>
                    </w:rPr>
                  </w:pPr>
                  <w:r>
                    <w:rPr>
                      <w:rFonts w:hint="eastAsia"/>
                      <w:szCs w:val="21"/>
                    </w:rPr>
                    <w:t>51.9</w:t>
                  </w:r>
                </w:p>
              </w:tc>
              <w:tc>
                <w:tcPr>
                  <w:tcW w:w="1033" w:type="dxa"/>
                  <w:vAlign w:val="center"/>
                </w:tcPr>
                <w:p>
                  <w:pPr>
                    <w:snapToGrid w:val="0"/>
                    <w:jc w:val="center"/>
                    <w:rPr>
                      <w:szCs w:val="21"/>
                    </w:rPr>
                  </w:pPr>
                  <w:r>
                    <w:rPr>
                      <w:rFonts w:hint="eastAsia"/>
                      <w:szCs w:val="21"/>
                    </w:rPr>
                    <w:t>45.4</w:t>
                  </w:r>
                </w:p>
              </w:tc>
              <w:tc>
                <w:tcPr>
                  <w:tcW w:w="1033" w:type="dxa"/>
                  <w:vAlign w:val="center"/>
                </w:tcPr>
                <w:p>
                  <w:pPr>
                    <w:snapToGrid w:val="0"/>
                    <w:jc w:val="center"/>
                    <w:rPr>
                      <w:szCs w:val="21"/>
                    </w:rPr>
                  </w:pPr>
                  <w:r>
                    <w:rPr>
                      <w:rFonts w:hint="eastAsia"/>
                      <w:szCs w:val="21"/>
                    </w:rPr>
                    <w:t>41.5</w:t>
                  </w:r>
                </w:p>
              </w:tc>
              <w:tc>
                <w:tcPr>
                  <w:tcW w:w="1039" w:type="dxa"/>
                  <w:vAlign w:val="center"/>
                </w:tcPr>
                <w:p>
                  <w:pPr>
                    <w:snapToGrid w:val="0"/>
                    <w:jc w:val="center"/>
                    <w:rPr>
                      <w:szCs w:val="21"/>
                    </w:rPr>
                  </w:pPr>
                  <w:r>
                    <w:rPr>
                      <w:rFonts w:hint="eastAsia"/>
                      <w:szCs w:val="21"/>
                    </w:rPr>
                    <w:t>38.9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031" w:type="dxa"/>
                  <w:vAlign w:val="center"/>
                </w:tcPr>
                <w:p>
                  <w:pPr>
                    <w:snapToGrid w:val="0"/>
                    <w:jc w:val="center"/>
                    <w:rPr>
                      <w:szCs w:val="21"/>
                    </w:rPr>
                  </w:pPr>
                  <w:r>
                    <w:rPr>
                      <w:rFonts w:hint="eastAsia"/>
                      <w:szCs w:val="21"/>
                    </w:rPr>
                    <w:t>挖掘机</w:t>
                  </w:r>
                </w:p>
              </w:tc>
              <w:tc>
                <w:tcPr>
                  <w:tcW w:w="1065" w:type="dxa"/>
                  <w:vAlign w:val="center"/>
                </w:tcPr>
                <w:p>
                  <w:pPr>
                    <w:snapToGrid w:val="0"/>
                    <w:jc w:val="center"/>
                    <w:rPr>
                      <w:szCs w:val="21"/>
                    </w:rPr>
                  </w:pPr>
                  <w:r>
                    <w:rPr>
                      <w:rFonts w:hint="eastAsia"/>
                      <w:szCs w:val="21"/>
                    </w:rPr>
                    <w:t>71.2</w:t>
                  </w:r>
                </w:p>
              </w:tc>
              <w:tc>
                <w:tcPr>
                  <w:tcW w:w="1032" w:type="dxa"/>
                  <w:vAlign w:val="center"/>
                </w:tcPr>
                <w:p>
                  <w:pPr>
                    <w:snapToGrid w:val="0"/>
                    <w:jc w:val="center"/>
                    <w:rPr>
                      <w:szCs w:val="21"/>
                    </w:rPr>
                  </w:pPr>
                  <w:r>
                    <w:rPr>
                      <w:rFonts w:hint="eastAsia"/>
                      <w:szCs w:val="21"/>
                    </w:rPr>
                    <w:t>61.5</w:t>
                  </w:r>
                </w:p>
              </w:tc>
              <w:tc>
                <w:tcPr>
                  <w:tcW w:w="1033" w:type="dxa"/>
                  <w:vAlign w:val="center"/>
                </w:tcPr>
                <w:p>
                  <w:pPr>
                    <w:snapToGrid w:val="0"/>
                    <w:jc w:val="center"/>
                    <w:rPr>
                      <w:szCs w:val="21"/>
                    </w:rPr>
                  </w:pPr>
                  <w:r>
                    <w:rPr>
                      <w:rFonts w:hint="eastAsia"/>
                      <w:szCs w:val="21"/>
                    </w:rPr>
                    <w:t>54.1</w:t>
                  </w:r>
                </w:p>
              </w:tc>
              <w:tc>
                <w:tcPr>
                  <w:tcW w:w="1033" w:type="dxa"/>
                  <w:vAlign w:val="center"/>
                </w:tcPr>
                <w:p>
                  <w:pPr>
                    <w:snapToGrid w:val="0"/>
                    <w:jc w:val="center"/>
                    <w:rPr>
                      <w:szCs w:val="21"/>
                    </w:rPr>
                  </w:pPr>
                  <w:r>
                    <w:rPr>
                      <w:rFonts w:hint="eastAsia"/>
                      <w:szCs w:val="21"/>
                    </w:rPr>
                    <w:t>51.9</w:t>
                  </w:r>
                </w:p>
              </w:tc>
              <w:tc>
                <w:tcPr>
                  <w:tcW w:w="1033" w:type="dxa"/>
                  <w:vAlign w:val="center"/>
                </w:tcPr>
                <w:p>
                  <w:pPr>
                    <w:snapToGrid w:val="0"/>
                    <w:jc w:val="center"/>
                    <w:rPr>
                      <w:szCs w:val="21"/>
                    </w:rPr>
                  </w:pPr>
                  <w:r>
                    <w:rPr>
                      <w:rFonts w:hint="eastAsia"/>
                      <w:szCs w:val="21"/>
                    </w:rPr>
                    <w:t>45.4</w:t>
                  </w:r>
                </w:p>
              </w:tc>
              <w:tc>
                <w:tcPr>
                  <w:tcW w:w="1033" w:type="dxa"/>
                  <w:vAlign w:val="center"/>
                </w:tcPr>
                <w:p>
                  <w:pPr>
                    <w:snapToGrid w:val="0"/>
                    <w:jc w:val="center"/>
                    <w:rPr>
                      <w:szCs w:val="21"/>
                    </w:rPr>
                  </w:pPr>
                  <w:r>
                    <w:rPr>
                      <w:rFonts w:hint="eastAsia"/>
                      <w:szCs w:val="21"/>
                    </w:rPr>
                    <w:t>41.5</w:t>
                  </w:r>
                </w:p>
              </w:tc>
              <w:tc>
                <w:tcPr>
                  <w:tcW w:w="1039" w:type="dxa"/>
                  <w:vAlign w:val="center"/>
                </w:tcPr>
                <w:p>
                  <w:pPr>
                    <w:snapToGrid w:val="0"/>
                    <w:jc w:val="center"/>
                    <w:rPr>
                      <w:szCs w:val="21"/>
                    </w:rPr>
                  </w:pPr>
                  <w:r>
                    <w:rPr>
                      <w:rFonts w:hint="eastAsia"/>
                      <w:szCs w:val="21"/>
                    </w:rPr>
                    <w:t>38.9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031" w:type="dxa"/>
                  <w:vAlign w:val="center"/>
                </w:tcPr>
                <w:p>
                  <w:pPr>
                    <w:snapToGrid w:val="0"/>
                    <w:jc w:val="center"/>
                    <w:rPr>
                      <w:szCs w:val="21"/>
                    </w:rPr>
                  </w:pPr>
                  <w:r>
                    <w:rPr>
                      <w:rFonts w:hint="eastAsia"/>
                      <w:szCs w:val="21"/>
                    </w:rPr>
                    <w:t>起重机</w:t>
                  </w:r>
                </w:p>
              </w:tc>
              <w:tc>
                <w:tcPr>
                  <w:tcW w:w="1065" w:type="dxa"/>
                  <w:vAlign w:val="center"/>
                </w:tcPr>
                <w:p>
                  <w:pPr>
                    <w:snapToGrid w:val="0"/>
                    <w:jc w:val="center"/>
                    <w:rPr>
                      <w:szCs w:val="21"/>
                    </w:rPr>
                  </w:pPr>
                  <w:r>
                    <w:rPr>
                      <w:rFonts w:hint="eastAsia"/>
                      <w:szCs w:val="21"/>
                    </w:rPr>
                    <w:t>76.1</w:t>
                  </w:r>
                </w:p>
              </w:tc>
              <w:tc>
                <w:tcPr>
                  <w:tcW w:w="1032" w:type="dxa"/>
                  <w:vAlign w:val="center"/>
                </w:tcPr>
                <w:p>
                  <w:pPr>
                    <w:snapToGrid w:val="0"/>
                    <w:jc w:val="center"/>
                    <w:rPr>
                      <w:szCs w:val="21"/>
                    </w:rPr>
                  </w:pPr>
                  <w:r>
                    <w:rPr>
                      <w:rFonts w:hint="eastAsia"/>
                      <w:szCs w:val="21"/>
                    </w:rPr>
                    <w:t>66.5</w:t>
                  </w:r>
                </w:p>
              </w:tc>
              <w:tc>
                <w:tcPr>
                  <w:tcW w:w="1033" w:type="dxa"/>
                  <w:vAlign w:val="center"/>
                </w:tcPr>
                <w:p>
                  <w:pPr>
                    <w:snapToGrid w:val="0"/>
                    <w:jc w:val="center"/>
                    <w:rPr>
                      <w:szCs w:val="21"/>
                    </w:rPr>
                  </w:pPr>
                  <w:r>
                    <w:rPr>
                      <w:rFonts w:hint="eastAsia"/>
                      <w:szCs w:val="21"/>
                    </w:rPr>
                    <w:t>59.1</w:t>
                  </w:r>
                </w:p>
              </w:tc>
              <w:tc>
                <w:tcPr>
                  <w:tcW w:w="1033" w:type="dxa"/>
                  <w:vAlign w:val="center"/>
                </w:tcPr>
                <w:p>
                  <w:pPr>
                    <w:snapToGrid w:val="0"/>
                    <w:jc w:val="center"/>
                    <w:rPr>
                      <w:szCs w:val="21"/>
                    </w:rPr>
                  </w:pPr>
                  <w:r>
                    <w:rPr>
                      <w:rFonts w:hint="eastAsia"/>
                      <w:szCs w:val="21"/>
                    </w:rPr>
                    <w:t>56.8</w:t>
                  </w:r>
                </w:p>
              </w:tc>
              <w:tc>
                <w:tcPr>
                  <w:tcW w:w="1033" w:type="dxa"/>
                  <w:vAlign w:val="center"/>
                </w:tcPr>
                <w:p>
                  <w:pPr>
                    <w:snapToGrid w:val="0"/>
                    <w:jc w:val="center"/>
                    <w:rPr>
                      <w:szCs w:val="21"/>
                    </w:rPr>
                  </w:pPr>
                  <w:r>
                    <w:rPr>
                      <w:rFonts w:hint="eastAsia"/>
                      <w:szCs w:val="21"/>
                    </w:rPr>
                    <w:t>50.4</w:t>
                  </w:r>
                </w:p>
              </w:tc>
              <w:tc>
                <w:tcPr>
                  <w:tcW w:w="1033" w:type="dxa"/>
                  <w:vAlign w:val="center"/>
                </w:tcPr>
                <w:p>
                  <w:pPr>
                    <w:snapToGrid w:val="0"/>
                    <w:jc w:val="center"/>
                    <w:rPr>
                      <w:szCs w:val="21"/>
                    </w:rPr>
                  </w:pPr>
                  <w:r>
                    <w:rPr>
                      <w:rFonts w:hint="eastAsia"/>
                      <w:szCs w:val="21"/>
                    </w:rPr>
                    <w:t>46.8</w:t>
                  </w:r>
                </w:p>
              </w:tc>
              <w:tc>
                <w:tcPr>
                  <w:tcW w:w="1039" w:type="dxa"/>
                  <w:vAlign w:val="center"/>
                </w:tcPr>
                <w:p>
                  <w:pPr>
                    <w:snapToGrid w:val="0"/>
                    <w:jc w:val="center"/>
                    <w:rPr>
                      <w:szCs w:val="21"/>
                    </w:rPr>
                  </w:pPr>
                  <w:r>
                    <w:rPr>
                      <w:rFonts w:hint="eastAsia"/>
                      <w:szCs w:val="21"/>
                    </w:rPr>
                    <w:t>44.2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031" w:type="dxa"/>
                  <w:vAlign w:val="center"/>
                </w:tcPr>
                <w:p>
                  <w:pPr>
                    <w:snapToGrid w:val="0"/>
                    <w:jc w:val="center"/>
                    <w:rPr>
                      <w:szCs w:val="21"/>
                    </w:rPr>
                  </w:pPr>
                  <w:r>
                    <w:rPr>
                      <w:rFonts w:hint="eastAsia"/>
                      <w:szCs w:val="21"/>
                    </w:rPr>
                    <w:t>推土机</w:t>
                  </w:r>
                </w:p>
              </w:tc>
              <w:tc>
                <w:tcPr>
                  <w:tcW w:w="1065" w:type="dxa"/>
                  <w:vAlign w:val="center"/>
                </w:tcPr>
                <w:p>
                  <w:pPr>
                    <w:snapToGrid w:val="0"/>
                    <w:jc w:val="center"/>
                    <w:rPr>
                      <w:szCs w:val="21"/>
                    </w:rPr>
                  </w:pPr>
                  <w:r>
                    <w:rPr>
                      <w:rFonts w:hint="eastAsia"/>
                      <w:szCs w:val="21"/>
                    </w:rPr>
                    <w:t>71.2</w:t>
                  </w:r>
                </w:p>
              </w:tc>
              <w:tc>
                <w:tcPr>
                  <w:tcW w:w="1032" w:type="dxa"/>
                  <w:vAlign w:val="center"/>
                </w:tcPr>
                <w:p>
                  <w:pPr>
                    <w:snapToGrid w:val="0"/>
                    <w:jc w:val="center"/>
                    <w:rPr>
                      <w:szCs w:val="21"/>
                    </w:rPr>
                  </w:pPr>
                  <w:r>
                    <w:rPr>
                      <w:rFonts w:hint="eastAsia"/>
                      <w:szCs w:val="21"/>
                    </w:rPr>
                    <w:t>61.5</w:t>
                  </w:r>
                </w:p>
              </w:tc>
              <w:tc>
                <w:tcPr>
                  <w:tcW w:w="1033" w:type="dxa"/>
                  <w:vAlign w:val="center"/>
                </w:tcPr>
                <w:p>
                  <w:pPr>
                    <w:snapToGrid w:val="0"/>
                    <w:jc w:val="center"/>
                    <w:rPr>
                      <w:szCs w:val="21"/>
                    </w:rPr>
                  </w:pPr>
                  <w:r>
                    <w:rPr>
                      <w:rFonts w:hint="eastAsia"/>
                      <w:szCs w:val="21"/>
                    </w:rPr>
                    <w:t>54.1</w:t>
                  </w:r>
                </w:p>
              </w:tc>
              <w:tc>
                <w:tcPr>
                  <w:tcW w:w="1033" w:type="dxa"/>
                  <w:vAlign w:val="center"/>
                </w:tcPr>
                <w:p>
                  <w:pPr>
                    <w:snapToGrid w:val="0"/>
                    <w:jc w:val="center"/>
                    <w:rPr>
                      <w:szCs w:val="21"/>
                    </w:rPr>
                  </w:pPr>
                  <w:r>
                    <w:rPr>
                      <w:rFonts w:hint="eastAsia"/>
                      <w:szCs w:val="21"/>
                    </w:rPr>
                    <w:t>51.9</w:t>
                  </w:r>
                </w:p>
              </w:tc>
              <w:tc>
                <w:tcPr>
                  <w:tcW w:w="1033" w:type="dxa"/>
                  <w:vAlign w:val="center"/>
                </w:tcPr>
                <w:p>
                  <w:pPr>
                    <w:snapToGrid w:val="0"/>
                    <w:jc w:val="center"/>
                    <w:rPr>
                      <w:szCs w:val="21"/>
                    </w:rPr>
                  </w:pPr>
                  <w:r>
                    <w:rPr>
                      <w:rFonts w:hint="eastAsia"/>
                      <w:szCs w:val="21"/>
                    </w:rPr>
                    <w:t>45.4</w:t>
                  </w:r>
                </w:p>
              </w:tc>
              <w:tc>
                <w:tcPr>
                  <w:tcW w:w="1033" w:type="dxa"/>
                  <w:vAlign w:val="center"/>
                </w:tcPr>
                <w:p>
                  <w:pPr>
                    <w:snapToGrid w:val="0"/>
                    <w:jc w:val="center"/>
                    <w:rPr>
                      <w:szCs w:val="21"/>
                    </w:rPr>
                  </w:pPr>
                  <w:r>
                    <w:rPr>
                      <w:rFonts w:hint="eastAsia"/>
                      <w:szCs w:val="21"/>
                    </w:rPr>
                    <w:t>41.5</w:t>
                  </w:r>
                </w:p>
              </w:tc>
              <w:tc>
                <w:tcPr>
                  <w:tcW w:w="1039" w:type="dxa"/>
                  <w:vAlign w:val="center"/>
                </w:tcPr>
                <w:p>
                  <w:pPr>
                    <w:snapToGrid w:val="0"/>
                    <w:jc w:val="center"/>
                    <w:rPr>
                      <w:szCs w:val="21"/>
                    </w:rPr>
                  </w:pPr>
                  <w:r>
                    <w:rPr>
                      <w:rFonts w:hint="eastAsia"/>
                      <w:szCs w:val="21"/>
                    </w:rPr>
                    <w:t>38.9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031" w:type="dxa"/>
                  <w:vAlign w:val="center"/>
                </w:tcPr>
                <w:p>
                  <w:pPr>
                    <w:snapToGrid w:val="0"/>
                    <w:jc w:val="center"/>
                    <w:rPr>
                      <w:szCs w:val="21"/>
                    </w:rPr>
                  </w:pPr>
                  <w:r>
                    <w:rPr>
                      <w:rFonts w:hint="eastAsia"/>
                      <w:szCs w:val="21"/>
                    </w:rPr>
                    <w:t>切割机</w:t>
                  </w:r>
                </w:p>
              </w:tc>
              <w:tc>
                <w:tcPr>
                  <w:tcW w:w="1065" w:type="dxa"/>
                  <w:vAlign w:val="center"/>
                </w:tcPr>
                <w:p>
                  <w:pPr>
                    <w:snapToGrid w:val="0"/>
                    <w:jc w:val="center"/>
                    <w:rPr>
                      <w:szCs w:val="21"/>
                    </w:rPr>
                  </w:pPr>
                  <w:r>
                    <w:rPr>
                      <w:rFonts w:hint="eastAsia"/>
                      <w:szCs w:val="21"/>
                    </w:rPr>
                    <w:t>81.1</w:t>
                  </w:r>
                </w:p>
              </w:tc>
              <w:tc>
                <w:tcPr>
                  <w:tcW w:w="1032" w:type="dxa"/>
                  <w:vAlign w:val="center"/>
                </w:tcPr>
                <w:p>
                  <w:pPr>
                    <w:snapToGrid w:val="0"/>
                    <w:jc w:val="center"/>
                    <w:rPr>
                      <w:szCs w:val="21"/>
                    </w:rPr>
                  </w:pPr>
                  <w:r>
                    <w:rPr>
                      <w:rFonts w:hint="eastAsia"/>
                      <w:szCs w:val="21"/>
                    </w:rPr>
                    <w:t>67.2</w:t>
                  </w:r>
                </w:p>
              </w:tc>
              <w:tc>
                <w:tcPr>
                  <w:tcW w:w="1033" w:type="dxa"/>
                  <w:vAlign w:val="center"/>
                </w:tcPr>
                <w:p>
                  <w:pPr>
                    <w:snapToGrid w:val="0"/>
                    <w:jc w:val="center"/>
                    <w:rPr>
                      <w:szCs w:val="21"/>
                    </w:rPr>
                  </w:pPr>
                  <w:r>
                    <w:rPr>
                      <w:rFonts w:hint="eastAsia"/>
                      <w:szCs w:val="21"/>
                    </w:rPr>
                    <w:t>64.1</w:t>
                  </w:r>
                </w:p>
              </w:tc>
              <w:tc>
                <w:tcPr>
                  <w:tcW w:w="1033" w:type="dxa"/>
                  <w:vAlign w:val="center"/>
                </w:tcPr>
                <w:p>
                  <w:pPr>
                    <w:snapToGrid w:val="0"/>
                    <w:jc w:val="center"/>
                    <w:rPr>
                      <w:szCs w:val="21"/>
                    </w:rPr>
                  </w:pPr>
                  <w:r>
                    <w:rPr>
                      <w:rFonts w:hint="eastAsia"/>
                      <w:szCs w:val="21"/>
                    </w:rPr>
                    <w:t>61.8</w:t>
                  </w:r>
                </w:p>
              </w:tc>
              <w:tc>
                <w:tcPr>
                  <w:tcW w:w="1033" w:type="dxa"/>
                  <w:vAlign w:val="center"/>
                </w:tcPr>
                <w:p>
                  <w:pPr>
                    <w:snapToGrid w:val="0"/>
                    <w:jc w:val="center"/>
                    <w:rPr>
                      <w:szCs w:val="21"/>
                    </w:rPr>
                  </w:pPr>
                  <w:r>
                    <w:rPr>
                      <w:rFonts w:hint="eastAsia"/>
                      <w:szCs w:val="21"/>
                    </w:rPr>
                    <w:t>55.4</w:t>
                  </w:r>
                </w:p>
              </w:tc>
              <w:tc>
                <w:tcPr>
                  <w:tcW w:w="1033" w:type="dxa"/>
                  <w:vAlign w:val="center"/>
                </w:tcPr>
                <w:p>
                  <w:pPr>
                    <w:snapToGrid w:val="0"/>
                    <w:jc w:val="center"/>
                    <w:rPr>
                      <w:szCs w:val="21"/>
                    </w:rPr>
                  </w:pPr>
                  <w:r>
                    <w:rPr>
                      <w:rFonts w:hint="eastAsia"/>
                      <w:szCs w:val="21"/>
                    </w:rPr>
                    <w:t>51.8</w:t>
                  </w:r>
                </w:p>
              </w:tc>
              <w:tc>
                <w:tcPr>
                  <w:tcW w:w="1039" w:type="dxa"/>
                  <w:vAlign w:val="center"/>
                </w:tcPr>
                <w:p>
                  <w:pPr>
                    <w:snapToGrid w:val="0"/>
                    <w:jc w:val="center"/>
                    <w:rPr>
                      <w:szCs w:val="21"/>
                    </w:rPr>
                  </w:pPr>
                  <w:r>
                    <w:rPr>
                      <w:rFonts w:hint="eastAsia"/>
                      <w:szCs w:val="21"/>
                    </w:rPr>
                    <w:t>49.2</w:t>
                  </w:r>
                </w:p>
              </w:tc>
            </w:tr>
          </w:tbl>
          <w:p>
            <w:pPr>
              <w:snapToGrid w:val="0"/>
              <w:spacing w:line="360" w:lineRule="auto"/>
              <w:ind w:firstLine="480" w:firstLineChars="200"/>
              <w:rPr>
                <w:bCs/>
              </w:rPr>
            </w:pPr>
            <w:r>
              <w:rPr>
                <w:rFonts w:hint="eastAsia"/>
                <w:sz w:val="24"/>
              </w:rPr>
              <w:t>取最大施工噪声源值81.1dB(A)对变电站施工场界噪声环境贡献值进行预测，预测结果参见</w:t>
            </w:r>
            <w:r>
              <w:rPr>
                <w:rFonts w:hint="eastAsia"/>
                <w:b w:val="0"/>
                <w:bCs w:val="0"/>
                <w:sz w:val="24"/>
                <w:szCs w:val="24"/>
                <w:lang w:eastAsia="zh-CN"/>
              </w:rPr>
              <w:fldChar w:fldCharType="begin"/>
            </w:r>
            <w:r>
              <w:rPr>
                <w:b w:val="0"/>
                <w:bCs w:val="0"/>
              </w:rPr>
              <w:instrText xml:space="preserve"> REF _Ref6740 \h  \* MERGEFORMAT</w:instrText>
            </w:r>
            <w:r>
              <w:rPr>
                <w:rFonts w:hint="eastAsia"/>
                <w:b w:val="0"/>
                <w:bCs w:val="0"/>
                <w:sz w:val="24"/>
                <w:szCs w:val="24"/>
                <w:lang w:eastAsia="zh-CN"/>
              </w:rPr>
              <w:fldChar w:fldCharType="separate"/>
            </w:r>
            <w:r>
              <w:rPr>
                <w:rFonts w:ascii="Times New Roman" w:hAnsi="Times New Roman" w:eastAsia="宋体"/>
                <w:b w:val="0"/>
                <w:bCs w:val="0"/>
                <w:sz w:val="24"/>
                <w:szCs w:val="24"/>
              </w:rPr>
              <w:t>表17</w:t>
            </w:r>
            <w:r>
              <w:rPr>
                <w:rFonts w:hint="eastAsia"/>
                <w:b w:val="0"/>
                <w:bCs w:val="0"/>
                <w:sz w:val="24"/>
                <w:szCs w:val="24"/>
                <w:lang w:eastAsia="zh-CN"/>
              </w:rPr>
              <w:fldChar w:fldCharType="end"/>
            </w:r>
            <w:r>
              <w:rPr>
                <w:sz w:val="24"/>
              </w:rPr>
              <w:t>。</w:t>
            </w:r>
          </w:p>
          <w:p>
            <w:pPr>
              <w:pStyle w:val="10"/>
              <w:jc w:val="left"/>
              <w:rPr>
                <w:rFonts w:eastAsia="宋体"/>
              </w:rPr>
            </w:pPr>
            <w:bookmarkStart w:id="596" w:name="_Ref6740"/>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17</w:t>
            </w:r>
            <w:r>
              <w:rPr>
                <w:rFonts w:ascii="Times New Roman" w:hAnsi="Times New Roman" w:eastAsia="宋体"/>
                <w:b/>
                <w:bCs/>
              </w:rPr>
              <w:fldChar w:fldCharType="end"/>
            </w:r>
            <w:bookmarkEnd w:id="596"/>
            <w:r>
              <w:rPr>
                <w:rFonts w:ascii="Times New Roman" w:hAnsi="Times New Roman" w:eastAsia="宋体"/>
                <w:b/>
                <w:bCs/>
              </w:rPr>
              <w:t>施工噪声源对变电站施工场界噪声贡献值</w:t>
            </w:r>
          </w:p>
          <w:tbl>
            <w:tblPr>
              <w:tblStyle w:val="37"/>
              <w:tblW w:w="8296"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091"/>
              <w:gridCol w:w="630"/>
              <w:gridCol w:w="850"/>
              <w:gridCol w:w="914"/>
              <w:gridCol w:w="914"/>
              <w:gridCol w:w="1035"/>
              <w:gridCol w:w="970"/>
              <w:gridCol w:w="89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96" w:hRule="atLeast"/>
              </w:trPr>
              <w:tc>
                <w:tcPr>
                  <w:tcW w:w="20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0"/>
                    <w:jc w:val="center"/>
                    <w:rPr>
                      <w:rFonts w:ascii="Times New Roman" w:hAnsi="Times New Roman" w:eastAsia="宋体"/>
                      <w:color w:val="000000"/>
                      <w:szCs w:val="21"/>
                    </w:rPr>
                  </w:pPr>
                  <w:r>
                    <w:rPr>
                      <w:rFonts w:ascii="Times New Roman" w:hAnsi="Times New Roman" w:eastAsia="宋体"/>
                      <w:color w:val="000000"/>
                      <w:szCs w:val="21"/>
                      <w:lang w:bidi="ar"/>
                    </w:rPr>
                    <w:t>距变电站场界外距离(m)</w:t>
                  </w: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0"/>
                    <w:jc w:val="center"/>
                    <w:rPr>
                      <w:rFonts w:ascii="Times New Roman" w:hAnsi="Times New Roman" w:eastAsia="宋体"/>
                      <w:color w:val="000000"/>
                      <w:szCs w:val="21"/>
                    </w:rPr>
                  </w:pPr>
                  <w:r>
                    <w:rPr>
                      <w:rFonts w:ascii="Times New Roman" w:hAnsi="Times New Roman" w:eastAsia="宋体"/>
                      <w:color w:val="000000"/>
                      <w:szCs w:val="21"/>
                      <w:lang w:bidi="ar"/>
                    </w:rPr>
                    <w:t>1</w:t>
                  </w:r>
                </w:p>
              </w:tc>
              <w:tc>
                <w:tcPr>
                  <w:tcW w:w="8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0"/>
                    <w:jc w:val="center"/>
                    <w:rPr>
                      <w:rFonts w:ascii="Times New Roman" w:hAnsi="Times New Roman" w:eastAsia="宋体"/>
                      <w:color w:val="000000"/>
                      <w:szCs w:val="21"/>
                    </w:rPr>
                  </w:pPr>
                  <w:r>
                    <w:rPr>
                      <w:rFonts w:ascii="Times New Roman" w:hAnsi="Times New Roman" w:eastAsia="宋体"/>
                      <w:color w:val="000000"/>
                      <w:szCs w:val="21"/>
                      <w:lang w:bidi="ar"/>
                    </w:rPr>
                    <w:t>10</w:t>
                  </w: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0"/>
                    <w:jc w:val="center"/>
                    <w:rPr>
                      <w:rFonts w:ascii="Times New Roman" w:hAnsi="Times New Roman" w:eastAsia="宋体"/>
                      <w:color w:val="000000"/>
                      <w:szCs w:val="21"/>
                    </w:rPr>
                  </w:pPr>
                  <w:r>
                    <w:rPr>
                      <w:rFonts w:ascii="Times New Roman" w:hAnsi="Times New Roman" w:eastAsia="宋体"/>
                      <w:color w:val="000000"/>
                      <w:szCs w:val="21"/>
                      <w:lang w:bidi="ar"/>
                    </w:rPr>
                    <w:t>15</w:t>
                  </w: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0"/>
                    <w:jc w:val="center"/>
                    <w:rPr>
                      <w:rFonts w:ascii="Times New Roman" w:hAnsi="Times New Roman" w:eastAsia="宋体"/>
                      <w:color w:val="000000"/>
                      <w:szCs w:val="21"/>
                    </w:rPr>
                  </w:pPr>
                  <w:r>
                    <w:rPr>
                      <w:rFonts w:ascii="Times New Roman" w:hAnsi="Times New Roman" w:eastAsia="宋体"/>
                      <w:color w:val="000000"/>
                      <w:szCs w:val="21"/>
                      <w:lang w:bidi="ar"/>
                    </w:rPr>
                    <w:t>30</w:t>
                  </w:r>
                </w:p>
              </w:tc>
              <w:tc>
                <w:tcPr>
                  <w:tcW w:w="10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0"/>
                    <w:jc w:val="center"/>
                    <w:rPr>
                      <w:rFonts w:ascii="Times New Roman" w:hAnsi="Times New Roman" w:eastAsia="宋体"/>
                      <w:color w:val="000000"/>
                      <w:szCs w:val="21"/>
                    </w:rPr>
                  </w:pPr>
                  <w:r>
                    <w:rPr>
                      <w:rFonts w:ascii="Times New Roman" w:hAnsi="Times New Roman" w:eastAsia="宋体"/>
                      <w:color w:val="000000"/>
                      <w:szCs w:val="21"/>
                      <w:lang w:bidi="ar"/>
                    </w:rPr>
                    <w:t>80</w:t>
                  </w:r>
                </w:p>
              </w:tc>
              <w:tc>
                <w:tcPr>
                  <w:tcW w:w="9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0"/>
                    <w:jc w:val="center"/>
                    <w:rPr>
                      <w:rFonts w:ascii="Times New Roman" w:hAnsi="Times New Roman" w:eastAsia="宋体"/>
                      <w:color w:val="000000"/>
                      <w:szCs w:val="21"/>
                    </w:rPr>
                  </w:pPr>
                  <w:r>
                    <w:rPr>
                      <w:rFonts w:ascii="Times New Roman" w:hAnsi="Times New Roman" w:eastAsia="宋体"/>
                      <w:color w:val="000000"/>
                      <w:szCs w:val="21"/>
                      <w:lang w:bidi="ar"/>
                    </w:rPr>
                    <w:t>100</w:t>
                  </w:r>
                </w:p>
              </w:tc>
              <w:tc>
                <w:tcPr>
                  <w:tcW w:w="8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0"/>
                    <w:jc w:val="center"/>
                    <w:rPr>
                      <w:rFonts w:ascii="Times New Roman" w:hAnsi="Times New Roman" w:eastAsia="宋体"/>
                      <w:color w:val="000000"/>
                      <w:szCs w:val="21"/>
                      <w:lang w:bidi="ar"/>
                    </w:rPr>
                  </w:pPr>
                  <w:r>
                    <w:rPr>
                      <w:rFonts w:ascii="Times New Roman" w:hAnsi="Times New Roman" w:eastAsia="宋体"/>
                      <w:color w:val="000000"/>
                      <w:szCs w:val="21"/>
                      <w:lang w:bidi="ar"/>
                    </w:rPr>
                    <w:t>150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96" w:hRule="atLeast"/>
              </w:trPr>
              <w:tc>
                <w:tcPr>
                  <w:tcW w:w="20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textAlignment w:val="center"/>
                    <w:rPr>
                      <w:color w:val="000000"/>
                      <w:szCs w:val="21"/>
                    </w:rPr>
                  </w:pPr>
                  <w:r>
                    <w:rPr>
                      <w:color w:val="000000"/>
                      <w:szCs w:val="21"/>
                      <w:lang w:bidi="ar"/>
                    </w:rPr>
                    <w:t>设置拦挡设施噪声贡献值dB(A)</w:t>
                  </w: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textAlignment w:val="center"/>
                    <w:rPr>
                      <w:color w:val="000000"/>
                      <w:szCs w:val="21"/>
                    </w:rPr>
                  </w:pPr>
                  <w:r>
                    <w:rPr>
                      <w:color w:val="000000"/>
                      <w:szCs w:val="21"/>
                      <w:lang w:bidi="ar"/>
                    </w:rPr>
                    <w:t>61</w:t>
                  </w:r>
                </w:p>
              </w:tc>
              <w:tc>
                <w:tcPr>
                  <w:tcW w:w="8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textAlignment w:val="center"/>
                    <w:rPr>
                      <w:color w:val="000000"/>
                      <w:szCs w:val="21"/>
                    </w:rPr>
                  </w:pPr>
                  <w:r>
                    <w:rPr>
                      <w:color w:val="000000"/>
                      <w:szCs w:val="21"/>
                      <w:lang w:bidi="ar"/>
                    </w:rPr>
                    <w:t>53</w:t>
                  </w:r>
                </w:p>
              </w:tc>
              <w:tc>
                <w:tcPr>
                  <w:tcW w:w="9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textAlignment w:val="center"/>
                    <w:rPr>
                      <w:color w:val="000000"/>
                      <w:szCs w:val="21"/>
                    </w:rPr>
                  </w:pPr>
                  <w:r>
                    <w:rPr>
                      <w:color w:val="000000"/>
                      <w:szCs w:val="21"/>
                      <w:lang w:bidi="ar"/>
                    </w:rPr>
                    <w:t>51</w:t>
                  </w:r>
                </w:p>
              </w:tc>
              <w:tc>
                <w:tcPr>
                  <w:tcW w:w="9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textAlignment w:val="center"/>
                    <w:rPr>
                      <w:color w:val="000000"/>
                      <w:szCs w:val="21"/>
                    </w:rPr>
                  </w:pPr>
                  <w:r>
                    <w:rPr>
                      <w:color w:val="000000"/>
                      <w:szCs w:val="21"/>
                      <w:lang w:bidi="ar"/>
                    </w:rPr>
                    <w:t>46</w:t>
                  </w:r>
                </w:p>
              </w:tc>
              <w:tc>
                <w:tcPr>
                  <w:tcW w:w="10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textAlignment w:val="center"/>
                    <w:rPr>
                      <w:color w:val="000000"/>
                      <w:szCs w:val="21"/>
                    </w:rPr>
                  </w:pPr>
                  <w:r>
                    <w:rPr>
                      <w:color w:val="000000"/>
                      <w:szCs w:val="21"/>
                      <w:lang w:bidi="ar"/>
                    </w:rPr>
                    <w:t>40</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textAlignment w:val="center"/>
                    <w:rPr>
                      <w:color w:val="000000"/>
                      <w:szCs w:val="21"/>
                    </w:rPr>
                  </w:pPr>
                  <w:r>
                    <w:rPr>
                      <w:color w:val="000000"/>
                      <w:szCs w:val="21"/>
                      <w:lang w:bidi="ar"/>
                    </w:rPr>
                    <w:t>39</w:t>
                  </w:r>
                </w:p>
              </w:tc>
              <w:tc>
                <w:tcPr>
                  <w:tcW w:w="8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textAlignment w:val="center"/>
                    <w:rPr>
                      <w:color w:val="000000"/>
                      <w:szCs w:val="21"/>
                      <w:lang w:bidi="ar"/>
                    </w:rPr>
                  </w:pPr>
                  <w:r>
                    <w:rPr>
                      <w:color w:val="000000"/>
                      <w:szCs w:val="21"/>
                      <w:lang w:bidi="ar"/>
                    </w:rPr>
                    <w:t>33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4" w:hRule="atLeast"/>
              </w:trPr>
              <w:tc>
                <w:tcPr>
                  <w:tcW w:w="209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textAlignment w:val="center"/>
                    <w:rPr>
                      <w:color w:val="000000"/>
                      <w:szCs w:val="21"/>
                    </w:rPr>
                  </w:pPr>
                  <w:r>
                    <w:rPr>
                      <w:color w:val="000000"/>
                      <w:szCs w:val="21"/>
                      <w:lang w:bidi="ar"/>
                    </w:rPr>
                    <w:t>施工场界噪声标准</w:t>
                  </w:r>
                </w:p>
              </w:tc>
              <w:tc>
                <w:tcPr>
                  <w:tcW w:w="6205"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Cs w:val="21"/>
                      <w:lang w:bidi="ar"/>
                    </w:rPr>
                  </w:pPr>
                  <w:r>
                    <w:rPr>
                      <w:color w:val="000000"/>
                      <w:szCs w:val="21"/>
                      <w:lang w:bidi="ar"/>
                    </w:rPr>
                    <w:t>昼间70dB(A)</w:t>
                  </w:r>
                  <w:r>
                    <w:rPr>
                      <w:rStyle w:val="119"/>
                      <w:rFonts w:hint="default" w:ascii="Times New Roman" w:hAnsi="Times New Roman" w:cs="Times New Roman"/>
                      <w:lang w:bidi="ar"/>
                    </w:rPr>
                    <w:t>，夜间</w:t>
                  </w:r>
                  <w:r>
                    <w:rPr>
                      <w:color w:val="000000"/>
                      <w:szCs w:val="21"/>
                      <w:lang w:bidi="ar"/>
                    </w:rPr>
                    <w:t>55dB(A)</w:t>
                  </w:r>
                </w:p>
              </w:tc>
            </w:tr>
          </w:tbl>
          <w:p>
            <w:pPr>
              <w:pStyle w:val="5"/>
              <w:rPr>
                <w:color w:val="000000"/>
              </w:rPr>
            </w:pPr>
            <w:r>
              <w:rPr>
                <w:color w:val="000000"/>
              </w:rPr>
              <w:t>由</w:t>
            </w:r>
            <w:r>
              <w:rPr>
                <w:rFonts w:hint="default"/>
                <w:b w:val="0"/>
                <w:bCs w:val="0"/>
                <w:color w:val="000000"/>
                <w:lang w:val="en-US"/>
              </w:rPr>
              <w:fldChar w:fldCharType="begin"/>
            </w:r>
            <w:r>
              <w:rPr>
                <w:b w:val="0"/>
                <w:bCs w:val="0"/>
              </w:rPr>
              <w:instrText xml:space="preserve"> REF _Ref6740 \h  \* MERGEFORMAT</w:instrText>
            </w:r>
            <w:r>
              <w:rPr>
                <w:rFonts w:hint="default"/>
                <w:b w:val="0"/>
                <w:bCs w:val="0"/>
                <w:color w:val="000000"/>
                <w:lang w:val="en-US"/>
              </w:rPr>
              <w:fldChar w:fldCharType="separate"/>
            </w:r>
            <w:r>
              <w:rPr>
                <w:rFonts w:ascii="Times New Roman" w:hAnsi="Times New Roman" w:eastAsia="宋体"/>
                <w:b w:val="0"/>
                <w:bCs w:val="0"/>
              </w:rPr>
              <w:t>表17</w:t>
            </w:r>
            <w:r>
              <w:rPr>
                <w:rFonts w:hint="default"/>
                <w:b w:val="0"/>
                <w:bCs w:val="0"/>
                <w:color w:val="000000"/>
                <w:lang w:val="en-US"/>
              </w:rPr>
              <w:fldChar w:fldCharType="end"/>
            </w:r>
            <w:r>
              <w:rPr>
                <w:color w:val="000000"/>
              </w:rPr>
              <w:t>可知，</w:t>
            </w:r>
            <w:r>
              <w:rPr>
                <w:rFonts w:hint="eastAsia"/>
                <w:color w:val="000000"/>
              </w:rPr>
              <w:t>施工区设置围墙后，施工活动对场界噪声贡献值可降至64dB(A)，满足《建筑施工噪声排放标准》（GB12523-2025）中建筑施工场界环境噪声排放限值昼间70dB(A)排放限值的要求，但夜间均不能满足55dB(A)排放限值的要求。根据《中华人民共和国噪声污染防治法》第四十条：“施工单位应当按照规定制定噪声污染防治实施方案，采取有效措施，减少振动、降低噪声。建设单位应当监督施工单位落实噪声污染防治实施方案。”施工过程中应采取必要的噪声防护措施，如合理安排施工时间，尽量避免夜间施工等，减少对外环境的影响。一旦施工活动结束，施工噪声影响也就随之消除，变电站施工对站址周围的声环境影响是短暂的、可逆的，随着施工期的结束，其对环境的影响也将随之消失。</w:t>
            </w:r>
          </w:p>
          <w:p>
            <w:pPr>
              <w:pStyle w:val="5"/>
              <w:rPr>
                <w:color w:val="000000"/>
              </w:rPr>
            </w:pPr>
            <w:r>
              <w:rPr>
                <w:color w:val="000000"/>
              </w:rPr>
              <w:t>（2）输电线路声环境影响分析</w:t>
            </w:r>
          </w:p>
          <w:p>
            <w:pPr>
              <w:pStyle w:val="5"/>
              <w:rPr>
                <w:color w:val="000000"/>
              </w:rPr>
            </w:pPr>
            <w:r>
              <w:rPr>
                <w:color w:val="000000"/>
              </w:rPr>
              <w:t>输电线路工程塔基基础施工、铁塔组立和架线活动过程中，挖掘机、牵张机、绞磨机等机械施工噪声亦可能会对线路附近的敏感点产生影响。但由于本工程塔基占地分散、单塔面积小、开挖量小，施工时间短，单位塔基施工周期一般在2个月以内，且夜间一般不进行施工作业，对环境的影响是小范围的、短暂的，并随着施工期的结束，其对环境的影响也将随之消失，故对声环境影响较小。</w:t>
            </w:r>
          </w:p>
          <w:p>
            <w:pPr>
              <w:pStyle w:val="5"/>
              <w:numPr>
                <w:ilvl w:val="2"/>
                <w:numId w:val="14"/>
              </w:numPr>
              <w:ind w:firstLineChars="0"/>
              <w:rPr>
                <w:b/>
                <w:color w:val="000000"/>
                <w:kern w:val="0"/>
                <w:szCs w:val="21"/>
              </w:rPr>
            </w:pPr>
            <w:r>
              <w:rPr>
                <w:rFonts w:hint="eastAsia"/>
                <w:b/>
                <w:color w:val="000000"/>
                <w:kern w:val="0"/>
                <w:szCs w:val="21"/>
              </w:rPr>
              <w:t>生态环境影响分析</w:t>
            </w:r>
          </w:p>
          <w:p>
            <w:pPr>
              <w:pStyle w:val="5"/>
              <w:rPr>
                <w:color w:val="000000"/>
              </w:rPr>
            </w:pPr>
            <w:r>
              <w:rPr>
                <w:rFonts w:hint="eastAsia"/>
                <w:color w:val="000000"/>
              </w:rPr>
              <w:t>施工过程中，塔基建设、线路架设等会使地表植被遭到破坏，减少植被覆盖面积，影响植物的生长和繁殖，降低水源保护区的水土保持能力和生态服务功能。同时，施工活动的噪声、人员和机械的活动会干扰动物的正常栖息、觅食和繁殖，使动物的栖息地范围缩小或质量下降，甚至可能导致一些珍稀动物的迁徙或死亡。</w:t>
            </w:r>
          </w:p>
          <w:p>
            <w:pPr>
              <w:pStyle w:val="5"/>
              <w:rPr>
                <w:color w:val="000000"/>
                <w:u w:val="single"/>
              </w:rPr>
            </w:pPr>
            <w:r>
              <w:rPr>
                <w:rFonts w:hint="eastAsia"/>
                <w:color w:val="000000"/>
              </w:rPr>
              <w:t>施工期间应采取一系列措施：合理规划施工方案，如分段施工、优化施工时间和顺序，尽量减少植被破坏；在施工结束后，采用适合当地条件的植被恢复方式，并优先选择原生植物种类进行恢复；同时，划定施工范围，设置植被保护标识，避免施工人员和机械设备对周边植被的踩踏和破坏。在动物栖息地保护方面，开展前期调查，了解动物分布和活动规律，合理规划施工路线和时间，避免干扰关键栖息地；控制施工噪音和灯光干扰，设置防护围栏防止动物误入施工区域，并建立生态监测体系，及时掌握生态环境变化，必要时采取生态修复措施。此外，还应加强生物多样性保护，开展全面调查与评估，制定保护管理计划，通过这些综合性的保护措施，将输电线路工程施工对周边生态环境的影响降到最低。</w:t>
            </w:r>
          </w:p>
          <w:p>
            <w:pPr>
              <w:pStyle w:val="5"/>
              <w:numPr>
                <w:ilvl w:val="2"/>
                <w:numId w:val="14"/>
              </w:numPr>
              <w:ind w:firstLineChars="0"/>
              <w:rPr>
                <w:b/>
                <w:color w:val="000000"/>
                <w:kern w:val="0"/>
                <w:szCs w:val="21"/>
              </w:rPr>
            </w:pPr>
            <w:r>
              <w:rPr>
                <w:rFonts w:hint="eastAsia"/>
                <w:b/>
                <w:color w:val="000000"/>
                <w:kern w:val="0"/>
                <w:szCs w:val="21"/>
              </w:rPr>
              <w:t>废污水影响分析</w:t>
            </w:r>
          </w:p>
          <w:p>
            <w:pPr>
              <w:pStyle w:val="5"/>
              <w:rPr>
                <w:rFonts w:eastAsia="ˎ̥"/>
                <w:color w:val="000000"/>
              </w:rPr>
            </w:pPr>
            <w:r>
              <w:rPr>
                <w:rFonts w:hint="eastAsia" w:eastAsia="ˎ̥"/>
                <w:color w:val="000000"/>
              </w:rPr>
              <w:t>输电线路施工过程中，砂石料加工</w:t>
            </w:r>
            <w:r>
              <w:rPr>
                <w:rFonts w:hint="eastAsia"/>
                <w:color w:val="000000"/>
              </w:rPr>
              <w:t>将</w:t>
            </w:r>
            <w:r>
              <w:rPr>
                <w:rFonts w:hint="eastAsia" w:eastAsia="ˎ̥"/>
                <w:color w:val="000000"/>
              </w:rPr>
              <w:t>产生施工废水</w:t>
            </w:r>
            <w:r>
              <w:rPr>
                <w:rFonts w:hint="eastAsia"/>
                <w:color w:val="000000"/>
              </w:rPr>
              <w:t>，施工人员会产生少量生活污水，雨水</w:t>
            </w:r>
            <w:r>
              <w:rPr>
                <w:rFonts w:hint="eastAsia" w:eastAsia="ˎ̥"/>
                <w:color w:val="000000"/>
              </w:rPr>
              <w:t>冲刷</w:t>
            </w:r>
            <w:r>
              <w:rPr>
                <w:rFonts w:hint="eastAsia"/>
                <w:color w:val="000000"/>
              </w:rPr>
              <w:t>运输车辆、</w:t>
            </w:r>
            <w:r>
              <w:rPr>
                <w:rFonts w:hint="eastAsia" w:eastAsia="ˎ̥"/>
                <w:color w:val="000000"/>
              </w:rPr>
              <w:t>开挖土方及裸露场地</w:t>
            </w:r>
            <w:r>
              <w:rPr>
                <w:rFonts w:hint="eastAsia"/>
                <w:color w:val="000000"/>
              </w:rPr>
              <w:t>可能会</w:t>
            </w:r>
            <w:r>
              <w:rPr>
                <w:rFonts w:hint="eastAsia" w:eastAsia="ˎ̥"/>
                <w:color w:val="000000"/>
              </w:rPr>
              <w:t>产生泥沙水</w:t>
            </w:r>
            <w:r>
              <w:rPr>
                <w:rFonts w:hint="eastAsia"/>
                <w:color w:val="000000"/>
              </w:rPr>
              <w:t>，若</w:t>
            </w:r>
            <w:r>
              <w:rPr>
                <w:rFonts w:hint="eastAsia" w:eastAsia="ˎ̥"/>
                <w:color w:val="000000"/>
              </w:rPr>
              <w:t>废水未经处理直接排放，可能会携带大量泥沙、悬浮物，导致水体浑浊度增加，影响水质。</w:t>
            </w:r>
          </w:p>
          <w:p>
            <w:pPr>
              <w:pStyle w:val="5"/>
              <w:rPr>
                <w:rFonts w:eastAsia="ˎ̥"/>
                <w:color w:val="000000"/>
              </w:rPr>
            </w:pPr>
            <w:r>
              <w:rPr>
                <w:rFonts w:eastAsia="ˎ̥"/>
                <w:color w:val="000000"/>
              </w:rPr>
              <w:t>施工阶段</w:t>
            </w:r>
            <w:r>
              <w:rPr>
                <w:rFonts w:hint="eastAsia"/>
                <w:color w:val="000000"/>
              </w:rPr>
              <w:t>应</w:t>
            </w:r>
            <w:r>
              <w:rPr>
                <w:rFonts w:eastAsia="ˎ̥"/>
                <w:color w:val="000000"/>
              </w:rPr>
              <w:t>严格管理，落实各项环保措施，工程施工场地内的冲洗废水集中收集，定期清运。施工完成后及时进行植被恢复等措施进行控制，可将对饮用水源保护区影响控制在轻微的程度。</w:t>
            </w:r>
          </w:p>
          <w:p>
            <w:pPr>
              <w:pStyle w:val="5"/>
              <w:rPr>
                <w:color w:val="000000"/>
              </w:rPr>
            </w:pPr>
            <w:r>
              <w:rPr>
                <w:color w:val="000000"/>
              </w:rPr>
              <w:t>在采取相关环保措施后，本工程的施工对该区域的水环境影响可控。</w:t>
            </w:r>
          </w:p>
          <w:p>
            <w:pPr>
              <w:pStyle w:val="5"/>
              <w:numPr>
                <w:ilvl w:val="2"/>
                <w:numId w:val="14"/>
              </w:numPr>
              <w:ind w:firstLineChars="0"/>
              <w:rPr>
                <w:b/>
                <w:color w:val="000000"/>
                <w:kern w:val="0"/>
                <w:szCs w:val="21"/>
              </w:rPr>
            </w:pPr>
            <w:r>
              <w:rPr>
                <w:rFonts w:hint="eastAsia"/>
                <w:b/>
                <w:color w:val="000000"/>
                <w:kern w:val="0"/>
                <w:szCs w:val="21"/>
              </w:rPr>
              <w:t>固体废物影响分析</w:t>
            </w:r>
          </w:p>
          <w:p>
            <w:pPr>
              <w:pStyle w:val="5"/>
              <w:rPr>
                <w:color w:val="000000"/>
              </w:rPr>
            </w:pPr>
            <w:r>
              <w:rPr>
                <w:rFonts w:hint="eastAsia"/>
                <w:color w:val="000000"/>
              </w:rPr>
              <w:t>施工过程中会产生建筑垃圾，如废弃的建筑材料、包装材料等，以及施工人员的生活垃圾。如果这些固体废物随意丢弃或堆放，可能会对保护区内的土壤、植被造成污染，还可能通过雨水冲刷进入水体，影响水质。另外，塔基开挖等施工活动会产生弃土弃渣。若弃土弃渣堆放不当，可能会造成水土流失，增加水体中的泥沙含量，同时其中含有的重金属等有害物质也可能渗入水体，对水质产生不良影响。</w:t>
            </w:r>
          </w:p>
          <w:p>
            <w:pPr>
              <w:pStyle w:val="5"/>
              <w:rPr>
                <w:color w:val="000000"/>
              </w:rPr>
            </w:pPr>
            <w:r>
              <w:rPr>
                <w:rFonts w:hint="eastAsia"/>
                <w:color w:val="000000"/>
              </w:rPr>
              <w:t>施工过程中的生活垃圾与建筑垃圾应分开堆放，及时清理。建筑垃圾能回收的尽量回收，不能回收的及时运送至指定的弃渣场处理。</w:t>
            </w:r>
          </w:p>
          <w:p>
            <w:pPr>
              <w:pStyle w:val="5"/>
              <w:numPr>
                <w:ilvl w:val="2"/>
                <w:numId w:val="14"/>
              </w:numPr>
              <w:ind w:firstLineChars="0"/>
              <w:rPr>
                <w:b/>
                <w:color w:val="000000"/>
                <w:kern w:val="0"/>
                <w:szCs w:val="21"/>
              </w:rPr>
            </w:pPr>
            <w:r>
              <w:rPr>
                <w:rFonts w:hint="eastAsia"/>
                <w:b/>
                <w:color w:val="000000"/>
                <w:kern w:val="0"/>
                <w:szCs w:val="21"/>
              </w:rPr>
              <w:t>环境空气影响分析</w:t>
            </w:r>
          </w:p>
          <w:p>
            <w:pPr>
              <w:pStyle w:val="5"/>
              <w:rPr>
                <w:color w:val="000000"/>
              </w:rPr>
            </w:pPr>
            <w:r>
              <w:rPr>
                <w:rFonts w:ascii="Segoe UI" w:hAnsi="Segoe UI" w:eastAsia="Segoe UI" w:cs="Segoe UI"/>
                <w:szCs w:val="24"/>
                <w:shd w:val="clear" w:color="auto" w:fill="FFFFFF"/>
              </w:rPr>
              <w:t>输电线路施工过程中，塔基开挖、物料运输等活动会产生扬尘。扬尘会增加空气中的颗粒物浓度，降低空气质量，还可能通过沉降等方式对周边的土壤、植被和水体造成污染。施工过程中使用的各类机械会排放一定量的废气。这些废气中含有氮氧化物、颗粒物等污染物，会对空气质量产生一定的影响。</w:t>
            </w:r>
          </w:p>
          <w:p>
            <w:pPr>
              <w:pStyle w:val="5"/>
              <w:rPr>
                <w:color w:val="000000"/>
              </w:rPr>
            </w:pPr>
            <w:r>
              <w:rPr>
                <w:rFonts w:hint="eastAsia" w:ascii="Segoe UI" w:hAnsi="Segoe UI" w:cs="Segoe UI"/>
                <w:szCs w:val="24"/>
                <w:shd w:val="clear" w:color="auto" w:fill="FFFFFF"/>
              </w:rPr>
              <w:t>施工过程中</w:t>
            </w:r>
            <w:r>
              <w:rPr>
                <w:rFonts w:ascii="Segoe UI" w:hAnsi="Segoe UI" w:eastAsia="Segoe UI" w:cs="Segoe UI"/>
                <w:szCs w:val="24"/>
                <w:shd w:val="clear" w:color="auto" w:fill="FFFFFF"/>
              </w:rPr>
              <w:t>对施工场地进行洒水降尘，减少扬尘的产生。合理安排施工时间和施工方式，避免在大风天气进行大规模的土方作业。同时加强施工机械的维护和管理，确保其尾气达标排放。</w:t>
            </w:r>
          </w:p>
          <w:p>
            <w:pPr>
              <w:pStyle w:val="5"/>
              <w:numPr>
                <w:ilvl w:val="1"/>
                <w:numId w:val="14"/>
              </w:numPr>
              <w:ind w:firstLineChars="0"/>
              <w:rPr>
                <w:b/>
                <w:color w:val="000000"/>
                <w:kern w:val="0"/>
                <w:szCs w:val="21"/>
              </w:rPr>
            </w:pPr>
            <w:r>
              <w:rPr>
                <w:b/>
                <w:color w:val="000000"/>
                <w:kern w:val="0"/>
                <w:szCs w:val="21"/>
              </w:rPr>
              <w:t>施工期环境影响分析小结</w:t>
            </w:r>
          </w:p>
          <w:p>
            <w:pPr>
              <w:pStyle w:val="5"/>
              <w:rPr>
                <w:color w:val="000000"/>
              </w:rPr>
            </w:pPr>
            <w:r>
              <w:rPr>
                <w:color w:val="000000"/>
              </w:rPr>
              <w:t>综上所述，本工程在施工期的环境影响是短暂的、可逆的，随着施工期的结束而消失，工程施工期对周围环境的影响可以接受。</w:t>
            </w: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p>
            <w:pPr>
              <w:pStyle w:val="5"/>
              <w:rPr>
                <w:color w:val="00000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476" w:hRule="atLeast"/>
          <w:jc w:val="center"/>
        </w:trPr>
        <w:tc>
          <w:tcPr>
            <w:tcW w:w="454" w:type="dxa"/>
            <w:tcMar>
              <w:left w:w="28" w:type="dxa"/>
              <w:right w:w="28" w:type="dxa"/>
            </w:tcMar>
            <w:vAlign w:val="center"/>
          </w:tcPr>
          <w:p>
            <w:pPr>
              <w:pStyle w:val="33"/>
              <w:adjustRightInd w:val="0"/>
              <w:snapToGrid w:val="0"/>
              <w:spacing w:before="0" w:beforeAutospacing="0" w:after="0" w:afterAutospacing="0"/>
              <w:jc w:val="center"/>
              <w:rPr>
                <w:rFonts w:ascii="Times New Roman" w:hAnsi="Times New Roman"/>
                <w:b/>
                <w:bCs/>
                <w:color w:val="000000"/>
                <w:kern w:val="2"/>
                <w:sz w:val="21"/>
                <w:szCs w:val="21"/>
                <w:highlight w:val="yellow"/>
              </w:rPr>
            </w:pPr>
            <w:r>
              <w:rPr>
                <w:rFonts w:ascii="Times New Roman" w:hAnsi="Times New Roman"/>
                <w:b/>
                <w:bCs/>
                <w:color w:val="000000"/>
                <w:spacing w:val="10"/>
                <w:kern w:val="2"/>
                <w:szCs w:val="24"/>
              </w:rPr>
              <w:t>运行期生态环境影响分析</w:t>
            </w:r>
          </w:p>
        </w:tc>
        <w:tc>
          <w:tcPr>
            <w:tcW w:w="8526" w:type="dxa"/>
          </w:tcPr>
          <w:p>
            <w:pPr>
              <w:pStyle w:val="5"/>
              <w:numPr>
                <w:ilvl w:val="0"/>
                <w:numId w:val="15"/>
              </w:numPr>
              <w:ind w:firstLineChars="0"/>
              <w:rPr>
                <w:b/>
                <w:color w:val="000000"/>
                <w:kern w:val="0"/>
                <w:szCs w:val="21"/>
              </w:rPr>
            </w:pPr>
            <w:r>
              <w:rPr>
                <w:rFonts w:hint="eastAsia"/>
                <w:b/>
                <w:color w:val="000000"/>
                <w:kern w:val="0"/>
                <w:szCs w:val="21"/>
              </w:rPr>
              <w:t>产污</w:t>
            </w:r>
            <w:r>
              <w:rPr>
                <w:b/>
                <w:color w:val="000000"/>
                <w:kern w:val="0"/>
                <w:szCs w:val="21"/>
              </w:rPr>
              <w:t>环节分析</w:t>
            </w:r>
          </w:p>
          <w:p>
            <w:pPr>
              <w:pStyle w:val="5"/>
              <w:rPr>
                <w:color w:val="000000"/>
              </w:rPr>
            </w:pPr>
            <w:r>
              <w:rPr>
                <w:color w:val="000000"/>
              </w:rPr>
              <w:t>输变电工程运行期只是进行电能电压的转变和电能的输送，其产生的污染影响因子主要为工频电场、工频磁场以及噪声</w:t>
            </w:r>
            <w:r>
              <w:rPr>
                <w:rFonts w:hint="eastAsia"/>
                <w:color w:val="000000"/>
              </w:rPr>
              <w:t>；</w:t>
            </w:r>
            <w:r>
              <w:rPr>
                <w:color w:val="000000"/>
              </w:rPr>
              <w:t>同时变电站主变事故、检修产生的废油可能造成漏油环境风险。</w:t>
            </w:r>
            <w:r>
              <w:rPr>
                <w:rFonts w:hint="eastAsia"/>
                <w:color w:val="000000"/>
              </w:rPr>
              <w:t>变电站</w:t>
            </w:r>
            <w:r>
              <w:rPr>
                <w:color w:val="000000"/>
              </w:rPr>
              <w:t>运行期产污环节参见</w:t>
            </w:r>
            <w:r>
              <w:rPr>
                <w:rFonts w:hint="default"/>
                <w:b w:val="0"/>
                <w:bCs w:val="0"/>
                <w:color w:val="000000"/>
                <w:lang w:val="en-US"/>
              </w:rPr>
              <w:fldChar w:fldCharType="begin"/>
            </w:r>
            <w:r>
              <w:rPr>
                <w:b w:val="0"/>
                <w:bCs w:val="0"/>
              </w:rPr>
              <w:instrText xml:space="preserve"> REF _Ref157204890 \h  \* MERGEFORMAT</w:instrText>
            </w:r>
            <w:r>
              <w:rPr>
                <w:rFonts w:hint="default"/>
                <w:b w:val="0"/>
                <w:bCs w:val="0"/>
                <w:color w:val="000000"/>
                <w:lang w:val="en-US"/>
              </w:rPr>
              <w:fldChar w:fldCharType="separate"/>
            </w:r>
            <w:r>
              <w:rPr>
                <w:rFonts w:ascii="Times New Roman" w:hAnsi="Times New Roman"/>
                <w:b w:val="0"/>
                <w:bCs w:val="0"/>
              </w:rPr>
              <w:t>图8</w:t>
            </w:r>
            <w:r>
              <w:rPr>
                <w:rFonts w:hint="default"/>
                <w:b w:val="0"/>
                <w:bCs w:val="0"/>
                <w:color w:val="000000"/>
                <w:lang w:val="en-US"/>
              </w:rPr>
              <w:fldChar w:fldCharType="end"/>
            </w:r>
            <w:r>
              <w:rPr>
                <w:color w:val="000000"/>
              </w:rPr>
              <w:t>，架空输电线路运行期产污环节参见</w:t>
            </w:r>
            <w:r>
              <w:rPr>
                <w:rFonts w:hint="default"/>
                <w:b w:val="0"/>
                <w:bCs w:val="0"/>
                <w:color w:val="000000"/>
                <w:lang w:val="en-US"/>
              </w:rPr>
              <w:fldChar w:fldCharType="begin"/>
            </w:r>
            <w:r>
              <w:rPr>
                <w:b w:val="0"/>
                <w:bCs w:val="0"/>
              </w:rPr>
              <w:instrText xml:space="preserve"> REF _Ref157204921 \h  \* MERGEFORMAT</w:instrText>
            </w:r>
            <w:r>
              <w:rPr>
                <w:rFonts w:hint="default"/>
                <w:b w:val="0"/>
                <w:bCs w:val="0"/>
                <w:color w:val="000000"/>
                <w:lang w:val="en-US"/>
              </w:rPr>
              <w:fldChar w:fldCharType="separate"/>
            </w:r>
            <w:r>
              <w:rPr>
                <w:rFonts w:ascii="Times New Roman" w:hAnsi="Times New Roman"/>
                <w:b w:val="0"/>
                <w:bCs w:val="0"/>
              </w:rPr>
              <w:t>图9</w:t>
            </w:r>
            <w:r>
              <w:rPr>
                <w:rFonts w:hint="default"/>
                <w:b w:val="0"/>
                <w:bCs w:val="0"/>
                <w:color w:val="000000"/>
                <w:lang w:val="en-US"/>
              </w:rPr>
              <w:fldChar w:fldCharType="end"/>
            </w:r>
            <w:r>
              <w:rPr>
                <w:color w:val="000000"/>
              </w:rPr>
              <w:t>。</w:t>
            </w:r>
          </w:p>
          <w:p>
            <w:pPr>
              <w:pStyle w:val="5"/>
              <w:keepNext/>
              <w:ind w:firstLine="0" w:firstLineChars="0"/>
              <w:jc w:val="center"/>
            </w:pPr>
            <w:r>
              <w:rPr>
                <w:color w:val="000000"/>
              </w:rPr>
              <w:drawing>
                <wp:inline distT="0" distB="0" distL="0" distR="0">
                  <wp:extent cx="2108200" cy="1722120"/>
                  <wp:effectExtent l="0" t="0" r="6350" b="11430"/>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noChangeArrowheads="1"/>
                          </pic:cNvPicPr>
                        </pic:nvPicPr>
                        <pic:blipFill>
                          <a:blip r:embed="rId32" cstate="print">
                            <a:extLst>
                              <a:ext uri="{28A0092B-C50C-407E-A947-70E740481C1C}">
                                <a14:useLocalDpi xmlns:a14="http://schemas.microsoft.com/office/drawing/2010/main" val="0"/>
                              </a:ext>
                            </a:extLst>
                          </a:blip>
                          <a:srcRect t="7228"/>
                          <a:stretch>
                            <a:fillRect/>
                          </a:stretch>
                        </pic:blipFill>
                        <pic:spPr>
                          <a:xfrm>
                            <a:off x="0" y="0"/>
                            <a:ext cx="2108593" cy="1722120"/>
                          </a:xfrm>
                          <a:prstGeom prst="rect">
                            <a:avLst/>
                          </a:prstGeom>
                          <a:noFill/>
                          <a:ln>
                            <a:noFill/>
                          </a:ln>
                        </pic:spPr>
                      </pic:pic>
                    </a:graphicData>
                  </a:graphic>
                </wp:inline>
              </w:drawing>
            </w:r>
          </w:p>
          <w:p>
            <w:pPr>
              <w:pStyle w:val="10"/>
              <w:jc w:val="center"/>
              <w:rPr>
                <w:rFonts w:ascii="Times New Roman" w:hAnsi="Times New Roman"/>
                <w:b/>
                <w:color w:val="000000"/>
                <w:highlight w:val="yellow"/>
              </w:rPr>
            </w:pPr>
            <w:bookmarkStart w:id="597" w:name="_Ref157204890"/>
            <w:r>
              <w:rPr>
                <w:rFonts w:ascii="Times New Roman" w:hAnsi="Times New Roman"/>
                <w:b/>
              </w:rPr>
              <w:t>图</w:t>
            </w:r>
            <w:r>
              <w:rPr>
                <w:rFonts w:ascii="Times New Roman" w:hAnsi="Times New Roman"/>
                <w:b/>
              </w:rPr>
              <w:fldChar w:fldCharType="begin"/>
            </w:r>
            <w:r>
              <w:rPr>
                <w:rFonts w:ascii="Times New Roman" w:hAnsi="Times New Roman"/>
                <w:b/>
              </w:rPr>
              <w:instrText xml:space="preserve"> SEQ 图 \* ARABIC </w:instrText>
            </w:r>
            <w:r>
              <w:rPr>
                <w:rFonts w:ascii="Times New Roman" w:hAnsi="Times New Roman"/>
                <w:b/>
              </w:rPr>
              <w:fldChar w:fldCharType="separate"/>
            </w:r>
            <w:r>
              <w:rPr>
                <w:rFonts w:ascii="Times New Roman" w:hAnsi="Times New Roman"/>
                <w:b/>
              </w:rPr>
              <w:t>8</w:t>
            </w:r>
            <w:r>
              <w:rPr>
                <w:rFonts w:ascii="Times New Roman" w:hAnsi="Times New Roman"/>
                <w:b/>
              </w:rPr>
              <w:fldChar w:fldCharType="end"/>
            </w:r>
            <w:bookmarkEnd w:id="597"/>
            <w:r>
              <w:rPr>
                <w:rFonts w:ascii="Times New Roman" w:hAnsi="Times New Roman"/>
                <w:b/>
              </w:rPr>
              <w:t>本工程变电站运行期产污节点图</w:t>
            </w:r>
          </w:p>
          <w:p>
            <w:pPr>
              <w:pStyle w:val="5"/>
              <w:keepNext/>
              <w:ind w:firstLine="0" w:firstLineChars="0"/>
              <w:jc w:val="center"/>
            </w:pPr>
            <w:r>
              <w:rPr>
                <w:color w:val="000000"/>
              </w:rPr>
              <w:drawing>
                <wp:inline distT="0" distB="0" distL="0" distR="0">
                  <wp:extent cx="3868420" cy="1684655"/>
                  <wp:effectExtent l="0" t="0" r="17780" b="10795"/>
                  <wp:docPr id="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3868615" cy="1684655"/>
                          </a:xfrm>
                          <a:prstGeom prst="rect">
                            <a:avLst/>
                          </a:prstGeom>
                          <a:noFill/>
                          <a:ln>
                            <a:noFill/>
                          </a:ln>
                          <a:effectLst/>
                        </pic:spPr>
                      </pic:pic>
                    </a:graphicData>
                  </a:graphic>
                </wp:inline>
              </w:drawing>
            </w:r>
          </w:p>
          <w:p>
            <w:pPr>
              <w:pStyle w:val="10"/>
              <w:jc w:val="center"/>
              <w:rPr>
                <w:rFonts w:ascii="Times New Roman" w:hAnsi="Times New Roman"/>
                <w:b/>
                <w:color w:val="000000"/>
                <w:highlight w:val="yellow"/>
              </w:rPr>
            </w:pPr>
            <w:bookmarkStart w:id="598" w:name="_Ref157204921"/>
            <w:r>
              <w:rPr>
                <w:rFonts w:ascii="Times New Roman" w:hAnsi="Times New Roman"/>
                <w:b/>
              </w:rPr>
              <w:t>图</w:t>
            </w:r>
            <w:r>
              <w:rPr>
                <w:rFonts w:ascii="Times New Roman" w:hAnsi="Times New Roman"/>
                <w:b/>
              </w:rPr>
              <w:fldChar w:fldCharType="begin"/>
            </w:r>
            <w:r>
              <w:rPr>
                <w:rFonts w:ascii="Times New Roman" w:hAnsi="Times New Roman"/>
                <w:b/>
              </w:rPr>
              <w:instrText xml:space="preserve"> SEQ 图 \* ARABIC </w:instrText>
            </w:r>
            <w:r>
              <w:rPr>
                <w:rFonts w:ascii="Times New Roman" w:hAnsi="Times New Roman"/>
                <w:b/>
              </w:rPr>
              <w:fldChar w:fldCharType="separate"/>
            </w:r>
            <w:r>
              <w:rPr>
                <w:rFonts w:ascii="Times New Roman" w:hAnsi="Times New Roman"/>
                <w:b/>
              </w:rPr>
              <w:t>9</w:t>
            </w:r>
            <w:r>
              <w:rPr>
                <w:rFonts w:ascii="Times New Roman" w:hAnsi="Times New Roman"/>
                <w:b/>
              </w:rPr>
              <w:fldChar w:fldCharType="end"/>
            </w:r>
            <w:bookmarkEnd w:id="598"/>
            <w:r>
              <w:rPr>
                <w:rFonts w:ascii="Times New Roman" w:hAnsi="Times New Roman"/>
                <w:b/>
              </w:rPr>
              <w:t>本工程架空输电线路运行期产污节点图</w:t>
            </w:r>
          </w:p>
          <w:p>
            <w:pPr>
              <w:pStyle w:val="5"/>
              <w:numPr>
                <w:ilvl w:val="0"/>
                <w:numId w:val="15"/>
              </w:numPr>
              <w:ind w:firstLineChars="0"/>
              <w:rPr>
                <w:b/>
                <w:color w:val="000000"/>
                <w:kern w:val="0"/>
                <w:szCs w:val="21"/>
              </w:rPr>
            </w:pPr>
            <w:r>
              <w:rPr>
                <w:rFonts w:hint="eastAsia"/>
                <w:b/>
                <w:color w:val="000000"/>
                <w:kern w:val="0"/>
                <w:szCs w:val="21"/>
              </w:rPr>
              <w:t>污染源分析</w:t>
            </w:r>
          </w:p>
          <w:p>
            <w:pPr>
              <w:pStyle w:val="5"/>
              <w:rPr>
                <w:color w:val="000000"/>
              </w:rPr>
            </w:pPr>
            <w:r>
              <w:rPr>
                <w:color w:val="000000"/>
              </w:rPr>
              <w:t>（1）工频电场、工频磁场</w:t>
            </w:r>
          </w:p>
          <w:p>
            <w:pPr>
              <w:pStyle w:val="5"/>
              <w:rPr>
                <w:color w:val="000000"/>
              </w:rPr>
            </w:pPr>
            <w:r>
              <w:rPr>
                <w:color w:val="000000"/>
              </w:rPr>
              <w:t>工频是指交流电力系统的发电、输电、变电与配电设备以及工业与民用交流电气设备采用的额定频率，单位Hz，我国采用50Hz。本报告工频电场、工频磁场即指50Hz频率下产生的电场和磁场。</w:t>
            </w:r>
          </w:p>
          <w:p>
            <w:pPr>
              <w:pStyle w:val="5"/>
              <w:rPr>
                <w:color w:val="000000"/>
              </w:rPr>
            </w:pPr>
            <w:r>
              <w:rPr>
                <w:color w:val="000000"/>
              </w:rPr>
              <w:t>变电站主要设备及母线线路和输电线路在运行时，电压产生工频电场，电流产生工频磁场，对环境的影响主要为工频电场、工频磁场。</w:t>
            </w:r>
          </w:p>
          <w:p>
            <w:pPr>
              <w:pStyle w:val="5"/>
              <w:rPr>
                <w:color w:val="000000"/>
              </w:rPr>
            </w:pPr>
            <w:r>
              <w:rPr>
                <w:color w:val="000000"/>
              </w:rPr>
              <w:t>（2）噪声</w:t>
            </w:r>
          </w:p>
          <w:p>
            <w:pPr>
              <w:pStyle w:val="5"/>
              <w:rPr>
                <w:color w:val="000000"/>
              </w:rPr>
            </w:pPr>
            <w:r>
              <w:rPr>
                <w:color w:val="000000"/>
              </w:rPr>
              <w:t>变电站内的变压器及其冷却风扇运行会产生连续电磁性和机械性噪声，断路器、火花及电晕放电等会产生暂态的电磁性噪声。</w:t>
            </w:r>
          </w:p>
          <w:p>
            <w:pPr>
              <w:pStyle w:val="5"/>
              <w:rPr>
                <w:color w:val="000000"/>
              </w:rPr>
            </w:pPr>
            <w:r>
              <w:rPr>
                <w:color w:val="000000"/>
              </w:rPr>
              <w:t>输电线路发生电晕时产生的噪声，可能对声环境及附近居民生活产生影响。</w:t>
            </w:r>
          </w:p>
          <w:p>
            <w:pPr>
              <w:pStyle w:val="5"/>
              <w:rPr>
                <w:color w:val="000000"/>
              </w:rPr>
            </w:pPr>
            <w:r>
              <w:rPr>
                <w:color w:val="000000"/>
              </w:rPr>
              <w:t>（3）</w:t>
            </w:r>
            <w:r>
              <w:rPr>
                <w:rFonts w:hint="eastAsia"/>
                <w:color w:val="000000"/>
              </w:rPr>
              <w:t>废污水</w:t>
            </w:r>
          </w:p>
          <w:p>
            <w:pPr>
              <w:adjustRightInd w:val="0"/>
              <w:snapToGrid w:val="0"/>
              <w:spacing w:line="360" w:lineRule="auto"/>
              <w:ind w:firstLine="480" w:firstLineChars="200"/>
              <w:rPr>
                <w:color w:val="000000"/>
                <w:sz w:val="24"/>
              </w:rPr>
            </w:pPr>
            <w:r>
              <w:rPr>
                <w:rFonts w:hint="eastAsia"/>
                <w:color w:val="000000"/>
                <w:sz w:val="24"/>
              </w:rPr>
              <w:t>变电站为无人值守的智能化变电站，正常工况下，站内无工业废水产生，变电站内的废污水主要为巡检人员产生的少量生活污水。伊拉湖220千伏变电站站区内生活污水经地埋式污水处理设施处理后，由环卫部门定期清理。</w:t>
            </w:r>
          </w:p>
          <w:p>
            <w:pPr>
              <w:pStyle w:val="5"/>
              <w:rPr>
                <w:color w:val="000000"/>
              </w:rPr>
            </w:pPr>
            <w:r>
              <w:rPr>
                <w:rFonts w:hint="eastAsia"/>
                <w:color w:val="000000"/>
              </w:rPr>
              <w:t>输电线路运行期不产生废污水，不会对线路沿线水环境造成污染影响。</w:t>
            </w:r>
          </w:p>
          <w:p>
            <w:pPr>
              <w:pStyle w:val="5"/>
              <w:rPr>
                <w:color w:val="000000"/>
              </w:rPr>
            </w:pPr>
            <w:r>
              <w:rPr>
                <w:color w:val="000000"/>
              </w:rPr>
              <w:t>（4）固体废物</w:t>
            </w:r>
          </w:p>
          <w:p>
            <w:pPr>
              <w:adjustRightInd w:val="0"/>
              <w:snapToGrid w:val="0"/>
              <w:spacing w:line="360" w:lineRule="auto"/>
              <w:ind w:firstLine="480" w:firstLineChars="200"/>
              <w:rPr>
                <w:color w:val="000000"/>
                <w:sz w:val="24"/>
              </w:rPr>
            </w:pPr>
            <w:r>
              <w:rPr>
                <w:color w:val="000000"/>
                <w:sz w:val="24"/>
              </w:rPr>
              <w:t>本工程变电站运行固体废物主要为变电站检修人员产生的少量生活垃圾以及废</w:t>
            </w:r>
            <w:r>
              <w:rPr>
                <w:rFonts w:hint="eastAsia"/>
                <w:color w:val="000000"/>
                <w:sz w:val="24"/>
              </w:rPr>
              <w:t>旧</w:t>
            </w:r>
            <w:r>
              <w:rPr>
                <w:color w:val="000000"/>
                <w:sz w:val="24"/>
              </w:rPr>
              <w:t>铅酸蓄电池。</w:t>
            </w:r>
          </w:p>
          <w:p>
            <w:pPr>
              <w:autoSpaceDE w:val="0"/>
              <w:autoSpaceDN w:val="0"/>
              <w:adjustRightInd w:val="0"/>
              <w:snapToGrid w:val="0"/>
              <w:spacing w:line="360" w:lineRule="auto"/>
              <w:ind w:firstLine="480" w:firstLineChars="200"/>
              <w:rPr>
                <w:color w:val="000000"/>
                <w:sz w:val="24"/>
              </w:rPr>
            </w:pPr>
            <w:r>
              <w:rPr>
                <w:rFonts w:hint="eastAsia"/>
                <w:color w:val="000000"/>
                <w:sz w:val="24"/>
              </w:rPr>
              <w:t>根据设计提资，伊拉湖220千伏变电站将采用蓄电池组作为变电站二次系统的备用电源。伊拉湖220千伏变电站站</w:t>
            </w:r>
            <w:r>
              <w:rPr>
                <w:color w:val="000000"/>
                <w:sz w:val="24"/>
              </w:rPr>
              <w:t>内蓄电池达到寿命周期后，废旧蓄电池交由有资质单位</w:t>
            </w:r>
            <w:r>
              <w:rPr>
                <w:rFonts w:hint="eastAsia"/>
                <w:color w:val="000000"/>
                <w:sz w:val="24"/>
              </w:rPr>
              <w:t>处置，不在</w:t>
            </w:r>
            <w:r>
              <w:rPr>
                <w:color w:val="000000"/>
                <w:sz w:val="24"/>
              </w:rPr>
              <w:t>站内存放。</w:t>
            </w:r>
          </w:p>
          <w:p>
            <w:pPr>
              <w:adjustRightInd w:val="0"/>
              <w:snapToGrid w:val="0"/>
              <w:spacing w:line="360" w:lineRule="auto"/>
              <w:ind w:firstLine="480" w:firstLineChars="200"/>
              <w:rPr>
                <w:color w:val="000000"/>
                <w:sz w:val="24"/>
              </w:rPr>
            </w:pPr>
            <w:r>
              <w:rPr>
                <w:color w:val="000000"/>
                <w:sz w:val="24"/>
              </w:rPr>
              <w:t>输电线路在运行期无固体废物产生。</w:t>
            </w:r>
          </w:p>
          <w:p>
            <w:pPr>
              <w:pStyle w:val="5"/>
              <w:rPr>
                <w:color w:val="000000"/>
              </w:rPr>
            </w:pPr>
            <w:r>
              <w:rPr>
                <w:color w:val="000000"/>
              </w:rPr>
              <w:t>（5）</w:t>
            </w:r>
            <w:r>
              <w:rPr>
                <w:rFonts w:hint="eastAsia"/>
                <w:color w:val="000000"/>
              </w:rPr>
              <w:t>事故</w:t>
            </w:r>
            <w:r>
              <w:rPr>
                <w:color w:val="000000"/>
              </w:rPr>
              <w:t>漏油风险</w:t>
            </w:r>
          </w:p>
          <w:p>
            <w:pPr>
              <w:pStyle w:val="5"/>
              <w:rPr>
                <w:color w:val="000000"/>
              </w:rPr>
            </w:pPr>
            <w:r>
              <w:rPr>
                <w:color w:val="000000"/>
              </w:rPr>
              <w:t>变电站主变压器等电气设备为了绝缘和冷却的需要，其外壳内装有变压器油，正常情况下变压器油不外排，在事故和检修过程中的失控状态下可能造成变压器油的泄漏。</w:t>
            </w:r>
          </w:p>
          <w:p>
            <w:pPr>
              <w:pStyle w:val="5"/>
              <w:numPr>
                <w:ilvl w:val="0"/>
                <w:numId w:val="15"/>
              </w:numPr>
              <w:ind w:firstLineChars="0"/>
              <w:rPr>
                <w:b/>
                <w:color w:val="000000"/>
                <w:kern w:val="0"/>
                <w:szCs w:val="21"/>
              </w:rPr>
            </w:pPr>
            <w:r>
              <w:rPr>
                <w:rFonts w:hint="eastAsia"/>
                <w:b/>
                <w:color w:val="000000"/>
                <w:kern w:val="0"/>
                <w:szCs w:val="21"/>
              </w:rPr>
              <w:t>工程环保特点</w:t>
            </w:r>
          </w:p>
          <w:p>
            <w:pPr>
              <w:pStyle w:val="5"/>
              <w:rPr>
                <w:color w:val="000000"/>
              </w:rPr>
            </w:pPr>
            <w:r>
              <w:rPr>
                <w:color w:val="000000"/>
              </w:rPr>
              <w:t>本工程为220</w:t>
            </w:r>
            <w:r>
              <w:rPr>
                <w:rFonts w:hint="eastAsia"/>
                <w:color w:val="000000"/>
              </w:rPr>
              <w:t>千伏</w:t>
            </w:r>
            <w:r>
              <w:rPr>
                <w:color w:val="000000"/>
              </w:rPr>
              <w:t>输变电工程，</w:t>
            </w:r>
            <w:r>
              <w:rPr>
                <w:rFonts w:hint="eastAsia"/>
                <w:color w:val="000000"/>
              </w:rPr>
              <w:t>运行</w:t>
            </w:r>
            <w:r>
              <w:rPr>
                <w:color w:val="000000"/>
              </w:rPr>
              <w:t>期环境影响因子主要为工频电场、工频磁场及噪声。同时，还存在少量生活污水、固体废物、变压器</w:t>
            </w:r>
            <w:r>
              <w:rPr>
                <w:rFonts w:hint="eastAsia"/>
                <w:color w:val="000000"/>
              </w:rPr>
              <w:t>漏油</w:t>
            </w:r>
            <w:r>
              <w:rPr>
                <w:color w:val="000000"/>
              </w:rPr>
              <w:t>可能造成的环境影响。</w:t>
            </w:r>
          </w:p>
          <w:p>
            <w:pPr>
              <w:pStyle w:val="5"/>
              <w:numPr>
                <w:ilvl w:val="0"/>
                <w:numId w:val="15"/>
              </w:numPr>
              <w:ind w:firstLineChars="0"/>
              <w:rPr>
                <w:b/>
                <w:color w:val="000000"/>
                <w:kern w:val="0"/>
                <w:szCs w:val="21"/>
              </w:rPr>
            </w:pPr>
            <w:r>
              <w:rPr>
                <w:rFonts w:hint="eastAsia"/>
                <w:b/>
                <w:color w:val="000000"/>
                <w:kern w:val="0"/>
                <w:szCs w:val="21"/>
              </w:rPr>
              <w:t>运行期各环境要素影响分析</w:t>
            </w:r>
          </w:p>
          <w:p>
            <w:pPr>
              <w:pStyle w:val="5"/>
              <w:numPr>
                <w:ilvl w:val="1"/>
                <w:numId w:val="15"/>
              </w:numPr>
              <w:ind w:firstLineChars="0"/>
              <w:rPr>
                <w:b/>
                <w:color w:val="000000"/>
                <w:kern w:val="0"/>
                <w:szCs w:val="21"/>
              </w:rPr>
            </w:pPr>
            <w:r>
              <w:rPr>
                <w:b/>
                <w:color w:val="000000"/>
                <w:kern w:val="0"/>
                <w:szCs w:val="21"/>
              </w:rPr>
              <w:t>运行期生态环境影响分析</w:t>
            </w:r>
          </w:p>
          <w:p>
            <w:pPr>
              <w:pStyle w:val="5"/>
              <w:rPr>
                <w:color w:val="000000"/>
              </w:rPr>
            </w:pPr>
            <w:r>
              <w:rPr>
                <w:rFonts w:hint="eastAsia"/>
                <w:color w:val="000000"/>
              </w:rPr>
              <w:t>新建伊拉湖220千伏变电站在进入运行期后，其日常的运行维护活动主要集中在变电站内部区域。这些活动包括设备的定期检查、维护保养、故障排除以及必要的技术改造等，均在站内划定的专门区域内有序开展。变电站的运行维护过程遵循严格的环保标准和操作规范，不会产生对周边生态环境造成负面影响的污染物排放，如废水、废气、废渣等。同时，变电站的运行维护活动也不会对周边的植被、土壤、水体等自然要素产生干扰或破坏，因此不会对变电站周边的生态环境造成影响。</w:t>
            </w:r>
          </w:p>
          <w:p>
            <w:pPr>
              <w:pStyle w:val="5"/>
              <w:rPr>
                <w:color w:val="000000"/>
              </w:rPr>
            </w:pPr>
            <w:r>
              <w:rPr>
                <w:rFonts w:ascii="Segoe UI" w:hAnsi="Segoe UI" w:eastAsia="Segoe UI" w:cs="Segoe UI"/>
                <w:szCs w:val="24"/>
                <w:shd w:val="clear" w:color="auto" w:fill="FFFFFF"/>
              </w:rPr>
              <w:t>在对输电线路进行巡检工作时，工作人员主要沿着预先规划好的、已经存在的道路行进</w:t>
            </w:r>
            <w:r>
              <w:rPr>
                <w:rFonts w:hint="eastAsia" w:ascii="Segoe UI" w:hAnsi="Segoe UI" w:cs="Segoe UI"/>
                <w:szCs w:val="24"/>
                <w:shd w:val="clear" w:color="auto" w:fill="FFFFFF"/>
              </w:rPr>
              <w:t>，</w:t>
            </w:r>
            <w:r>
              <w:rPr>
                <w:rFonts w:ascii="Segoe UI" w:hAnsi="Segoe UI" w:eastAsia="Segoe UI" w:cs="Segoe UI"/>
                <w:szCs w:val="24"/>
                <w:shd w:val="clear" w:color="auto" w:fill="FFFFFF"/>
              </w:rPr>
              <w:t>不会对周边的植被、土壤结构、野生动物栖息地等生态环境要素造成破坏或干扰。这种巡检方式避免了对周边生态环境的直接接触和影响，对周边生态环境的影响相对较小。</w:t>
            </w:r>
          </w:p>
          <w:p>
            <w:pPr>
              <w:pStyle w:val="5"/>
              <w:rPr>
                <w:color w:val="000000"/>
              </w:rPr>
            </w:pPr>
            <w:r>
              <w:rPr>
                <w:color w:val="000000"/>
              </w:rPr>
              <w:t>根据</w:t>
            </w:r>
            <w:r>
              <w:rPr>
                <w:rFonts w:hint="eastAsia"/>
                <w:color w:val="000000"/>
              </w:rPr>
              <w:t>新疆维吾尔自治区</w:t>
            </w:r>
            <w:r>
              <w:rPr>
                <w:color w:val="000000"/>
              </w:rPr>
              <w:t>目前已投入运行的</w:t>
            </w:r>
            <w:r>
              <w:rPr>
                <w:rFonts w:hint="eastAsia"/>
                <w:color w:val="000000"/>
              </w:rPr>
              <w:t>输变电工程</w:t>
            </w:r>
            <w:r>
              <w:rPr>
                <w:color w:val="000000"/>
              </w:rPr>
              <w:t>附近生态环境现状调查结果，未发现输变电工程</w:t>
            </w:r>
            <w:r>
              <w:rPr>
                <w:rFonts w:hint="eastAsia"/>
                <w:color w:val="000000"/>
              </w:rPr>
              <w:t>的</w:t>
            </w:r>
            <w:r>
              <w:rPr>
                <w:color w:val="000000"/>
              </w:rPr>
              <w:t>投运对周围生态产生</w:t>
            </w:r>
            <w:r>
              <w:rPr>
                <w:rFonts w:hint="eastAsia"/>
                <w:color w:val="000000"/>
              </w:rPr>
              <w:t>明显</w:t>
            </w:r>
            <w:r>
              <w:rPr>
                <w:color w:val="000000"/>
              </w:rPr>
              <w:t>影响。因此可以预测，本工程运行期不会对周围的生态环境造成不良影响</w:t>
            </w:r>
            <w:r>
              <w:t>。</w:t>
            </w:r>
          </w:p>
          <w:p>
            <w:pPr>
              <w:pStyle w:val="5"/>
              <w:numPr>
                <w:ilvl w:val="1"/>
                <w:numId w:val="15"/>
              </w:numPr>
              <w:ind w:firstLineChars="0"/>
              <w:rPr>
                <w:b/>
                <w:color w:val="000000"/>
                <w:kern w:val="0"/>
                <w:szCs w:val="21"/>
              </w:rPr>
            </w:pPr>
            <w:r>
              <w:rPr>
                <w:rFonts w:hint="eastAsia"/>
                <w:b/>
                <w:color w:val="000000"/>
                <w:kern w:val="0"/>
                <w:szCs w:val="21"/>
              </w:rPr>
              <w:t>运行期电磁环境影响分析及评价</w:t>
            </w:r>
          </w:p>
          <w:p>
            <w:pPr>
              <w:pStyle w:val="5"/>
              <w:numPr>
                <w:ilvl w:val="2"/>
                <w:numId w:val="15"/>
              </w:numPr>
              <w:ind w:firstLineChars="0"/>
              <w:rPr>
                <w:b/>
                <w:color w:val="000000"/>
                <w:kern w:val="0"/>
                <w:szCs w:val="21"/>
              </w:rPr>
            </w:pPr>
            <w:r>
              <w:rPr>
                <w:b/>
                <w:color w:val="000000"/>
                <w:kern w:val="0"/>
                <w:szCs w:val="21"/>
              </w:rPr>
              <w:t>电磁环境影响评价方法</w:t>
            </w:r>
          </w:p>
          <w:p>
            <w:pPr>
              <w:pStyle w:val="5"/>
              <w:rPr>
                <w:color w:val="000000"/>
              </w:rPr>
            </w:pPr>
            <w:r>
              <w:rPr>
                <w:color w:val="000000"/>
              </w:rPr>
              <w:t>（1）变电站新建工程：采用类比监测分析方式进行电磁环境影响评价。</w:t>
            </w:r>
          </w:p>
          <w:p>
            <w:pPr>
              <w:pStyle w:val="5"/>
              <w:rPr>
                <w:color w:val="000000"/>
              </w:rPr>
            </w:pPr>
            <w:r>
              <w:rPr>
                <w:color w:val="000000"/>
              </w:rPr>
              <w:t>（2）线路工程：架空线路采用模式预测的</w:t>
            </w:r>
            <w:r>
              <w:rPr>
                <w:rFonts w:hint="eastAsia"/>
                <w:color w:val="000000"/>
              </w:rPr>
              <w:t>方式</w:t>
            </w:r>
            <w:r>
              <w:rPr>
                <w:color w:val="000000"/>
              </w:rPr>
              <w:t>进行预测评价。</w:t>
            </w:r>
          </w:p>
          <w:p>
            <w:pPr>
              <w:pStyle w:val="5"/>
              <w:rPr>
                <w:color w:val="000000"/>
              </w:rPr>
            </w:pPr>
            <w:r>
              <w:rPr>
                <w:rFonts w:hint="eastAsia"/>
                <w:color w:val="000000"/>
              </w:rPr>
              <w:t>（3）电缆线路工程：采用类比监测分析方式进行电磁环境影响评价。</w:t>
            </w:r>
          </w:p>
          <w:p>
            <w:pPr>
              <w:pStyle w:val="5"/>
              <w:rPr>
                <w:color w:val="000000"/>
              </w:rPr>
            </w:pPr>
            <w:r>
              <w:rPr>
                <w:color w:val="000000"/>
              </w:rPr>
              <w:t>本工程电磁环境影响分析内容详见电磁环境影响专题评价，</w:t>
            </w:r>
            <w:r>
              <w:rPr>
                <w:rFonts w:hint="eastAsia"/>
                <w:color w:val="000000"/>
              </w:rPr>
              <w:t>相关</w:t>
            </w:r>
            <w:r>
              <w:rPr>
                <w:color w:val="000000"/>
              </w:rPr>
              <w:t>结论如下：</w:t>
            </w:r>
          </w:p>
          <w:p>
            <w:pPr>
              <w:pStyle w:val="5"/>
              <w:numPr>
                <w:ilvl w:val="2"/>
                <w:numId w:val="15"/>
              </w:numPr>
              <w:ind w:firstLineChars="0"/>
              <w:rPr>
                <w:b/>
                <w:color w:val="000000"/>
                <w:kern w:val="0"/>
                <w:szCs w:val="21"/>
              </w:rPr>
            </w:pPr>
            <w:r>
              <w:rPr>
                <w:rFonts w:hint="eastAsia"/>
                <w:b/>
                <w:color w:val="000000"/>
                <w:kern w:val="0"/>
                <w:szCs w:val="21"/>
              </w:rPr>
              <w:t>伊拉湖220千伏变电站</w:t>
            </w:r>
            <w:r>
              <w:rPr>
                <w:b/>
                <w:color w:val="000000"/>
                <w:kern w:val="0"/>
                <w:szCs w:val="21"/>
              </w:rPr>
              <w:t>新建工程</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类比分析结果表明，水磨沟220千伏变电站运行期的电磁环境水平能够反映本工程伊拉湖220千伏变电站建成投运后的电磁环境影响状况；类比监测结果表明，类比对象水磨沟220千伏变电站四周厂界的工频电场、工频磁场均分别满足4000V</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100μT</w:t>
            </w:r>
            <w:r>
              <w:rPr>
                <w:rFonts w:hint="eastAsia"/>
                <w:color w:val="000000" w:themeColor="text1"/>
                <w14:textFill>
                  <w14:solidFill>
                    <w14:schemeClr w14:val="tx1"/>
                  </w14:solidFill>
                </w14:textFill>
              </w:rPr>
              <w:t>的标准限值要求。因此，可以预测伊拉湖220千伏变电站建成投运后产生的工频电场、工频磁场分别能够分别满足4000V</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100μT</w:t>
            </w:r>
            <w:r>
              <w:rPr>
                <w:rFonts w:hint="eastAsia"/>
                <w:color w:val="000000" w:themeColor="text1"/>
                <w14:textFill>
                  <w14:solidFill>
                    <w14:schemeClr w14:val="tx1"/>
                  </w14:solidFill>
                </w14:textFill>
              </w:rPr>
              <w:t>的标准限值要求。</w:t>
            </w:r>
            <w:r>
              <w:rPr>
                <w:color w:val="000000" w:themeColor="text1"/>
                <w14:textFill>
                  <w14:solidFill>
                    <w14:schemeClr w14:val="tx1"/>
                  </w14:solidFill>
                </w14:textFill>
              </w:rPr>
              <w:t>变电站电磁影响评价范围内无电磁环境敏感目标。</w:t>
            </w:r>
          </w:p>
          <w:p>
            <w:pPr>
              <w:pStyle w:val="5"/>
              <w:numPr>
                <w:ilvl w:val="2"/>
                <w:numId w:val="15"/>
              </w:numPr>
              <w:ind w:firstLineChars="0"/>
              <w:rPr>
                <w:color w:val="000000" w:themeColor="text1"/>
                <w14:textFill>
                  <w14:solidFill>
                    <w14:schemeClr w14:val="tx1"/>
                  </w14:solidFill>
                </w14:textFill>
              </w:rPr>
            </w:pPr>
            <w:r>
              <w:rPr>
                <w:rFonts w:hint="eastAsia"/>
                <w:b/>
                <w:bCs/>
                <w:color w:val="000000" w:themeColor="text1"/>
                <w14:textFill>
                  <w14:solidFill>
                    <w14:schemeClr w14:val="tx1"/>
                  </w14:solidFill>
                </w14:textFill>
              </w:rPr>
              <w:t>新建电缆线路工程</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由类比可行性分析可知，郑州220kV洞翰Ⅰ线、洞翰Ⅱ线、洞徐Ⅰ线、洞徐Ⅱ线电缆线路监测断面的工频电场、工频磁场均满足工频电场4000V/m、工频磁场100μT的评价标准限值要求。因此可以预测，本工程电缆线路建成投运后工频电场、工频磁场可以满足《电磁环境控制限值》（GB8702-2014）相关标准要求。</w:t>
            </w:r>
          </w:p>
          <w:p>
            <w:pPr>
              <w:pStyle w:val="5"/>
              <w:numPr>
                <w:ilvl w:val="2"/>
                <w:numId w:val="15"/>
              </w:numPr>
              <w:ind w:firstLineChars="0"/>
              <w:rPr>
                <w:b/>
                <w:bCs/>
                <w:color w:val="000000"/>
              </w:rPr>
            </w:pPr>
            <w:r>
              <w:rPr>
                <w:b/>
                <w:bCs/>
                <w:color w:val="000000"/>
              </w:rPr>
              <w:t>220</w:t>
            </w:r>
            <w:r>
              <w:rPr>
                <w:rFonts w:hint="eastAsia"/>
                <w:b/>
                <w:bCs/>
                <w:color w:val="000000"/>
              </w:rPr>
              <w:t>千伏</w:t>
            </w:r>
            <w:r>
              <w:rPr>
                <w:b/>
                <w:bCs/>
                <w:color w:val="000000"/>
              </w:rPr>
              <w:t>线路工程</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①</w:t>
            </w:r>
            <w:r>
              <w:rPr>
                <w:rFonts w:hint="eastAsia"/>
              </w:rPr>
              <w:t>吐鲁番电厂-阿拉沟变Ⅰ、Ⅱ回π入伊拉湖变电站220千伏线路工程（导线型号：2×JL3/G1A-630/45）</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（1）单回线路（2×JL3/G1A-630/45型导线）电磁环境预测结果：</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1）非居民区</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本工程单回线路（2×JL3/G1A-630/45型导线）经过非居民区，导线弧垂最小对地距离6.5m，线路下方距离地面1.5m高度处的工频电场强度最大值为7.46kV/m，工频磁感应强度最大值为95.65μT，满足《电磁环境控制限值》（GB8702-2014）10kV/m、100μT的控制限值。</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2）居民区</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本工程单回线路（2×JL3/G1A-630/45型导线）经过居民区，导线弧垂最小对地距离7.5m，线路下方距离地面1.5m、4.5m高度处的工频电场强度最大值分别为5.93kV/m、10.37kV/m，均不满足《电磁环境控制限值》（GB8702-2014）中4000V/m的控制限值；工频磁感应强度最大值分别为78.34μT、157.53μT，不满足《电磁环境控制限值》（GB8702-2014）中100μT的控制限值。</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3）单回线路电磁环境影响控制措施</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由预测结果可知，本工程拟建单回线路（2×JL3/G1A-630/45型导线）经过居民区时，本项目新建220kV单回线路段经过居民区，导线对地距离为11.5m时，距离地面1.5m、4.5m高度处的工频电场强度最大值分别为2.95kV/m、3.85kV/m，均满足《电磁环境控制限值》（GB8702-2014）中4000V/m控制限值要求；距离地面1.5m、4.5m高度处的工频磁感应强度最大值分别为44.63μT、69.87μT，均满足《电磁环境控制限值》（GB8702-2014）100μT的控制限值要求。</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（2）单回线路（2×JL3/G1A-400/35型导线）电磁环境预测结果：</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1）非居民区</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本工程单回线路（2×JL3/G1A-400/35型导线）经过非居民区，导线弧垂最小对地距离6.5m，线路下方距离地面1.5m高度处的工频电场强度最大值为7.02kV/m，工频磁感应强度最大值为60.97μT，满足《电磁环境控制限值》（GB8702-2014）10kV/m、100μT的控制限值。</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2）居民区</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本工程单回线路（2×JL3/G1A-400/35型导线）经过居民区，导线弧垂最小对地距离7.5m，线路下方距离地面1.5m、4.5m高度处的工频电场强度最大值分别为5.58kV/m、9.84kV/m，均不满足《电磁环境控制限值》（GB8702-2014）中4000V/m的控制限值；工频磁感应强度最大值分别为49.56μT、101.85μT，不满足《电磁环境控制限值》（GB8702-2014）中100μT的控制限值。</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3）单回线路电磁环境影响控制措施</w:t>
            </w:r>
          </w:p>
          <w:p>
            <w:pPr>
              <w:pStyle w:val="5"/>
              <w:rPr>
                <w:color w:val="000000" w:themeColor="text1"/>
                <w:highlight w:val="yellow"/>
                <w14:textFill>
                  <w14:solidFill>
                    <w14:schemeClr w14:val="tx1"/>
                  </w14:solidFill>
                </w14:textFill>
              </w:rPr>
            </w:pPr>
            <w:r>
              <w:rPr>
                <w:rFonts w:hint="eastAsia"/>
                <w:color w:val="000000" w:themeColor="text1"/>
                <w14:textFill>
                  <w14:solidFill>
                    <w14:schemeClr w14:val="tx1"/>
                  </w14:solidFill>
                </w14:textFill>
              </w:rPr>
              <w:t>由预测结果可知，本工程拟建单回线路（2×JL3/G1A-400/35型导线）经过居民区时，本项目新建220kV单回线路段经过居民区，导线对地距离为11.5m时，距离地面1.5m、4.5m高度处的工频电场强度最大值分别为2.82kV/m、3.67kV/m，均满足《电磁环境控制限值》（GB8702-2014）中4000V/m控制限值要求；距离地面1.5m、4.5m高度处的工频磁感应强度最大值分别为28.69μT、44.93μT，均满足《电磁环境控制限值》（GB8702-2014）100μT的控制限值要求。</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②</w:t>
            </w:r>
            <w:r>
              <w:rPr>
                <w:rFonts w:hint="eastAsia"/>
              </w:rPr>
              <w:t>吐鲁番电厂-阿拉沟变Ⅰ、Ⅱ线改接入托克逊220千伏变220千伏线路工程（导线型号：2×JL3/G1A-400/35）</w:t>
            </w:r>
          </w:p>
          <w:p>
            <w:pPr>
              <w:pStyle w:val="5"/>
              <w:numPr>
                <w:ilvl w:val="255"/>
                <w:numId w:val="0"/>
              </w:numPr>
              <w:ind w:firstLine="480" w:firstLineChars="200"/>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（1）单回线路（2×JL3/G1A-400/35型导线）电磁环境预测结果：</w:t>
            </w:r>
          </w:p>
          <w:p>
            <w:pPr>
              <w:pStyle w:val="5"/>
              <w:numPr>
                <w:ilvl w:val="255"/>
                <w:numId w:val="0"/>
              </w:numPr>
              <w:ind w:firstLine="480" w:firstLineChars="200"/>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1）非居民区</w:t>
            </w:r>
          </w:p>
          <w:p>
            <w:pPr>
              <w:pStyle w:val="5"/>
              <w:numPr>
                <w:ilvl w:val="255"/>
                <w:numId w:val="0"/>
              </w:numPr>
              <w:ind w:firstLine="480" w:firstLineChars="200"/>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本工程单回线路（2×JL3/G1A-400/35型导线）经过非居民区，导线弧垂最小对地距离6.5m，线路下方距离地面1.5m高度处的工频电场强度最大值为7.02kV/m，工频磁感应强度最大值为60.97μT，满足《电磁环境控制限值》（GB8702-2014）10kV/m、100μT的控制限值。</w:t>
            </w:r>
          </w:p>
          <w:p>
            <w:pPr>
              <w:pStyle w:val="5"/>
              <w:numPr>
                <w:ilvl w:val="255"/>
                <w:numId w:val="0"/>
              </w:numPr>
              <w:ind w:firstLine="480" w:firstLineChars="200"/>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2）居民区</w:t>
            </w:r>
          </w:p>
          <w:p>
            <w:pPr>
              <w:pStyle w:val="5"/>
              <w:numPr>
                <w:ilvl w:val="255"/>
                <w:numId w:val="0"/>
              </w:numPr>
              <w:ind w:firstLine="480" w:firstLineChars="200"/>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本工程单回线路（2×JL3/G1A-400/35型导线）经过居民区，导线弧垂最小对地距离7.5m，线路下方距离地面1.5m、4.5m高度处的工频电场强度最大值分别为5.58kV/m、9.84kV/m，均不满足《电磁环境控制限值》（GB8702-2014）中4000V/m的控制限值；工频磁感应强度最大值分别为49.56μT、101.85μT，不满足《电磁环境控制限值》（GB8702-2014）中100μT的控制限值。</w:t>
            </w:r>
          </w:p>
          <w:p>
            <w:pPr>
              <w:pStyle w:val="5"/>
              <w:numPr>
                <w:ilvl w:val="255"/>
                <w:numId w:val="0"/>
              </w:numPr>
              <w:ind w:firstLine="480" w:firstLineChars="200"/>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3）单回线路电磁环境影响控制措施</w:t>
            </w:r>
          </w:p>
          <w:p>
            <w:pPr>
              <w:pStyle w:val="5"/>
              <w:numPr>
                <w:ilvl w:val="255"/>
                <w:numId w:val="0"/>
              </w:numPr>
              <w:ind w:firstLine="480" w:firstLineChars="200"/>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由预测结果可知，本工程拟建单回线路（2×JL3/G1A-400/35型导线）经过居民区时，本项目新建220kV单回线路段经过居民区，导线对地距离为11.5m时，距离地面1.5m、4.5m高度处的工频电场强度最大值分别为2.82kV/m、3.67kV/m，均满足《电磁环境控制限值》（GB8702-2014）中4000V/m控制限值要求；距离地面1.5m、4.5m高度处的工频磁感应强度最大值分别为28.69μT、44.93μT，均满足《电磁环境控制限值》（GB8702-2014）100μT的控制限值要求。</w:t>
            </w:r>
          </w:p>
          <w:p>
            <w:pPr>
              <w:pStyle w:val="5"/>
              <w:numPr>
                <w:ilvl w:val="3"/>
                <w:numId w:val="15"/>
              </w:numPr>
              <w:ind w:firstLineChars="0"/>
              <w:rPr>
                <w:color w:val="000000" w:themeColor="text1"/>
                <w:szCs w:val="32"/>
                <w14:textFill>
                  <w14:solidFill>
                    <w14:schemeClr w14:val="tx1"/>
                  </w14:solidFill>
                </w14:textFill>
              </w:rPr>
            </w:pPr>
            <w:r>
              <w:rPr>
                <w:rFonts w:hint="eastAsia"/>
                <w:b/>
                <w:bCs/>
                <w:color w:val="000000" w:themeColor="text1"/>
                <w:szCs w:val="32"/>
                <w14:textFill>
                  <w14:solidFill>
                    <w14:schemeClr w14:val="tx1"/>
                  </w14:solidFill>
                </w14:textFill>
              </w:rPr>
              <w:t>输电线路电磁环境敏感目标预测结论</w:t>
            </w:r>
          </w:p>
          <w:p>
            <w:pPr>
              <w:pStyle w:val="5"/>
              <w:numPr>
                <w:ilvl w:val="255"/>
                <w:numId w:val="0"/>
              </w:numPr>
              <w:ind w:firstLine="480" w:firstLineChars="200"/>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本环评针对输电线路评价范围内的电磁环境敏感目标按照相应导线对地距离进行了相应环境影响预测，本工程沿线电磁环境敏感建筑物均为一层平顶建筑，因此预测距离地面1.5m、4.5m高度处的工频电场强度、工频磁感应强度。预测结果显示本工程拟建输电线路评价范围内的工频电场强度、工频磁感应强度均满足《电磁环境控制限值》（GB8702-2014）中4000V/m、100μT的标准限值要求。</w:t>
            </w:r>
          </w:p>
          <w:p>
            <w:pPr>
              <w:pStyle w:val="5"/>
              <w:numPr>
                <w:ilvl w:val="1"/>
                <w:numId w:val="15"/>
              </w:numPr>
              <w:ind w:firstLineChars="0"/>
              <w:rPr>
                <w:b/>
                <w:color w:val="000000"/>
                <w:kern w:val="0"/>
                <w:szCs w:val="21"/>
              </w:rPr>
            </w:pPr>
            <w:r>
              <w:rPr>
                <w:b/>
                <w:color w:val="000000"/>
                <w:kern w:val="0"/>
                <w:szCs w:val="21"/>
              </w:rPr>
              <w:t>运行期声环境影响分析</w:t>
            </w:r>
          </w:p>
          <w:p>
            <w:pPr>
              <w:pStyle w:val="5"/>
              <w:numPr>
                <w:ilvl w:val="2"/>
                <w:numId w:val="15"/>
              </w:numPr>
              <w:ind w:firstLineChars="0"/>
              <w:rPr>
                <w:b/>
                <w:color w:val="000000"/>
                <w:kern w:val="0"/>
                <w:szCs w:val="21"/>
              </w:rPr>
            </w:pPr>
            <w:r>
              <w:rPr>
                <w:b/>
                <w:color w:val="000000"/>
                <w:kern w:val="0"/>
                <w:szCs w:val="21"/>
              </w:rPr>
              <w:t>声环境影响评价方法</w:t>
            </w:r>
          </w:p>
          <w:p>
            <w:pPr>
              <w:pStyle w:val="5"/>
              <w:rPr>
                <w:color w:val="000000"/>
              </w:rPr>
            </w:pPr>
            <w:r>
              <w:rPr>
                <w:color w:val="000000"/>
              </w:rPr>
              <w:t>（1）变电站新建工程：采用模式预测的</w:t>
            </w:r>
            <w:r>
              <w:rPr>
                <w:rFonts w:hint="eastAsia"/>
                <w:color w:val="000000"/>
              </w:rPr>
              <w:t>方式</w:t>
            </w:r>
            <w:r>
              <w:rPr>
                <w:color w:val="000000"/>
              </w:rPr>
              <w:t>评价。</w:t>
            </w:r>
          </w:p>
          <w:p>
            <w:pPr>
              <w:adjustRightInd w:val="0"/>
              <w:snapToGrid w:val="0"/>
              <w:spacing w:line="360" w:lineRule="auto"/>
              <w:ind w:firstLine="480"/>
              <w:rPr>
                <w:color w:val="000000"/>
                <w:sz w:val="24"/>
              </w:rPr>
            </w:pPr>
            <w:r>
              <w:rPr>
                <w:rFonts w:hint="eastAsia"/>
                <w:color w:val="000000"/>
                <w:sz w:val="24"/>
              </w:rPr>
              <w:t>（2）</w:t>
            </w:r>
            <w:r>
              <w:rPr>
                <w:color w:val="000000"/>
                <w:sz w:val="24"/>
              </w:rPr>
              <w:t>线路工程：</w:t>
            </w:r>
            <w:r>
              <w:rPr>
                <w:color w:val="000000"/>
                <w:kern w:val="0"/>
                <w:sz w:val="24"/>
              </w:rPr>
              <w:t>22</w:t>
            </w:r>
            <w:r>
              <w:rPr>
                <w:snapToGrid w:val="0"/>
                <w:color w:val="000000"/>
                <w:kern w:val="0"/>
                <w:sz w:val="24"/>
                <w:szCs w:val="20"/>
              </w:rPr>
              <w:t>0</w:t>
            </w:r>
            <w:r>
              <w:rPr>
                <w:rFonts w:hint="eastAsia"/>
                <w:snapToGrid w:val="0"/>
                <w:color w:val="000000"/>
                <w:kern w:val="0"/>
                <w:sz w:val="24"/>
                <w:szCs w:val="20"/>
              </w:rPr>
              <w:t>千伏</w:t>
            </w:r>
            <w:r>
              <w:rPr>
                <w:snapToGrid w:val="0"/>
                <w:color w:val="000000"/>
                <w:kern w:val="0"/>
                <w:sz w:val="24"/>
                <w:szCs w:val="20"/>
              </w:rPr>
              <w:t>架空线路</w:t>
            </w:r>
            <w:r>
              <w:rPr>
                <w:color w:val="000000"/>
                <w:sz w:val="24"/>
              </w:rPr>
              <w:t>声环境影响</w:t>
            </w:r>
            <w:r>
              <w:rPr>
                <w:rFonts w:hint="eastAsia"/>
                <w:color w:val="000000"/>
                <w:sz w:val="24"/>
              </w:rPr>
              <w:t>采用</w:t>
            </w:r>
            <w:r>
              <w:rPr>
                <w:color w:val="000000"/>
                <w:sz w:val="24"/>
              </w:rPr>
              <w:t>类比监测分析方式评价。</w:t>
            </w:r>
          </w:p>
          <w:p>
            <w:pPr>
              <w:adjustRightInd w:val="0"/>
              <w:snapToGrid w:val="0"/>
              <w:spacing w:line="360" w:lineRule="auto"/>
              <w:ind w:firstLine="480"/>
              <w:jc w:val="left"/>
              <w:rPr>
                <w:sz w:val="24"/>
              </w:rPr>
            </w:pPr>
            <w:r>
              <w:rPr>
                <w:rFonts w:hint="eastAsia"/>
                <w:sz w:val="24"/>
              </w:rPr>
              <w:t>（3）电缆线路：电缆线路可不进行声环境影响评价。</w:t>
            </w:r>
          </w:p>
          <w:p>
            <w:pPr>
              <w:pStyle w:val="5"/>
              <w:numPr>
                <w:ilvl w:val="2"/>
                <w:numId w:val="15"/>
              </w:numPr>
              <w:ind w:firstLineChars="0"/>
              <w:rPr>
                <w:b/>
                <w:color w:val="000000"/>
                <w:kern w:val="0"/>
                <w:szCs w:val="21"/>
              </w:rPr>
            </w:pPr>
            <w:r>
              <w:rPr>
                <w:rFonts w:hint="eastAsia"/>
                <w:b/>
                <w:color w:val="000000"/>
                <w:kern w:val="0"/>
                <w:szCs w:val="21"/>
              </w:rPr>
              <w:t>伊拉湖220千伏变电站</w:t>
            </w:r>
            <w:r>
              <w:rPr>
                <w:b/>
                <w:color w:val="000000"/>
                <w:kern w:val="0"/>
                <w:szCs w:val="21"/>
              </w:rPr>
              <w:t>声环境影响分析</w:t>
            </w:r>
          </w:p>
          <w:p>
            <w:pPr>
              <w:pStyle w:val="5"/>
              <w:numPr>
                <w:ilvl w:val="3"/>
                <w:numId w:val="15"/>
              </w:numPr>
              <w:ind w:firstLineChars="0"/>
              <w:rPr>
                <w:b/>
                <w:color w:val="000000"/>
                <w:kern w:val="0"/>
                <w:szCs w:val="21"/>
              </w:rPr>
            </w:pPr>
            <w:r>
              <w:rPr>
                <w:b/>
                <w:color w:val="000000"/>
                <w:kern w:val="0"/>
                <w:szCs w:val="21"/>
              </w:rPr>
              <w:t>预测模式</w:t>
            </w:r>
          </w:p>
          <w:p>
            <w:pPr>
              <w:pStyle w:val="5"/>
              <w:rPr>
                <w:color w:val="000000"/>
              </w:rPr>
            </w:pPr>
            <w:r>
              <w:rPr>
                <w:rFonts w:hint="eastAsia"/>
                <w:color w:val="000000"/>
              </w:rPr>
              <w:t>采用《环境影响评价技术导则 声环境》（HJ2.4-2021）中的室外工业噪声预测模式</w:t>
            </w:r>
            <w:r>
              <w:rPr>
                <w:color w:val="000000"/>
              </w:rPr>
              <w:t>。</w:t>
            </w:r>
          </w:p>
          <w:p>
            <w:pPr>
              <w:pStyle w:val="5"/>
              <w:numPr>
                <w:ilvl w:val="3"/>
                <w:numId w:val="15"/>
              </w:numPr>
              <w:ind w:firstLineChars="0"/>
              <w:rPr>
                <w:b/>
                <w:color w:val="000000"/>
                <w:kern w:val="0"/>
                <w:szCs w:val="21"/>
              </w:rPr>
            </w:pPr>
            <w:r>
              <w:rPr>
                <w:b/>
                <w:color w:val="000000"/>
                <w:kern w:val="0"/>
                <w:szCs w:val="21"/>
              </w:rPr>
              <w:t>参数选取</w:t>
            </w:r>
          </w:p>
          <w:p>
            <w:pPr>
              <w:pStyle w:val="5"/>
              <w:rPr>
                <w:rFonts w:cs="宋体"/>
                <w:color w:val="000000"/>
              </w:rPr>
            </w:pPr>
            <w:r>
              <w:rPr>
                <w:rFonts w:hint="eastAsia" w:cs="宋体"/>
                <w:color w:val="000000"/>
              </w:rPr>
              <w:t>（1）噪声源</w:t>
            </w:r>
          </w:p>
          <w:p>
            <w:pPr>
              <w:pStyle w:val="5"/>
              <w:wordWrap w:val="0"/>
              <w:rPr>
                <w:rFonts w:cs="宋体"/>
                <w:color w:val="000000"/>
              </w:rPr>
            </w:pPr>
            <w:r>
              <w:rPr>
                <w:rFonts w:cs="宋体"/>
                <w:color w:val="000000"/>
              </w:rPr>
              <w:t>本工程</w:t>
            </w:r>
            <w:r>
              <w:rPr>
                <w:rFonts w:hint="eastAsia" w:cs="宋体"/>
                <w:color w:val="000000"/>
              </w:rPr>
              <w:t>伊拉湖220千伏变电站本期拟建#</w:t>
            </w:r>
            <w:r>
              <w:rPr>
                <w:rFonts w:cs="宋体"/>
                <w:color w:val="000000"/>
              </w:rPr>
              <w:t>1</w:t>
            </w:r>
            <w:r>
              <w:rPr>
                <w:rFonts w:hint="eastAsia" w:cs="宋体"/>
                <w:color w:val="000000"/>
              </w:rPr>
              <w:t>和#</w:t>
            </w:r>
            <w:r>
              <w:rPr>
                <w:rFonts w:cs="宋体"/>
                <w:color w:val="000000"/>
              </w:rPr>
              <w:t>2</w:t>
            </w:r>
            <w:r>
              <w:rPr>
                <w:rFonts w:hint="eastAsia"/>
                <w:color w:val="000000"/>
              </w:rPr>
              <w:t>主变压器户内布置</w:t>
            </w:r>
            <w:r>
              <w:rPr>
                <w:rFonts w:hint="eastAsia" w:cs="宋体"/>
                <w:color w:val="000000"/>
              </w:rPr>
              <w:t>。变电站运行期间的噪声源主要为主变压器。根据《变电站噪声控制技术导则》（DL/T1518-2016），</w:t>
            </w:r>
            <w:r>
              <w:rPr>
                <w:rFonts w:cs="宋体"/>
                <w:color w:val="000000"/>
              </w:rPr>
              <w:t>220</w:t>
            </w:r>
            <w:r>
              <w:rPr>
                <w:rFonts w:hint="eastAsia" w:cs="宋体"/>
                <w:color w:val="000000"/>
              </w:rPr>
              <w:t>千伏变压器外</w:t>
            </w:r>
            <w:r>
              <w:rPr>
                <w:rFonts w:cs="宋体"/>
                <w:color w:val="000000"/>
              </w:rPr>
              <w:t>1m</w:t>
            </w:r>
            <w:r>
              <w:rPr>
                <w:rFonts w:hint="eastAsia" w:cs="宋体"/>
                <w:color w:val="000000"/>
              </w:rPr>
              <w:t>处声压级一般不超过67.9</w:t>
            </w:r>
            <w:r>
              <w:rPr>
                <w:rFonts w:cs="宋体"/>
                <w:color w:val="000000"/>
              </w:rPr>
              <w:t>dB</w:t>
            </w:r>
            <w:r>
              <w:rPr>
                <w:rFonts w:hint="eastAsia" w:cs="宋体"/>
                <w:color w:val="000000"/>
              </w:rPr>
              <w:t>(</w:t>
            </w:r>
            <w:r>
              <w:rPr>
                <w:rFonts w:cs="宋体"/>
                <w:color w:val="000000"/>
              </w:rPr>
              <w:t>A</w:t>
            </w:r>
            <w:r>
              <w:rPr>
                <w:rFonts w:hint="eastAsia" w:cs="宋体"/>
                <w:color w:val="000000"/>
              </w:rPr>
              <w:t>)，</w:t>
            </w:r>
            <w:r>
              <w:rPr>
                <w:rFonts w:hint="eastAsia"/>
                <w:bCs/>
                <w:color w:val="000000" w:themeColor="text1"/>
                <w:szCs w:val="24"/>
                <w14:textFill>
                  <w14:solidFill>
                    <w14:schemeClr w14:val="tx1"/>
                  </w14:solidFill>
                </w14:textFill>
              </w:rPr>
              <w:t>按面声源进行预测</w:t>
            </w:r>
            <w:r>
              <w:rPr>
                <w:rFonts w:hint="eastAsia" w:cs="宋体"/>
                <w:color w:val="000000"/>
              </w:rPr>
              <w:t>。</w:t>
            </w:r>
          </w:p>
          <w:p>
            <w:pPr>
              <w:pStyle w:val="5"/>
              <w:rPr>
                <w:color w:val="000000"/>
              </w:rPr>
            </w:pPr>
            <w:r>
              <w:rPr>
                <w:rFonts w:hint="eastAsia" w:cs="宋体"/>
                <w:color w:val="000000"/>
              </w:rPr>
              <w:t>以变电站西南角地面为坐标原点进行建系，本工程声源详细参数见</w:t>
            </w:r>
            <w:r>
              <w:rPr>
                <w:rFonts w:hint="eastAsia" w:cs="宋体"/>
                <w:b w:val="0"/>
                <w:bCs w:val="0"/>
                <w:color w:val="000000"/>
                <w:lang w:eastAsia="zh-CN"/>
              </w:rPr>
              <w:fldChar w:fldCharType="begin"/>
            </w:r>
            <w:r>
              <w:rPr>
                <w:b w:val="0"/>
                <w:bCs w:val="0"/>
              </w:rPr>
              <w:instrText xml:space="preserve"> REF _Ref157241444 \h  \* MERGEFORMAT</w:instrText>
            </w:r>
            <w:r>
              <w:rPr>
                <w:rFonts w:hint="eastAsia" w:cs="宋体"/>
                <w:b w:val="0"/>
                <w:bCs w:val="0"/>
                <w:color w:val="000000"/>
                <w:lang w:eastAsia="zh-CN"/>
              </w:rPr>
              <w:fldChar w:fldCharType="separate"/>
            </w:r>
            <w:r>
              <w:rPr>
                <w:rFonts w:ascii="Times New Roman" w:hAnsi="Times New Roman" w:eastAsia="宋体"/>
                <w:b w:val="0"/>
                <w:bCs w:val="0"/>
              </w:rPr>
              <w:t>表18</w:t>
            </w:r>
            <w:r>
              <w:rPr>
                <w:rFonts w:hint="eastAsia" w:cs="宋体"/>
                <w:b w:val="0"/>
                <w:bCs w:val="0"/>
                <w:color w:val="000000"/>
                <w:lang w:eastAsia="zh-CN"/>
              </w:rPr>
              <w:fldChar w:fldCharType="end"/>
            </w:r>
            <w:r>
              <w:rPr>
                <w:color w:val="000000"/>
              </w:rPr>
              <w:t>。</w:t>
            </w:r>
          </w:p>
          <w:p>
            <w:pPr>
              <w:pStyle w:val="10"/>
              <w:keepNext/>
              <w:jc w:val="left"/>
              <w:rPr>
                <w:rFonts w:ascii="Times New Roman" w:hAnsi="Times New Roman"/>
                <w:b/>
              </w:rPr>
            </w:pPr>
            <w:bookmarkStart w:id="599" w:name="_Ref157241444"/>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18</w:t>
            </w:r>
            <w:r>
              <w:rPr>
                <w:rFonts w:ascii="Times New Roman" w:hAnsi="Times New Roman" w:eastAsia="宋体"/>
                <w:b/>
              </w:rPr>
              <w:fldChar w:fldCharType="end"/>
            </w:r>
            <w:bookmarkEnd w:id="599"/>
            <w:r>
              <w:rPr>
                <w:rFonts w:ascii="Times New Roman" w:hAnsi="Times New Roman" w:eastAsia="宋体"/>
                <w:b/>
              </w:rPr>
              <w:t>工业企业噪声源强调查清单（室外声源）</w:t>
            </w:r>
          </w:p>
          <w:tbl>
            <w:tblPr>
              <w:tblStyle w:val="3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
              <w:gridCol w:w="694"/>
              <w:gridCol w:w="1562"/>
              <w:gridCol w:w="1275"/>
              <w:gridCol w:w="1011"/>
              <w:gridCol w:w="415"/>
              <w:gridCol w:w="1084"/>
              <w:gridCol w:w="1032"/>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 w:type="pct"/>
                  <w:vMerge w:val="restart"/>
                  <w:vAlign w:val="center"/>
                </w:tcPr>
                <w:p>
                  <w:pPr>
                    <w:pStyle w:val="5"/>
                    <w:spacing w:line="240" w:lineRule="auto"/>
                    <w:ind w:firstLine="0" w:firstLineChars="0"/>
                    <w:jc w:val="center"/>
                    <w:rPr>
                      <w:sz w:val="21"/>
                    </w:rPr>
                  </w:pPr>
                  <w:r>
                    <w:rPr>
                      <w:rFonts w:hint="eastAsia"/>
                      <w:sz w:val="21"/>
                    </w:rPr>
                    <w:t>序号</w:t>
                  </w:r>
                </w:p>
              </w:tc>
              <w:tc>
                <w:tcPr>
                  <w:tcW w:w="418" w:type="pct"/>
                  <w:vMerge w:val="restart"/>
                  <w:vAlign w:val="center"/>
                </w:tcPr>
                <w:p>
                  <w:pPr>
                    <w:pStyle w:val="5"/>
                    <w:spacing w:line="240" w:lineRule="auto"/>
                    <w:ind w:firstLine="0" w:firstLineChars="0"/>
                    <w:jc w:val="center"/>
                    <w:rPr>
                      <w:sz w:val="21"/>
                    </w:rPr>
                  </w:pPr>
                  <w:r>
                    <w:rPr>
                      <w:rFonts w:hint="eastAsia"/>
                      <w:sz w:val="21"/>
                    </w:rPr>
                    <w:t>声源</w:t>
                  </w:r>
                  <w:r>
                    <w:rPr>
                      <w:sz w:val="21"/>
                    </w:rPr>
                    <w:t>名称</w:t>
                  </w:r>
                </w:p>
              </w:tc>
              <w:tc>
                <w:tcPr>
                  <w:tcW w:w="941" w:type="pct"/>
                  <w:vMerge w:val="restart"/>
                  <w:vAlign w:val="center"/>
                </w:tcPr>
                <w:p>
                  <w:pPr>
                    <w:pStyle w:val="5"/>
                    <w:spacing w:line="240" w:lineRule="auto"/>
                    <w:ind w:firstLine="0" w:firstLineChars="0"/>
                    <w:jc w:val="center"/>
                    <w:rPr>
                      <w:sz w:val="21"/>
                    </w:rPr>
                  </w:pPr>
                  <w:r>
                    <w:rPr>
                      <w:rFonts w:hint="eastAsia"/>
                      <w:sz w:val="21"/>
                    </w:rPr>
                    <w:t>型号</w:t>
                  </w:r>
                </w:p>
              </w:tc>
              <w:tc>
                <w:tcPr>
                  <w:tcW w:w="768" w:type="pct"/>
                  <w:vAlign w:val="center"/>
                </w:tcPr>
                <w:p>
                  <w:pPr>
                    <w:pStyle w:val="5"/>
                    <w:spacing w:line="240" w:lineRule="auto"/>
                    <w:ind w:firstLine="0" w:firstLineChars="0"/>
                    <w:jc w:val="center"/>
                    <w:rPr>
                      <w:sz w:val="21"/>
                    </w:rPr>
                  </w:pPr>
                  <w:r>
                    <w:rPr>
                      <w:rFonts w:hint="eastAsia"/>
                      <w:sz w:val="21"/>
                    </w:rPr>
                    <w:t>声源</w:t>
                  </w:r>
                  <w:r>
                    <w:rPr>
                      <w:sz w:val="21"/>
                    </w:rPr>
                    <w:t>源强</w:t>
                  </w:r>
                </w:p>
              </w:tc>
              <w:tc>
                <w:tcPr>
                  <w:tcW w:w="609" w:type="pct"/>
                  <w:vMerge w:val="restart"/>
                  <w:vAlign w:val="center"/>
                </w:tcPr>
                <w:p>
                  <w:pPr>
                    <w:pStyle w:val="5"/>
                    <w:spacing w:line="240" w:lineRule="auto"/>
                    <w:ind w:firstLine="0" w:firstLineChars="0"/>
                    <w:jc w:val="center"/>
                    <w:rPr>
                      <w:sz w:val="21"/>
                    </w:rPr>
                  </w:pPr>
                  <w:r>
                    <w:rPr>
                      <w:rFonts w:hint="eastAsia"/>
                      <w:sz w:val="21"/>
                    </w:rPr>
                    <w:t>声源</w:t>
                  </w:r>
                  <w:r>
                    <w:rPr>
                      <w:sz w:val="21"/>
                    </w:rPr>
                    <w:t>控制措施</w:t>
                  </w:r>
                </w:p>
              </w:tc>
              <w:tc>
                <w:tcPr>
                  <w:tcW w:w="250" w:type="pct"/>
                  <w:vMerge w:val="restart"/>
                  <w:vAlign w:val="center"/>
                </w:tcPr>
                <w:p>
                  <w:pPr>
                    <w:pStyle w:val="5"/>
                    <w:spacing w:line="240" w:lineRule="auto"/>
                    <w:ind w:firstLine="0" w:firstLineChars="0"/>
                    <w:jc w:val="center"/>
                    <w:rPr>
                      <w:rFonts w:ascii="宋体" w:hAnsi="宋体" w:cs="宋体"/>
                      <w:sz w:val="21"/>
                    </w:rPr>
                  </w:pPr>
                  <w:r>
                    <w:rPr>
                      <w:rFonts w:hint="eastAsia" w:ascii="宋体" w:hAnsi="宋体" w:cs="宋体"/>
                      <w:sz w:val="21"/>
                    </w:rPr>
                    <w:t>运行时段</w:t>
                  </w:r>
                </w:p>
              </w:tc>
              <w:tc>
                <w:tcPr>
                  <w:tcW w:w="1750" w:type="pct"/>
                  <w:gridSpan w:val="3"/>
                  <w:vAlign w:val="center"/>
                </w:tcPr>
                <w:p>
                  <w:pPr>
                    <w:pStyle w:val="5"/>
                    <w:spacing w:line="240" w:lineRule="auto"/>
                    <w:ind w:firstLine="0" w:firstLineChars="0"/>
                    <w:jc w:val="center"/>
                    <w:rPr>
                      <w:sz w:val="21"/>
                    </w:rPr>
                  </w:pPr>
                  <w:r>
                    <w:rPr>
                      <w:rFonts w:hint="eastAsia" w:ascii="宋体" w:hAnsi="宋体" w:cs="宋体"/>
                      <w:sz w:val="21"/>
                    </w:rPr>
                    <w:t>空间相对位置</w:t>
                  </w:r>
                  <w:r>
                    <w:rPr>
                      <w:rFonts w:hint="eastAsia"/>
                      <w:sz w:val="21"/>
                    </w:rPr>
                    <w:t>/</w:t>
                  </w:r>
                  <w:r>
                    <w:rPr>
                      <w:sz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 w:type="pct"/>
                  <w:vMerge w:val="continue"/>
                  <w:vAlign w:val="center"/>
                </w:tcPr>
                <w:p>
                  <w:pPr>
                    <w:pStyle w:val="5"/>
                    <w:spacing w:line="240" w:lineRule="auto"/>
                    <w:ind w:firstLine="0" w:firstLineChars="0"/>
                    <w:jc w:val="center"/>
                    <w:rPr>
                      <w:sz w:val="21"/>
                    </w:rPr>
                  </w:pPr>
                </w:p>
              </w:tc>
              <w:tc>
                <w:tcPr>
                  <w:tcW w:w="418" w:type="pct"/>
                  <w:vMerge w:val="continue"/>
                  <w:vAlign w:val="center"/>
                </w:tcPr>
                <w:p>
                  <w:pPr>
                    <w:pStyle w:val="5"/>
                    <w:spacing w:line="240" w:lineRule="auto"/>
                    <w:ind w:firstLine="0" w:firstLineChars="0"/>
                    <w:jc w:val="center"/>
                    <w:rPr>
                      <w:sz w:val="21"/>
                    </w:rPr>
                  </w:pPr>
                </w:p>
              </w:tc>
              <w:tc>
                <w:tcPr>
                  <w:tcW w:w="941" w:type="pct"/>
                  <w:vMerge w:val="continue"/>
                  <w:vAlign w:val="center"/>
                </w:tcPr>
                <w:p>
                  <w:pPr>
                    <w:pStyle w:val="5"/>
                    <w:spacing w:line="240" w:lineRule="auto"/>
                    <w:ind w:firstLine="0" w:firstLineChars="0"/>
                    <w:jc w:val="center"/>
                    <w:rPr>
                      <w:sz w:val="21"/>
                    </w:rPr>
                  </w:pPr>
                </w:p>
              </w:tc>
              <w:tc>
                <w:tcPr>
                  <w:tcW w:w="768" w:type="pct"/>
                  <w:vAlign w:val="center"/>
                </w:tcPr>
                <w:p>
                  <w:pPr>
                    <w:pStyle w:val="5"/>
                    <w:spacing w:line="240" w:lineRule="auto"/>
                    <w:ind w:firstLine="0" w:firstLineChars="0"/>
                    <w:jc w:val="center"/>
                    <w:rPr>
                      <w:sz w:val="21"/>
                    </w:rPr>
                  </w:pPr>
                  <w:r>
                    <w:rPr>
                      <w:rFonts w:hint="eastAsia"/>
                      <w:sz w:val="21"/>
                    </w:rPr>
                    <w:t>距</w:t>
                  </w:r>
                  <w:r>
                    <w:rPr>
                      <w:sz w:val="21"/>
                    </w:rPr>
                    <w:t>声源</w:t>
                  </w:r>
                  <w:r>
                    <w:rPr>
                      <w:rFonts w:hint="eastAsia"/>
                      <w:sz w:val="21"/>
                    </w:rPr>
                    <w:t>外1</w:t>
                  </w:r>
                  <w:r>
                    <w:rPr>
                      <w:sz w:val="21"/>
                    </w:rPr>
                    <w:t>m处</w:t>
                  </w:r>
                  <w:r>
                    <w:rPr>
                      <w:rFonts w:hint="eastAsia"/>
                      <w:sz w:val="21"/>
                    </w:rPr>
                    <w:t>声压级</w:t>
                  </w:r>
                </w:p>
              </w:tc>
              <w:tc>
                <w:tcPr>
                  <w:tcW w:w="609" w:type="pct"/>
                  <w:vMerge w:val="continue"/>
                  <w:vAlign w:val="center"/>
                </w:tcPr>
                <w:p>
                  <w:pPr>
                    <w:pStyle w:val="5"/>
                    <w:spacing w:line="240" w:lineRule="auto"/>
                    <w:ind w:firstLine="0" w:firstLineChars="0"/>
                    <w:jc w:val="center"/>
                    <w:rPr>
                      <w:sz w:val="21"/>
                    </w:rPr>
                  </w:pPr>
                </w:p>
              </w:tc>
              <w:tc>
                <w:tcPr>
                  <w:tcW w:w="250" w:type="pct"/>
                  <w:vMerge w:val="continue"/>
                  <w:vAlign w:val="center"/>
                </w:tcPr>
                <w:p>
                  <w:pPr>
                    <w:pStyle w:val="5"/>
                    <w:spacing w:line="240" w:lineRule="auto"/>
                    <w:ind w:firstLine="0" w:firstLineChars="0"/>
                    <w:jc w:val="center"/>
                    <w:rPr>
                      <w:sz w:val="21"/>
                    </w:rPr>
                  </w:pPr>
                </w:p>
              </w:tc>
              <w:tc>
                <w:tcPr>
                  <w:tcW w:w="653" w:type="pct"/>
                  <w:vAlign w:val="center"/>
                </w:tcPr>
                <w:p>
                  <w:pPr>
                    <w:pStyle w:val="5"/>
                    <w:spacing w:line="240" w:lineRule="auto"/>
                    <w:ind w:firstLine="0" w:firstLineChars="0"/>
                    <w:jc w:val="center"/>
                    <w:rPr>
                      <w:sz w:val="21"/>
                    </w:rPr>
                  </w:pPr>
                  <w:r>
                    <w:rPr>
                      <w:rFonts w:hint="eastAsia"/>
                      <w:sz w:val="21"/>
                    </w:rPr>
                    <w:t>X</w:t>
                  </w:r>
                </w:p>
              </w:tc>
              <w:tc>
                <w:tcPr>
                  <w:tcW w:w="622" w:type="pct"/>
                  <w:vAlign w:val="center"/>
                </w:tcPr>
                <w:p>
                  <w:pPr>
                    <w:pStyle w:val="5"/>
                    <w:spacing w:line="240" w:lineRule="auto"/>
                    <w:ind w:firstLine="0" w:firstLineChars="0"/>
                    <w:jc w:val="center"/>
                    <w:rPr>
                      <w:sz w:val="21"/>
                    </w:rPr>
                  </w:pPr>
                  <w:r>
                    <w:rPr>
                      <w:rFonts w:hint="eastAsia"/>
                      <w:sz w:val="21"/>
                    </w:rPr>
                    <w:t>Y</w:t>
                  </w:r>
                </w:p>
              </w:tc>
              <w:tc>
                <w:tcPr>
                  <w:tcW w:w="473" w:type="pct"/>
                  <w:vAlign w:val="center"/>
                </w:tcPr>
                <w:p>
                  <w:pPr>
                    <w:pStyle w:val="5"/>
                    <w:spacing w:line="240" w:lineRule="auto"/>
                    <w:ind w:firstLine="0" w:firstLineChars="0"/>
                    <w:jc w:val="center"/>
                    <w:rPr>
                      <w:sz w:val="21"/>
                    </w:rPr>
                  </w:pPr>
                  <w:r>
                    <w:rPr>
                      <w:rFonts w:hint="eastAsia"/>
                      <w:sz w:val="21"/>
                    </w:rPr>
                    <w:t>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263" w:type="pct"/>
                  <w:vAlign w:val="center"/>
                </w:tcPr>
                <w:p>
                  <w:pPr>
                    <w:pStyle w:val="5"/>
                    <w:spacing w:line="240" w:lineRule="auto"/>
                    <w:ind w:firstLine="0" w:firstLineChars="0"/>
                    <w:jc w:val="center"/>
                    <w:rPr>
                      <w:sz w:val="21"/>
                    </w:rPr>
                  </w:pPr>
                  <w:r>
                    <w:rPr>
                      <w:rFonts w:hint="eastAsia"/>
                      <w:sz w:val="21"/>
                    </w:rPr>
                    <w:t>1</w:t>
                  </w:r>
                </w:p>
              </w:tc>
              <w:tc>
                <w:tcPr>
                  <w:tcW w:w="418" w:type="pct"/>
                  <w:vAlign w:val="center"/>
                </w:tcPr>
                <w:p>
                  <w:pPr>
                    <w:pStyle w:val="5"/>
                    <w:spacing w:line="240" w:lineRule="auto"/>
                    <w:ind w:firstLine="0" w:firstLineChars="0"/>
                    <w:jc w:val="center"/>
                    <w:rPr>
                      <w:sz w:val="21"/>
                    </w:rPr>
                  </w:pPr>
                  <w:r>
                    <w:rPr>
                      <w:rFonts w:hint="eastAsia"/>
                      <w:sz w:val="21"/>
                    </w:rPr>
                    <w:t>#</w:t>
                  </w:r>
                  <w:r>
                    <w:rPr>
                      <w:sz w:val="21"/>
                    </w:rPr>
                    <w:t>1</w:t>
                  </w:r>
                </w:p>
                <w:p>
                  <w:pPr>
                    <w:pStyle w:val="5"/>
                    <w:spacing w:line="240" w:lineRule="auto"/>
                    <w:ind w:firstLine="0" w:firstLineChars="0"/>
                    <w:jc w:val="center"/>
                    <w:rPr>
                      <w:sz w:val="21"/>
                    </w:rPr>
                  </w:pPr>
                  <w:r>
                    <w:rPr>
                      <w:rFonts w:hint="eastAsia" w:ascii="宋体" w:hAnsi="宋体" w:cs="宋体"/>
                      <w:sz w:val="21"/>
                    </w:rPr>
                    <w:t>主变</w:t>
                  </w:r>
                </w:p>
              </w:tc>
              <w:tc>
                <w:tcPr>
                  <w:tcW w:w="941" w:type="pct"/>
                  <w:vMerge w:val="restart"/>
                  <w:vAlign w:val="center"/>
                </w:tcPr>
                <w:p>
                  <w:pPr>
                    <w:pStyle w:val="5"/>
                    <w:spacing w:line="240" w:lineRule="auto"/>
                    <w:ind w:firstLine="0" w:firstLineChars="0"/>
                    <w:jc w:val="center"/>
                    <w:rPr>
                      <w:sz w:val="21"/>
                    </w:rPr>
                  </w:pPr>
                  <w:r>
                    <w:rPr>
                      <w:sz w:val="21"/>
                    </w:rPr>
                    <w:t>240MVA</w:t>
                  </w:r>
                  <w:r>
                    <w:rPr>
                      <w:rFonts w:hint="eastAsia"/>
                      <w:sz w:val="21"/>
                    </w:rPr>
                    <w:t>三相三绕组有载调压自冷+风冷节能型变压器</w:t>
                  </w:r>
                </w:p>
              </w:tc>
              <w:tc>
                <w:tcPr>
                  <w:tcW w:w="768" w:type="pct"/>
                  <w:vAlign w:val="center"/>
                </w:tcPr>
                <w:p>
                  <w:pPr>
                    <w:pStyle w:val="5"/>
                    <w:spacing w:line="240" w:lineRule="auto"/>
                    <w:ind w:firstLine="0" w:firstLineChars="0"/>
                    <w:jc w:val="center"/>
                    <w:rPr>
                      <w:sz w:val="21"/>
                    </w:rPr>
                  </w:pPr>
                  <w:r>
                    <w:rPr>
                      <w:sz w:val="21"/>
                    </w:rPr>
                    <w:t>67.9</w:t>
                  </w:r>
                  <w:r>
                    <w:rPr>
                      <w:rFonts w:hint="eastAsia"/>
                      <w:sz w:val="21"/>
                    </w:rPr>
                    <w:t>d</w:t>
                  </w:r>
                  <w:r>
                    <w:rPr>
                      <w:sz w:val="21"/>
                    </w:rPr>
                    <w:t>B</w:t>
                  </w:r>
                  <w:r>
                    <w:rPr>
                      <w:rFonts w:hint="eastAsia"/>
                      <w:sz w:val="21"/>
                    </w:rPr>
                    <w:t>（A）</w:t>
                  </w:r>
                </w:p>
              </w:tc>
              <w:tc>
                <w:tcPr>
                  <w:tcW w:w="609" w:type="pct"/>
                  <w:vMerge w:val="restart"/>
                  <w:vAlign w:val="center"/>
                </w:tcPr>
                <w:p>
                  <w:pPr>
                    <w:pStyle w:val="5"/>
                    <w:spacing w:line="240" w:lineRule="auto"/>
                    <w:ind w:firstLine="0" w:firstLineChars="0"/>
                    <w:jc w:val="center"/>
                    <w:rPr>
                      <w:sz w:val="21"/>
                    </w:rPr>
                  </w:pPr>
                  <w:r>
                    <w:rPr>
                      <w:rFonts w:hint="eastAsia" w:ascii="宋体" w:hAnsi="宋体" w:cs="宋体"/>
                      <w:color w:val="000000"/>
                      <w:kern w:val="0"/>
                      <w:sz w:val="21"/>
                      <w:szCs w:val="21"/>
                    </w:rPr>
                    <w:t>低噪声设备</w:t>
                  </w:r>
                </w:p>
              </w:tc>
              <w:tc>
                <w:tcPr>
                  <w:tcW w:w="250" w:type="pct"/>
                  <w:vMerge w:val="restart"/>
                  <w:vAlign w:val="center"/>
                </w:tcPr>
                <w:p>
                  <w:pPr>
                    <w:widowControl/>
                    <w:jc w:val="center"/>
                    <w:rPr>
                      <w:kern w:val="0"/>
                    </w:rPr>
                  </w:pPr>
                  <w:r>
                    <w:rPr>
                      <w:rFonts w:hint="eastAsia"/>
                      <w:kern w:val="0"/>
                    </w:rPr>
                    <w:t>全时段</w:t>
                  </w:r>
                </w:p>
              </w:tc>
              <w:tc>
                <w:tcPr>
                  <w:tcW w:w="653" w:type="pct"/>
                  <w:vAlign w:val="center"/>
                </w:tcPr>
                <w:p>
                  <w:pPr>
                    <w:widowControl/>
                    <w:jc w:val="center"/>
                    <w:rPr>
                      <w:kern w:val="0"/>
                    </w:rPr>
                  </w:pPr>
                  <w:r>
                    <w:rPr>
                      <w:kern w:val="0"/>
                    </w:rPr>
                    <w:t>245~255</w:t>
                  </w:r>
                </w:p>
              </w:tc>
              <w:tc>
                <w:tcPr>
                  <w:tcW w:w="622" w:type="pct"/>
                  <w:vAlign w:val="center"/>
                </w:tcPr>
                <w:p>
                  <w:pPr>
                    <w:widowControl/>
                    <w:jc w:val="center"/>
                    <w:rPr>
                      <w:kern w:val="0"/>
                    </w:rPr>
                  </w:pPr>
                  <w:r>
                    <w:rPr>
                      <w:rFonts w:hint="eastAsia"/>
                      <w:kern w:val="0"/>
                    </w:rPr>
                    <w:t>2</w:t>
                  </w:r>
                  <w:r>
                    <w:rPr>
                      <w:kern w:val="0"/>
                    </w:rPr>
                    <w:t>48~256</w:t>
                  </w:r>
                </w:p>
              </w:tc>
              <w:tc>
                <w:tcPr>
                  <w:tcW w:w="473" w:type="pct"/>
                  <w:vAlign w:val="center"/>
                </w:tcPr>
                <w:p>
                  <w:pPr>
                    <w:widowControl/>
                    <w:jc w:val="center"/>
                    <w:rPr>
                      <w:kern w:val="0"/>
                    </w:rPr>
                  </w:pPr>
                  <w:r>
                    <w:rPr>
                      <w:rFonts w:hint="eastAsia"/>
                      <w:kern w:val="0"/>
                    </w:rPr>
                    <w:t>0</w:t>
                  </w:r>
                  <w:r>
                    <w:rPr>
                      <w:kern w:val="0"/>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 w:type="pct"/>
                  <w:vAlign w:val="center"/>
                </w:tcPr>
                <w:p>
                  <w:pPr>
                    <w:pStyle w:val="5"/>
                    <w:spacing w:line="240" w:lineRule="auto"/>
                    <w:ind w:firstLine="0" w:firstLineChars="0"/>
                    <w:jc w:val="center"/>
                    <w:rPr>
                      <w:sz w:val="21"/>
                    </w:rPr>
                  </w:pPr>
                  <w:r>
                    <w:rPr>
                      <w:rFonts w:hint="eastAsia"/>
                      <w:sz w:val="21"/>
                    </w:rPr>
                    <w:t>2</w:t>
                  </w:r>
                </w:p>
              </w:tc>
              <w:tc>
                <w:tcPr>
                  <w:tcW w:w="418" w:type="pct"/>
                  <w:vAlign w:val="center"/>
                </w:tcPr>
                <w:p>
                  <w:pPr>
                    <w:pStyle w:val="5"/>
                    <w:spacing w:line="240" w:lineRule="auto"/>
                    <w:ind w:firstLine="0" w:firstLineChars="0"/>
                    <w:jc w:val="center"/>
                    <w:rPr>
                      <w:sz w:val="21"/>
                    </w:rPr>
                  </w:pPr>
                  <w:r>
                    <w:rPr>
                      <w:rFonts w:hint="eastAsia"/>
                      <w:sz w:val="21"/>
                    </w:rPr>
                    <w:t>#</w:t>
                  </w:r>
                  <w:r>
                    <w:rPr>
                      <w:sz w:val="21"/>
                    </w:rPr>
                    <w:t>2</w:t>
                  </w:r>
                </w:p>
                <w:p>
                  <w:pPr>
                    <w:pStyle w:val="5"/>
                    <w:spacing w:line="240" w:lineRule="auto"/>
                    <w:ind w:firstLine="0" w:firstLineChars="0"/>
                    <w:jc w:val="center"/>
                    <w:rPr>
                      <w:sz w:val="21"/>
                    </w:rPr>
                  </w:pPr>
                  <w:r>
                    <w:rPr>
                      <w:rFonts w:hint="eastAsia" w:ascii="宋体" w:hAnsi="宋体" w:cs="宋体"/>
                      <w:sz w:val="21"/>
                    </w:rPr>
                    <w:t>主变</w:t>
                  </w:r>
                </w:p>
              </w:tc>
              <w:tc>
                <w:tcPr>
                  <w:tcW w:w="941" w:type="pct"/>
                  <w:vMerge w:val="continue"/>
                  <w:vAlign w:val="center"/>
                </w:tcPr>
                <w:p>
                  <w:pPr>
                    <w:pStyle w:val="5"/>
                    <w:spacing w:line="240" w:lineRule="auto"/>
                    <w:ind w:firstLine="0" w:firstLineChars="0"/>
                    <w:jc w:val="center"/>
                    <w:rPr>
                      <w:sz w:val="21"/>
                    </w:rPr>
                  </w:pPr>
                </w:p>
              </w:tc>
              <w:tc>
                <w:tcPr>
                  <w:tcW w:w="768" w:type="pct"/>
                  <w:vAlign w:val="center"/>
                </w:tcPr>
                <w:p>
                  <w:pPr>
                    <w:pStyle w:val="5"/>
                    <w:spacing w:line="240" w:lineRule="auto"/>
                    <w:ind w:firstLine="0" w:firstLineChars="0"/>
                    <w:jc w:val="center"/>
                    <w:rPr>
                      <w:sz w:val="21"/>
                    </w:rPr>
                  </w:pPr>
                  <w:r>
                    <w:rPr>
                      <w:sz w:val="21"/>
                    </w:rPr>
                    <w:t>67.9</w:t>
                  </w:r>
                  <w:r>
                    <w:rPr>
                      <w:rFonts w:hint="eastAsia"/>
                      <w:sz w:val="21"/>
                    </w:rPr>
                    <w:t>d</w:t>
                  </w:r>
                  <w:r>
                    <w:rPr>
                      <w:sz w:val="21"/>
                    </w:rPr>
                    <w:t>B</w:t>
                  </w:r>
                  <w:r>
                    <w:rPr>
                      <w:rFonts w:hint="eastAsia" w:ascii="宋体" w:hAnsi="宋体" w:cs="宋体"/>
                      <w:sz w:val="21"/>
                    </w:rPr>
                    <w:t>（</w:t>
                  </w:r>
                  <w:r>
                    <w:rPr>
                      <w:rFonts w:hint="eastAsia"/>
                      <w:sz w:val="21"/>
                    </w:rPr>
                    <w:t>A</w:t>
                  </w:r>
                  <w:r>
                    <w:rPr>
                      <w:rFonts w:hint="eastAsia" w:ascii="宋体" w:hAnsi="宋体" w:cs="宋体"/>
                      <w:sz w:val="21"/>
                    </w:rPr>
                    <w:t>）</w:t>
                  </w:r>
                </w:p>
              </w:tc>
              <w:tc>
                <w:tcPr>
                  <w:tcW w:w="609" w:type="pct"/>
                  <w:vMerge w:val="continue"/>
                  <w:vAlign w:val="center"/>
                </w:tcPr>
                <w:p>
                  <w:pPr>
                    <w:pStyle w:val="5"/>
                    <w:spacing w:line="240" w:lineRule="auto"/>
                    <w:ind w:firstLine="0" w:firstLineChars="0"/>
                    <w:jc w:val="center"/>
                    <w:rPr>
                      <w:sz w:val="21"/>
                    </w:rPr>
                  </w:pPr>
                </w:p>
              </w:tc>
              <w:tc>
                <w:tcPr>
                  <w:tcW w:w="250" w:type="pct"/>
                  <w:vMerge w:val="continue"/>
                  <w:vAlign w:val="center"/>
                </w:tcPr>
                <w:p>
                  <w:pPr>
                    <w:widowControl/>
                    <w:jc w:val="center"/>
                    <w:rPr>
                      <w:kern w:val="0"/>
                    </w:rPr>
                  </w:pPr>
                </w:p>
              </w:tc>
              <w:tc>
                <w:tcPr>
                  <w:tcW w:w="653" w:type="pct"/>
                  <w:vAlign w:val="center"/>
                </w:tcPr>
                <w:p>
                  <w:pPr>
                    <w:widowControl/>
                    <w:jc w:val="center"/>
                    <w:rPr>
                      <w:kern w:val="0"/>
                    </w:rPr>
                  </w:pPr>
                  <w:r>
                    <w:rPr>
                      <w:rFonts w:hint="eastAsia"/>
                      <w:kern w:val="0"/>
                    </w:rPr>
                    <w:t>2</w:t>
                  </w:r>
                  <w:r>
                    <w:rPr>
                      <w:kern w:val="0"/>
                    </w:rPr>
                    <w:t>60~270</w:t>
                  </w:r>
                </w:p>
              </w:tc>
              <w:tc>
                <w:tcPr>
                  <w:tcW w:w="622" w:type="pct"/>
                  <w:vAlign w:val="center"/>
                </w:tcPr>
                <w:p>
                  <w:pPr>
                    <w:widowControl/>
                    <w:jc w:val="center"/>
                    <w:rPr>
                      <w:kern w:val="0"/>
                    </w:rPr>
                  </w:pPr>
                  <w:r>
                    <w:rPr>
                      <w:rFonts w:hint="eastAsia"/>
                      <w:kern w:val="0"/>
                    </w:rPr>
                    <w:t>2</w:t>
                  </w:r>
                  <w:r>
                    <w:rPr>
                      <w:kern w:val="0"/>
                    </w:rPr>
                    <w:t>48~256</w:t>
                  </w:r>
                </w:p>
              </w:tc>
              <w:tc>
                <w:tcPr>
                  <w:tcW w:w="473" w:type="pct"/>
                  <w:vAlign w:val="center"/>
                </w:tcPr>
                <w:p>
                  <w:pPr>
                    <w:widowControl/>
                    <w:jc w:val="center"/>
                    <w:rPr>
                      <w:kern w:val="0"/>
                    </w:rPr>
                  </w:pPr>
                  <w:r>
                    <w:rPr>
                      <w:kern w:val="0"/>
                    </w:rPr>
                    <w:t>0~3.5</w:t>
                  </w:r>
                </w:p>
              </w:tc>
            </w:tr>
          </w:tbl>
          <w:p>
            <w:pPr>
              <w:pStyle w:val="113"/>
              <w:spacing w:before="120" w:beforeLines="50"/>
            </w:pPr>
            <w:r>
              <w:rPr>
                <w:rFonts w:hint="eastAsia"/>
              </w:rPr>
              <w:t>（2）站内建筑物衰减因素及高度</w:t>
            </w:r>
          </w:p>
          <w:p>
            <w:pPr>
              <w:pStyle w:val="113"/>
              <w:rPr>
                <w:bCs/>
                <w:snapToGrid w:val="0"/>
              </w:rPr>
            </w:pPr>
            <w:r>
              <w:rPr>
                <w:bCs/>
                <w:snapToGrid w:val="0"/>
              </w:rPr>
              <w:t>噪声预测考虑建筑物的隔声等衰减因素，建筑物墙面吸声系数0.21，围墙、防火墙吸声系数取0.21，地面吸声系数取1。</w:t>
            </w:r>
          </w:p>
          <w:p>
            <w:pPr>
              <w:pStyle w:val="113"/>
              <w:rPr>
                <w:rFonts w:ascii="宋体" w:hAnsi="宋体"/>
                <w:bCs/>
                <w:snapToGrid w:val="0"/>
              </w:rPr>
            </w:pPr>
            <w:r>
              <w:rPr>
                <w:rFonts w:ascii="宋体" w:hAnsi="宋体"/>
                <w:bCs/>
                <w:snapToGrid w:val="0"/>
              </w:rPr>
              <w:t>变电站站内</w:t>
            </w:r>
            <w:r>
              <w:rPr>
                <w:rFonts w:hint="eastAsia" w:ascii="宋体" w:hAnsi="宋体"/>
                <w:bCs/>
                <w:snapToGrid w:val="0"/>
              </w:rPr>
              <w:t>主要</w:t>
            </w:r>
            <w:r>
              <w:rPr>
                <w:rFonts w:ascii="宋体" w:hAnsi="宋体"/>
                <w:bCs/>
                <w:snapToGrid w:val="0"/>
              </w:rPr>
              <w:t>建（构）筑高度见</w:t>
            </w:r>
            <w:r>
              <w:rPr>
                <w:rFonts w:hint="default" w:ascii="宋体" w:hAnsi="宋体"/>
                <w:b w:val="0"/>
                <w:bCs w:val="0"/>
                <w:snapToGrid w:val="0"/>
                <w:lang w:val="en-US"/>
              </w:rPr>
              <w:fldChar w:fldCharType="begin"/>
            </w:r>
            <w:r>
              <w:rPr>
                <w:b w:val="0"/>
                <w:bCs w:val="0"/>
              </w:rPr>
              <w:instrText xml:space="preserve"> REF _Ref176181678 \h  \* MERGEFORMAT</w:instrText>
            </w:r>
            <w:r>
              <w:rPr>
                <w:rFonts w:hint="default" w:ascii="宋体" w:hAnsi="宋体"/>
                <w:b w:val="0"/>
                <w:bCs w:val="0"/>
                <w:snapToGrid w:val="0"/>
                <w:lang w:val="en-US"/>
              </w:rPr>
              <w:fldChar w:fldCharType="separate"/>
            </w:r>
            <w:r>
              <w:rPr>
                <w:rFonts w:ascii="Times New Roman" w:hAnsi="Times New Roman" w:eastAsia="宋体"/>
                <w:b w:val="0"/>
                <w:bCs w:val="0"/>
              </w:rPr>
              <w:t>表19</w:t>
            </w:r>
            <w:r>
              <w:rPr>
                <w:rFonts w:hint="default" w:ascii="宋体" w:hAnsi="宋体"/>
                <w:b w:val="0"/>
                <w:bCs w:val="0"/>
                <w:snapToGrid w:val="0"/>
                <w:lang w:val="en-US"/>
              </w:rPr>
              <w:fldChar w:fldCharType="end"/>
            </w:r>
            <w:r>
              <w:rPr>
                <w:rFonts w:hint="eastAsia" w:ascii="宋体" w:hAnsi="宋体"/>
                <w:bCs/>
                <w:snapToGrid w:val="0"/>
              </w:rPr>
              <w:t>。</w:t>
            </w:r>
          </w:p>
          <w:p>
            <w:pPr>
              <w:pStyle w:val="10"/>
              <w:jc w:val="left"/>
              <w:rPr>
                <w:b/>
                <w:bCs/>
              </w:rPr>
            </w:pPr>
            <w:bookmarkStart w:id="600" w:name="_Ref176181678"/>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19</w:t>
            </w:r>
            <w:r>
              <w:rPr>
                <w:rFonts w:ascii="Times New Roman" w:hAnsi="Times New Roman" w:eastAsia="宋体"/>
                <w:b/>
                <w:bCs/>
              </w:rPr>
              <w:fldChar w:fldCharType="end"/>
            </w:r>
            <w:bookmarkEnd w:id="600"/>
            <w:r>
              <w:rPr>
                <w:rFonts w:ascii="Times New Roman" w:hAnsi="Times New Roman" w:eastAsia="宋体"/>
                <w:b/>
                <w:bCs/>
              </w:rPr>
              <w:t>拟建</w:t>
            </w:r>
            <w:r>
              <w:rPr>
                <w:rFonts w:hint="eastAsia" w:ascii="Times New Roman" w:hAnsi="Times New Roman" w:eastAsia="宋体"/>
                <w:b/>
                <w:bCs/>
              </w:rPr>
              <w:t>伊拉湖220千伏</w:t>
            </w:r>
            <w:r>
              <w:rPr>
                <w:rFonts w:ascii="Times New Roman" w:hAnsi="Times New Roman" w:eastAsia="宋体"/>
                <w:b/>
                <w:bCs/>
              </w:rPr>
              <w:t>变电站站内主要建（构）筑物高度一览表</w:t>
            </w:r>
          </w:p>
          <w:tbl>
            <w:tblPr>
              <w:tblStyle w:val="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5515"/>
              <w:gridCol w:w="20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15" w:type="pct"/>
                  <w:tcBorders>
                    <w:top w:val="single" w:color="000000" w:sz="4" w:space="0"/>
                    <w:left w:val="single" w:color="000000" w:sz="4" w:space="0"/>
                    <w:right w:val="single" w:color="000000" w:sz="4" w:space="0"/>
                  </w:tcBorders>
                  <w:vAlign w:val="center"/>
                </w:tcPr>
                <w:p>
                  <w:pPr>
                    <w:snapToGrid w:val="0"/>
                    <w:jc w:val="center"/>
                    <w:rPr>
                      <w:szCs w:val="21"/>
                    </w:rPr>
                  </w:pPr>
                  <w:r>
                    <w:rPr>
                      <w:rFonts w:hint="eastAsia"/>
                      <w:szCs w:val="21"/>
                    </w:rPr>
                    <w:t>序号</w:t>
                  </w:r>
                </w:p>
              </w:tc>
              <w:tc>
                <w:tcPr>
                  <w:tcW w:w="3321" w:type="pct"/>
                  <w:tcBorders>
                    <w:top w:val="single" w:color="000000" w:sz="4" w:space="0"/>
                    <w:left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项目</w:t>
                  </w:r>
                </w:p>
              </w:tc>
              <w:tc>
                <w:tcPr>
                  <w:tcW w:w="126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参数值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5" w:type="pct"/>
                  <w:tcBorders>
                    <w:top w:val="single" w:color="000000" w:sz="4" w:space="0"/>
                    <w:left w:val="single" w:color="000000" w:sz="4" w:space="0"/>
                    <w:bottom w:val="single" w:color="000000" w:sz="4" w:space="0"/>
                    <w:right w:val="single" w:color="000000" w:sz="4" w:space="0"/>
                  </w:tcBorders>
                  <w:vAlign w:val="center"/>
                </w:tcPr>
                <w:p>
                  <w:pPr>
                    <w:snapToGrid w:val="0"/>
                    <w:jc w:val="center"/>
                    <w:rPr>
                      <w:szCs w:val="21"/>
                    </w:rPr>
                  </w:pPr>
                  <w:r>
                    <w:rPr>
                      <w:szCs w:val="21"/>
                    </w:rPr>
                    <w:t>1</w:t>
                  </w:r>
                </w:p>
              </w:tc>
              <w:tc>
                <w:tcPr>
                  <w:tcW w:w="332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实体围墙</w:t>
                  </w:r>
                  <w:r>
                    <w:rPr>
                      <w:szCs w:val="21"/>
                    </w:rPr>
                    <w:t>高度（</w:t>
                  </w:r>
                  <w:r>
                    <w:rPr>
                      <w:rFonts w:hint="eastAsia"/>
                      <w:szCs w:val="21"/>
                    </w:rPr>
                    <w:t>m</w:t>
                  </w:r>
                  <w:r>
                    <w:rPr>
                      <w:szCs w:val="21"/>
                    </w:rPr>
                    <w:t>）</w:t>
                  </w:r>
                </w:p>
              </w:tc>
              <w:tc>
                <w:tcPr>
                  <w:tcW w:w="126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2</w:t>
                  </w:r>
                  <w:r>
                    <w:rPr>
                      <w:szCs w:val="21"/>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5" w:type="pct"/>
                  <w:tcBorders>
                    <w:top w:val="single" w:color="000000" w:sz="4" w:space="0"/>
                    <w:left w:val="single" w:color="000000" w:sz="4" w:space="0"/>
                    <w:bottom w:val="single" w:color="000000" w:sz="4" w:space="0"/>
                    <w:right w:val="single" w:color="000000" w:sz="4" w:space="0"/>
                  </w:tcBorders>
                  <w:vAlign w:val="center"/>
                </w:tcPr>
                <w:p>
                  <w:pPr>
                    <w:snapToGrid w:val="0"/>
                    <w:jc w:val="center"/>
                    <w:rPr>
                      <w:szCs w:val="21"/>
                    </w:rPr>
                  </w:pPr>
                  <w:r>
                    <w:rPr>
                      <w:rFonts w:hint="eastAsia"/>
                      <w:szCs w:val="21"/>
                    </w:rPr>
                    <w:t>2</w:t>
                  </w:r>
                </w:p>
              </w:tc>
              <w:tc>
                <w:tcPr>
                  <w:tcW w:w="332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1#主变防火墙高度（</w:t>
                  </w:r>
                  <w:r>
                    <w:rPr>
                      <w:szCs w:val="21"/>
                    </w:rPr>
                    <w:t>m）</w:t>
                  </w:r>
                </w:p>
              </w:tc>
              <w:tc>
                <w:tcPr>
                  <w:tcW w:w="126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8.5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5" w:type="pct"/>
                  <w:tcBorders>
                    <w:top w:val="single" w:color="000000" w:sz="4" w:space="0"/>
                    <w:left w:val="single" w:color="000000" w:sz="4" w:space="0"/>
                    <w:bottom w:val="single" w:color="000000" w:sz="4" w:space="0"/>
                    <w:right w:val="single" w:color="000000" w:sz="4" w:space="0"/>
                  </w:tcBorders>
                  <w:vAlign w:val="center"/>
                </w:tcPr>
                <w:p>
                  <w:pPr>
                    <w:snapToGrid w:val="0"/>
                    <w:jc w:val="center"/>
                    <w:rPr>
                      <w:szCs w:val="21"/>
                    </w:rPr>
                  </w:pPr>
                  <w:r>
                    <w:rPr>
                      <w:rFonts w:hint="eastAsia"/>
                      <w:szCs w:val="21"/>
                    </w:rPr>
                    <w:t>3</w:t>
                  </w:r>
                </w:p>
              </w:tc>
              <w:tc>
                <w:tcPr>
                  <w:tcW w:w="332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2#主变防火墙高度</w:t>
                  </w:r>
                  <w:r>
                    <w:rPr>
                      <w:szCs w:val="21"/>
                    </w:rPr>
                    <w:t>（</w:t>
                  </w:r>
                  <w:r>
                    <w:rPr>
                      <w:rFonts w:hint="eastAsia"/>
                      <w:szCs w:val="21"/>
                    </w:rPr>
                    <w:t>m</w:t>
                  </w:r>
                  <w:r>
                    <w:rPr>
                      <w:szCs w:val="21"/>
                    </w:rPr>
                    <w:t>）</w:t>
                  </w:r>
                </w:p>
              </w:tc>
              <w:tc>
                <w:tcPr>
                  <w:tcW w:w="126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8.5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5" w:type="pct"/>
                  <w:tcBorders>
                    <w:top w:val="single" w:color="000000" w:sz="4" w:space="0"/>
                    <w:left w:val="single" w:color="000000" w:sz="4" w:space="0"/>
                    <w:bottom w:val="single" w:color="000000" w:sz="4" w:space="0"/>
                    <w:right w:val="single" w:color="000000" w:sz="4" w:space="0"/>
                  </w:tcBorders>
                  <w:vAlign w:val="center"/>
                </w:tcPr>
                <w:p>
                  <w:pPr>
                    <w:snapToGrid w:val="0"/>
                    <w:jc w:val="center"/>
                    <w:rPr>
                      <w:szCs w:val="21"/>
                    </w:rPr>
                  </w:pPr>
                  <w:r>
                    <w:rPr>
                      <w:rFonts w:hint="eastAsia"/>
                      <w:szCs w:val="21"/>
                    </w:rPr>
                    <w:t>4</w:t>
                  </w:r>
                </w:p>
              </w:tc>
              <w:tc>
                <w:tcPr>
                  <w:tcW w:w="332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110千伏配电装置室高度</w:t>
                  </w:r>
                  <w:r>
                    <w:rPr>
                      <w:szCs w:val="21"/>
                    </w:rPr>
                    <w:t>（</w:t>
                  </w:r>
                  <w:r>
                    <w:rPr>
                      <w:rFonts w:hint="eastAsia"/>
                      <w:szCs w:val="21"/>
                    </w:rPr>
                    <w:t>m</w:t>
                  </w:r>
                  <w:r>
                    <w:rPr>
                      <w:szCs w:val="21"/>
                    </w:rPr>
                    <w:t>）</w:t>
                  </w:r>
                </w:p>
              </w:tc>
              <w:tc>
                <w:tcPr>
                  <w:tcW w:w="126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5.1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5" w:type="pct"/>
                  <w:tcBorders>
                    <w:top w:val="single" w:color="000000" w:sz="4" w:space="0"/>
                    <w:left w:val="single" w:color="000000" w:sz="4" w:space="0"/>
                    <w:bottom w:val="single" w:color="000000" w:sz="4" w:space="0"/>
                    <w:right w:val="single" w:color="000000" w:sz="4" w:space="0"/>
                  </w:tcBorders>
                  <w:vAlign w:val="center"/>
                </w:tcPr>
                <w:p>
                  <w:pPr>
                    <w:snapToGrid w:val="0"/>
                    <w:jc w:val="center"/>
                    <w:rPr>
                      <w:szCs w:val="21"/>
                    </w:rPr>
                  </w:pPr>
                  <w:r>
                    <w:rPr>
                      <w:rFonts w:hint="eastAsia"/>
                      <w:szCs w:val="21"/>
                    </w:rPr>
                    <w:t>5</w:t>
                  </w:r>
                </w:p>
              </w:tc>
              <w:tc>
                <w:tcPr>
                  <w:tcW w:w="332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220千伏配电装置室高度</w:t>
                  </w:r>
                  <w:r>
                    <w:rPr>
                      <w:szCs w:val="21"/>
                    </w:rPr>
                    <w:t>（</w:t>
                  </w:r>
                  <w:r>
                    <w:rPr>
                      <w:rFonts w:hint="eastAsia"/>
                      <w:szCs w:val="21"/>
                    </w:rPr>
                    <w:t>m</w:t>
                  </w:r>
                  <w:r>
                    <w:rPr>
                      <w:szCs w:val="21"/>
                    </w:rPr>
                    <w:t>）</w:t>
                  </w:r>
                </w:p>
              </w:tc>
              <w:tc>
                <w:tcPr>
                  <w:tcW w:w="126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5" w:type="pct"/>
                  <w:tcBorders>
                    <w:top w:val="single" w:color="000000" w:sz="4" w:space="0"/>
                    <w:left w:val="single" w:color="000000" w:sz="4" w:space="0"/>
                    <w:bottom w:val="single" w:color="000000" w:sz="4" w:space="0"/>
                    <w:right w:val="single" w:color="000000" w:sz="4" w:space="0"/>
                  </w:tcBorders>
                  <w:vAlign w:val="center"/>
                </w:tcPr>
                <w:p>
                  <w:pPr>
                    <w:snapToGrid w:val="0"/>
                    <w:jc w:val="center"/>
                    <w:rPr>
                      <w:szCs w:val="21"/>
                    </w:rPr>
                  </w:pPr>
                  <w:r>
                    <w:rPr>
                      <w:rFonts w:hint="eastAsia"/>
                      <w:szCs w:val="21"/>
                    </w:rPr>
                    <w:t>6</w:t>
                  </w:r>
                </w:p>
              </w:tc>
              <w:tc>
                <w:tcPr>
                  <w:tcW w:w="332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运维班驻地用房高度（m）</w:t>
                  </w:r>
                </w:p>
              </w:tc>
              <w:tc>
                <w:tcPr>
                  <w:tcW w:w="126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3.9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5" w:type="pct"/>
                  <w:tcBorders>
                    <w:top w:val="single" w:color="000000" w:sz="4" w:space="0"/>
                    <w:left w:val="single" w:color="000000" w:sz="4" w:space="0"/>
                    <w:bottom w:val="single" w:color="000000" w:sz="4" w:space="0"/>
                    <w:right w:val="single" w:color="000000" w:sz="4" w:space="0"/>
                  </w:tcBorders>
                  <w:vAlign w:val="center"/>
                </w:tcPr>
                <w:p>
                  <w:pPr>
                    <w:snapToGrid w:val="0"/>
                    <w:jc w:val="center"/>
                    <w:rPr>
                      <w:szCs w:val="21"/>
                    </w:rPr>
                  </w:pPr>
                  <w:r>
                    <w:rPr>
                      <w:rFonts w:hint="eastAsia"/>
                      <w:szCs w:val="21"/>
                    </w:rPr>
                    <w:t>7</w:t>
                  </w:r>
                </w:p>
              </w:tc>
              <w:tc>
                <w:tcPr>
                  <w:tcW w:w="332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消防泵房高度（m）</w:t>
                  </w:r>
                </w:p>
              </w:tc>
              <w:tc>
                <w:tcPr>
                  <w:tcW w:w="126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pPr>
                    <w:snapToGrid w:val="0"/>
                    <w:jc w:val="center"/>
                    <w:rPr>
                      <w:szCs w:val="21"/>
                    </w:rPr>
                  </w:pPr>
                  <w:r>
                    <w:rPr>
                      <w:rFonts w:hint="eastAsia"/>
                      <w:szCs w:val="21"/>
                    </w:rPr>
                    <w:t>3.9</w:t>
                  </w:r>
                </w:p>
              </w:tc>
            </w:tr>
          </w:tbl>
          <w:p>
            <w:pPr>
              <w:pStyle w:val="5"/>
              <w:numPr>
                <w:ilvl w:val="3"/>
                <w:numId w:val="15"/>
              </w:numPr>
              <w:spacing w:before="120" w:beforeLines="50"/>
              <w:ind w:firstLineChars="0"/>
              <w:rPr>
                <w:b/>
                <w:color w:val="000000"/>
                <w:kern w:val="0"/>
                <w:szCs w:val="21"/>
              </w:rPr>
            </w:pPr>
            <w:r>
              <w:rPr>
                <w:b/>
                <w:color w:val="000000"/>
                <w:kern w:val="0"/>
                <w:szCs w:val="21"/>
              </w:rPr>
              <w:t>预测点位</w:t>
            </w:r>
          </w:p>
          <w:p>
            <w:pPr>
              <w:pStyle w:val="5"/>
              <w:rPr>
                <w:color w:val="000000"/>
              </w:rPr>
            </w:pPr>
            <w:r>
              <w:rPr>
                <w:rFonts w:hint="eastAsia"/>
                <w:color w:val="000000"/>
              </w:rPr>
              <w:t>（1）厂界噪声</w:t>
            </w:r>
          </w:p>
          <w:p>
            <w:pPr>
              <w:pStyle w:val="5"/>
              <w:rPr>
                <w:color w:val="000000"/>
              </w:rPr>
            </w:pPr>
            <w:r>
              <w:rPr>
                <w:color w:val="000000"/>
              </w:rPr>
              <w:t>以变电站围墙为厂界，预测点位于围墙外1m、</w:t>
            </w:r>
            <w:r>
              <w:rPr>
                <w:rFonts w:hint="eastAsia"/>
                <w:color w:val="000000"/>
              </w:rPr>
              <w:t>地面1</w:t>
            </w:r>
            <w:r>
              <w:rPr>
                <w:color w:val="000000"/>
              </w:rPr>
              <w:t>.2m高度处的厂界排放噪声。</w:t>
            </w:r>
          </w:p>
          <w:p>
            <w:pPr>
              <w:pStyle w:val="5"/>
              <w:rPr>
                <w:color w:val="000000"/>
              </w:rPr>
            </w:pPr>
            <w:r>
              <w:rPr>
                <w:rFonts w:hint="eastAsia"/>
                <w:color w:val="000000"/>
              </w:rPr>
              <w:t>（2）声环境</w:t>
            </w:r>
            <w:r>
              <w:rPr>
                <w:rFonts w:hint="eastAsia"/>
                <w:color w:val="000000"/>
                <w:szCs w:val="24"/>
              </w:rPr>
              <w:t>保护</w:t>
            </w:r>
            <w:r>
              <w:rPr>
                <w:rFonts w:hint="eastAsia"/>
                <w:color w:val="000000"/>
              </w:rPr>
              <w:t>目标</w:t>
            </w:r>
          </w:p>
          <w:p>
            <w:pPr>
              <w:pStyle w:val="5"/>
              <w:rPr>
                <w:color w:val="000000"/>
              </w:rPr>
            </w:pPr>
            <w:r>
              <w:rPr>
                <w:rFonts w:hint="eastAsia"/>
                <w:color w:val="000000"/>
              </w:rPr>
              <w:t>变电站声环境评价范围内无声环境保护目标。</w:t>
            </w:r>
          </w:p>
          <w:p>
            <w:pPr>
              <w:pStyle w:val="5"/>
              <w:numPr>
                <w:ilvl w:val="3"/>
                <w:numId w:val="15"/>
              </w:numPr>
              <w:ind w:firstLineChars="0"/>
              <w:rPr>
                <w:b/>
                <w:color w:val="000000"/>
                <w:kern w:val="0"/>
                <w:szCs w:val="21"/>
              </w:rPr>
            </w:pPr>
            <w:r>
              <w:rPr>
                <w:b/>
                <w:color w:val="000000"/>
                <w:kern w:val="0"/>
                <w:szCs w:val="21"/>
              </w:rPr>
              <w:t>预测方案</w:t>
            </w:r>
          </w:p>
          <w:p>
            <w:pPr>
              <w:pStyle w:val="5"/>
              <w:rPr>
                <w:color w:val="000000"/>
              </w:rPr>
            </w:pPr>
            <w:r>
              <w:rPr>
                <w:color w:val="000000"/>
              </w:rPr>
              <w:t>（1）厂界噪声</w:t>
            </w:r>
          </w:p>
          <w:p>
            <w:pPr>
              <w:pStyle w:val="5"/>
              <w:rPr>
                <w:bCs/>
                <w:color w:val="000000"/>
              </w:rPr>
            </w:pPr>
            <w:r>
              <w:rPr>
                <w:rFonts w:hint="eastAsia"/>
                <w:bCs/>
                <w:color w:val="000000"/>
              </w:rPr>
              <w:t>伊拉湖220千伏变电站</w:t>
            </w:r>
            <w:r>
              <w:rPr>
                <w:bCs/>
                <w:color w:val="000000"/>
              </w:rPr>
              <w:t>本期工程主变采用户</w:t>
            </w:r>
            <w:r>
              <w:rPr>
                <w:rFonts w:hint="eastAsia"/>
                <w:bCs/>
                <w:color w:val="000000"/>
              </w:rPr>
              <w:t>内</w:t>
            </w:r>
            <w:r>
              <w:rPr>
                <w:bCs/>
                <w:color w:val="000000"/>
              </w:rPr>
              <w:t>布置，变电站运行期间的主要声源是主变压器。主变压器声源按距离主变压器1m处声压级</w:t>
            </w:r>
            <w:r>
              <w:rPr>
                <w:rFonts w:hint="eastAsia"/>
                <w:bCs/>
                <w:color w:val="000000"/>
              </w:rPr>
              <w:t>67.9</w:t>
            </w:r>
            <w:r>
              <w:rPr>
                <w:bCs/>
                <w:color w:val="000000"/>
              </w:rPr>
              <w:t>dB</w:t>
            </w:r>
            <w:r>
              <w:rPr>
                <w:rFonts w:hint="eastAsia"/>
                <w:bCs/>
                <w:color w:val="000000"/>
              </w:rPr>
              <w:t>(</w:t>
            </w:r>
            <w:r>
              <w:rPr>
                <w:bCs/>
                <w:color w:val="000000"/>
              </w:rPr>
              <w:t>A</w:t>
            </w:r>
            <w:r>
              <w:rPr>
                <w:rFonts w:hint="eastAsia"/>
                <w:bCs/>
                <w:color w:val="000000"/>
              </w:rPr>
              <w:t>)</w:t>
            </w:r>
            <w:r>
              <w:rPr>
                <w:bCs/>
                <w:color w:val="000000"/>
              </w:rPr>
              <w:t>取值。本次噪声预测按照变电站本期建设规模进行预测，以变电站本期规模建成后产生的厂界噪声贡献值作为厂界噪声的评价量。</w:t>
            </w:r>
          </w:p>
          <w:p>
            <w:pPr>
              <w:pStyle w:val="5"/>
              <w:rPr>
                <w:bCs/>
                <w:color w:val="000000"/>
              </w:rPr>
            </w:pPr>
            <w:r>
              <w:rPr>
                <w:rFonts w:hint="eastAsia"/>
                <w:bCs/>
                <w:color w:val="000000"/>
              </w:rPr>
              <w:t>（2</w:t>
            </w:r>
            <w:r>
              <w:rPr>
                <w:rFonts w:hint="eastAsia" w:ascii="宋体" w:hAnsi="宋体" w:cs="宋体"/>
                <w:bCs/>
                <w:color w:val="000000"/>
              </w:rPr>
              <w:t>）声环境</w:t>
            </w:r>
            <w:r>
              <w:rPr>
                <w:rFonts w:hint="eastAsia"/>
                <w:color w:val="000000"/>
                <w:szCs w:val="24"/>
              </w:rPr>
              <w:t>保护</w:t>
            </w:r>
            <w:r>
              <w:rPr>
                <w:rFonts w:hint="eastAsia" w:ascii="宋体" w:hAnsi="宋体" w:cs="宋体"/>
                <w:bCs/>
                <w:color w:val="000000"/>
              </w:rPr>
              <w:t>目标</w:t>
            </w:r>
          </w:p>
          <w:p>
            <w:pPr>
              <w:pStyle w:val="5"/>
              <w:rPr>
                <w:color w:val="000000"/>
              </w:rPr>
            </w:pPr>
            <w:r>
              <w:rPr>
                <w:rFonts w:hint="eastAsia"/>
                <w:bCs/>
                <w:color w:val="000000"/>
              </w:rPr>
              <w:t>伊拉湖220千伏</w:t>
            </w:r>
            <w:r>
              <w:rPr>
                <w:rFonts w:hint="eastAsia"/>
                <w:color w:val="000000"/>
              </w:rPr>
              <w:t>变电站声环境评价范围内无声环境保护目标。</w:t>
            </w:r>
          </w:p>
          <w:p>
            <w:pPr>
              <w:pStyle w:val="5"/>
              <w:numPr>
                <w:ilvl w:val="3"/>
                <w:numId w:val="15"/>
              </w:numPr>
              <w:ind w:firstLineChars="0"/>
              <w:rPr>
                <w:b/>
                <w:color w:val="000000"/>
                <w:kern w:val="0"/>
                <w:szCs w:val="21"/>
              </w:rPr>
            </w:pPr>
            <w:r>
              <w:rPr>
                <w:b/>
                <w:color w:val="000000"/>
                <w:kern w:val="0"/>
                <w:szCs w:val="21"/>
              </w:rPr>
              <w:t>预测结果及分析</w:t>
            </w:r>
          </w:p>
          <w:p>
            <w:pPr>
              <w:pStyle w:val="5"/>
              <w:rPr>
                <w:bCs/>
                <w:color w:val="000000"/>
              </w:rPr>
            </w:pPr>
            <w:r>
              <w:rPr>
                <w:bCs/>
                <w:color w:val="000000"/>
              </w:rPr>
              <w:t>根据</w:t>
            </w:r>
            <w:r>
              <w:rPr>
                <w:rFonts w:hint="eastAsia"/>
                <w:bCs/>
                <w:color w:val="000000"/>
              </w:rPr>
              <w:t>伊拉湖220千伏变电站</w:t>
            </w:r>
            <w:r>
              <w:rPr>
                <w:bCs/>
                <w:color w:val="000000"/>
              </w:rPr>
              <w:t>总平面布置情况，按前述计算模式和预测参数条件下，本期工程规模条件下对变电站厂界的噪声影响进行了预测计算，相关计算结果见</w:t>
            </w:r>
            <w:r>
              <w:rPr>
                <w:b w:val="0"/>
                <w:bCs w:val="0"/>
                <w:color w:val="000000"/>
              </w:rPr>
              <w:fldChar w:fldCharType="begin"/>
            </w:r>
            <w:r>
              <w:rPr>
                <w:b w:val="0"/>
                <w:bCs w:val="0"/>
              </w:rPr>
              <w:instrText xml:space="preserve"> REF _Ref157283086 \h  \* MERGEFORMAT</w:instrText>
            </w:r>
            <w:r>
              <w:rPr>
                <w:b w:val="0"/>
                <w:bCs w:val="0"/>
                <w:color w:val="000000"/>
              </w:rPr>
              <w:fldChar w:fldCharType="separate"/>
            </w:r>
            <w:r>
              <w:rPr>
                <w:rFonts w:ascii="Times New Roman" w:hAnsi="Times New Roman" w:eastAsia="宋体"/>
                <w:b w:val="0"/>
                <w:bCs w:val="0"/>
              </w:rPr>
              <w:t>表20</w:t>
            </w:r>
            <w:r>
              <w:rPr>
                <w:b w:val="0"/>
                <w:bCs w:val="0"/>
                <w:color w:val="000000"/>
              </w:rPr>
              <w:fldChar w:fldCharType="end"/>
            </w:r>
            <w:r>
              <w:rPr>
                <w:bCs/>
                <w:color w:val="000000"/>
              </w:rPr>
              <w:t>及</w:t>
            </w:r>
            <w:r>
              <w:rPr>
                <w:b w:val="0"/>
                <w:bCs w:val="0"/>
                <w:color w:val="000000"/>
              </w:rPr>
              <w:fldChar w:fldCharType="begin"/>
            </w:r>
            <w:r>
              <w:rPr>
                <w:b w:val="0"/>
                <w:bCs w:val="0"/>
              </w:rPr>
              <w:instrText xml:space="preserve"> REF _Ref157460172 \h  \* MERGEFORMAT</w:instrText>
            </w:r>
            <w:r>
              <w:rPr>
                <w:b w:val="0"/>
                <w:bCs w:val="0"/>
                <w:color w:val="000000"/>
              </w:rPr>
              <w:fldChar w:fldCharType="separate"/>
            </w:r>
            <w:r>
              <w:rPr>
                <w:rFonts w:ascii="Times New Roman" w:hAnsi="Times New Roman" w:eastAsia="宋体"/>
                <w:b w:val="0"/>
                <w:bCs w:val="0"/>
              </w:rPr>
              <w:t>图10</w:t>
            </w:r>
            <w:r>
              <w:rPr>
                <w:b w:val="0"/>
                <w:bCs w:val="0"/>
                <w:color w:val="000000"/>
              </w:rPr>
              <w:fldChar w:fldCharType="end"/>
            </w:r>
            <w:r>
              <w:rPr>
                <w:rFonts w:hint="eastAsia"/>
                <w:bCs/>
                <w:color w:val="000000"/>
              </w:rPr>
              <w:t>。</w:t>
            </w:r>
          </w:p>
          <w:p>
            <w:pPr>
              <w:pStyle w:val="10"/>
              <w:keepNext/>
              <w:rPr>
                <w:rFonts w:ascii="Times New Roman" w:hAnsi="Times New Roman" w:eastAsia="宋体"/>
                <w:b/>
              </w:rPr>
            </w:pPr>
            <w:bookmarkStart w:id="601" w:name="_Ref157283086"/>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20</w:t>
            </w:r>
            <w:r>
              <w:rPr>
                <w:rFonts w:ascii="Times New Roman" w:hAnsi="Times New Roman" w:eastAsia="宋体"/>
                <w:b/>
              </w:rPr>
              <w:fldChar w:fldCharType="end"/>
            </w:r>
            <w:bookmarkEnd w:id="601"/>
            <w:r>
              <w:rPr>
                <w:rFonts w:ascii="Times New Roman" w:hAnsi="Times New Roman" w:eastAsia="宋体"/>
                <w:b/>
              </w:rPr>
              <w:t>变电站运行期厂界声环境预测</w:t>
            </w:r>
            <w:r>
              <w:rPr>
                <w:rFonts w:hint="eastAsia" w:ascii="Times New Roman" w:hAnsi="Times New Roman" w:eastAsia="宋体"/>
                <w:b/>
              </w:rPr>
              <w:t xml:space="preserve">                                    </w:t>
            </w:r>
            <w:r>
              <w:rPr>
                <w:rFonts w:ascii="Times New Roman" w:hAnsi="Times New Roman" w:eastAsia="宋体"/>
                <w:b/>
              </w:rPr>
              <w:t>单位：dB(A)</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886"/>
              <w:gridCol w:w="1686"/>
              <w:gridCol w:w="881"/>
              <w:gridCol w:w="723"/>
              <w:gridCol w:w="724"/>
              <w:gridCol w:w="722"/>
              <w:gridCol w:w="724"/>
              <w:gridCol w:w="722"/>
              <w:gridCol w:w="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93" w:type="pct"/>
                  <w:vMerge w:val="restart"/>
                  <w:vAlign w:val="center"/>
                </w:tcPr>
                <w:p>
                  <w:pPr>
                    <w:pStyle w:val="71"/>
                    <w:rPr>
                      <w:rFonts w:ascii="Times New Roman" w:hAnsi="Times New Roman"/>
                      <w:b/>
                    </w:rPr>
                  </w:pPr>
                  <w:r>
                    <w:rPr>
                      <w:rFonts w:ascii="Times New Roman" w:hAnsi="Times New Roman"/>
                      <w:b/>
                    </w:rPr>
                    <w:t>序号</w:t>
                  </w:r>
                </w:p>
              </w:tc>
              <w:tc>
                <w:tcPr>
                  <w:tcW w:w="1547" w:type="pct"/>
                  <w:gridSpan w:val="2"/>
                  <w:vMerge w:val="restart"/>
                  <w:vAlign w:val="center"/>
                </w:tcPr>
                <w:p>
                  <w:pPr>
                    <w:pStyle w:val="71"/>
                    <w:rPr>
                      <w:rFonts w:ascii="Times New Roman" w:hAnsi="Times New Roman"/>
                      <w:b/>
                    </w:rPr>
                  </w:pPr>
                  <w:r>
                    <w:rPr>
                      <w:rFonts w:ascii="Times New Roman" w:hAnsi="Times New Roman"/>
                      <w:b/>
                    </w:rPr>
                    <w:t>预测点</w:t>
                  </w:r>
                </w:p>
              </w:tc>
              <w:tc>
                <w:tcPr>
                  <w:tcW w:w="530" w:type="pct"/>
                  <w:vMerge w:val="restart"/>
                  <w:vAlign w:val="center"/>
                </w:tcPr>
                <w:p>
                  <w:pPr>
                    <w:pStyle w:val="71"/>
                    <w:rPr>
                      <w:rFonts w:ascii="Times New Roman" w:hAnsi="Times New Roman"/>
                      <w:b/>
                    </w:rPr>
                  </w:pPr>
                  <w:r>
                    <w:rPr>
                      <w:rFonts w:ascii="Times New Roman" w:hAnsi="Times New Roman"/>
                      <w:b/>
                    </w:rPr>
                    <w:t>噪声贡献值</w:t>
                  </w:r>
                </w:p>
              </w:tc>
              <w:tc>
                <w:tcPr>
                  <w:tcW w:w="871" w:type="pct"/>
                  <w:gridSpan w:val="2"/>
                  <w:vAlign w:val="center"/>
                </w:tcPr>
                <w:p>
                  <w:pPr>
                    <w:pStyle w:val="71"/>
                    <w:rPr>
                      <w:rFonts w:ascii="Times New Roman" w:hAnsi="Times New Roman"/>
                      <w:b/>
                    </w:rPr>
                  </w:pPr>
                  <w:r>
                    <w:rPr>
                      <w:rFonts w:ascii="Times New Roman" w:hAnsi="Times New Roman"/>
                      <w:b/>
                    </w:rPr>
                    <w:t>现状值</w:t>
                  </w:r>
                </w:p>
              </w:tc>
              <w:tc>
                <w:tcPr>
                  <w:tcW w:w="871" w:type="pct"/>
                  <w:gridSpan w:val="2"/>
                  <w:vAlign w:val="center"/>
                </w:tcPr>
                <w:p>
                  <w:pPr>
                    <w:pStyle w:val="71"/>
                    <w:rPr>
                      <w:rFonts w:ascii="Times New Roman" w:hAnsi="Times New Roman"/>
                      <w:b/>
                    </w:rPr>
                  </w:pPr>
                  <w:r>
                    <w:rPr>
                      <w:rFonts w:ascii="Times New Roman" w:hAnsi="Times New Roman"/>
                      <w:b/>
                    </w:rPr>
                    <w:t>预测值</w:t>
                  </w:r>
                </w:p>
              </w:tc>
              <w:tc>
                <w:tcPr>
                  <w:tcW w:w="884" w:type="pct"/>
                  <w:gridSpan w:val="2"/>
                  <w:vAlign w:val="center"/>
                </w:tcPr>
                <w:p>
                  <w:pPr>
                    <w:pStyle w:val="71"/>
                    <w:rPr>
                      <w:rFonts w:ascii="Times New Roman" w:hAnsi="Times New Roman"/>
                      <w:b/>
                    </w:rPr>
                  </w:pPr>
                  <w:r>
                    <w:rPr>
                      <w:rFonts w:ascii="Times New Roman" w:hAnsi="Times New Roman"/>
                      <w:b/>
                    </w:rPr>
                    <w:t>超标和达标情况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blHeader/>
                <w:jc w:val="center"/>
              </w:trPr>
              <w:tc>
                <w:tcPr>
                  <w:tcW w:w="293" w:type="pct"/>
                  <w:vMerge w:val="continue"/>
                  <w:vAlign w:val="center"/>
                </w:tcPr>
                <w:p>
                  <w:pPr>
                    <w:pStyle w:val="71"/>
                    <w:rPr>
                      <w:rFonts w:ascii="Times New Roman" w:hAnsi="Times New Roman"/>
                      <w:b/>
                    </w:rPr>
                  </w:pPr>
                </w:p>
              </w:tc>
              <w:tc>
                <w:tcPr>
                  <w:tcW w:w="1547" w:type="pct"/>
                  <w:gridSpan w:val="2"/>
                  <w:vMerge w:val="continue"/>
                  <w:vAlign w:val="center"/>
                </w:tcPr>
                <w:p>
                  <w:pPr>
                    <w:pStyle w:val="71"/>
                    <w:rPr>
                      <w:rFonts w:ascii="Times New Roman" w:hAnsi="Times New Roman"/>
                      <w:b/>
                    </w:rPr>
                  </w:pPr>
                </w:p>
              </w:tc>
              <w:tc>
                <w:tcPr>
                  <w:tcW w:w="530" w:type="pct"/>
                  <w:vMerge w:val="continue"/>
                  <w:vAlign w:val="center"/>
                </w:tcPr>
                <w:p>
                  <w:pPr>
                    <w:pStyle w:val="71"/>
                    <w:rPr>
                      <w:rFonts w:ascii="Times New Roman" w:hAnsi="Times New Roman"/>
                      <w:b/>
                    </w:rPr>
                  </w:pPr>
                </w:p>
              </w:tc>
              <w:tc>
                <w:tcPr>
                  <w:tcW w:w="435" w:type="pct"/>
                  <w:vAlign w:val="center"/>
                </w:tcPr>
                <w:p>
                  <w:pPr>
                    <w:pStyle w:val="71"/>
                    <w:rPr>
                      <w:rFonts w:ascii="Times New Roman" w:hAnsi="Times New Roman"/>
                      <w:b/>
                    </w:rPr>
                  </w:pPr>
                  <w:r>
                    <w:rPr>
                      <w:rFonts w:ascii="Times New Roman" w:hAnsi="Times New Roman"/>
                      <w:b/>
                    </w:rPr>
                    <w:t>昼间</w:t>
                  </w:r>
                </w:p>
              </w:tc>
              <w:tc>
                <w:tcPr>
                  <w:tcW w:w="436" w:type="pct"/>
                  <w:vAlign w:val="center"/>
                </w:tcPr>
                <w:p>
                  <w:pPr>
                    <w:pStyle w:val="71"/>
                    <w:rPr>
                      <w:rFonts w:ascii="Times New Roman" w:hAnsi="Times New Roman"/>
                      <w:b/>
                    </w:rPr>
                  </w:pPr>
                  <w:r>
                    <w:rPr>
                      <w:rFonts w:ascii="Times New Roman" w:hAnsi="Times New Roman"/>
                      <w:b/>
                    </w:rPr>
                    <w:t>夜间</w:t>
                  </w:r>
                </w:p>
              </w:tc>
              <w:tc>
                <w:tcPr>
                  <w:tcW w:w="435" w:type="pct"/>
                  <w:vAlign w:val="center"/>
                </w:tcPr>
                <w:p>
                  <w:pPr>
                    <w:pStyle w:val="71"/>
                    <w:rPr>
                      <w:rFonts w:ascii="Times New Roman" w:hAnsi="Times New Roman"/>
                      <w:b/>
                    </w:rPr>
                  </w:pPr>
                  <w:r>
                    <w:rPr>
                      <w:rFonts w:ascii="Times New Roman" w:hAnsi="Times New Roman"/>
                      <w:b/>
                    </w:rPr>
                    <w:t>昼间</w:t>
                  </w:r>
                </w:p>
              </w:tc>
              <w:tc>
                <w:tcPr>
                  <w:tcW w:w="436" w:type="pct"/>
                  <w:vAlign w:val="center"/>
                </w:tcPr>
                <w:p>
                  <w:pPr>
                    <w:pStyle w:val="71"/>
                    <w:rPr>
                      <w:rFonts w:ascii="Times New Roman" w:hAnsi="Times New Roman"/>
                      <w:b/>
                    </w:rPr>
                  </w:pPr>
                  <w:r>
                    <w:rPr>
                      <w:rFonts w:ascii="Times New Roman" w:hAnsi="Times New Roman"/>
                      <w:b/>
                    </w:rPr>
                    <w:t>夜间</w:t>
                  </w:r>
                </w:p>
              </w:tc>
              <w:tc>
                <w:tcPr>
                  <w:tcW w:w="435" w:type="pct"/>
                  <w:vAlign w:val="center"/>
                </w:tcPr>
                <w:p>
                  <w:pPr>
                    <w:pStyle w:val="71"/>
                    <w:rPr>
                      <w:rFonts w:ascii="Times New Roman" w:hAnsi="Times New Roman"/>
                      <w:b/>
                    </w:rPr>
                  </w:pPr>
                  <w:r>
                    <w:rPr>
                      <w:rFonts w:ascii="Times New Roman" w:hAnsi="Times New Roman"/>
                      <w:b/>
                    </w:rPr>
                    <w:t>昼间</w:t>
                  </w:r>
                </w:p>
              </w:tc>
              <w:tc>
                <w:tcPr>
                  <w:tcW w:w="449" w:type="pct"/>
                  <w:vAlign w:val="center"/>
                </w:tcPr>
                <w:p>
                  <w:pPr>
                    <w:pStyle w:val="71"/>
                    <w:rPr>
                      <w:rFonts w:ascii="Times New Roman" w:hAnsi="Times New Roman"/>
                      <w:b/>
                    </w:rPr>
                  </w:pPr>
                  <w:r>
                    <w:rPr>
                      <w:rFonts w:ascii="Times New Roman" w:hAnsi="Times New Roman"/>
                      <w:b/>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3" w:type="pct"/>
                  <w:vAlign w:val="center"/>
                </w:tcPr>
                <w:p>
                  <w:pPr>
                    <w:pStyle w:val="71"/>
                    <w:numPr>
                      <w:ilvl w:val="0"/>
                      <w:numId w:val="16"/>
                    </w:numPr>
                    <w:rPr>
                      <w:rFonts w:ascii="Times New Roman" w:hAnsi="Times New Roman"/>
                    </w:rPr>
                  </w:pPr>
                </w:p>
              </w:tc>
              <w:tc>
                <w:tcPr>
                  <w:tcW w:w="533" w:type="pct"/>
                  <w:vMerge w:val="restart"/>
                  <w:vAlign w:val="center"/>
                </w:tcPr>
                <w:p>
                  <w:pPr>
                    <w:widowControl/>
                    <w:jc w:val="center"/>
                    <w:rPr>
                      <w:szCs w:val="21"/>
                    </w:rPr>
                  </w:pPr>
                  <w:r>
                    <w:rPr>
                      <w:rFonts w:hint="eastAsia"/>
                      <w:kern w:val="0"/>
                      <w:szCs w:val="21"/>
                    </w:rPr>
                    <w:t>伊拉湖220</w:t>
                  </w:r>
                  <w:r>
                    <w:rPr>
                      <w:kern w:val="0"/>
                      <w:szCs w:val="21"/>
                    </w:rPr>
                    <w:t>kV变电站厂界</w:t>
                  </w:r>
                </w:p>
              </w:tc>
              <w:tc>
                <w:tcPr>
                  <w:tcW w:w="1013" w:type="pct"/>
                  <w:vAlign w:val="center"/>
                </w:tcPr>
                <w:p>
                  <w:pPr>
                    <w:widowControl/>
                    <w:jc w:val="center"/>
                    <w:rPr>
                      <w:szCs w:val="21"/>
                    </w:rPr>
                  </w:pPr>
                  <w:r>
                    <w:rPr>
                      <w:kern w:val="0"/>
                      <w:szCs w:val="21"/>
                    </w:rPr>
                    <w:t>东侧1#</w:t>
                  </w:r>
                </w:p>
              </w:tc>
              <w:tc>
                <w:tcPr>
                  <w:tcW w:w="530" w:type="pct"/>
                  <w:shd w:val="clear" w:color="auto" w:fill="auto"/>
                  <w:vAlign w:val="center"/>
                </w:tcPr>
                <w:p>
                  <w:pPr>
                    <w:widowControl/>
                    <w:jc w:val="center"/>
                    <w:textAlignment w:val="bottom"/>
                    <w:rPr>
                      <w:rFonts w:eastAsia="等线"/>
                      <w:color w:val="000000"/>
                      <w:szCs w:val="21"/>
                    </w:rPr>
                  </w:pPr>
                  <w:r>
                    <w:rPr>
                      <w:rFonts w:hint="eastAsia" w:eastAsia="等线"/>
                      <w:color w:val="000000"/>
                      <w:szCs w:val="21"/>
                    </w:rPr>
                    <w:t>33.5</w:t>
                  </w:r>
                </w:p>
              </w:tc>
              <w:tc>
                <w:tcPr>
                  <w:tcW w:w="435" w:type="pct"/>
                  <w:shd w:val="clear" w:color="auto" w:fill="auto"/>
                  <w:vAlign w:val="center"/>
                </w:tcPr>
                <w:p>
                  <w:pPr>
                    <w:widowControl/>
                    <w:jc w:val="center"/>
                    <w:rPr>
                      <w:kern w:val="0"/>
                      <w:szCs w:val="21"/>
                    </w:rPr>
                  </w:pPr>
                  <w:r>
                    <w:rPr>
                      <w:kern w:val="0"/>
                      <w:szCs w:val="21"/>
                    </w:rPr>
                    <w:t>39.9</w:t>
                  </w:r>
                </w:p>
              </w:tc>
              <w:tc>
                <w:tcPr>
                  <w:tcW w:w="436" w:type="pct"/>
                  <w:shd w:val="clear" w:color="auto" w:fill="auto"/>
                  <w:vAlign w:val="center"/>
                </w:tcPr>
                <w:p>
                  <w:pPr>
                    <w:widowControl/>
                    <w:jc w:val="center"/>
                    <w:rPr>
                      <w:kern w:val="0"/>
                      <w:szCs w:val="21"/>
                    </w:rPr>
                  </w:pPr>
                  <w:r>
                    <w:rPr>
                      <w:kern w:val="0"/>
                      <w:szCs w:val="21"/>
                    </w:rPr>
                    <w:t>37.8</w:t>
                  </w:r>
                </w:p>
              </w:tc>
              <w:tc>
                <w:tcPr>
                  <w:tcW w:w="435" w:type="pct"/>
                  <w:vAlign w:val="center"/>
                </w:tcPr>
                <w:p>
                  <w:pPr>
                    <w:widowControl/>
                    <w:jc w:val="center"/>
                    <w:textAlignment w:val="bottom"/>
                    <w:rPr>
                      <w:kern w:val="0"/>
                      <w:szCs w:val="21"/>
                    </w:rPr>
                  </w:pPr>
                  <w:r>
                    <w:rPr>
                      <w:rFonts w:hint="eastAsia"/>
                      <w:kern w:val="0"/>
                      <w:szCs w:val="21"/>
                    </w:rPr>
                    <w:t>40.8</w:t>
                  </w:r>
                </w:p>
              </w:tc>
              <w:tc>
                <w:tcPr>
                  <w:tcW w:w="436" w:type="pct"/>
                  <w:vAlign w:val="center"/>
                </w:tcPr>
                <w:p>
                  <w:pPr>
                    <w:widowControl/>
                    <w:jc w:val="center"/>
                    <w:textAlignment w:val="bottom"/>
                    <w:rPr>
                      <w:kern w:val="0"/>
                      <w:szCs w:val="21"/>
                    </w:rPr>
                  </w:pPr>
                  <w:r>
                    <w:rPr>
                      <w:rFonts w:hint="eastAsia"/>
                      <w:kern w:val="0"/>
                      <w:szCs w:val="21"/>
                    </w:rPr>
                    <w:t>39.2</w:t>
                  </w:r>
                </w:p>
              </w:tc>
              <w:tc>
                <w:tcPr>
                  <w:tcW w:w="884" w:type="pct"/>
                  <w:gridSpan w:val="2"/>
                  <w:vAlign w:val="center"/>
                </w:tcPr>
                <w:p>
                  <w:pPr>
                    <w:autoSpaceDE w:val="0"/>
                    <w:autoSpaceDN w:val="0"/>
                    <w:adjustRightInd w:val="0"/>
                    <w:jc w:val="center"/>
                    <w:rPr>
                      <w:szCs w:val="21"/>
                    </w:rPr>
                  </w:pPr>
                  <w:r>
                    <w:rPr>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93" w:type="pct"/>
                  <w:vAlign w:val="center"/>
                </w:tcPr>
                <w:p>
                  <w:pPr>
                    <w:pStyle w:val="71"/>
                    <w:numPr>
                      <w:ilvl w:val="0"/>
                      <w:numId w:val="16"/>
                    </w:numPr>
                    <w:rPr>
                      <w:rFonts w:ascii="Times New Roman" w:hAnsi="Times New Roman"/>
                    </w:rPr>
                  </w:pPr>
                </w:p>
              </w:tc>
              <w:tc>
                <w:tcPr>
                  <w:tcW w:w="533" w:type="pct"/>
                  <w:vMerge w:val="continue"/>
                  <w:vAlign w:val="center"/>
                </w:tcPr>
                <w:p>
                  <w:pPr>
                    <w:widowControl/>
                    <w:jc w:val="center"/>
                    <w:rPr>
                      <w:szCs w:val="21"/>
                    </w:rPr>
                  </w:pPr>
                </w:p>
              </w:tc>
              <w:tc>
                <w:tcPr>
                  <w:tcW w:w="1013" w:type="pct"/>
                  <w:vAlign w:val="center"/>
                </w:tcPr>
                <w:p>
                  <w:pPr>
                    <w:widowControl/>
                    <w:jc w:val="center"/>
                    <w:rPr>
                      <w:szCs w:val="21"/>
                    </w:rPr>
                  </w:pPr>
                  <w:r>
                    <w:rPr>
                      <w:kern w:val="0"/>
                      <w:szCs w:val="21"/>
                    </w:rPr>
                    <w:t>东侧2#</w:t>
                  </w:r>
                </w:p>
              </w:tc>
              <w:tc>
                <w:tcPr>
                  <w:tcW w:w="530" w:type="pct"/>
                  <w:shd w:val="clear" w:color="auto" w:fill="auto"/>
                  <w:vAlign w:val="center"/>
                </w:tcPr>
                <w:p>
                  <w:pPr>
                    <w:widowControl/>
                    <w:jc w:val="center"/>
                    <w:textAlignment w:val="bottom"/>
                    <w:rPr>
                      <w:rFonts w:eastAsia="等线"/>
                      <w:color w:val="000000"/>
                      <w:szCs w:val="21"/>
                    </w:rPr>
                  </w:pPr>
                  <w:r>
                    <w:rPr>
                      <w:rFonts w:hint="eastAsia" w:eastAsia="等线"/>
                      <w:color w:val="000000"/>
                      <w:szCs w:val="21"/>
                    </w:rPr>
                    <w:t>32.2</w:t>
                  </w:r>
                </w:p>
              </w:tc>
              <w:tc>
                <w:tcPr>
                  <w:tcW w:w="435" w:type="pct"/>
                  <w:shd w:val="clear" w:color="auto" w:fill="auto"/>
                  <w:vAlign w:val="center"/>
                </w:tcPr>
                <w:p>
                  <w:pPr>
                    <w:widowControl/>
                    <w:jc w:val="center"/>
                    <w:rPr>
                      <w:kern w:val="0"/>
                      <w:szCs w:val="21"/>
                    </w:rPr>
                  </w:pPr>
                  <w:r>
                    <w:rPr>
                      <w:kern w:val="0"/>
                      <w:szCs w:val="21"/>
                    </w:rPr>
                    <w:t>39.8</w:t>
                  </w:r>
                </w:p>
              </w:tc>
              <w:tc>
                <w:tcPr>
                  <w:tcW w:w="436" w:type="pct"/>
                  <w:shd w:val="clear" w:color="auto" w:fill="auto"/>
                  <w:vAlign w:val="center"/>
                </w:tcPr>
                <w:p>
                  <w:pPr>
                    <w:widowControl/>
                    <w:jc w:val="center"/>
                    <w:rPr>
                      <w:kern w:val="0"/>
                      <w:szCs w:val="21"/>
                    </w:rPr>
                  </w:pPr>
                  <w:r>
                    <w:rPr>
                      <w:kern w:val="0"/>
                      <w:szCs w:val="21"/>
                    </w:rPr>
                    <w:t>38.0</w:t>
                  </w:r>
                </w:p>
              </w:tc>
              <w:tc>
                <w:tcPr>
                  <w:tcW w:w="435" w:type="pct"/>
                  <w:vAlign w:val="center"/>
                </w:tcPr>
                <w:p>
                  <w:pPr>
                    <w:widowControl/>
                    <w:jc w:val="center"/>
                    <w:textAlignment w:val="bottom"/>
                    <w:rPr>
                      <w:kern w:val="0"/>
                      <w:szCs w:val="21"/>
                    </w:rPr>
                  </w:pPr>
                  <w:r>
                    <w:rPr>
                      <w:rFonts w:hint="eastAsia"/>
                      <w:kern w:val="0"/>
                      <w:szCs w:val="21"/>
                    </w:rPr>
                    <w:t>40.5</w:t>
                  </w:r>
                </w:p>
              </w:tc>
              <w:tc>
                <w:tcPr>
                  <w:tcW w:w="436" w:type="pct"/>
                  <w:vAlign w:val="center"/>
                </w:tcPr>
                <w:p>
                  <w:pPr>
                    <w:widowControl/>
                    <w:jc w:val="center"/>
                    <w:textAlignment w:val="bottom"/>
                    <w:rPr>
                      <w:kern w:val="0"/>
                      <w:szCs w:val="21"/>
                    </w:rPr>
                  </w:pPr>
                  <w:r>
                    <w:rPr>
                      <w:rFonts w:hint="eastAsia"/>
                      <w:kern w:val="0"/>
                      <w:szCs w:val="21"/>
                    </w:rPr>
                    <w:t>39.0</w:t>
                  </w:r>
                </w:p>
              </w:tc>
              <w:tc>
                <w:tcPr>
                  <w:tcW w:w="884" w:type="pct"/>
                  <w:gridSpan w:val="2"/>
                  <w:vAlign w:val="center"/>
                </w:tcPr>
                <w:p>
                  <w:pPr>
                    <w:autoSpaceDE w:val="0"/>
                    <w:autoSpaceDN w:val="0"/>
                    <w:adjustRightInd w:val="0"/>
                    <w:jc w:val="center"/>
                    <w:rPr>
                      <w:szCs w:val="21"/>
                    </w:rPr>
                  </w:pPr>
                  <w:r>
                    <w:rPr>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3" w:type="pct"/>
                  <w:vAlign w:val="center"/>
                </w:tcPr>
                <w:p>
                  <w:pPr>
                    <w:pStyle w:val="71"/>
                    <w:numPr>
                      <w:ilvl w:val="0"/>
                      <w:numId w:val="16"/>
                    </w:numPr>
                    <w:rPr>
                      <w:rFonts w:ascii="Times New Roman" w:hAnsi="Times New Roman"/>
                    </w:rPr>
                  </w:pPr>
                </w:p>
              </w:tc>
              <w:tc>
                <w:tcPr>
                  <w:tcW w:w="533" w:type="pct"/>
                  <w:vMerge w:val="continue"/>
                  <w:vAlign w:val="center"/>
                </w:tcPr>
                <w:p>
                  <w:pPr>
                    <w:widowControl/>
                    <w:jc w:val="center"/>
                    <w:rPr>
                      <w:szCs w:val="21"/>
                    </w:rPr>
                  </w:pPr>
                </w:p>
              </w:tc>
              <w:tc>
                <w:tcPr>
                  <w:tcW w:w="1013" w:type="pct"/>
                  <w:vAlign w:val="center"/>
                </w:tcPr>
                <w:p>
                  <w:pPr>
                    <w:widowControl/>
                    <w:jc w:val="center"/>
                    <w:rPr>
                      <w:szCs w:val="21"/>
                    </w:rPr>
                  </w:pPr>
                  <w:r>
                    <w:rPr>
                      <w:rFonts w:hint="eastAsia"/>
                      <w:szCs w:val="21"/>
                    </w:rPr>
                    <w:t>南侧3#</w:t>
                  </w:r>
                </w:p>
              </w:tc>
              <w:tc>
                <w:tcPr>
                  <w:tcW w:w="530" w:type="pct"/>
                  <w:shd w:val="clear" w:color="auto" w:fill="auto"/>
                  <w:vAlign w:val="center"/>
                </w:tcPr>
                <w:p>
                  <w:pPr>
                    <w:widowControl/>
                    <w:jc w:val="center"/>
                    <w:textAlignment w:val="bottom"/>
                    <w:rPr>
                      <w:rFonts w:eastAsia="等线"/>
                      <w:color w:val="000000"/>
                      <w:szCs w:val="21"/>
                    </w:rPr>
                  </w:pPr>
                  <w:r>
                    <w:rPr>
                      <w:rFonts w:hint="eastAsia" w:eastAsia="等线"/>
                      <w:color w:val="000000"/>
                      <w:szCs w:val="21"/>
                    </w:rPr>
                    <w:t>39.0</w:t>
                  </w:r>
                </w:p>
              </w:tc>
              <w:tc>
                <w:tcPr>
                  <w:tcW w:w="435" w:type="pct"/>
                  <w:shd w:val="clear" w:color="auto" w:fill="auto"/>
                  <w:vAlign w:val="center"/>
                </w:tcPr>
                <w:p>
                  <w:pPr>
                    <w:widowControl/>
                    <w:jc w:val="center"/>
                    <w:rPr>
                      <w:kern w:val="0"/>
                      <w:szCs w:val="21"/>
                    </w:rPr>
                  </w:pPr>
                  <w:r>
                    <w:rPr>
                      <w:kern w:val="0"/>
                      <w:szCs w:val="21"/>
                    </w:rPr>
                    <w:t>39.5</w:t>
                  </w:r>
                </w:p>
              </w:tc>
              <w:tc>
                <w:tcPr>
                  <w:tcW w:w="436" w:type="pct"/>
                  <w:shd w:val="clear" w:color="auto" w:fill="auto"/>
                  <w:vAlign w:val="center"/>
                </w:tcPr>
                <w:p>
                  <w:pPr>
                    <w:widowControl/>
                    <w:jc w:val="center"/>
                    <w:rPr>
                      <w:kern w:val="0"/>
                      <w:szCs w:val="21"/>
                    </w:rPr>
                  </w:pPr>
                  <w:r>
                    <w:rPr>
                      <w:kern w:val="0"/>
                      <w:szCs w:val="21"/>
                    </w:rPr>
                    <w:t>37.6</w:t>
                  </w:r>
                </w:p>
              </w:tc>
              <w:tc>
                <w:tcPr>
                  <w:tcW w:w="435" w:type="pct"/>
                  <w:vAlign w:val="center"/>
                </w:tcPr>
                <w:p>
                  <w:pPr>
                    <w:widowControl/>
                    <w:jc w:val="center"/>
                    <w:textAlignment w:val="bottom"/>
                    <w:rPr>
                      <w:kern w:val="0"/>
                      <w:szCs w:val="21"/>
                    </w:rPr>
                  </w:pPr>
                  <w:r>
                    <w:rPr>
                      <w:rFonts w:hint="eastAsia"/>
                      <w:kern w:val="0"/>
                      <w:szCs w:val="21"/>
                    </w:rPr>
                    <w:t>42.3</w:t>
                  </w:r>
                </w:p>
              </w:tc>
              <w:tc>
                <w:tcPr>
                  <w:tcW w:w="436" w:type="pct"/>
                  <w:vAlign w:val="center"/>
                </w:tcPr>
                <w:p>
                  <w:pPr>
                    <w:widowControl/>
                    <w:jc w:val="center"/>
                    <w:textAlignment w:val="bottom"/>
                    <w:rPr>
                      <w:kern w:val="0"/>
                      <w:szCs w:val="21"/>
                    </w:rPr>
                  </w:pPr>
                  <w:r>
                    <w:rPr>
                      <w:rFonts w:hint="eastAsia"/>
                      <w:kern w:val="0"/>
                      <w:szCs w:val="21"/>
                    </w:rPr>
                    <w:t>41.4</w:t>
                  </w:r>
                </w:p>
              </w:tc>
              <w:tc>
                <w:tcPr>
                  <w:tcW w:w="884" w:type="pct"/>
                  <w:gridSpan w:val="2"/>
                  <w:vAlign w:val="center"/>
                </w:tcPr>
                <w:p>
                  <w:pPr>
                    <w:autoSpaceDE w:val="0"/>
                    <w:autoSpaceDN w:val="0"/>
                    <w:adjustRightInd w:val="0"/>
                    <w:jc w:val="center"/>
                    <w:rPr>
                      <w:szCs w:val="21"/>
                    </w:rPr>
                  </w:pPr>
                  <w:r>
                    <w:rPr>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93" w:type="pct"/>
                  <w:vAlign w:val="center"/>
                </w:tcPr>
                <w:p>
                  <w:pPr>
                    <w:pStyle w:val="71"/>
                    <w:numPr>
                      <w:ilvl w:val="0"/>
                      <w:numId w:val="16"/>
                    </w:numPr>
                    <w:rPr>
                      <w:rFonts w:ascii="Times New Roman" w:hAnsi="Times New Roman"/>
                    </w:rPr>
                  </w:pPr>
                </w:p>
              </w:tc>
              <w:tc>
                <w:tcPr>
                  <w:tcW w:w="533" w:type="pct"/>
                  <w:vMerge w:val="continue"/>
                  <w:vAlign w:val="center"/>
                </w:tcPr>
                <w:p>
                  <w:pPr>
                    <w:widowControl/>
                    <w:jc w:val="center"/>
                    <w:rPr>
                      <w:szCs w:val="21"/>
                    </w:rPr>
                  </w:pPr>
                </w:p>
              </w:tc>
              <w:tc>
                <w:tcPr>
                  <w:tcW w:w="1013" w:type="pct"/>
                  <w:vAlign w:val="center"/>
                </w:tcPr>
                <w:p>
                  <w:pPr>
                    <w:widowControl/>
                    <w:jc w:val="center"/>
                    <w:rPr>
                      <w:szCs w:val="21"/>
                    </w:rPr>
                  </w:pPr>
                  <w:r>
                    <w:rPr>
                      <w:kern w:val="0"/>
                      <w:szCs w:val="21"/>
                    </w:rPr>
                    <w:t>南侧4#</w:t>
                  </w:r>
                </w:p>
              </w:tc>
              <w:tc>
                <w:tcPr>
                  <w:tcW w:w="530" w:type="pct"/>
                  <w:shd w:val="clear" w:color="auto" w:fill="auto"/>
                  <w:vAlign w:val="center"/>
                </w:tcPr>
                <w:p>
                  <w:pPr>
                    <w:widowControl/>
                    <w:jc w:val="center"/>
                    <w:textAlignment w:val="bottom"/>
                    <w:rPr>
                      <w:rFonts w:eastAsia="等线"/>
                      <w:color w:val="000000"/>
                      <w:szCs w:val="21"/>
                    </w:rPr>
                  </w:pPr>
                  <w:r>
                    <w:rPr>
                      <w:rFonts w:hint="eastAsia" w:eastAsia="等线"/>
                      <w:color w:val="000000"/>
                      <w:szCs w:val="21"/>
                    </w:rPr>
                    <w:t>35.3</w:t>
                  </w:r>
                </w:p>
              </w:tc>
              <w:tc>
                <w:tcPr>
                  <w:tcW w:w="435" w:type="pct"/>
                  <w:shd w:val="clear" w:color="auto" w:fill="auto"/>
                  <w:vAlign w:val="center"/>
                </w:tcPr>
                <w:p>
                  <w:pPr>
                    <w:widowControl/>
                    <w:jc w:val="center"/>
                    <w:rPr>
                      <w:kern w:val="0"/>
                      <w:szCs w:val="21"/>
                    </w:rPr>
                  </w:pPr>
                  <w:r>
                    <w:rPr>
                      <w:kern w:val="0"/>
                      <w:szCs w:val="21"/>
                    </w:rPr>
                    <w:t>39.6</w:t>
                  </w:r>
                </w:p>
              </w:tc>
              <w:tc>
                <w:tcPr>
                  <w:tcW w:w="436" w:type="pct"/>
                  <w:shd w:val="clear" w:color="auto" w:fill="auto"/>
                  <w:vAlign w:val="center"/>
                </w:tcPr>
                <w:p>
                  <w:pPr>
                    <w:widowControl/>
                    <w:jc w:val="center"/>
                    <w:rPr>
                      <w:kern w:val="0"/>
                      <w:szCs w:val="21"/>
                    </w:rPr>
                  </w:pPr>
                  <w:r>
                    <w:rPr>
                      <w:kern w:val="0"/>
                      <w:szCs w:val="21"/>
                    </w:rPr>
                    <w:t>37.5</w:t>
                  </w:r>
                </w:p>
              </w:tc>
              <w:tc>
                <w:tcPr>
                  <w:tcW w:w="435" w:type="pct"/>
                  <w:vAlign w:val="center"/>
                </w:tcPr>
                <w:p>
                  <w:pPr>
                    <w:widowControl/>
                    <w:jc w:val="center"/>
                    <w:textAlignment w:val="bottom"/>
                    <w:rPr>
                      <w:kern w:val="0"/>
                      <w:szCs w:val="21"/>
                    </w:rPr>
                  </w:pPr>
                  <w:r>
                    <w:rPr>
                      <w:rFonts w:hint="eastAsia"/>
                      <w:kern w:val="0"/>
                      <w:szCs w:val="21"/>
                    </w:rPr>
                    <w:t>41.0</w:t>
                  </w:r>
                </w:p>
              </w:tc>
              <w:tc>
                <w:tcPr>
                  <w:tcW w:w="436" w:type="pct"/>
                  <w:vAlign w:val="center"/>
                </w:tcPr>
                <w:p>
                  <w:pPr>
                    <w:widowControl/>
                    <w:jc w:val="center"/>
                    <w:textAlignment w:val="bottom"/>
                    <w:rPr>
                      <w:kern w:val="0"/>
                      <w:szCs w:val="21"/>
                    </w:rPr>
                  </w:pPr>
                  <w:r>
                    <w:rPr>
                      <w:rFonts w:hint="eastAsia"/>
                      <w:kern w:val="0"/>
                      <w:szCs w:val="21"/>
                    </w:rPr>
                    <w:t>39.5</w:t>
                  </w:r>
                </w:p>
              </w:tc>
              <w:tc>
                <w:tcPr>
                  <w:tcW w:w="884" w:type="pct"/>
                  <w:gridSpan w:val="2"/>
                  <w:vAlign w:val="center"/>
                </w:tcPr>
                <w:p>
                  <w:pPr>
                    <w:autoSpaceDE w:val="0"/>
                    <w:autoSpaceDN w:val="0"/>
                    <w:adjustRightInd w:val="0"/>
                    <w:jc w:val="center"/>
                    <w:rPr>
                      <w:szCs w:val="21"/>
                    </w:rPr>
                  </w:pPr>
                  <w:r>
                    <w:rPr>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93" w:type="pct"/>
                  <w:vAlign w:val="center"/>
                </w:tcPr>
                <w:p>
                  <w:pPr>
                    <w:pStyle w:val="71"/>
                    <w:numPr>
                      <w:ilvl w:val="0"/>
                      <w:numId w:val="16"/>
                    </w:numPr>
                    <w:rPr>
                      <w:rFonts w:ascii="Times New Roman" w:hAnsi="Times New Roman"/>
                    </w:rPr>
                  </w:pPr>
                </w:p>
              </w:tc>
              <w:tc>
                <w:tcPr>
                  <w:tcW w:w="533" w:type="pct"/>
                  <w:vMerge w:val="continue"/>
                  <w:vAlign w:val="center"/>
                </w:tcPr>
                <w:p>
                  <w:pPr>
                    <w:widowControl/>
                    <w:jc w:val="center"/>
                    <w:rPr>
                      <w:szCs w:val="21"/>
                    </w:rPr>
                  </w:pPr>
                </w:p>
              </w:tc>
              <w:tc>
                <w:tcPr>
                  <w:tcW w:w="1013" w:type="pct"/>
                  <w:vAlign w:val="center"/>
                </w:tcPr>
                <w:p>
                  <w:pPr>
                    <w:widowControl/>
                    <w:jc w:val="center"/>
                    <w:rPr>
                      <w:szCs w:val="21"/>
                    </w:rPr>
                  </w:pPr>
                  <w:r>
                    <w:rPr>
                      <w:kern w:val="0"/>
                      <w:szCs w:val="21"/>
                    </w:rPr>
                    <w:t>西侧5#</w:t>
                  </w:r>
                </w:p>
              </w:tc>
              <w:tc>
                <w:tcPr>
                  <w:tcW w:w="530" w:type="pct"/>
                  <w:shd w:val="clear" w:color="auto" w:fill="auto"/>
                  <w:vAlign w:val="center"/>
                </w:tcPr>
                <w:p>
                  <w:pPr>
                    <w:widowControl/>
                    <w:jc w:val="center"/>
                    <w:textAlignment w:val="bottom"/>
                    <w:rPr>
                      <w:rFonts w:eastAsia="等线"/>
                      <w:color w:val="000000"/>
                      <w:szCs w:val="21"/>
                    </w:rPr>
                  </w:pPr>
                  <w:r>
                    <w:rPr>
                      <w:rFonts w:hint="eastAsia" w:eastAsia="等线"/>
                      <w:color w:val="000000"/>
                      <w:szCs w:val="21"/>
                    </w:rPr>
                    <w:t>30.7</w:t>
                  </w:r>
                </w:p>
              </w:tc>
              <w:tc>
                <w:tcPr>
                  <w:tcW w:w="435" w:type="pct"/>
                  <w:shd w:val="clear" w:color="auto" w:fill="auto"/>
                  <w:vAlign w:val="center"/>
                </w:tcPr>
                <w:p>
                  <w:pPr>
                    <w:widowControl/>
                    <w:jc w:val="center"/>
                    <w:rPr>
                      <w:kern w:val="0"/>
                      <w:szCs w:val="21"/>
                    </w:rPr>
                  </w:pPr>
                  <w:r>
                    <w:rPr>
                      <w:kern w:val="0"/>
                      <w:szCs w:val="21"/>
                    </w:rPr>
                    <w:t>39.6</w:t>
                  </w:r>
                </w:p>
              </w:tc>
              <w:tc>
                <w:tcPr>
                  <w:tcW w:w="436" w:type="pct"/>
                  <w:shd w:val="clear" w:color="auto" w:fill="auto"/>
                  <w:vAlign w:val="center"/>
                </w:tcPr>
                <w:p>
                  <w:pPr>
                    <w:widowControl/>
                    <w:jc w:val="center"/>
                    <w:rPr>
                      <w:kern w:val="0"/>
                      <w:szCs w:val="21"/>
                    </w:rPr>
                  </w:pPr>
                  <w:r>
                    <w:rPr>
                      <w:kern w:val="0"/>
                      <w:szCs w:val="21"/>
                    </w:rPr>
                    <w:t>37.6</w:t>
                  </w:r>
                </w:p>
              </w:tc>
              <w:tc>
                <w:tcPr>
                  <w:tcW w:w="435" w:type="pct"/>
                  <w:vAlign w:val="center"/>
                </w:tcPr>
                <w:p>
                  <w:pPr>
                    <w:widowControl/>
                    <w:jc w:val="center"/>
                    <w:textAlignment w:val="bottom"/>
                    <w:rPr>
                      <w:kern w:val="0"/>
                      <w:szCs w:val="21"/>
                    </w:rPr>
                  </w:pPr>
                  <w:r>
                    <w:rPr>
                      <w:rFonts w:hint="eastAsia"/>
                      <w:kern w:val="0"/>
                      <w:szCs w:val="21"/>
                    </w:rPr>
                    <w:t>40.1</w:t>
                  </w:r>
                </w:p>
              </w:tc>
              <w:tc>
                <w:tcPr>
                  <w:tcW w:w="436" w:type="pct"/>
                  <w:vAlign w:val="center"/>
                </w:tcPr>
                <w:p>
                  <w:pPr>
                    <w:widowControl/>
                    <w:jc w:val="center"/>
                    <w:textAlignment w:val="bottom"/>
                    <w:rPr>
                      <w:kern w:val="0"/>
                      <w:szCs w:val="21"/>
                    </w:rPr>
                  </w:pPr>
                  <w:r>
                    <w:rPr>
                      <w:rFonts w:hint="eastAsia"/>
                      <w:kern w:val="0"/>
                      <w:szCs w:val="21"/>
                    </w:rPr>
                    <w:t>38.4</w:t>
                  </w:r>
                </w:p>
              </w:tc>
              <w:tc>
                <w:tcPr>
                  <w:tcW w:w="884" w:type="pct"/>
                  <w:gridSpan w:val="2"/>
                  <w:vAlign w:val="center"/>
                </w:tcPr>
                <w:p>
                  <w:pPr>
                    <w:autoSpaceDE w:val="0"/>
                    <w:autoSpaceDN w:val="0"/>
                    <w:adjustRightInd w:val="0"/>
                    <w:jc w:val="center"/>
                    <w:rPr>
                      <w:szCs w:val="21"/>
                    </w:rPr>
                  </w:pPr>
                  <w:r>
                    <w:rPr>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3" w:type="pct"/>
                  <w:vAlign w:val="center"/>
                </w:tcPr>
                <w:p>
                  <w:pPr>
                    <w:pStyle w:val="71"/>
                    <w:numPr>
                      <w:ilvl w:val="0"/>
                      <w:numId w:val="16"/>
                    </w:numPr>
                    <w:rPr>
                      <w:rFonts w:ascii="Times New Roman" w:hAnsi="Times New Roman"/>
                    </w:rPr>
                  </w:pPr>
                </w:p>
              </w:tc>
              <w:tc>
                <w:tcPr>
                  <w:tcW w:w="533" w:type="pct"/>
                  <w:vMerge w:val="continue"/>
                  <w:vAlign w:val="center"/>
                </w:tcPr>
                <w:p>
                  <w:pPr>
                    <w:widowControl/>
                    <w:jc w:val="center"/>
                    <w:rPr>
                      <w:szCs w:val="21"/>
                    </w:rPr>
                  </w:pPr>
                </w:p>
              </w:tc>
              <w:tc>
                <w:tcPr>
                  <w:tcW w:w="1013" w:type="pct"/>
                  <w:vAlign w:val="center"/>
                </w:tcPr>
                <w:p>
                  <w:pPr>
                    <w:widowControl/>
                    <w:jc w:val="center"/>
                    <w:rPr>
                      <w:szCs w:val="21"/>
                    </w:rPr>
                  </w:pPr>
                  <w:r>
                    <w:rPr>
                      <w:rFonts w:hint="eastAsia"/>
                      <w:kern w:val="0"/>
                      <w:szCs w:val="21"/>
                    </w:rPr>
                    <w:t>西</w:t>
                  </w:r>
                  <w:r>
                    <w:rPr>
                      <w:kern w:val="0"/>
                      <w:szCs w:val="21"/>
                    </w:rPr>
                    <w:t>侧6#</w:t>
                  </w:r>
                </w:p>
              </w:tc>
              <w:tc>
                <w:tcPr>
                  <w:tcW w:w="530" w:type="pct"/>
                  <w:shd w:val="clear" w:color="auto" w:fill="auto"/>
                  <w:vAlign w:val="center"/>
                </w:tcPr>
                <w:p>
                  <w:pPr>
                    <w:widowControl/>
                    <w:jc w:val="center"/>
                    <w:textAlignment w:val="bottom"/>
                    <w:rPr>
                      <w:rFonts w:eastAsia="等线"/>
                      <w:color w:val="000000"/>
                      <w:szCs w:val="21"/>
                    </w:rPr>
                  </w:pPr>
                  <w:r>
                    <w:rPr>
                      <w:rFonts w:hint="eastAsia" w:eastAsia="等线"/>
                      <w:color w:val="000000"/>
                      <w:szCs w:val="21"/>
                    </w:rPr>
                    <w:t>31.3</w:t>
                  </w:r>
                </w:p>
              </w:tc>
              <w:tc>
                <w:tcPr>
                  <w:tcW w:w="435" w:type="pct"/>
                  <w:shd w:val="clear" w:color="auto" w:fill="auto"/>
                  <w:vAlign w:val="center"/>
                </w:tcPr>
                <w:p>
                  <w:pPr>
                    <w:widowControl/>
                    <w:jc w:val="center"/>
                    <w:rPr>
                      <w:kern w:val="0"/>
                      <w:szCs w:val="21"/>
                    </w:rPr>
                  </w:pPr>
                  <w:r>
                    <w:rPr>
                      <w:kern w:val="0"/>
                      <w:szCs w:val="21"/>
                    </w:rPr>
                    <w:t>40.1</w:t>
                  </w:r>
                </w:p>
              </w:tc>
              <w:tc>
                <w:tcPr>
                  <w:tcW w:w="436" w:type="pct"/>
                  <w:shd w:val="clear" w:color="auto" w:fill="auto"/>
                  <w:vAlign w:val="center"/>
                </w:tcPr>
                <w:p>
                  <w:pPr>
                    <w:widowControl/>
                    <w:jc w:val="center"/>
                    <w:rPr>
                      <w:kern w:val="0"/>
                      <w:szCs w:val="21"/>
                    </w:rPr>
                  </w:pPr>
                  <w:r>
                    <w:rPr>
                      <w:kern w:val="0"/>
                      <w:szCs w:val="21"/>
                    </w:rPr>
                    <w:t>37.8</w:t>
                  </w:r>
                </w:p>
              </w:tc>
              <w:tc>
                <w:tcPr>
                  <w:tcW w:w="435" w:type="pct"/>
                  <w:vAlign w:val="center"/>
                </w:tcPr>
                <w:p>
                  <w:pPr>
                    <w:widowControl/>
                    <w:jc w:val="center"/>
                    <w:textAlignment w:val="bottom"/>
                    <w:rPr>
                      <w:kern w:val="0"/>
                      <w:szCs w:val="21"/>
                    </w:rPr>
                  </w:pPr>
                  <w:r>
                    <w:rPr>
                      <w:rFonts w:hint="eastAsia"/>
                      <w:kern w:val="0"/>
                      <w:szCs w:val="21"/>
                    </w:rPr>
                    <w:t>40.6</w:t>
                  </w:r>
                </w:p>
              </w:tc>
              <w:tc>
                <w:tcPr>
                  <w:tcW w:w="436" w:type="pct"/>
                  <w:vAlign w:val="center"/>
                </w:tcPr>
                <w:p>
                  <w:pPr>
                    <w:widowControl/>
                    <w:jc w:val="center"/>
                    <w:textAlignment w:val="bottom"/>
                    <w:rPr>
                      <w:kern w:val="0"/>
                      <w:szCs w:val="21"/>
                    </w:rPr>
                  </w:pPr>
                  <w:r>
                    <w:rPr>
                      <w:rFonts w:hint="eastAsia"/>
                      <w:kern w:val="0"/>
                      <w:szCs w:val="21"/>
                    </w:rPr>
                    <w:t>38.7</w:t>
                  </w:r>
                </w:p>
              </w:tc>
              <w:tc>
                <w:tcPr>
                  <w:tcW w:w="884" w:type="pct"/>
                  <w:gridSpan w:val="2"/>
                  <w:vAlign w:val="center"/>
                </w:tcPr>
                <w:p>
                  <w:pPr>
                    <w:autoSpaceDE w:val="0"/>
                    <w:autoSpaceDN w:val="0"/>
                    <w:adjustRightInd w:val="0"/>
                    <w:jc w:val="center"/>
                    <w:rPr>
                      <w:szCs w:val="21"/>
                    </w:rPr>
                  </w:pPr>
                  <w:r>
                    <w:rPr>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93" w:type="pct"/>
                  <w:vAlign w:val="center"/>
                </w:tcPr>
                <w:p>
                  <w:pPr>
                    <w:pStyle w:val="71"/>
                    <w:numPr>
                      <w:ilvl w:val="0"/>
                      <w:numId w:val="16"/>
                    </w:numPr>
                    <w:rPr>
                      <w:rFonts w:ascii="Times New Roman" w:hAnsi="Times New Roman"/>
                    </w:rPr>
                  </w:pPr>
                </w:p>
              </w:tc>
              <w:tc>
                <w:tcPr>
                  <w:tcW w:w="533" w:type="pct"/>
                  <w:vMerge w:val="continue"/>
                  <w:vAlign w:val="center"/>
                </w:tcPr>
                <w:p>
                  <w:pPr>
                    <w:widowControl/>
                    <w:jc w:val="center"/>
                    <w:rPr>
                      <w:szCs w:val="21"/>
                    </w:rPr>
                  </w:pPr>
                </w:p>
              </w:tc>
              <w:tc>
                <w:tcPr>
                  <w:tcW w:w="1013" w:type="pct"/>
                  <w:vAlign w:val="center"/>
                </w:tcPr>
                <w:p>
                  <w:pPr>
                    <w:widowControl/>
                    <w:jc w:val="center"/>
                    <w:rPr>
                      <w:szCs w:val="21"/>
                    </w:rPr>
                  </w:pPr>
                  <w:r>
                    <w:rPr>
                      <w:rFonts w:hint="eastAsia"/>
                      <w:kern w:val="0"/>
                      <w:szCs w:val="21"/>
                    </w:rPr>
                    <w:t>北</w:t>
                  </w:r>
                  <w:r>
                    <w:rPr>
                      <w:kern w:val="0"/>
                      <w:szCs w:val="21"/>
                    </w:rPr>
                    <w:t>侧7#</w:t>
                  </w:r>
                </w:p>
              </w:tc>
              <w:tc>
                <w:tcPr>
                  <w:tcW w:w="530" w:type="pct"/>
                  <w:shd w:val="clear" w:color="auto" w:fill="auto"/>
                  <w:vAlign w:val="center"/>
                </w:tcPr>
                <w:p>
                  <w:pPr>
                    <w:widowControl/>
                    <w:jc w:val="center"/>
                    <w:textAlignment w:val="bottom"/>
                    <w:rPr>
                      <w:rFonts w:eastAsia="等线"/>
                      <w:color w:val="000000"/>
                      <w:szCs w:val="21"/>
                    </w:rPr>
                  </w:pPr>
                  <w:r>
                    <w:rPr>
                      <w:rFonts w:hint="eastAsia" w:eastAsia="等线"/>
                      <w:color w:val="000000"/>
                      <w:szCs w:val="21"/>
                    </w:rPr>
                    <w:t>32.0</w:t>
                  </w:r>
                </w:p>
              </w:tc>
              <w:tc>
                <w:tcPr>
                  <w:tcW w:w="435" w:type="pct"/>
                  <w:shd w:val="clear" w:color="auto" w:fill="auto"/>
                  <w:vAlign w:val="center"/>
                </w:tcPr>
                <w:p>
                  <w:pPr>
                    <w:widowControl/>
                    <w:jc w:val="center"/>
                    <w:rPr>
                      <w:kern w:val="0"/>
                      <w:szCs w:val="21"/>
                    </w:rPr>
                  </w:pPr>
                  <w:r>
                    <w:rPr>
                      <w:kern w:val="0"/>
                      <w:szCs w:val="21"/>
                    </w:rPr>
                    <w:t>39.7</w:t>
                  </w:r>
                </w:p>
              </w:tc>
              <w:tc>
                <w:tcPr>
                  <w:tcW w:w="436" w:type="pct"/>
                  <w:shd w:val="clear" w:color="auto" w:fill="auto"/>
                  <w:vAlign w:val="center"/>
                </w:tcPr>
                <w:p>
                  <w:pPr>
                    <w:widowControl/>
                    <w:jc w:val="center"/>
                    <w:rPr>
                      <w:kern w:val="0"/>
                      <w:szCs w:val="21"/>
                    </w:rPr>
                  </w:pPr>
                  <w:r>
                    <w:rPr>
                      <w:kern w:val="0"/>
                      <w:szCs w:val="21"/>
                    </w:rPr>
                    <w:t>37.9</w:t>
                  </w:r>
                </w:p>
              </w:tc>
              <w:tc>
                <w:tcPr>
                  <w:tcW w:w="435" w:type="pct"/>
                  <w:vAlign w:val="center"/>
                </w:tcPr>
                <w:p>
                  <w:pPr>
                    <w:widowControl/>
                    <w:jc w:val="center"/>
                    <w:textAlignment w:val="bottom"/>
                    <w:rPr>
                      <w:kern w:val="0"/>
                      <w:szCs w:val="21"/>
                    </w:rPr>
                  </w:pPr>
                  <w:r>
                    <w:rPr>
                      <w:rFonts w:hint="eastAsia"/>
                      <w:kern w:val="0"/>
                      <w:szCs w:val="21"/>
                    </w:rPr>
                    <w:t>40.4</w:t>
                  </w:r>
                </w:p>
              </w:tc>
              <w:tc>
                <w:tcPr>
                  <w:tcW w:w="436" w:type="pct"/>
                  <w:vAlign w:val="center"/>
                </w:tcPr>
                <w:p>
                  <w:pPr>
                    <w:widowControl/>
                    <w:jc w:val="center"/>
                    <w:textAlignment w:val="bottom"/>
                    <w:rPr>
                      <w:kern w:val="0"/>
                      <w:szCs w:val="21"/>
                    </w:rPr>
                  </w:pPr>
                  <w:r>
                    <w:rPr>
                      <w:rFonts w:hint="eastAsia"/>
                      <w:kern w:val="0"/>
                      <w:szCs w:val="21"/>
                    </w:rPr>
                    <w:t>38.9</w:t>
                  </w:r>
                </w:p>
              </w:tc>
              <w:tc>
                <w:tcPr>
                  <w:tcW w:w="884" w:type="pct"/>
                  <w:gridSpan w:val="2"/>
                  <w:vAlign w:val="center"/>
                </w:tcPr>
                <w:p>
                  <w:pPr>
                    <w:autoSpaceDE w:val="0"/>
                    <w:autoSpaceDN w:val="0"/>
                    <w:adjustRightInd w:val="0"/>
                    <w:jc w:val="center"/>
                    <w:rPr>
                      <w:szCs w:val="21"/>
                    </w:rPr>
                  </w:pPr>
                  <w:r>
                    <w:rPr>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93" w:type="pct"/>
                  <w:vAlign w:val="center"/>
                </w:tcPr>
                <w:p>
                  <w:pPr>
                    <w:pStyle w:val="71"/>
                    <w:numPr>
                      <w:ilvl w:val="0"/>
                      <w:numId w:val="16"/>
                    </w:numPr>
                    <w:rPr>
                      <w:rFonts w:ascii="Times New Roman" w:hAnsi="Times New Roman"/>
                    </w:rPr>
                  </w:pPr>
                </w:p>
              </w:tc>
              <w:tc>
                <w:tcPr>
                  <w:tcW w:w="533" w:type="pct"/>
                  <w:vMerge w:val="continue"/>
                  <w:vAlign w:val="center"/>
                </w:tcPr>
                <w:p>
                  <w:pPr>
                    <w:widowControl/>
                    <w:jc w:val="center"/>
                    <w:rPr>
                      <w:szCs w:val="21"/>
                    </w:rPr>
                  </w:pPr>
                </w:p>
              </w:tc>
              <w:tc>
                <w:tcPr>
                  <w:tcW w:w="1013" w:type="pct"/>
                  <w:vAlign w:val="center"/>
                </w:tcPr>
                <w:p>
                  <w:pPr>
                    <w:widowControl/>
                    <w:jc w:val="center"/>
                    <w:rPr>
                      <w:szCs w:val="21"/>
                    </w:rPr>
                  </w:pPr>
                  <w:r>
                    <w:rPr>
                      <w:rFonts w:hint="eastAsia"/>
                      <w:kern w:val="0"/>
                      <w:szCs w:val="21"/>
                    </w:rPr>
                    <w:t>北</w:t>
                  </w:r>
                  <w:r>
                    <w:rPr>
                      <w:kern w:val="0"/>
                      <w:szCs w:val="21"/>
                    </w:rPr>
                    <w:t>侧8#</w:t>
                  </w:r>
                </w:p>
              </w:tc>
              <w:tc>
                <w:tcPr>
                  <w:tcW w:w="530" w:type="pct"/>
                  <w:shd w:val="clear" w:color="auto" w:fill="auto"/>
                  <w:vAlign w:val="center"/>
                </w:tcPr>
                <w:p>
                  <w:pPr>
                    <w:widowControl/>
                    <w:jc w:val="center"/>
                    <w:textAlignment w:val="bottom"/>
                    <w:rPr>
                      <w:rFonts w:eastAsia="等线"/>
                      <w:color w:val="000000"/>
                      <w:szCs w:val="21"/>
                    </w:rPr>
                  </w:pPr>
                  <w:r>
                    <w:rPr>
                      <w:rFonts w:hint="eastAsia" w:eastAsia="等线"/>
                      <w:color w:val="000000"/>
                      <w:szCs w:val="21"/>
                    </w:rPr>
                    <w:t>34.4</w:t>
                  </w:r>
                </w:p>
              </w:tc>
              <w:tc>
                <w:tcPr>
                  <w:tcW w:w="435" w:type="pct"/>
                  <w:shd w:val="clear" w:color="auto" w:fill="auto"/>
                  <w:vAlign w:val="center"/>
                </w:tcPr>
                <w:p>
                  <w:pPr>
                    <w:widowControl/>
                    <w:jc w:val="center"/>
                    <w:rPr>
                      <w:kern w:val="0"/>
                      <w:szCs w:val="21"/>
                    </w:rPr>
                  </w:pPr>
                  <w:r>
                    <w:rPr>
                      <w:kern w:val="0"/>
                      <w:szCs w:val="21"/>
                    </w:rPr>
                    <w:t>40.4</w:t>
                  </w:r>
                </w:p>
              </w:tc>
              <w:tc>
                <w:tcPr>
                  <w:tcW w:w="436" w:type="pct"/>
                  <w:shd w:val="clear" w:color="auto" w:fill="auto"/>
                  <w:vAlign w:val="center"/>
                </w:tcPr>
                <w:p>
                  <w:pPr>
                    <w:widowControl/>
                    <w:jc w:val="center"/>
                    <w:rPr>
                      <w:kern w:val="0"/>
                      <w:szCs w:val="21"/>
                    </w:rPr>
                  </w:pPr>
                  <w:r>
                    <w:rPr>
                      <w:kern w:val="0"/>
                      <w:szCs w:val="21"/>
                    </w:rPr>
                    <w:t>37.7</w:t>
                  </w:r>
                </w:p>
              </w:tc>
              <w:tc>
                <w:tcPr>
                  <w:tcW w:w="435" w:type="pct"/>
                  <w:vAlign w:val="center"/>
                </w:tcPr>
                <w:p>
                  <w:pPr>
                    <w:widowControl/>
                    <w:jc w:val="center"/>
                    <w:textAlignment w:val="bottom"/>
                    <w:rPr>
                      <w:kern w:val="0"/>
                      <w:szCs w:val="21"/>
                    </w:rPr>
                  </w:pPr>
                  <w:r>
                    <w:rPr>
                      <w:rFonts w:hint="eastAsia"/>
                      <w:kern w:val="0"/>
                      <w:szCs w:val="21"/>
                    </w:rPr>
                    <w:t>41.4</w:t>
                  </w:r>
                </w:p>
              </w:tc>
              <w:tc>
                <w:tcPr>
                  <w:tcW w:w="436" w:type="pct"/>
                  <w:vAlign w:val="center"/>
                </w:tcPr>
                <w:p>
                  <w:pPr>
                    <w:widowControl/>
                    <w:jc w:val="center"/>
                    <w:textAlignment w:val="bottom"/>
                    <w:rPr>
                      <w:kern w:val="0"/>
                      <w:szCs w:val="21"/>
                    </w:rPr>
                  </w:pPr>
                  <w:r>
                    <w:rPr>
                      <w:rFonts w:hint="eastAsia"/>
                      <w:kern w:val="0"/>
                      <w:szCs w:val="21"/>
                    </w:rPr>
                    <w:t>39.4</w:t>
                  </w:r>
                </w:p>
              </w:tc>
              <w:tc>
                <w:tcPr>
                  <w:tcW w:w="884" w:type="pct"/>
                  <w:gridSpan w:val="2"/>
                  <w:vAlign w:val="center"/>
                </w:tcPr>
                <w:p>
                  <w:pPr>
                    <w:autoSpaceDE w:val="0"/>
                    <w:autoSpaceDN w:val="0"/>
                    <w:adjustRightInd w:val="0"/>
                    <w:jc w:val="center"/>
                    <w:rPr>
                      <w:szCs w:val="21"/>
                    </w:rPr>
                  </w:pPr>
                  <w:r>
                    <w:rPr>
                      <w:szCs w:val="21"/>
                    </w:rPr>
                    <w:t>达标</w:t>
                  </w:r>
                </w:p>
              </w:tc>
            </w:tr>
          </w:tbl>
          <w:p>
            <w:pPr>
              <w:pStyle w:val="83"/>
              <w:keepNext/>
              <w:spacing w:before="120" w:beforeLines="50"/>
              <w:jc w:val="left"/>
            </w:pPr>
            <w:r>
              <w:drawing>
                <wp:inline distT="0" distB="0" distL="114300" distR="114300">
                  <wp:extent cx="5276215" cy="3958590"/>
                  <wp:effectExtent l="0" t="0" r="635" b="3810"/>
                  <wp:docPr id="1"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0"/>
                          <pic:cNvPicPr>
                            <a:picLocks noChangeAspect="1"/>
                          </pic:cNvPicPr>
                        </pic:nvPicPr>
                        <pic:blipFill>
                          <a:blip r:embed="rId34"/>
                          <a:stretch>
                            <a:fillRect/>
                          </a:stretch>
                        </pic:blipFill>
                        <pic:spPr>
                          <a:xfrm>
                            <a:off x="0" y="0"/>
                            <a:ext cx="5276215" cy="3958590"/>
                          </a:xfrm>
                          <a:prstGeom prst="rect">
                            <a:avLst/>
                          </a:prstGeom>
                          <a:noFill/>
                          <a:ln>
                            <a:noFill/>
                          </a:ln>
                        </pic:spPr>
                      </pic:pic>
                    </a:graphicData>
                  </a:graphic>
                </wp:inline>
              </w:drawing>
            </w:r>
          </w:p>
          <w:p>
            <w:pPr>
              <w:pStyle w:val="10"/>
              <w:jc w:val="center"/>
              <w:rPr>
                <w:rFonts w:ascii="Times New Roman" w:hAnsi="Times New Roman"/>
                <w:b/>
              </w:rPr>
            </w:pPr>
            <w:bookmarkStart w:id="602" w:name="_Ref157460172"/>
            <w:r>
              <w:rPr>
                <w:rFonts w:ascii="Times New Roman" w:hAnsi="Times New Roman" w:eastAsia="宋体"/>
                <w:b/>
              </w:rPr>
              <w:t>图</w:t>
            </w:r>
            <w:r>
              <w:rPr>
                <w:rFonts w:ascii="Times New Roman" w:hAnsi="Times New Roman" w:eastAsia="宋体"/>
                <w:b/>
              </w:rPr>
              <w:fldChar w:fldCharType="begin"/>
            </w:r>
            <w:r>
              <w:rPr>
                <w:rFonts w:ascii="Times New Roman" w:hAnsi="Times New Roman" w:eastAsia="宋体"/>
                <w:b/>
              </w:rPr>
              <w:instrText xml:space="preserve"> SEQ 图 \* ARABIC </w:instrText>
            </w:r>
            <w:r>
              <w:rPr>
                <w:rFonts w:ascii="Times New Roman" w:hAnsi="Times New Roman" w:eastAsia="宋体"/>
                <w:b/>
              </w:rPr>
              <w:fldChar w:fldCharType="separate"/>
            </w:r>
            <w:r>
              <w:rPr>
                <w:rFonts w:ascii="Times New Roman" w:hAnsi="Times New Roman" w:eastAsia="宋体"/>
                <w:b/>
              </w:rPr>
              <w:t>10</w:t>
            </w:r>
            <w:r>
              <w:rPr>
                <w:rFonts w:ascii="Times New Roman" w:hAnsi="Times New Roman" w:eastAsia="宋体"/>
                <w:b/>
              </w:rPr>
              <w:fldChar w:fldCharType="end"/>
            </w:r>
            <w:bookmarkEnd w:id="602"/>
            <w:r>
              <w:rPr>
                <w:rFonts w:ascii="Times New Roman" w:hAnsi="Times New Roman" w:eastAsia="宋体"/>
                <w:b/>
              </w:rPr>
              <w:t>变电站本期规模噪声预测等声值区图</w:t>
            </w:r>
          </w:p>
          <w:p>
            <w:pPr>
              <w:pStyle w:val="5"/>
              <w:numPr>
                <w:ilvl w:val="3"/>
                <w:numId w:val="15"/>
              </w:numPr>
              <w:ind w:firstLineChars="0"/>
              <w:rPr>
                <w:b/>
                <w:color w:val="000000"/>
                <w:kern w:val="0"/>
                <w:szCs w:val="21"/>
              </w:rPr>
            </w:pPr>
            <w:r>
              <w:rPr>
                <w:b/>
                <w:color w:val="000000"/>
                <w:kern w:val="0"/>
                <w:szCs w:val="21"/>
              </w:rPr>
              <w:t>声环境影响评价</w:t>
            </w:r>
          </w:p>
          <w:p>
            <w:pPr>
              <w:pStyle w:val="5"/>
              <w:wordWrap w:val="0"/>
              <w:rPr>
                <w:color w:val="000000"/>
                <w:highlight w:val="yellow"/>
              </w:rPr>
            </w:pPr>
            <w:r>
              <w:rPr>
                <w:color w:val="000000"/>
              </w:rPr>
              <w:t>根据预测结果可知，伊拉湖220千伏变电站本期规模条件下，变电站建成后厂界昼间噪声预测值为</w:t>
            </w:r>
            <w:r>
              <w:rPr>
                <w:rStyle w:val="62"/>
                <w:rFonts w:ascii="Times New Roman" w:eastAsia="宋体" w:cs="Times New Roman"/>
                <w:sz w:val="24"/>
              </w:rPr>
              <w:t>40.3</w:t>
            </w:r>
            <w:r>
              <w:rPr>
                <w:color w:val="000000"/>
              </w:rPr>
              <w:t>dB(A)</w:t>
            </w:r>
            <w:r>
              <w:rPr>
                <w:rStyle w:val="84"/>
                <w:rFonts w:ascii="Times New Roman" w:eastAsia="宋体" w:cs="Times New Roman"/>
              </w:rPr>
              <w:t>~</w:t>
            </w:r>
            <w:r>
              <w:rPr>
                <w:rStyle w:val="62"/>
                <w:rFonts w:ascii="Times New Roman" w:eastAsia="宋体" w:cs="Times New Roman"/>
                <w:sz w:val="24"/>
              </w:rPr>
              <w:t>42.3</w:t>
            </w:r>
            <w:r>
              <w:rPr>
                <w:color w:val="000000"/>
              </w:rPr>
              <w:t>dB(A)，夜间噪声预测值为</w:t>
            </w:r>
            <w:r>
              <w:rPr>
                <w:rStyle w:val="62"/>
                <w:rFonts w:ascii="Times New Roman" w:eastAsia="宋体" w:cs="Times New Roman"/>
                <w:sz w:val="24"/>
              </w:rPr>
              <w:t>38.4</w:t>
            </w:r>
            <w:r>
              <w:rPr>
                <w:color w:val="000000"/>
              </w:rPr>
              <w:t>dB(A)</w:t>
            </w:r>
            <w:r>
              <w:rPr>
                <w:rStyle w:val="84"/>
                <w:rFonts w:ascii="Times New Roman" w:eastAsia="宋体" w:cs="Times New Roman"/>
              </w:rPr>
              <w:t>~</w:t>
            </w:r>
            <w:r>
              <w:rPr>
                <w:rStyle w:val="62"/>
                <w:rFonts w:ascii="Times New Roman" w:eastAsia="宋体" w:cs="Times New Roman"/>
                <w:sz w:val="24"/>
              </w:rPr>
              <w:t>41.4</w:t>
            </w:r>
            <w:r>
              <w:rPr>
                <w:color w:val="000000"/>
              </w:rPr>
              <w:t>dB(A)，满足《工业企业厂界环境噪声排放标准》（GB12348-2008）中2类标准限值要求。变电站声环境评价范围</w:t>
            </w:r>
            <w:r>
              <w:rPr>
                <w:rFonts w:hint="eastAsia"/>
                <w:color w:val="000000"/>
              </w:rPr>
              <w:t>内</w:t>
            </w:r>
            <w:r>
              <w:rPr>
                <w:color w:val="000000"/>
              </w:rPr>
              <w:t>无声环境保护目标。</w:t>
            </w:r>
          </w:p>
          <w:p>
            <w:pPr>
              <w:pStyle w:val="5"/>
              <w:numPr>
                <w:ilvl w:val="2"/>
                <w:numId w:val="15"/>
              </w:numPr>
              <w:ind w:firstLineChars="0"/>
              <w:rPr>
                <w:b/>
                <w:color w:val="000000"/>
                <w:kern w:val="0"/>
                <w:szCs w:val="21"/>
              </w:rPr>
            </w:pPr>
            <w:r>
              <w:rPr>
                <w:b/>
                <w:color w:val="000000"/>
                <w:kern w:val="0"/>
                <w:szCs w:val="21"/>
              </w:rPr>
              <w:t>输电线路声环境影响分析</w:t>
            </w:r>
          </w:p>
          <w:p>
            <w:pPr>
              <w:pStyle w:val="5"/>
              <w:rPr>
                <w:color w:val="000000"/>
                <w:sz w:val="21"/>
                <w:szCs w:val="21"/>
              </w:rPr>
            </w:pPr>
            <w:r>
              <w:rPr>
                <w:color w:val="000000"/>
              </w:rPr>
              <w:t>架空线路声环境影响评价采用类比分析的方法进行。</w:t>
            </w:r>
          </w:p>
          <w:p>
            <w:pPr>
              <w:pStyle w:val="5"/>
              <w:numPr>
                <w:ilvl w:val="3"/>
                <w:numId w:val="15"/>
              </w:numPr>
              <w:ind w:firstLineChars="0"/>
              <w:rPr>
                <w:b/>
                <w:color w:val="000000"/>
                <w:kern w:val="0"/>
                <w:szCs w:val="21"/>
              </w:rPr>
            </w:pPr>
            <w:r>
              <w:rPr>
                <w:rFonts w:hint="eastAsia"/>
                <w:b/>
                <w:color w:val="000000"/>
                <w:kern w:val="0"/>
                <w:szCs w:val="21"/>
              </w:rPr>
              <w:t>单回</w:t>
            </w:r>
            <w:r>
              <w:rPr>
                <w:b/>
                <w:color w:val="000000"/>
                <w:kern w:val="0"/>
                <w:szCs w:val="21"/>
              </w:rPr>
              <w:t>输电线路声环境影响分析</w:t>
            </w:r>
          </w:p>
          <w:p>
            <w:pPr>
              <w:pStyle w:val="5"/>
              <w:shd w:val="clear" w:color="auto" w:fill="FFFFFF"/>
              <w:adjustRightInd w:val="0"/>
              <w:snapToGrid w:val="0"/>
              <w:ind w:firstLineChars="0"/>
              <w:outlineLvl w:val="4"/>
              <w:rPr>
                <w:b/>
                <w:bCs/>
                <w:color w:val="000000"/>
              </w:rPr>
            </w:pPr>
            <w:r>
              <w:rPr>
                <w:b/>
                <w:bCs/>
                <w:color w:val="000000"/>
              </w:rPr>
              <w:t>（1）吐鲁番电厂</w:t>
            </w:r>
            <w:r>
              <w:rPr>
                <w:rFonts w:hint="eastAsia"/>
                <w:b/>
                <w:bCs/>
                <w:color w:val="000000"/>
              </w:rPr>
              <w:t>-</w:t>
            </w:r>
            <w:r>
              <w:rPr>
                <w:b/>
                <w:bCs/>
                <w:color w:val="000000"/>
              </w:rPr>
              <w:t>阿拉沟变Ⅰ、Ⅱ回π入伊拉湖变电站220千伏线路工程</w:t>
            </w:r>
          </w:p>
          <w:p>
            <w:pPr>
              <w:pStyle w:val="5"/>
              <w:shd w:val="clear" w:color="auto" w:fill="FFFFFF"/>
              <w:adjustRightInd w:val="0"/>
              <w:snapToGrid w:val="0"/>
              <w:ind w:firstLineChars="0"/>
              <w:outlineLvl w:val="4"/>
              <w:rPr>
                <w:b/>
                <w:bCs/>
                <w:color w:val="000000"/>
              </w:rPr>
            </w:pPr>
            <w:r>
              <w:rPr>
                <w:b/>
                <w:bCs/>
                <w:color w:val="000000"/>
              </w:rPr>
              <w:t>①类比对象</w:t>
            </w:r>
          </w:p>
          <w:p>
            <w:pPr>
              <w:spacing w:line="360" w:lineRule="auto"/>
              <w:ind w:firstLine="482"/>
              <w:rPr>
                <w:color w:val="000000"/>
                <w:kern w:val="0"/>
                <w:sz w:val="24"/>
                <w:shd w:val="clear" w:color="auto" w:fill="FFFFFF"/>
              </w:rPr>
            </w:pPr>
            <w:r>
              <w:rPr>
                <w:rFonts w:hint="eastAsia"/>
                <w:color w:val="000000"/>
                <w:kern w:val="0"/>
                <w:sz w:val="24"/>
                <w:shd w:val="clear" w:color="auto" w:fill="FFFFFF"/>
              </w:rPr>
              <w:t>本工程拟建</w:t>
            </w:r>
            <w:r>
              <w:rPr>
                <w:color w:val="000000"/>
                <w:kern w:val="0"/>
                <w:sz w:val="24"/>
                <w:shd w:val="clear" w:color="auto" w:fill="FFFFFF"/>
              </w:rPr>
              <w:t>220</w:t>
            </w:r>
            <w:r>
              <w:rPr>
                <w:rFonts w:hint="eastAsia"/>
                <w:color w:val="000000"/>
                <w:kern w:val="0"/>
                <w:sz w:val="24"/>
                <w:shd w:val="clear" w:color="auto" w:fill="FFFFFF"/>
              </w:rPr>
              <w:t>千伏单回线路选择已运行的</w:t>
            </w:r>
            <w:r>
              <w:rPr>
                <w:kern w:val="0"/>
                <w:sz w:val="24"/>
                <w:shd w:val="clear" w:color="auto" w:fill="FFFFFF"/>
              </w:rPr>
              <w:t>220</w:t>
            </w:r>
            <w:r>
              <w:rPr>
                <w:rFonts w:hint="eastAsia"/>
                <w:kern w:val="0"/>
                <w:sz w:val="24"/>
                <w:shd w:val="clear" w:color="auto" w:fill="FFFFFF"/>
              </w:rPr>
              <w:t>千伏阜东寒一线（</w:t>
            </w:r>
            <w:r>
              <w:rPr>
                <w:kern w:val="0"/>
                <w:sz w:val="24"/>
                <w:shd w:val="clear" w:color="auto" w:fill="FFFFFF"/>
              </w:rPr>
              <w:t>单回路</w:t>
            </w:r>
            <w:r>
              <w:rPr>
                <w:rFonts w:hint="eastAsia"/>
                <w:kern w:val="0"/>
                <w:sz w:val="24"/>
                <w:shd w:val="clear" w:color="auto" w:fill="FFFFFF"/>
              </w:rPr>
              <w:t>）</w:t>
            </w:r>
            <w:r>
              <w:rPr>
                <w:rFonts w:hint="eastAsia"/>
                <w:color w:val="000000"/>
                <w:kern w:val="0"/>
                <w:sz w:val="24"/>
                <w:shd w:val="clear" w:color="auto" w:fill="FFFFFF"/>
              </w:rPr>
              <w:t>进行类比监测。类比线路与本工程线路主要技术指标对照表见</w:t>
            </w:r>
            <w:r>
              <w:rPr>
                <w:b w:val="0"/>
                <w:bCs w:val="0"/>
                <w:color w:val="000000"/>
                <w:kern w:val="0"/>
                <w:sz w:val="24"/>
                <w:szCs w:val="24"/>
                <w:shd w:val="clear" w:color="auto" w:fill="FFFFFF"/>
              </w:rPr>
              <w:fldChar w:fldCharType="begin"/>
            </w:r>
            <w:r>
              <w:rPr>
                <w:b w:val="0"/>
                <w:bCs w:val="0"/>
              </w:rPr>
              <w:instrText xml:space="preserve"> REF _Ref157241925 \h  \* MERGEFORMAT</w:instrText>
            </w:r>
            <w:r>
              <w:rPr>
                <w:b w:val="0"/>
                <w:bCs w:val="0"/>
                <w:color w:val="000000"/>
                <w:kern w:val="0"/>
                <w:sz w:val="24"/>
                <w:szCs w:val="24"/>
                <w:shd w:val="clear" w:color="auto" w:fill="FFFFFF"/>
              </w:rPr>
              <w:fldChar w:fldCharType="separate"/>
            </w:r>
            <w:r>
              <w:rPr>
                <w:rFonts w:ascii="Times New Roman" w:hAnsi="Times New Roman" w:eastAsia="宋体"/>
                <w:b w:val="0"/>
                <w:bCs w:val="0"/>
                <w:sz w:val="24"/>
                <w:szCs w:val="24"/>
              </w:rPr>
              <w:t>表21</w:t>
            </w:r>
            <w:r>
              <w:rPr>
                <w:b w:val="0"/>
                <w:bCs w:val="0"/>
                <w:color w:val="000000"/>
                <w:kern w:val="0"/>
                <w:sz w:val="24"/>
                <w:szCs w:val="24"/>
                <w:shd w:val="clear" w:color="auto" w:fill="FFFFFF"/>
              </w:rPr>
              <w:fldChar w:fldCharType="end"/>
            </w:r>
            <w:r>
              <w:rPr>
                <w:rFonts w:hint="eastAsia"/>
                <w:color w:val="000000"/>
                <w:kern w:val="0"/>
                <w:sz w:val="24"/>
                <w:shd w:val="clear" w:color="auto" w:fill="FFFFFF"/>
              </w:rPr>
              <w:t>。</w:t>
            </w:r>
          </w:p>
          <w:p>
            <w:pPr>
              <w:pStyle w:val="10"/>
              <w:keepNext/>
              <w:rPr>
                <w:rFonts w:ascii="Times New Roman" w:hAnsi="Times New Roman"/>
                <w:b/>
              </w:rPr>
            </w:pPr>
            <w:bookmarkStart w:id="603" w:name="_Ref157241925"/>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21</w:t>
            </w:r>
            <w:r>
              <w:rPr>
                <w:rFonts w:ascii="Times New Roman" w:hAnsi="Times New Roman" w:eastAsia="宋体"/>
                <w:b/>
              </w:rPr>
              <w:fldChar w:fldCharType="end"/>
            </w:r>
            <w:bookmarkEnd w:id="603"/>
            <w:r>
              <w:rPr>
                <w:rFonts w:hint="eastAsia" w:ascii="Times New Roman" w:hAnsi="Times New Roman" w:eastAsia="宋体"/>
                <w:b/>
              </w:rPr>
              <w:t xml:space="preserve"> </w:t>
            </w:r>
            <w:r>
              <w:rPr>
                <w:rFonts w:ascii="Times New Roman" w:hAnsi="Times New Roman" w:eastAsia="宋体"/>
                <w:b/>
              </w:rPr>
              <w:t>220</w:t>
            </w:r>
            <w:r>
              <w:rPr>
                <w:rFonts w:hint="eastAsia" w:ascii="Times New Roman" w:hAnsi="Times New Roman" w:eastAsia="宋体"/>
                <w:b/>
              </w:rPr>
              <w:t>千伏</w:t>
            </w:r>
            <w:r>
              <w:rPr>
                <w:rFonts w:ascii="Times New Roman" w:hAnsi="Times New Roman" w:eastAsia="宋体"/>
                <w:b/>
              </w:rPr>
              <w:t>阜东寒一线（单回）与本工程线路（单回）技术指标对照表</w:t>
            </w:r>
          </w:p>
          <w:tbl>
            <w:tblPr>
              <w:tblStyle w:val="37"/>
              <w:tblW w:w="831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6"/>
              <w:gridCol w:w="3254"/>
              <w:gridCol w:w="364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85"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bCs/>
                      <w:color w:val="000000"/>
                      <w:szCs w:val="21"/>
                    </w:rPr>
                  </w:pPr>
                  <w:r>
                    <w:rPr>
                      <w:bCs/>
                      <w:color w:val="000000"/>
                      <w:szCs w:val="21"/>
                    </w:rPr>
                    <w:t>主要指标</w:t>
                  </w:r>
                </w:p>
              </w:tc>
              <w:tc>
                <w:tcPr>
                  <w:tcW w:w="1955"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bCs/>
                      <w:color w:val="000000"/>
                      <w:szCs w:val="21"/>
                    </w:rPr>
                  </w:pPr>
                  <w:r>
                    <w:rPr>
                      <w:rFonts w:hint="eastAsia"/>
                      <w:bCs/>
                      <w:szCs w:val="21"/>
                    </w:rPr>
                    <w:t>220kV阜东寒一线</w:t>
                  </w:r>
                </w:p>
              </w:tc>
              <w:tc>
                <w:tcPr>
                  <w:tcW w:w="2192"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bCs/>
                      <w:color w:val="000000"/>
                      <w:szCs w:val="21"/>
                    </w:rPr>
                  </w:pPr>
                  <w:r>
                    <w:rPr>
                      <w:bCs/>
                      <w:color w:val="000000"/>
                      <w:szCs w:val="21"/>
                    </w:rPr>
                    <w:t>本</w:t>
                  </w:r>
                  <w:r>
                    <w:rPr>
                      <w:rFonts w:hint="eastAsia"/>
                      <w:bCs/>
                      <w:color w:val="000000"/>
                      <w:szCs w:val="21"/>
                    </w:rPr>
                    <w:t>工程</w:t>
                  </w:r>
                  <w:r>
                    <w:rPr>
                      <w:bCs/>
                      <w:color w:val="000000"/>
                      <w:szCs w:val="21"/>
                    </w:rPr>
                    <w:t>新建220kV线路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电压等级</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220kV</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220kV</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85"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架设型式</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单回路架设</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单回路架设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9"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架设及排列方式</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架空</w:t>
                  </w:r>
                  <w:r>
                    <w:rPr>
                      <w:rFonts w:hint="eastAsia" w:ascii="宋体" w:hAnsi="宋体" w:cs="宋体"/>
                      <w:color w:val="000000"/>
                      <w:szCs w:val="21"/>
                    </w:rPr>
                    <w:t>/</w:t>
                  </w:r>
                  <w:r>
                    <w:rPr>
                      <w:rFonts w:hint="eastAsia"/>
                      <w:color w:val="000000"/>
                      <w:kern w:val="0"/>
                      <w:szCs w:val="21"/>
                    </w:rPr>
                    <w:t>水平</w:t>
                  </w:r>
                  <w:r>
                    <w:rPr>
                      <w:color w:val="000000"/>
                      <w:kern w:val="0"/>
                      <w:szCs w:val="21"/>
                    </w:rPr>
                    <w:t>排列</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架空</w:t>
                  </w:r>
                  <w:r>
                    <w:rPr>
                      <w:rFonts w:hint="eastAsia" w:ascii="宋体" w:hAnsi="宋体" w:cs="宋体"/>
                      <w:color w:val="000000"/>
                      <w:szCs w:val="21"/>
                    </w:rPr>
                    <w:t>/</w:t>
                  </w:r>
                  <w:r>
                    <w:rPr>
                      <w:rFonts w:hint="eastAsia"/>
                      <w:color w:val="000000"/>
                      <w:kern w:val="0"/>
                      <w:szCs w:val="21"/>
                    </w:rPr>
                    <w:t>水平</w:t>
                  </w:r>
                  <w:r>
                    <w:rPr>
                      <w:color w:val="000000"/>
                      <w:kern w:val="0"/>
                      <w:szCs w:val="21"/>
                    </w:rPr>
                    <w:t>排列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3"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导线型号</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themeColor="text1"/>
                      <w:szCs w:val="21"/>
                      <w14:textFill>
                        <w14:solidFill>
                          <w14:schemeClr w14:val="tx1"/>
                        </w14:solidFill>
                      </w14:textFill>
                    </w:rPr>
                    <w:t>JL3/GIA-</w:t>
                  </w:r>
                  <w:r>
                    <w:rPr>
                      <w:color w:val="000000" w:themeColor="text1"/>
                      <w:kern w:val="0"/>
                      <w:szCs w:val="21"/>
                      <w14:textFill>
                        <w14:solidFill>
                          <w14:schemeClr w14:val="tx1"/>
                        </w14:solidFill>
                      </w14:textFill>
                    </w:rPr>
                    <w:t>630</w:t>
                  </w:r>
                  <w:r>
                    <w:rPr>
                      <w:rFonts w:hint="eastAsia"/>
                      <w:color w:val="000000" w:themeColor="text1"/>
                      <w:kern w:val="0"/>
                      <w:szCs w:val="21"/>
                      <w14:textFill>
                        <w14:solidFill>
                          <w14:schemeClr w14:val="tx1"/>
                        </w14:solidFill>
                      </w14:textFill>
                    </w:rPr>
                    <w:t>/</w:t>
                  </w:r>
                  <w:r>
                    <w:rPr>
                      <w:color w:val="000000" w:themeColor="text1"/>
                      <w:kern w:val="0"/>
                      <w:szCs w:val="21"/>
                      <w14:textFill>
                        <w14:solidFill>
                          <w14:schemeClr w14:val="tx1"/>
                        </w14:solidFill>
                      </w14:textFill>
                    </w:rPr>
                    <w:t>45</w:t>
                  </w:r>
                  <w:r>
                    <w:rPr>
                      <w:rFonts w:hint="eastAsia"/>
                      <w:kern w:val="0"/>
                      <w:szCs w:val="21"/>
                    </w:rPr>
                    <w:t>型钢芯铝绞线</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themeColor="text1"/>
                      <w:szCs w:val="21"/>
                      <w14:textFill>
                        <w14:solidFill>
                          <w14:schemeClr w14:val="tx1"/>
                        </w14:solidFill>
                      </w14:textFill>
                    </w:rPr>
                    <w:t>JL3/G1A-630/45</w:t>
                  </w:r>
                  <w:r>
                    <w:rPr>
                      <w:rFonts w:hint="eastAsia"/>
                      <w:kern w:val="0"/>
                      <w:szCs w:val="21"/>
                    </w:rPr>
                    <w:t>型钢芯铝绞线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85"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导线直径</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33.8</w:t>
                  </w:r>
                  <w:r>
                    <w:rPr>
                      <w:color w:val="000000"/>
                      <w:szCs w:val="21"/>
                    </w:rPr>
                    <w:t>mm</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33.8mm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3"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导线高度</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11</w:t>
                  </w:r>
                  <w:r>
                    <w:rPr>
                      <w:color w:val="000000"/>
                      <w:szCs w:val="21"/>
                    </w:rPr>
                    <w:t>m</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非居民区不低于6.5m，</w:t>
                  </w:r>
                </w:p>
                <w:p>
                  <w:pPr>
                    <w:jc w:val="center"/>
                    <w:rPr>
                      <w:color w:val="FF0000"/>
                      <w:szCs w:val="21"/>
                    </w:rPr>
                  </w:pPr>
                  <w:r>
                    <w:rPr>
                      <w:rFonts w:hint="eastAsia"/>
                      <w:color w:val="000000"/>
                      <w:szCs w:val="21"/>
                    </w:rPr>
                    <w:t>居民区不低于11.5m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rFonts w:hint="eastAsia"/>
                      <w:color w:val="000000"/>
                      <w:szCs w:val="21"/>
                    </w:rPr>
                    <w:t>环境条件</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乡村、平原</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乡村、平原</w:t>
                  </w:r>
                </w:p>
              </w:tc>
            </w:tr>
          </w:tbl>
          <w:p>
            <w:pPr>
              <w:pStyle w:val="5"/>
              <w:shd w:val="clear" w:color="auto" w:fill="FFFFFF"/>
              <w:adjustRightInd w:val="0"/>
              <w:snapToGrid w:val="0"/>
              <w:ind w:firstLine="482"/>
              <w:outlineLvl w:val="4"/>
              <w:rPr>
                <w:rFonts w:eastAsia="楷体_GB2312"/>
                <w:b/>
                <w:bCs/>
                <w:color w:val="000000"/>
              </w:rPr>
            </w:pPr>
            <w:r>
              <w:rPr>
                <w:b/>
                <w:bCs/>
                <w:color w:val="000000"/>
              </w:rPr>
              <w:t>②类比对象可行性分析</w:t>
            </w:r>
          </w:p>
          <w:p>
            <w:pPr>
              <w:spacing w:line="360" w:lineRule="auto"/>
              <w:ind w:firstLine="482"/>
              <w:rPr>
                <w:rFonts w:eastAsia="楷体_GB2312"/>
                <w:b/>
                <w:color w:val="000000"/>
              </w:rPr>
            </w:pPr>
            <w:r>
              <w:rPr>
                <w:rFonts w:hint="eastAsia"/>
                <w:kern w:val="0"/>
                <w:sz w:val="24"/>
                <w:shd w:val="clear" w:color="auto" w:fill="FFFFFF"/>
              </w:rPr>
              <w:t>根据</w:t>
            </w:r>
            <w:r>
              <w:rPr>
                <w:b w:val="0"/>
                <w:bCs w:val="0"/>
                <w:kern w:val="0"/>
                <w:sz w:val="24"/>
                <w:szCs w:val="24"/>
                <w:shd w:val="clear" w:color="auto" w:fill="FFFFFF"/>
              </w:rPr>
              <w:fldChar w:fldCharType="begin"/>
            </w:r>
            <w:r>
              <w:rPr>
                <w:b w:val="0"/>
                <w:bCs w:val="0"/>
                <w:sz w:val="24"/>
                <w:szCs w:val="24"/>
              </w:rPr>
              <w:instrText xml:space="preserve"> REF _Ref157241925 \h  \* MERGEFORMAT</w:instrText>
            </w:r>
            <w:r>
              <w:rPr>
                <w:b w:val="0"/>
                <w:bCs w:val="0"/>
                <w:kern w:val="0"/>
                <w:sz w:val="24"/>
                <w:szCs w:val="24"/>
                <w:shd w:val="clear" w:color="auto" w:fill="FFFFFF"/>
              </w:rPr>
              <w:fldChar w:fldCharType="separate"/>
            </w:r>
            <w:r>
              <w:rPr>
                <w:rFonts w:ascii="Times New Roman" w:hAnsi="Times New Roman" w:eastAsia="宋体"/>
                <w:b w:val="0"/>
                <w:bCs w:val="0"/>
                <w:sz w:val="24"/>
                <w:szCs w:val="24"/>
              </w:rPr>
              <w:t>表21</w:t>
            </w:r>
            <w:r>
              <w:rPr>
                <w:b w:val="0"/>
                <w:bCs w:val="0"/>
                <w:kern w:val="0"/>
                <w:sz w:val="24"/>
                <w:szCs w:val="24"/>
                <w:shd w:val="clear" w:color="auto" w:fill="FFFFFF"/>
              </w:rPr>
              <w:fldChar w:fldCharType="end"/>
            </w:r>
            <w:r>
              <w:rPr>
                <w:rFonts w:hint="eastAsia"/>
                <w:kern w:val="0"/>
                <w:sz w:val="24"/>
                <w:shd w:val="clear" w:color="auto" w:fill="FFFFFF"/>
              </w:rPr>
              <w:t>可知，选取的类比线路电压等级、架设型式、导线型号、导线直径、排列方式均与本工程线路基本一致。监测期间类比线路运行正常，因此类比线路的声环境监测结果能反映本工程输电线路运行后可能产生的声环境影响水平。故本次环评将220千伏阜东寒一线作为线路类比对象是可行的。</w:t>
            </w:r>
          </w:p>
          <w:p>
            <w:pPr>
              <w:pStyle w:val="5"/>
              <w:shd w:val="clear" w:color="auto" w:fill="FFFFFF"/>
              <w:adjustRightInd w:val="0"/>
              <w:snapToGrid w:val="0"/>
              <w:ind w:firstLineChars="0"/>
              <w:outlineLvl w:val="4"/>
              <w:rPr>
                <w:b/>
                <w:bCs/>
                <w:color w:val="000000"/>
              </w:rPr>
            </w:pPr>
            <w:r>
              <w:rPr>
                <w:b/>
                <w:bCs/>
                <w:color w:val="000000"/>
              </w:rPr>
              <w:t>③类比监测点</w:t>
            </w:r>
          </w:p>
          <w:p>
            <w:pPr>
              <w:spacing w:line="360" w:lineRule="auto"/>
              <w:ind w:firstLine="482"/>
              <w:rPr>
                <w:color w:val="000000"/>
                <w:kern w:val="0"/>
                <w:sz w:val="24"/>
                <w:highlight w:val="yellow"/>
                <w:shd w:val="clear" w:color="auto" w:fill="FFFFFF"/>
              </w:rPr>
            </w:pPr>
            <w:r>
              <w:rPr>
                <w:rFonts w:hint="eastAsia"/>
                <w:color w:val="000000"/>
                <w:kern w:val="0"/>
                <w:sz w:val="24"/>
                <w:shd w:val="clear" w:color="auto" w:fill="FFFFFF"/>
              </w:rPr>
              <w:t>以220千伏阜东寒一线55#~56#杆塔中相导线弧垂最低位置对地投影点为起点，沿垂直于线路方向测试。</w:t>
            </w:r>
          </w:p>
          <w:p>
            <w:pPr>
              <w:pStyle w:val="5"/>
              <w:shd w:val="clear" w:color="auto" w:fill="FFFFFF"/>
              <w:adjustRightInd w:val="0"/>
              <w:snapToGrid w:val="0"/>
              <w:ind w:firstLineChars="0"/>
              <w:outlineLvl w:val="4"/>
              <w:rPr>
                <w:b/>
                <w:bCs/>
                <w:color w:val="000000"/>
              </w:rPr>
            </w:pPr>
            <w:r>
              <w:rPr>
                <w:b/>
                <w:bCs/>
                <w:color w:val="000000"/>
              </w:rPr>
              <w:t>④类比监测内容</w:t>
            </w:r>
          </w:p>
          <w:p>
            <w:pPr>
              <w:spacing w:line="360" w:lineRule="auto"/>
              <w:ind w:firstLine="482"/>
              <w:rPr>
                <w:color w:val="000000"/>
                <w:kern w:val="0"/>
                <w:sz w:val="24"/>
                <w:shd w:val="clear" w:color="auto" w:fill="FFFFFF"/>
              </w:rPr>
            </w:pPr>
            <w:r>
              <w:rPr>
                <w:rFonts w:hint="eastAsia"/>
                <w:color w:val="000000"/>
                <w:kern w:val="0"/>
                <w:sz w:val="24"/>
                <w:shd w:val="clear" w:color="auto" w:fill="FFFFFF"/>
              </w:rPr>
              <w:t>等效连续</w:t>
            </w:r>
            <w:r>
              <w:rPr>
                <w:color w:val="000000"/>
                <w:kern w:val="0"/>
                <w:sz w:val="24"/>
                <w:shd w:val="clear" w:color="auto" w:fill="FFFFFF"/>
              </w:rPr>
              <w:t>A</w:t>
            </w:r>
            <w:r>
              <w:rPr>
                <w:rFonts w:hint="eastAsia"/>
                <w:color w:val="000000"/>
                <w:kern w:val="0"/>
                <w:sz w:val="24"/>
                <w:shd w:val="clear" w:color="auto" w:fill="FFFFFF"/>
              </w:rPr>
              <w:t>声级。</w:t>
            </w:r>
          </w:p>
          <w:p>
            <w:pPr>
              <w:pStyle w:val="5"/>
              <w:shd w:val="clear" w:color="auto" w:fill="FFFFFF"/>
              <w:adjustRightInd w:val="0"/>
              <w:snapToGrid w:val="0"/>
              <w:ind w:firstLineChars="0"/>
              <w:outlineLvl w:val="4"/>
              <w:rPr>
                <w:b/>
                <w:bCs/>
                <w:color w:val="000000"/>
              </w:rPr>
            </w:pPr>
            <w:r>
              <w:rPr>
                <w:b/>
                <w:bCs/>
                <w:color w:val="000000"/>
              </w:rPr>
              <w:t>⑤类比监测方法及频次</w:t>
            </w:r>
          </w:p>
          <w:p>
            <w:pPr>
              <w:spacing w:line="360" w:lineRule="auto"/>
              <w:ind w:firstLine="482"/>
              <w:rPr>
                <w:color w:val="000000"/>
                <w:sz w:val="24"/>
              </w:rPr>
            </w:pPr>
            <w:r>
              <w:rPr>
                <w:rFonts w:hint="eastAsia"/>
                <w:kern w:val="0"/>
                <w:sz w:val="24"/>
                <w:shd w:val="clear" w:color="auto" w:fill="FFFFFF"/>
              </w:rPr>
              <w:t>类比监测按《声环境质量标准》（</w:t>
            </w:r>
            <w:r>
              <w:rPr>
                <w:kern w:val="0"/>
                <w:sz w:val="24"/>
                <w:shd w:val="clear" w:color="auto" w:fill="FFFFFF"/>
              </w:rPr>
              <w:t>GB3096-2008</w:t>
            </w:r>
            <w:r>
              <w:rPr>
                <w:rFonts w:hint="eastAsia"/>
                <w:kern w:val="0"/>
                <w:sz w:val="24"/>
                <w:shd w:val="clear" w:color="auto" w:fill="FFFFFF"/>
              </w:rPr>
              <w:t>）中的规定监测方法进行监测，监测方法也符合《工业企业厂界环境噪声排放标准》（GB12348-2008）中监测要求。</w:t>
            </w:r>
          </w:p>
          <w:p>
            <w:pPr>
              <w:pStyle w:val="5"/>
              <w:shd w:val="clear" w:color="auto" w:fill="FFFFFF"/>
              <w:adjustRightInd w:val="0"/>
              <w:snapToGrid w:val="0"/>
              <w:ind w:firstLineChars="0"/>
              <w:outlineLvl w:val="4"/>
              <w:rPr>
                <w:b/>
                <w:bCs/>
                <w:color w:val="000000"/>
              </w:rPr>
            </w:pPr>
            <w:r>
              <w:rPr>
                <w:b/>
                <w:bCs/>
                <w:color w:val="000000"/>
              </w:rPr>
              <w:t>⑥类比监测单位及测量仪器</w:t>
            </w:r>
          </w:p>
          <w:p>
            <w:pPr>
              <w:adjustRightInd w:val="0"/>
              <w:snapToGrid w:val="0"/>
              <w:spacing w:line="360" w:lineRule="auto"/>
              <w:ind w:firstLine="480" w:firstLineChars="200"/>
              <w:rPr>
                <w:kern w:val="0"/>
                <w:sz w:val="24"/>
                <w:shd w:val="clear" w:color="auto" w:fill="FFFFFF"/>
              </w:rPr>
            </w:pPr>
            <w:r>
              <w:rPr>
                <w:rFonts w:hint="eastAsia"/>
                <w:kern w:val="0"/>
                <w:sz w:val="24"/>
                <w:shd w:val="clear" w:color="auto" w:fill="FFFFFF"/>
              </w:rPr>
              <w:t>监测单位：武汉中电工程检测有限公司</w:t>
            </w:r>
          </w:p>
          <w:p>
            <w:pPr>
              <w:adjustRightInd w:val="0"/>
              <w:snapToGrid w:val="0"/>
              <w:spacing w:line="360" w:lineRule="auto"/>
              <w:ind w:firstLine="480" w:firstLineChars="200"/>
              <w:rPr>
                <w:color w:val="000000"/>
                <w:kern w:val="0"/>
                <w:sz w:val="24"/>
                <w:shd w:val="clear" w:color="auto" w:fill="FFFFFF"/>
              </w:rPr>
            </w:pPr>
            <w:r>
              <w:rPr>
                <w:rFonts w:hint="eastAsia"/>
                <w:kern w:val="0"/>
                <w:sz w:val="24"/>
                <w:shd w:val="clear" w:color="auto" w:fill="FFFFFF"/>
              </w:rPr>
              <w:t>监测仪器：AWA</w:t>
            </w:r>
            <w:r>
              <w:rPr>
                <w:kern w:val="0"/>
                <w:sz w:val="24"/>
                <w:shd w:val="clear" w:color="auto" w:fill="FFFFFF"/>
              </w:rPr>
              <w:t>6228+</w:t>
            </w:r>
            <w:r>
              <w:rPr>
                <w:rFonts w:hint="eastAsia"/>
                <w:kern w:val="0"/>
                <w:sz w:val="24"/>
                <w:shd w:val="clear" w:color="auto" w:fill="FFFFFF"/>
              </w:rPr>
              <w:t>型声级计</w:t>
            </w:r>
          </w:p>
          <w:p>
            <w:pPr>
              <w:pStyle w:val="5"/>
              <w:shd w:val="clear" w:color="auto" w:fill="FFFFFF"/>
              <w:adjustRightInd w:val="0"/>
              <w:snapToGrid w:val="0"/>
              <w:ind w:firstLineChars="0"/>
              <w:outlineLvl w:val="4"/>
              <w:rPr>
                <w:b/>
                <w:bCs/>
                <w:color w:val="000000"/>
              </w:rPr>
            </w:pPr>
            <w:r>
              <w:rPr>
                <w:b/>
                <w:bCs/>
                <w:color w:val="000000"/>
              </w:rPr>
              <w:t>⑦类比监测时间、监测环境</w:t>
            </w:r>
          </w:p>
          <w:p>
            <w:pPr>
              <w:adjustRightInd w:val="0"/>
              <w:snapToGrid w:val="0"/>
              <w:spacing w:line="360" w:lineRule="auto"/>
              <w:ind w:firstLine="480" w:firstLineChars="200"/>
              <w:rPr>
                <w:kern w:val="0"/>
                <w:sz w:val="24"/>
                <w:shd w:val="clear" w:color="auto" w:fill="FFFFFF"/>
              </w:rPr>
            </w:pPr>
            <w:r>
              <w:rPr>
                <w:rFonts w:hint="eastAsia"/>
                <w:kern w:val="0"/>
                <w:sz w:val="24"/>
                <w:shd w:val="clear" w:color="auto" w:fill="FFFFFF"/>
              </w:rPr>
              <w:t>测量时间：2024年8月30日</w:t>
            </w:r>
          </w:p>
          <w:p>
            <w:pPr>
              <w:adjustRightInd w:val="0"/>
              <w:snapToGrid w:val="0"/>
              <w:spacing w:line="360" w:lineRule="auto"/>
              <w:ind w:firstLine="480" w:firstLineChars="200"/>
              <w:rPr>
                <w:kern w:val="0"/>
                <w:sz w:val="24"/>
                <w:shd w:val="clear" w:color="auto" w:fill="FFFFFF"/>
              </w:rPr>
            </w:pPr>
            <w:r>
              <w:rPr>
                <w:rFonts w:hint="eastAsia"/>
                <w:kern w:val="0"/>
                <w:sz w:val="24"/>
                <w:shd w:val="clear" w:color="auto" w:fill="FFFFFF"/>
              </w:rPr>
              <w:t>气象条件：天气晴，温度37.6</w:t>
            </w:r>
            <w:r>
              <w:rPr>
                <w:kern w:val="0"/>
                <w:sz w:val="24"/>
                <w:shd w:val="clear" w:color="auto" w:fill="FFFFFF"/>
              </w:rPr>
              <w:t>℃</w:t>
            </w:r>
            <w:r>
              <w:rPr>
                <w:rFonts w:hint="eastAsia"/>
                <w:kern w:val="0"/>
                <w:sz w:val="24"/>
                <w:shd w:val="clear" w:color="auto" w:fill="FFFFFF"/>
              </w:rPr>
              <w:t>-38.8</w:t>
            </w:r>
            <w:r>
              <w:rPr>
                <w:kern w:val="0"/>
                <w:sz w:val="24"/>
                <w:shd w:val="clear" w:color="auto" w:fill="FFFFFF"/>
              </w:rPr>
              <w:t>℃</w:t>
            </w:r>
            <w:r>
              <w:rPr>
                <w:rFonts w:hint="eastAsia"/>
                <w:kern w:val="0"/>
                <w:sz w:val="24"/>
                <w:shd w:val="clear" w:color="auto" w:fill="FFFFFF"/>
              </w:rPr>
              <w:t>，风速0.5m/s-0.9m/s。</w:t>
            </w:r>
          </w:p>
          <w:p>
            <w:pPr>
              <w:spacing w:line="360" w:lineRule="auto"/>
              <w:ind w:firstLine="480" w:firstLineChars="200"/>
            </w:pPr>
            <w:r>
              <w:rPr>
                <w:rFonts w:hint="eastAsia"/>
                <w:color w:val="000000" w:themeColor="text1"/>
                <w:kern w:val="0"/>
                <w:sz w:val="24"/>
                <w:shd w:val="clear" w:color="auto" w:fill="FFFFFF"/>
                <w14:textFill>
                  <w14:solidFill>
                    <w14:schemeClr w14:val="tx1"/>
                  </w14:solidFill>
                </w14:textFill>
              </w:rPr>
              <w:t>监测时工况见</w:t>
            </w:r>
            <w:r>
              <w:rPr>
                <w:rFonts w:hint="eastAsia"/>
                <w:b w:val="0"/>
                <w:bCs w:val="0"/>
                <w:color w:val="000000" w:themeColor="text1"/>
                <w:kern w:val="0"/>
                <w:sz w:val="24"/>
                <w:szCs w:val="24"/>
                <w:shd w:val="clear" w:color="auto" w:fill="FFFFFF"/>
                <w:lang w:eastAsia="zh-CN"/>
                <w14:textFill>
                  <w14:solidFill>
                    <w14:schemeClr w14:val="tx1"/>
                  </w14:solidFill>
                </w14:textFill>
              </w:rPr>
              <w:fldChar w:fldCharType="begin"/>
            </w:r>
            <w:r>
              <w:rPr>
                <w:b w:val="0"/>
                <w:bCs w:val="0"/>
              </w:rPr>
              <w:instrText xml:space="preserve"> REF _Ref32381 \h  \* MERGEFORMAT</w:instrText>
            </w:r>
            <w:r>
              <w:rPr>
                <w:rFonts w:hint="eastAsia"/>
                <w:b w:val="0"/>
                <w:bCs w:val="0"/>
                <w:color w:val="000000" w:themeColor="text1"/>
                <w:kern w:val="0"/>
                <w:sz w:val="24"/>
                <w:szCs w:val="24"/>
                <w:shd w:val="clear" w:color="auto" w:fill="FFFFFF"/>
                <w:lang w:eastAsia="zh-CN"/>
                <w14:textFill>
                  <w14:solidFill>
                    <w14:schemeClr w14:val="tx1"/>
                  </w14:solidFill>
                </w14:textFill>
              </w:rPr>
              <w:fldChar w:fldCharType="separate"/>
            </w:r>
            <w:r>
              <w:rPr>
                <w:b w:val="0"/>
                <w:bCs w:val="0"/>
                <w:sz w:val="24"/>
                <w:szCs w:val="24"/>
              </w:rPr>
              <w:t>表22</w:t>
            </w:r>
            <w:r>
              <w:rPr>
                <w:rFonts w:hint="eastAsia"/>
                <w:b w:val="0"/>
                <w:bCs w:val="0"/>
                <w:color w:val="000000" w:themeColor="text1"/>
                <w:kern w:val="0"/>
                <w:sz w:val="24"/>
                <w:szCs w:val="24"/>
                <w:shd w:val="clear" w:color="auto" w:fill="FFFFFF"/>
                <w:lang w:eastAsia="zh-CN"/>
                <w14:textFill>
                  <w14:solidFill>
                    <w14:schemeClr w14:val="tx1"/>
                  </w14:solidFill>
                </w14:textFill>
              </w:rPr>
              <w:fldChar w:fldCharType="end"/>
            </w:r>
            <w:r>
              <w:rPr>
                <w:rFonts w:hint="eastAsia"/>
                <w:color w:val="000000" w:themeColor="text1"/>
                <w:kern w:val="0"/>
                <w:sz w:val="24"/>
                <w:shd w:val="clear" w:color="auto" w:fill="FFFFFF"/>
                <w14:textFill>
                  <w14:solidFill>
                    <w14:schemeClr w14:val="tx1"/>
                  </w14:solidFill>
                </w14:textFill>
              </w:rPr>
              <w:t>。</w:t>
            </w:r>
          </w:p>
          <w:p>
            <w:pPr>
              <w:pStyle w:val="5"/>
              <w:shd w:val="clear" w:color="auto" w:fill="FFFFFF"/>
              <w:adjustRightInd w:val="0"/>
              <w:snapToGrid w:val="0"/>
              <w:spacing w:line="240" w:lineRule="auto"/>
              <w:ind w:firstLine="0" w:firstLineChars="0"/>
              <w:jc w:val="left"/>
              <w:outlineLvl w:val="4"/>
              <w:rPr>
                <w:rFonts w:eastAsia="楷体_GB2312"/>
                <w:b/>
                <w:bCs/>
                <w:color w:val="000000"/>
              </w:rPr>
            </w:pPr>
            <w:bookmarkStart w:id="604" w:name="_Ref32381"/>
            <w:r>
              <w:rPr>
                <w:b/>
                <w:sz w:val="21"/>
                <w:szCs w:val="16"/>
              </w:rPr>
              <w:t>表</w:t>
            </w:r>
            <w:r>
              <w:rPr>
                <w:b/>
                <w:sz w:val="21"/>
                <w:szCs w:val="16"/>
              </w:rPr>
              <w:fldChar w:fldCharType="begin"/>
            </w:r>
            <w:r>
              <w:rPr>
                <w:b/>
                <w:sz w:val="21"/>
                <w:szCs w:val="16"/>
              </w:rPr>
              <w:instrText xml:space="preserve"> SEQ 表 \* ARABIC </w:instrText>
            </w:r>
            <w:r>
              <w:rPr>
                <w:b/>
                <w:sz w:val="21"/>
                <w:szCs w:val="16"/>
              </w:rPr>
              <w:fldChar w:fldCharType="separate"/>
            </w:r>
            <w:r>
              <w:rPr>
                <w:b/>
                <w:sz w:val="21"/>
                <w:szCs w:val="16"/>
              </w:rPr>
              <w:t>22</w:t>
            </w:r>
            <w:r>
              <w:rPr>
                <w:b/>
                <w:sz w:val="21"/>
                <w:szCs w:val="16"/>
              </w:rPr>
              <w:fldChar w:fldCharType="end"/>
            </w:r>
            <w:bookmarkEnd w:id="604"/>
            <w:r>
              <w:rPr>
                <w:b/>
                <w:sz w:val="21"/>
                <w:szCs w:val="16"/>
              </w:rPr>
              <w:t>监测时运行工况</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383"/>
              <w:gridCol w:w="1383"/>
              <w:gridCol w:w="1383"/>
              <w:gridCol w:w="1383"/>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序号</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对象</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运行电压（kV）</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运行电流（A）</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有功功率（MW）</w:t>
                  </w:r>
                </w:p>
              </w:tc>
              <w:tc>
                <w:tcPr>
                  <w:tcW w:w="1384"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无功功率（MW）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1</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220kV阜东寒一线</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235.06~235.77</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458.13~638.71</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-250.12~-166.32</w:t>
                  </w:r>
                </w:p>
              </w:tc>
              <w:tc>
                <w:tcPr>
                  <w:tcW w:w="1384"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-91.63~-75.21</w:t>
                  </w:r>
                </w:p>
              </w:tc>
            </w:tr>
          </w:tbl>
          <w:p>
            <w:pPr>
              <w:pStyle w:val="5"/>
              <w:shd w:val="clear" w:color="auto" w:fill="FFFFFF"/>
              <w:adjustRightInd w:val="0"/>
              <w:snapToGrid w:val="0"/>
              <w:ind w:firstLineChars="0"/>
              <w:outlineLvl w:val="4"/>
              <w:rPr>
                <w:b/>
                <w:bCs/>
                <w:color w:val="000000"/>
              </w:rPr>
            </w:pPr>
            <w:r>
              <w:rPr>
                <w:b/>
                <w:bCs/>
                <w:color w:val="000000"/>
              </w:rPr>
              <w:t>⑧类比监测结果</w:t>
            </w:r>
          </w:p>
          <w:p>
            <w:pPr>
              <w:adjustRightInd w:val="0"/>
              <w:snapToGrid w:val="0"/>
              <w:spacing w:line="360" w:lineRule="auto"/>
              <w:ind w:firstLine="480" w:firstLineChars="200"/>
              <w:rPr>
                <w:color w:val="000000"/>
                <w:kern w:val="0"/>
                <w:sz w:val="24"/>
                <w:shd w:val="clear" w:color="auto" w:fill="FFFFFF"/>
              </w:rPr>
            </w:pPr>
            <w:r>
              <w:rPr>
                <w:rFonts w:hint="eastAsia"/>
                <w:kern w:val="0"/>
                <w:sz w:val="24"/>
                <w:shd w:val="clear" w:color="auto" w:fill="FFFFFF"/>
              </w:rPr>
              <w:t>220千伏阜东寒一线</w:t>
            </w:r>
            <w:r>
              <w:rPr>
                <w:rFonts w:hint="eastAsia"/>
                <w:color w:val="000000"/>
                <w:kern w:val="0"/>
                <w:sz w:val="24"/>
                <w:shd w:val="clear" w:color="auto" w:fill="FFFFFF"/>
              </w:rPr>
              <w:t>噪声监测结果见</w:t>
            </w:r>
            <w:r>
              <w:rPr>
                <w:b w:val="0"/>
                <w:bCs w:val="0"/>
                <w:color w:val="000000"/>
                <w:kern w:val="0"/>
                <w:sz w:val="24"/>
                <w:szCs w:val="24"/>
                <w:shd w:val="clear" w:color="auto" w:fill="FFFFFF"/>
              </w:rPr>
              <w:fldChar w:fldCharType="begin"/>
            </w:r>
            <w:r>
              <w:rPr>
                <w:b w:val="0"/>
                <w:bCs w:val="0"/>
              </w:rPr>
              <w:instrText xml:space="preserve"> REF _Ref157242750 \h  \* MERGEFORMAT</w:instrText>
            </w:r>
            <w:r>
              <w:rPr>
                <w:b w:val="0"/>
                <w:bCs w:val="0"/>
                <w:color w:val="000000"/>
                <w:kern w:val="0"/>
                <w:sz w:val="24"/>
                <w:szCs w:val="24"/>
                <w:shd w:val="clear" w:color="auto" w:fill="FFFFFF"/>
              </w:rPr>
              <w:fldChar w:fldCharType="separate"/>
            </w:r>
            <w:r>
              <w:rPr>
                <w:rFonts w:ascii="Times New Roman" w:hAnsi="Times New Roman" w:eastAsia="宋体"/>
                <w:b w:val="0"/>
                <w:bCs w:val="0"/>
                <w:sz w:val="24"/>
                <w:szCs w:val="24"/>
              </w:rPr>
              <w:t>表23</w:t>
            </w:r>
            <w:r>
              <w:rPr>
                <w:b w:val="0"/>
                <w:bCs w:val="0"/>
                <w:color w:val="000000"/>
                <w:kern w:val="0"/>
                <w:sz w:val="24"/>
                <w:szCs w:val="24"/>
                <w:shd w:val="clear" w:color="auto" w:fill="FFFFFF"/>
              </w:rPr>
              <w:fldChar w:fldCharType="end"/>
            </w:r>
            <w:r>
              <w:rPr>
                <w:rFonts w:hint="eastAsia"/>
                <w:color w:val="000000"/>
                <w:kern w:val="0"/>
                <w:sz w:val="24"/>
                <w:shd w:val="clear" w:color="auto" w:fill="FFFFFF"/>
              </w:rPr>
              <w:t>。</w:t>
            </w:r>
          </w:p>
          <w:p>
            <w:pPr>
              <w:pStyle w:val="10"/>
              <w:keepNext/>
              <w:rPr>
                <w:rFonts w:ascii="Times New Roman" w:hAnsi="Times New Roman"/>
                <w:b/>
              </w:rPr>
            </w:pPr>
            <w:bookmarkStart w:id="605" w:name="_Ref157242750"/>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23</w:t>
            </w:r>
            <w:r>
              <w:rPr>
                <w:rFonts w:ascii="Times New Roman" w:hAnsi="Times New Roman" w:eastAsia="宋体"/>
                <w:b/>
              </w:rPr>
              <w:fldChar w:fldCharType="end"/>
            </w:r>
            <w:bookmarkEnd w:id="605"/>
            <w:r>
              <w:rPr>
                <w:rFonts w:hint="eastAsia" w:ascii="Times New Roman" w:hAnsi="Times New Roman" w:eastAsia="宋体"/>
                <w:b/>
              </w:rPr>
              <w:t xml:space="preserve"> </w:t>
            </w:r>
            <w:r>
              <w:rPr>
                <w:rFonts w:ascii="Times New Roman" w:hAnsi="Times New Roman" w:eastAsia="宋体"/>
                <w:b/>
              </w:rPr>
              <w:t>220kV阜东寒一线单回输电线路噪声类比监测结果</w:t>
            </w:r>
            <w:r>
              <w:rPr>
                <w:rFonts w:hint="eastAsia" w:ascii="Times New Roman" w:hAnsi="Times New Roman" w:eastAsia="宋体"/>
                <w:b/>
              </w:rPr>
              <w:t xml:space="preserve">                 </w:t>
            </w:r>
            <w:r>
              <w:rPr>
                <w:rFonts w:ascii="Times New Roman" w:hAnsi="Times New Roman" w:eastAsia="宋体"/>
                <w:b/>
              </w:rPr>
              <w:t>单位：dB(A)</w:t>
            </w:r>
          </w:p>
          <w:tbl>
            <w:tblPr>
              <w:tblStyle w:val="37"/>
              <w:tblW w:w="4992"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8"/>
              <w:gridCol w:w="3861"/>
              <w:gridCol w:w="1706"/>
              <w:gridCol w:w="17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3" w:hRule="atLeast"/>
                <w:jc w:val="center"/>
              </w:trPr>
              <w:tc>
                <w:tcPr>
                  <w:tcW w:w="596" w:type="pct"/>
                  <w:vAlign w:val="center"/>
                </w:tcPr>
                <w:p>
                  <w:pPr>
                    <w:adjustRightInd w:val="0"/>
                    <w:snapToGrid w:val="0"/>
                    <w:spacing w:before="60" w:beforeLines="25" w:after="60" w:afterLines="25"/>
                    <w:jc w:val="center"/>
                    <w:rPr>
                      <w:bCs/>
                      <w:color w:val="000000"/>
                      <w:szCs w:val="21"/>
                    </w:rPr>
                  </w:pPr>
                  <w:r>
                    <w:rPr>
                      <w:bCs/>
                      <w:color w:val="000000"/>
                      <w:szCs w:val="21"/>
                    </w:rPr>
                    <w:t>序号</w:t>
                  </w:r>
                </w:p>
              </w:tc>
              <w:tc>
                <w:tcPr>
                  <w:tcW w:w="2330" w:type="pct"/>
                  <w:vAlign w:val="center"/>
                </w:tcPr>
                <w:p>
                  <w:pPr>
                    <w:adjustRightInd w:val="0"/>
                    <w:snapToGrid w:val="0"/>
                    <w:spacing w:before="60" w:beforeLines="25" w:after="60" w:afterLines="25"/>
                    <w:jc w:val="center"/>
                    <w:rPr>
                      <w:bCs/>
                      <w:color w:val="000000"/>
                      <w:szCs w:val="21"/>
                    </w:rPr>
                  </w:pPr>
                  <w:r>
                    <w:rPr>
                      <w:bCs/>
                      <w:color w:val="000000"/>
                      <w:szCs w:val="21"/>
                    </w:rPr>
                    <w:t>监测点位描述</w:t>
                  </w:r>
                </w:p>
              </w:tc>
              <w:tc>
                <w:tcPr>
                  <w:tcW w:w="1030" w:type="pct"/>
                  <w:vAlign w:val="center"/>
                </w:tcPr>
                <w:p>
                  <w:pPr>
                    <w:adjustRightInd w:val="0"/>
                    <w:snapToGrid w:val="0"/>
                    <w:spacing w:before="60" w:beforeLines="25" w:after="60" w:afterLines="25"/>
                    <w:jc w:val="center"/>
                    <w:rPr>
                      <w:bCs/>
                      <w:color w:val="000000"/>
                      <w:szCs w:val="21"/>
                    </w:rPr>
                  </w:pPr>
                  <w:r>
                    <w:rPr>
                      <w:bCs/>
                      <w:color w:val="000000"/>
                      <w:szCs w:val="21"/>
                    </w:rPr>
                    <w:t>昼间</w:t>
                  </w:r>
                </w:p>
              </w:tc>
              <w:tc>
                <w:tcPr>
                  <w:tcW w:w="1042" w:type="pct"/>
                  <w:vAlign w:val="center"/>
                </w:tcPr>
                <w:p>
                  <w:pPr>
                    <w:pStyle w:val="112"/>
                    <w:tabs>
                      <w:tab w:val="left" w:pos="6300"/>
                    </w:tabs>
                    <w:adjustRightInd w:val="0"/>
                    <w:snapToGrid w:val="0"/>
                    <w:spacing w:before="60" w:beforeLines="25" w:after="60" w:afterLines="25"/>
                    <w:ind w:firstLine="0" w:firstLineChars="0"/>
                    <w:jc w:val="center"/>
                    <w:rPr>
                      <w:bCs/>
                      <w:color w:val="000000"/>
                      <w:sz w:val="21"/>
                      <w:szCs w:val="21"/>
                    </w:rPr>
                  </w:pPr>
                  <w:r>
                    <w:rPr>
                      <w:bCs/>
                      <w:color w:val="000000"/>
                      <w:sz w:val="21"/>
                      <w:szCs w:val="21"/>
                    </w:rPr>
                    <w:t>夜间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5"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1</w:t>
                  </w:r>
                </w:p>
              </w:tc>
              <w:tc>
                <w:tcPr>
                  <w:tcW w:w="2330" w:type="pct"/>
                  <w:vAlign w:val="center"/>
                </w:tcPr>
                <w:p>
                  <w:pPr>
                    <w:autoSpaceDE w:val="0"/>
                    <w:autoSpaceDN w:val="0"/>
                    <w:snapToGrid w:val="0"/>
                    <w:spacing w:line="300" w:lineRule="exact"/>
                    <w:jc w:val="center"/>
                  </w:pPr>
                  <w:r>
                    <w:rPr>
                      <w:rFonts w:hint="eastAsia"/>
                    </w:rPr>
                    <w:t>线路中心下方</w:t>
                  </w:r>
                </w:p>
              </w:tc>
              <w:tc>
                <w:tcPr>
                  <w:tcW w:w="1030" w:type="pct"/>
                  <w:vAlign w:val="center"/>
                </w:tcPr>
                <w:p>
                  <w:pPr>
                    <w:snapToGrid w:val="0"/>
                    <w:spacing w:line="300" w:lineRule="exact"/>
                    <w:jc w:val="center"/>
                  </w:pPr>
                  <w:r>
                    <w:rPr>
                      <w:rFonts w:hint="eastAsia"/>
                    </w:rPr>
                    <w:t>3</w:t>
                  </w:r>
                  <w:r>
                    <w:t>6.5</w:t>
                  </w:r>
                </w:p>
              </w:tc>
              <w:tc>
                <w:tcPr>
                  <w:tcW w:w="1042" w:type="pct"/>
                  <w:vAlign w:val="center"/>
                </w:tcPr>
                <w:p>
                  <w:pPr>
                    <w:widowControl/>
                    <w:autoSpaceDE w:val="0"/>
                    <w:autoSpaceDN w:val="0"/>
                    <w:snapToGrid w:val="0"/>
                    <w:spacing w:line="300" w:lineRule="exact"/>
                    <w:jc w:val="center"/>
                  </w:pPr>
                  <w:r>
                    <w:rPr>
                      <w:rFonts w:hint="eastAsia"/>
                    </w:rPr>
                    <w:t>3</w:t>
                  </w:r>
                  <w:r>
                    <w:t>5.8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8"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2</w:t>
                  </w:r>
                </w:p>
              </w:tc>
              <w:tc>
                <w:tcPr>
                  <w:tcW w:w="2330" w:type="pct"/>
                  <w:vAlign w:val="center"/>
                </w:tcPr>
                <w:p>
                  <w:pPr>
                    <w:autoSpaceDE w:val="0"/>
                    <w:autoSpaceDN w:val="0"/>
                    <w:snapToGrid w:val="0"/>
                    <w:spacing w:line="300" w:lineRule="exact"/>
                    <w:jc w:val="center"/>
                  </w:pPr>
                  <w:r>
                    <w:rPr>
                      <w:rFonts w:hint="eastAsia"/>
                    </w:rPr>
                    <w:t>距离线路中心5m</w:t>
                  </w:r>
                </w:p>
              </w:tc>
              <w:tc>
                <w:tcPr>
                  <w:tcW w:w="1030" w:type="pct"/>
                  <w:vAlign w:val="center"/>
                </w:tcPr>
                <w:p>
                  <w:pPr>
                    <w:snapToGrid w:val="0"/>
                    <w:spacing w:line="300" w:lineRule="exact"/>
                    <w:jc w:val="center"/>
                  </w:pPr>
                  <w:r>
                    <w:rPr>
                      <w:rFonts w:hint="eastAsia"/>
                    </w:rPr>
                    <w:t>3</w:t>
                  </w:r>
                  <w:r>
                    <w:t>6.6</w:t>
                  </w:r>
                </w:p>
              </w:tc>
              <w:tc>
                <w:tcPr>
                  <w:tcW w:w="1042" w:type="pct"/>
                  <w:vAlign w:val="center"/>
                </w:tcPr>
                <w:p>
                  <w:pPr>
                    <w:widowControl/>
                    <w:autoSpaceDE w:val="0"/>
                    <w:autoSpaceDN w:val="0"/>
                    <w:snapToGrid w:val="0"/>
                    <w:spacing w:line="300" w:lineRule="exact"/>
                    <w:jc w:val="center"/>
                  </w:pPr>
                  <w:r>
                    <w:t>35.7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0"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3</w:t>
                  </w:r>
                </w:p>
              </w:tc>
              <w:tc>
                <w:tcPr>
                  <w:tcW w:w="2330" w:type="pct"/>
                  <w:vAlign w:val="center"/>
                </w:tcPr>
                <w:p>
                  <w:pPr>
                    <w:autoSpaceDE w:val="0"/>
                    <w:autoSpaceDN w:val="0"/>
                    <w:snapToGrid w:val="0"/>
                    <w:spacing w:line="300" w:lineRule="exact"/>
                    <w:jc w:val="center"/>
                  </w:pPr>
                  <w:r>
                    <w:rPr>
                      <w:rFonts w:hint="eastAsia"/>
                    </w:rPr>
                    <w:t>边导线下（距离线路中心7m）</w:t>
                  </w:r>
                </w:p>
              </w:tc>
              <w:tc>
                <w:tcPr>
                  <w:tcW w:w="1030" w:type="pct"/>
                  <w:vAlign w:val="center"/>
                </w:tcPr>
                <w:p>
                  <w:pPr>
                    <w:snapToGrid w:val="0"/>
                    <w:spacing w:line="300" w:lineRule="exact"/>
                    <w:jc w:val="center"/>
                  </w:pPr>
                  <w:r>
                    <w:rPr>
                      <w:rFonts w:hint="eastAsia"/>
                    </w:rPr>
                    <w:t>3</w:t>
                  </w:r>
                  <w:r>
                    <w:t>7.0</w:t>
                  </w:r>
                </w:p>
              </w:tc>
              <w:tc>
                <w:tcPr>
                  <w:tcW w:w="1042" w:type="pct"/>
                  <w:vAlign w:val="center"/>
                </w:tcPr>
                <w:p>
                  <w:pPr>
                    <w:widowControl/>
                    <w:autoSpaceDE w:val="0"/>
                    <w:autoSpaceDN w:val="0"/>
                    <w:snapToGrid w:val="0"/>
                    <w:spacing w:line="300" w:lineRule="exact"/>
                    <w:jc w:val="center"/>
                  </w:pPr>
                  <w:r>
                    <w:rPr>
                      <w:rFonts w:hint="eastAsia"/>
                    </w:rPr>
                    <w:t>3</w:t>
                  </w:r>
                  <w:r>
                    <w:t>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4</w:t>
                  </w:r>
                </w:p>
              </w:tc>
              <w:tc>
                <w:tcPr>
                  <w:tcW w:w="2330" w:type="pct"/>
                  <w:vAlign w:val="center"/>
                </w:tcPr>
                <w:p>
                  <w:pPr>
                    <w:autoSpaceDE w:val="0"/>
                    <w:autoSpaceDN w:val="0"/>
                    <w:snapToGrid w:val="0"/>
                    <w:spacing w:line="300" w:lineRule="exact"/>
                    <w:jc w:val="center"/>
                  </w:pPr>
                  <w:r>
                    <w:rPr>
                      <w:rFonts w:hint="eastAsia"/>
                    </w:rPr>
                    <w:t>边导线外5m</w:t>
                  </w:r>
                </w:p>
              </w:tc>
              <w:tc>
                <w:tcPr>
                  <w:tcW w:w="1030" w:type="pct"/>
                  <w:vAlign w:val="center"/>
                </w:tcPr>
                <w:p>
                  <w:pPr>
                    <w:snapToGrid w:val="0"/>
                    <w:spacing w:line="300" w:lineRule="exact"/>
                    <w:jc w:val="center"/>
                  </w:pPr>
                  <w:r>
                    <w:rPr>
                      <w:rFonts w:hint="eastAsia"/>
                    </w:rPr>
                    <w:t>3</w:t>
                  </w:r>
                  <w:r>
                    <w:t>6.3</w:t>
                  </w:r>
                </w:p>
              </w:tc>
              <w:tc>
                <w:tcPr>
                  <w:tcW w:w="1042" w:type="pct"/>
                  <w:vAlign w:val="center"/>
                </w:tcPr>
                <w:p>
                  <w:pPr>
                    <w:widowControl/>
                    <w:autoSpaceDE w:val="0"/>
                    <w:autoSpaceDN w:val="0"/>
                    <w:snapToGrid w:val="0"/>
                    <w:spacing w:line="300" w:lineRule="exact"/>
                    <w:jc w:val="center"/>
                  </w:pPr>
                  <w:r>
                    <w:rPr>
                      <w:rFonts w:hint="eastAsia"/>
                    </w:rPr>
                    <w:t>3</w:t>
                  </w:r>
                  <w:r>
                    <w:t>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5</w:t>
                  </w:r>
                </w:p>
              </w:tc>
              <w:tc>
                <w:tcPr>
                  <w:tcW w:w="2330" w:type="pct"/>
                  <w:vAlign w:val="center"/>
                </w:tcPr>
                <w:p>
                  <w:pPr>
                    <w:autoSpaceDE w:val="0"/>
                    <w:autoSpaceDN w:val="0"/>
                    <w:snapToGrid w:val="0"/>
                    <w:spacing w:line="300" w:lineRule="exact"/>
                    <w:jc w:val="center"/>
                  </w:pPr>
                  <w:r>
                    <w:rPr>
                      <w:rFonts w:hint="eastAsia"/>
                    </w:rPr>
                    <w:t>边导线外1</w:t>
                  </w:r>
                  <w:r>
                    <w:t>0</w:t>
                  </w:r>
                  <w:r>
                    <w:rPr>
                      <w:rFonts w:hint="eastAsia"/>
                    </w:rPr>
                    <w:t>m</w:t>
                  </w:r>
                </w:p>
              </w:tc>
              <w:tc>
                <w:tcPr>
                  <w:tcW w:w="1030" w:type="pct"/>
                  <w:vAlign w:val="center"/>
                </w:tcPr>
                <w:p>
                  <w:pPr>
                    <w:snapToGrid w:val="0"/>
                    <w:spacing w:line="300" w:lineRule="exact"/>
                    <w:jc w:val="center"/>
                  </w:pPr>
                  <w:r>
                    <w:rPr>
                      <w:rFonts w:hint="eastAsia"/>
                    </w:rPr>
                    <w:t>3</w:t>
                  </w:r>
                  <w:r>
                    <w:t>6.6</w:t>
                  </w:r>
                </w:p>
              </w:tc>
              <w:tc>
                <w:tcPr>
                  <w:tcW w:w="1042" w:type="pct"/>
                  <w:vAlign w:val="center"/>
                </w:tcPr>
                <w:p>
                  <w:pPr>
                    <w:widowControl/>
                    <w:autoSpaceDE w:val="0"/>
                    <w:autoSpaceDN w:val="0"/>
                    <w:snapToGrid w:val="0"/>
                    <w:spacing w:line="300" w:lineRule="exact"/>
                    <w:jc w:val="center"/>
                  </w:pPr>
                  <w:r>
                    <w:rPr>
                      <w:rFonts w:hint="eastAsia"/>
                    </w:rPr>
                    <w:t>3</w:t>
                  </w:r>
                  <w:r>
                    <w:t>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6</w:t>
                  </w:r>
                </w:p>
              </w:tc>
              <w:tc>
                <w:tcPr>
                  <w:tcW w:w="2330" w:type="pct"/>
                  <w:vAlign w:val="center"/>
                </w:tcPr>
                <w:p>
                  <w:pPr>
                    <w:autoSpaceDE w:val="0"/>
                    <w:autoSpaceDN w:val="0"/>
                    <w:snapToGrid w:val="0"/>
                    <w:spacing w:line="300" w:lineRule="exact"/>
                    <w:jc w:val="center"/>
                  </w:pPr>
                  <w:r>
                    <w:rPr>
                      <w:rFonts w:hint="eastAsia"/>
                    </w:rPr>
                    <w:t>边导线外1</w:t>
                  </w:r>
                  <w:r>
                    <w:t>5</w:t>
                  </w:r>
                  <w:r>
                    <w:rPr>
                      <w:rFonts w:hint="eastAsia"/>
                    </w:rPr>
                    <w:t>m</w:t>
                  </w:r>
                </w:p>
              </w:tc>
              <w:tc>
                <w:tcPr>
                  <w:tcW w:w="1030" w:type="pct"/>
                  <w:vAlign w:val="center"/>
                </w:tcPr>
                <w:p>
                  <w:pPr>
                    <w:snapToGrid w:val="0"/>
                    <w:spacing w:line="300" w:lineRule="exact"/>
                    <w:jc w:val="center"/>
                  </w:pPr>
                  <w:r>
                    <w:rPr>
                      <w:rFonts w:hint="eastAsia"/>
                    </w:rPr>
                    <w:t>3</w:t>
                  </w:r>
                  <w:r>
                    <w:t>6.4</w:t>
                  </w:r>
                </w:p>
              </w:tc>
              <w:tc>
                <w:tcPr>
                  <w:tcW w:w="1042" w:type="pct"/>
                  <w:vAlign w:val="center"/>
                </w:tcPr>
                <w:p>
                  <w:pPr>
                    <w:widowControl/>
                    <w:autoSpaceDE w:val="0"/>
                    <w:autoSpaceDN w:val="0"/>
                    <w:snapToGrid w:val="0"/>
                    <w:spacing w:line="300" w:lineRule="exact"/>
                    <w:jc w:val="center"/>
                  </w:pPr>
                  <w:r>
                    <w:rPr>
                      <w:rFonts w:hint="eastAsia"/>
                    </w:rPr>
                    <w:t>3</w:t>
                  </w:r>
                  <w:r>
                    <w:t>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7</w:t>
                  </w:r>
                </w:p>
              </w:tc>
              <w:tc>
                <w:tcPr>
                  <w:tcW w:w="2330" w:type="pct"/>
                  <w:vAlign w:val="center"/>
                </w:tcPr>
                <w:p>
                  <w:pPr>
                    <w:autoSpaceDE w:val="0"/>
                    <w:autoSpaceDN w:val="0"/>
                    <w:snapToGrid w:val="0"/>
                    <w:spacing w:line="300" w:lineRule="exact"/>
                    <w:jc w:val="center"/>
                  </w:pPr>
                  <w:r>
                    <w:rPr>
                      <w:rFonts w:hint="eastAsia"/>
                    </w:rPr>
                    <w:t>边导线外</w:t>
                  </w:r>
                  <w:r>
                    <w:t>20</w:t>
                  </w:r>
                  <w:r>
                    <w:rPr>
                      <w:rFonts w:hint="eastAsia"/>
                    </w:rPr>
                    <w:t>m</w:t>
                  </w:r>
                </w:p>
              </w:tc>
              <w:tc>
                <w:tcPr>
                  <w:tcW w:w="1030" w:type="pct"/>
                  <w:vAlign w:val="center"/>
                </w:tcPr>
                <w:p>
                  <w:pPr>
                    <w:snapToGrid w:val="0"/>
                    <w:spacing w:line="300" w:lineRule="exact"/>
                    <w:jc w:val="center"/>
                  </w:pPr>
                  <w:r>
                    <w:rPr>
                      <w:rFonts w:hint="eastAsia"/>
                    </w:rPr>
                    <w:t>3</w:t>
                  </w:r>
                  <w:r>
                    <w:t>7.1</w:t>
                  </w:r>
                </w:p>
              </w:tc>
              <w:tc>
                <w:tcPr>
                  <w:tcW w:w="1042" w:type="pct"/>
                  <w:vAlign w:val="center"/>
                </w:tcPr>
                <w:p>
                  <w:pPr>
                    <w:widowControl/>
                    <w:autoSpaceDE w:val="0"/>
                    <w:autoSpaceDN w:val="0"/>
                    <w:snapToGrid w:val="0"/>
                    <w:spacing w:line="300" w:lineRule="exact"/>
                    <w:jc w:val="center"/>
                  </w:pPr>
                  <w:r>
                    <w:rPr>
                      <w:rFonts w:hint="eastAsia"/>
                    </w:rPr>
                    <w:t>3</w:t>
                  </w:r>
                  <w:r>
                    <w:t>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8</w:t>
                  </w:r>
                </w:p>
              </w:tc>
              <w:tc>
                <w:tcPr>
                  <w:tcW w:w="2330" w:type="pct"/>
                  <w:vAlign w:val="center"/>
                </w:tcPr>
                <w:p>
                  <w:pPr>
                    <w:autoSpaceDE w:val="0"/>
                    <w:autoSpaceDN w:val="0"/>
                    <w:snapToGrid w:val="0"/>
                    <w:spacing w:line="300" w:lineRule="exact"/>
                    <w:jc w:val="center"/>
                  </w:pPr>
                  <w:r>
                    <w:rPr>
                      <w:rFonts w:hint="eastAsia"/>
                    </w:rPr>
                    <w:t>边导线外</w:t>
                  </w:r>
                  <w:r>
                    <w:t>25</w:t>
                  </w:r>
                  <w:r>
                    <w:rPr>
                      <w:rFonts w:hint="eastAsia"/>
                    </w:rPr>
                    <w:t>m</w:t>
                  </w:r>
                </w:p>
              </w:tc>
              <w:tc>
                <w:tcPr>
                  <w:tcW w:w="1030" w:type="pct"/>
                  <w:vAlign w:val="center"/>
                </w:tcPr>
                <w:p>
                  <w:pPr>
                    <w:snapToGrid w:val="0"/>
                    <w:spacing w:line="300" w:lineRule="exact"/>
                    <w:jc w:val="center"/>
                  </w:pPr>
                  <w:r>
                    <w:rPr>
                      <w:rFonts w:hint="eastAsia"/>
                    </w:rPr>
                    <w:t>3</w:t>
                  </w:r>
                  <w:r>
                    <w:t>7.0</w:t>
                  </w:r>
                </w:p>
              </w:tc>
              <w:tc>
                <w:tcPr>
                  <w:tcW w:w="1042" w:type="pct"/>
                  <w:vAlign w:val="center"/>
                </w:tcPr>
                <w:p>
                  <w:pPr>
                    <w:widowControl/>
                    <w:autoSpaceDE w:val="0"/>
                    <w:autoSpaceDN w:val="0"/>
                    <w:snapToGrid w:val="0"/>
                    <w:spacing w:line="300" w:lineRule="exact"/>
                    <w:jc w:val="center"/>
                  </w:pPr>
                  <w:r>
                    <w:rPr>
                      <w:rFonts w:hint="eastAsia"/>
                    </w:rPr>
                    <w:t>3</w:t>
                  </w:r>
                  <w:r>
                    <w:t>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9</w:t>
                  </w:r>
                </w:p>
              </w:tc>
              <w:tc>
                <w:tcPr>
                  <w:tcW w:w="2330" w:type="pct"/>
                  <w:vAlign w:val="center"/>
                </w:tcPr>
                <w:p>
                  <w:pPr>
                    <w:autoSpaceDE w:val="0"/>
                    <w:autoSpaceDN w:val="0"/>
                    <w:snapToGrid w:val="0"/>
                    <w:spacing w:line="300" w:lineRule="exact"/>
                    <w:jc w:val="center"/>
                  </w:pPr>
                  <w:r>
                    <w:rPr>
                      <w:rFonts w:hint="eastAsia"/>
                    </w:rPr>
                    <w:t>边导线外</w:t>
                  </w:r>
                  <w:r>
                    <w:t>30</w:t>
                  </w:r>
                  <w:r>
                    <w:rPr>
                      <w:rFonts w:hint="eastAsia"/>
                    </w:rPr>
                    <w:t>m</w:t>
                  </w:r>
                </w:p>
              </w:tc>
              <w:tc>
                <w:tcPr>
                  <w:tcW w:w="1030" w:type="pct"/>
                  <w:vAlign w:val="center"/>
                </w:tcPr>
                <w:p>
                  <w:pPr>
                    <w:snapToGrid w:val="0"/>
                    <w:spacing w:line="300" w:lineRule="exact"/>
                    <w:jc w:val="center"/>
                  </w:pPr>
                  <w:r>
                    <w:rPr>
                      <w:rFonts w:hint="eastAsia"/>
                    </w:rPr>
                    <w:t>3</w:t>
                  </w:r>
                  <w:r>
                    <w:t>7.2</w:t>
                  </w:r>
                </w:p>
              </w:tc>
              <w:tc>
                <w:tcPr>
                  <w:tcW w:w="1042" w:type="pct"/>
                  <w:vAlign w:val="center"/>
                </w:tcPr>
                <w:p>
                  <w:pPr>
                    <w:widowControl/>
                    <w:autoSpaceDE w:val="0"/>
                    <w:autoSpaceDN w:val="0"/>
                    <w:snapToGrid w:val="0"/>
                    <w:spacing w:line="300" w:lineRule="exact"/>
                    <w:jc w:val="center"/>
                  </w:pPr>
                  <w:r>
                    <w:rPr>
                      <w:rFonts w:hint="eastAsia"/>
                    </w:rPr>
                    <w:t>3</w:t>
                  </w:r>
                  <w:r>
                    <w:t>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10</w:t>
                  </w:r>
                </w:p>
              </w:tc>
              <w:tc>
                <w:tcPr>
                  <w:tcW w:w="2330" w:type="pct"/>
                  <w:vAlign w:val="center"/>
                </w:tcPr>
                <w:p>
                  <w:pPr>
                    <w:autoSpaceDE w:val="0"/>
                    <w:autoSpaceDN w:val="0"/>
                    <w:snapToGrid w:val="0"/>
                    <w:spacing w:line="300" w:lineRule="exact"/>
                    <w:jc w:val="center"/>
                  </w:pPr>
                  <w:r>
                    <w:rPr>
                      <w:rFonts w:hint="eastAsia"/>
                    </w:rPr>
                    <w:t>边导线外</w:t>
                  </w:r>
                  <w:r>
                    <w:t>35</w:t>
                  </w:r>
                  <w:r>
                    <w:rPr>
                      <w:rFonts w:hint="eastAsia"/>
                    </w:rPr>
                    <w:t>m</w:t>
                  </w:r>
                </w:p>
              </w:tc>
              <w:tc>
                <w:tcPr>
                  <w:tcW w:w="1030" w:type="pct"/>
                  <w:vAlign w:val="center"/>
                </w:tcPr>
                <w:p>
                  <w:pPr>
                    <w:snapToGrid w:val="0"/>
                    <w:spacing w:line="300" w:lineRule="exact"/>
                    <w:jc w:val="center"/>
                  </w:pPr>
                  <w:r>
                    <w:rPr>
                      <w:rFonts w:hint="eastAsia"/>
                    </w:rPr>
                    <w:t>3</w:t>
                  </w:r>
                  <w:r>
                    <w:t>6.6</w:t>
                  </w:r>
                </w:p>
              </w:tc>
              <w:tc>
                <w:tcPr>
                  <w:tcW w:w="1042" w:type="pct"/>
                  <w:vAlign w:val="center"/>
                </w:tcPr>
                <w:p>
                  <w:pPr>
                    <w:widowControl/>
                    <w:autoSpaceDE w:val="0"/>
                    <w:autoSpaceDN w:val="0"/>
                    <w:snapToGrid w:val="0"/>
                    <w:spacing w:line="300" w:lineRule="exact"/>
                    <w:jc w:val="center"/>
                  </w:pPr>
                  <w:r>
                    <w:rPr>
                      <w:rFonts w:hint="eastAsia"/>
                    </w:rPr>
                    <w:t>3</w:t>
                  </w:r>
                  <w:r>
                    <w:t>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596" w:type="pct"/>
                  <w:vAlign w:val="center"/>
                </w:tcPr>
                <w:p>
                  <w:pPr>
                    <w:adjustRightInd w:val="0"/>
                    <w:snapToGrid w:val="0"/>
                    <w:spacing w:before="60" w:beforeLines="25" w:after="60" w:afterLines="25"/>
                    <w:jc w:val="center"/>
                    <w:rPr>
                      <w:color w:val="000000"/>
                      <w:szCs w:val="21"/>
                    </w:rPr>
                  </w:pPr>
                  <w:r>
                    <w:rPr>
                      <w:color w:val="000000"/>
                      <w:szCs w:val="21"/>
                    </w:rPr>
                    <w:t>11</w:t>
                  </w:r>
                </w:p>
              </w:tc>
              <w:tc>
                <w:tcPr>
                  <w:tcW w:w="2330" w:type="pct"/>
                  <w:vAlign w:val="center"/>
                </w:tcPr>
                <w:p>
                  <w:pPr>
                    <w:autoSpaceDE w:val="0"/>
                    <w:autoSpaceDN w:val="0"/>
                    <w:snapToGrid w:val="0"/>
                    <w:spacing w:line="300" w:lineRule="exact"/>
                    <w:jc w:val="center"/>
                  </w:pPr>
                  <w:r>
                    <w:rPr>
                      <w:rFonts w:hint="eastAsia"/>
                    </w:rPr>
                    <w:t>边导线外</w:t>
                  </w:r>
                  <w:r>
                    <w:t>40</w:t>
                  </w:r>
                  <w:r>
                    <w:rPr>
                      <w:rFonts w:hint="eastAsia"/>
                    </w:rPr>
                    <w:t>m</w:t>
                  </w:r>
                </w:p>
              </w:tc>
              <w:tc>
                <w:tcPr>
                  <w:tcW w:w="1030" w:type="pct"/>
                  <w:vAlign w:val="center"/>
                </w:tcPr>
                <w:p>
                  <w:pPr>
                    <w:snapToGrid w:val="0"/>
                    <w:spacing w:line="300" w:lineRule="exact"/>
                    <w:jc w:val="center"/>
                  </w:pPr>
                  <w:r>
                    <w:t>36.3</w:t>
                  </w:r>
                </w:p>
              </w:tc>
              <w:tc>
                <w:tcPr>
                  <w:tcW w:w="1042" w:type="pct"/>
                  <w:vAlign w:val="center"/>
                </w:tcPr>
                <w:p>
                  <w:pPr>
                    <w:widowControl/>
                    <w:autoSpaceDE w:val="0"/>
                    <w:autoSpaceDN w:val="0"/>
                    <w:snapToGrid w:val="0"/>
                    <w:spacing w:line="300" w:lineRule="exact"/>
                    <w:jc w:val="center"/>
                  </w:pPr>
                  <w:r>
                    <w:rPr>
                      <w:rFonts w:hint="eastAsia"/>
                    </w:rPr>
                    <w:t>3</w:t>
                  </w:r>
                  <w:r>
                    <w:t>5.7</w:t>
                  </w:r>
                </w:p>
              </w:tc>
            </w:tr>
          </w:tbl>
          <w:p>
            <w:pPr>
              <w:wordWrap w:val="0"/>
              <w:spacing w:line="360" w:lineRule="auto"/>
              <w:ind w:firstLine="480" w:firstLineChars="200"/>
              <w:rPr>
                <w:color w:val="000000"/>
                <w:sz w:val="24"/>
              </w:rPr>
            </w:pPr>
            <w:r>
              <w:rPr>
                <w:rFonts w:hint="eastAsia"/>
                <w:color w:val="000000"/>
                <w:sz w:val="24"/>
              </w:rPr>
              <w:t>由</w:t>
            </w:r>
            <w:r>
              <w:rPr>
                <w:b w:val="0"/>
                <w:bCs w:val="0"/>
                <w:color w:val="000000"/>
                <w:kern w:val="0"/>
                <w:sz w:val="24"/>
                <w:szCs w:val="24"/>
                <w:shd w:val="clear" w:color="auto" w:fill="FFFFFF"/>
              </w:rPr>
              <w:fldChar w:fldCharType="begin"/>
            </w:r>
            <w:r>
              <w:rPr>
                <w:b w:val="0"/>
                <w:bCs w:val="0"/>
              </w:rPr>
              <w:instrText xml:space="preserve"> REF _Ref157242750 \h  \* MERGEFORMAT</w:instrText>
            </w:r>
            <w:r>
              <w:rPr>
                <w:b w:val="0"/>
                <w:bCs w:val="0"/>
                <w:color w:val="000000"/>
                <w:kern w:val="0"/>
                <w:sz w:val="24"/>
                <w:szCs w:val="24"/>
                <w:shd w:val="clear" w:color="auto" w:fill="FFFFFF"/>
              </w:rPr>
              <w:fldChar w:fldCharType="separate"/>
            </w:r>
            <w:r>
              <w:rPr>
                <w:rFonts w:ascii="Times New Roman" w:hAnsi="Times New Roman" w:eastAsia="宋体"/>
                <w:b w:val="0"/>
                <w:bCs w:val="0"/>
                <w:sz w:val="24"/>
                <w:szCs w:val="24"/>
              </w:rPr>
              <w:t>表23</w:t>
            </w:r>
            <w:r>
              <w:rPr>
                <w:b w:val="0"/>
                <w:bCs w:val="0"/>
                <w:color w:val="000000"/>
                <w:kern w:val="0"/>
                <w:sz w:val="24"/>
                <w:szCs w:val="24"/>
                <w:shd w:val="clear" w:color="auto" w:fill="FFFFFF"/>
              </w:rPr>
              <w:fldChar w:fldCharType="end"/>
            </w:r>
            <w:r>
              <w:rPr>
                <w:rFonts w:hint="eastAsia"/>
                <w:color w:val="000000"/>
                <w:sz w:val="24"/>
              </w:rPr>
              <w:t>可知，220千伏阜东寒一线40</w:t>
            </w:r>
            <w:r>
              <w:rPr>
                <w:color w:val="000000"/>
                <w:sz w:val="24"/>
              </w:rPr>
              <w:t>m范围内昼间噪声监测值为</w:t>
            </w:r>
            <w:r>
              <w:rPr>
                <w:sz w:val="24"/>
              </w:rPr>
              <w:t>36.3</w:t>
            </w:r>
            <w:r>
              <w:rPr>
                <w:color w:val="000000"/>
                <w:sz w:val="24"/>
              </w:rPr>
              <w:t>dB(A)</w:t>
            </w:r>
            <w:r>
              <w:rPr>
                <w:rFonts w:hint="eastAsia"/>
                <w:sz w:val="24"/>
              </w:rPr>
              <w:t>~</w:t>
            </w:r>
            <w:r>
              <w:rPr>
                <w:sz w:val="24"/>
              </w:rPr>
              <w:t>37.2</w:t>
            </w:r>
            <w:r>
              <w:rPr>
                <w:color w:val="000000"/>
                <w:sz w:val="24"/>
              </w:rPr>
              <w:t>dB(A)，夜间噪声监测值为</w:t>
            </w:r>
            <w:r>
              <w:rPr>
                <w:sz w:val="24"/>
              </w:rPr>
              <w:t>35.5</w:t>
            </w:r>
            <w:r>
              <w:rPr>
                <w:color w:val="000000"/>
                <w:sz w:val="24"/>
              </w:rPr>
              <w:t>dB(A)</w:t>
            </w:r>
            <w:r>
              <w:rPr>
                <w:rFonts w:hint="eastAsia"/>
                <w:sz w:val="24"/>
              </w:rPr>
              <w:t>~</w:t>
            </w:r>
            <w:r>
              <w:rPr>
                <w:sz w:val="24"/>
              </w:rPr>
              <w:t>36.4</w:t>
            </w:r>
            <w:r>
              <w:rPr>
                <w:color w:val="000000"/>
                <w:sz w:val="24"/>
              </w:rPr>
              <w:t>dB(A)，满足《声环境质量标准》（GB3096-2008）</w:t>
            </w:r>
            <w:r>
              <w:rPr>
                <w:rFonts w:hint="eastAsia"/>
                <w:color w:val="000000"/>
                <w:sz w:val="24"/>
              </w:rPr>
              <w:t>中2</w:t>
            </w:r>
            <w:r>
              <w:rPr>
                <w:color w:val="000000"/>
                <w:sz w:val="24"/>
              </w:rPr>
              <w:t>类标准</w:t>
            </w:r>
            <w:r>
              <w:rPr>
                <w:rFonts w:hint="eastAsia"/>
                <w:color w:val="000000"/>
                <w:sz w:val="24"/>
              </w:rPr>
              <w:t>限值</w:t>
            </w:r>
            <w:r>
              <w:rPr>
                <w:color w:val="000000"/>
                <w:sz w:val="24"/>
              </w:rPr>
              <w:t>要求，且0~</w:t>
            </w:r>
            <w:r>
              <w:rPr>
                <w:rFonts w:hint="eastAsia"/>
                <w:color w:val="000000"/>
                <w:sz w:val="24"/>
              </w:rPr>
              <w:t>4</w:t>
            </w:r>
            <w:r>
              <w:rPr>
                <w:color w:val="000000"/>
                <w:sz w:val="24"/>
              </w:rPr>
              <w:t>0m范围内变化趋势不明显，说明输电线路的运行噪声对周围环境噪声的贡献很小。</w:t>
            </w:r>
            <w:r>
              <w:rPr>
                <w:rFonts w:hint="eastAsia"/>
                <w:color w:val="000000"/>
                <w:sz w:val="24"/>
              </w:rPr>
              <w:t>因此可以预测</w:t>
            </w:r>
            <w:r>
              <w:rPr>
                <w:color w:val="000000"/>
                <w:sz w:val="24"/>
              </w:rPr>
              <w:t>，</w:t>
            </w:r>
            <w:r>
              <w:rPr>
                <w:rFonts w:hint="eastAsia"/>
                <w:color w:val="000000"/>
                <w:sz w:val="24"/>
              </w:rPr>
              <w:t>本工程新建单回输电线路投运前后周围声环境水平将保持同一水平，并能够满足相应声环境质量标准要求。</w:t>
            </w:r>
          </w:p>
          <w:p>
            <w:pPr>
              <w:pStyle w:val="5"/>
              <w:shd w:val="clear" w:color="auto" w:fill="FFFFFF"/>
              <w:adjustRightInd w:val="0"/>
              <w:snapToGrid w:val="0"/>
              <w:ind w:firstLine="482"/>
              <w:outlineLvl w:val="4"/>
              <w:rPr>
                <w:b/>
                <w:bCs/>
              </w:rPr>
            </w:pPr>
            <w:r>
              <w:rPr>
                <w:rFonts w:hint="eastAsia"/>
                <w:b/>
                <w:bCs/>
              </w:rPr>
              <w:t>（2）吐鲁番电厂-阿拉沟变Ⅰ、Ⅱ回改接入托克逊变电站220千伏线路工程</w:t>
            </w:r>
          </w:p>
          <w:p>
            <w:pPr>
              <w:pStyle w:val="5"/>
              <w:shd w:val="clear" w:color="auto" w:fill="FFFFFF"/>
              <w:adjustRightInd w:val="0"/>
              <w:snapToGrid w:val="0"/>
              <w:ind w:firstLineChars="0"/>
              <w:outlineLvl w:val="4"/>
              <w:rPr>
                <w:b/>
                <w:bCs/>
                <w:color w:val="000000"/>
              </w:rPr>
            </w:pPr>
            <w:r>
              <w:rPr>
                <w:b/>
                <w:bCs/>
                <w:color w:val="000000"/>
              </w:rPr>
              <w:t>①类比对象</w:t>
            </w:r>
          </w:p>
          <w:p>
            <w:pPr>
              <w:spacing w:line="360" w:lineRule="auto"/>
              <w:ind w:firstLine="482"/>
              <w:rPr>
                <w:color w:val="000000"/>
                <w:kern w:val="0"/>
                <w:sz w:val="24"/>
                <w:shd w:val="clear" w:color="auto" w:fill="FFFFFF"/>
              </w:rPr>
            </w:pPr>
            <w:r>
              <w:rPr>
                <w:rFonts w:hint="eastAsia"/>
                <w:color w:val="000000"/>
                <w:kern w:val="0"/>
                <w:sz w:val="24"/>
                <w:shd w:val="clear" w:color="auto" w:fill="FFFFFF"/>
              </w:rPr>
              <w:t>本工程拟建</w:t>
            </w:r>
            <w:r>
              <w:rPr>
                <w:color w:val="000000"/>
                <w:kern w:val="0"/>
                <w:sz w:val="24"/>
                <w:shd w:val="clear" w:color="auto" w:fill="FFFFFF"/>
              </w:rPr>
              <w:t>220</w:t>
            </w:r>
            <w:r>
              <w:rPr>
                <w:rFonts w:hint="eastAsia"/>
                <w:color w:val="000000"/>
                <w:kern w:val="0"/>
                <w:sz w:val="24"/>
                <w:shd w:val="clear" w:color="auto" w:fill="FFFFFF"/>
              </w:rPr>
              <w:t>千伏单回线路选择已运行的</w:t>
            </w:r>
            <w:r>
              <w:rPr>
                <w:kern w:val="0"/>
                <w:sz w:val="24"/>
                <w:shd w:val="clear" w:color="auto" w:fill="FFFFFF"/>
              </w:rPr>
              <w:t>220</w:t>
            </w:r>
            <w:r>
              <w:rPr>
                <w:rFonts w:hint="eastAsia"/>
                <w:kern w:val="0"/>
                <w:sz w:val="24"/>
                <w:shd w:val="clear" w:color="auto" w:fill="FFFFFF"/>
              </w:rPr>
              <w:t>千伏彩吉木一线（</w:t>
            </w:r>
            <w:r>
              <w:rPr>
                <w:kern w:val="0"/>
                <w:sz w:val="24"/>
                <w:shd w:val="clear" w:color="auto" w:fill="FFFFFF"/>
              </w:rPr>
              <w:t>单回路</w:t>
            </w:r>
            <w:r>
              <w:rPr>
                <w:rFonts w:hint="eastAsia"/>
                <w:kern w:val="0"/>
                <w:sz w:val="24"/>
                <w:shd w:val="clear" w:color="auto" w:fill="FFFFFF"/>
              </w:rPr>
              <w:t>）</w:t>
            </w:r>
            <w:r>
              <w:rPr>
                <w:rFonts w:hint="eastAsia"/>
                <w:color w:val="000000"/>
                <w:kern w:val="0"/>
                <w:sz w:val="24"/>
                <w:shd w:val="clear" w:color="auto" w:fill="FFFFFF"/>
              </w:rPr>
              <w:t>进行类比监测。类比线路与本工程线路主要技术指标对照表见</w:t>
            </w:r>
            <w:r>
              <w:rPr>
                <w:rFonts w:hint="eastAsia"/>
                <w:b w:val="0"/>
                <w:bCs w:val="0"/>
                <w:color w:val="000000"/>
                <w:kern w:val="0"/>
                <w:sz w:val="24"/>
                <w:szCs w:val="24"/>
                <w:shd w:val="clear" w:color="auto" w:fill="FFFFFF"/>
              </w:rPr>
              <w:fldChar w:fldCharType="begin"/>
            </w:r>
            <w:r>
              <w:rPr>
                <w:b w:val="0"/>
                <w:bCs w:val="0"/>
              </w:rPr>
              <w:instrText xml:space="preserve"> REF _Ref5832 \h  \* MERGEFORMAT</w:instrText>
            </w:r>
            <w:r>
              <w:rPr>
                <w:rFonts w:hint="eastAsia"/>
                <w:b w:val="0"/>
                <w:bCs w:val="0"/>
                <w:color w:val="000000"/>
                <w:kern w:val="0"/>
                <w:sz w:val="24"/>
                <w:szCs w:val="24"/>
                <w:shd w:val="clear" w:color="auto" w:fill="FFFFFF"/>
              </w:rPr>
              <w:fldChar w:fldCharType="separate"/>
            </w:r>
            <w:r>
              <w:rPr>
                <w:rFonts w:ascii="Times New Roman" w:hAnsi="Times New Roman" w:eastAsia="宋体"/>
                <w:b w:val="0"/>
                <w:bCs w:val="0"/>
                <w:sz w:val="24"/>
                <w:szCs w:val="24"/>
              </w:rPr>
              <w:t>表24</w:t>
            </w:r>
            <w:r>
              <w:rPr>
                <w:rFonts w:hint="eastAsia"/>
                <w:b w:val="0"/>
                <w:bCs w:val="0"/>
                <w:color w:val="000000"/>
                <w:kern w:val="0"/>
                <w:sz w:val="24"/>
                <w:szCs w:val="24"/>
                <w:shd w:val="clear" w:color="auto" w:fill="FFFFFF"/>
              </w:rPr>
              <w:fldChar w:fldCharType="end"/>
            </w:r>
            <w:r>
              <w:rPr>
                <w:rFonts w:hint="eastAsia"/>
                <w:color w:val="000000"/>
                <w:kern w:val="0"/>
                <w:sz w:val="24"/>
                <w:shd w:val="clear" w:color="auto" w:fill="FFFFFF"/>
              </w:rPr>
              <w:t>。</w:t>
            </w:r>
          </w:p>
          <w:p>
            <w:pPr>
              <w:pStyle w:val="10"/>
              <w:rPr>
                <w:rFonts w:eastAsia="宋体"/>
              </w:rPr>
            </w:pPr>
            <w:bookmarkStart w:id="606" w:name="_Ref5832"/>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24</w:t>
            </w:r>
            <w:r>
              <w:rPr>
                <w:rFonts w:ascii="Times New Roman" w:hAnsi="Times New Roman" w:eastAsia="宋体"/>
                <w:b/>
                <w:bCs/>
              </w:rPr>
              <w:fldChar w:fldCharType="end"/>
            </w:r>
            <w:bookmarkEnd w:id="606"/>
            <w:r>
              <w:rPr>
                <w:rFonts w:hint="eastAsia" w:ascii="Times New Roman" w:hAnsi="Times New Roman" w:eastAsia="宋体"/>
                <w:b/>
                <w:bCs/>
              </w:rPr>
              <w:t xml:space="preserve"> </w:t>
            </w:r>
            <w:r>
              <w:rPr>
                <w:rFonts w:ascii="Times New Roman" w:hAnsi="Times New Roman" w:eastAsia="宋体"/>
                <w:b/>
                <w:bCs/>
              </w:rPr>
              <w:t>220千伏彩吉木一线（单回）与本工程线路（单回）技术指标对照表</w:t>
            </w:r>
          </w:p>
          <w:tbl>
            <w:tblPr>
              <w:tblStyle w:val="37"/>
              <w:tblW w:w="831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6"/>
              <w:gridCol w:w="3254"/>
              <w:gridCol w:w="364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bCs/>
                      <w:color w:val="000000"/>
                      <w:szCs w:val="21"/>
                    </w:rPr>
                  </w:pPr>
                  <w:r>
                    <w:rPr>
                      <w:bCs/>
                      <w:color w:val="000000"/>
                      <w:szCs w:val="21"/>
                    </w:rPr>
                    <w:t>主要指标</w:t>
                  </w:r>
                </w:p>
              </w:tc>
              <w:tc>
                <w:tcPr>
                  <w:tcW w:w="1955"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bCs/>
                      <w:color w:val="000000"/>
                      <w:szCs w:val="21"/>
                    </w:rPr>
                  </w:pPr>
                  <w:r>
                    <w:rPr>
                      <w:rFonts w:hint="eastAsia"/>
                      <w:bCs/>
                      <w:szCs w:val="21"/>
                    </w:rPr>
                    <w:t>220kV彩吉木一线</w:t>
                  </w:r>
                </w:p>
              </w:tc>
              <w:tc>
                <w:tcPr>
                  <w:tcW w:w="2192"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bCs/>
                      <w:color w:val="000000"/>
                      <w:szCs w:val="21"/>
                    </w:rPr>
                  </w:pPr>
                  <w:r>
                    <w:rPr>
                      <w:bCs/>
                      <w:color w:val="000000"/>
                      <w:szCs w:val="21"/>
                    </w:rPr>
                    <w:t>本</w:t>
                  </w:r>
                  <w:r>
                    <w:rPr>
                      <w:rFonts w:hint="eastAsia"/>
                      <w:bCs/>
                      <w:color w:val="000000"/>
                      <w:szCs w:val="21"/>
                    </w:rPr>
                    <w:t>工程</w:t>
                  </w:r>
                  <w:r>
                    <w:rPr>
                      <w:bCs/>
                      <w:color w:val="000000"/>
                      <w:szCs w:val="21"/>
                    </w:rPr>
                    <w:t>新建220kV线路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电压等级</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220kV</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220kV</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架设型式</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单回路架设</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单回路架设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9"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架设及排列方式</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架空</w:t>
                  </w:r>
                  <w:r>
                    <w:rPr>
                      <w:rFonts w:hint="eastAsia" w:ascii="宋体" w:hAnsi="宋体" w:cs="宋体"/>
                      <w:color w:val="000000"/>
                      <w:szCs w:val="21"/>
                    </w:rPr>
                    <w:t>/</w:t>
                  </w:r>
                  <w:r>
                    <w:rPr>
                      <w:rFonts w:hint="eastAsia"/>
                      <w:color w:val="000000"/>
                      <w:kern w:val="0"/>
                      <w:szCs w:val="21"/>
                    </w:rPr>
                    <w:t>水平</w:t>
                  </w:r>
                  <w:r>
                    <w:rPr>
                      <w:color w:val="000000"/>
                      <w:kern w:val="0"/>
                      <w:szCs w:val="21"/>
                    </w:rPr>
                    <w:t>排列</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color w:val="000000"/>
                      <w:szCs w:val="21"/>
                    </w:rPr>
                    <w:t>架空</w:t>
                  </w:r>
                  <w:r>
                    <w:rPr>
                      <w:rFonts w:hint="eastAsia" w:ascii="宋体" w:hAnsi="宋体" w:cs="宋体"/>
                      <w:color w:val="000000"/>
                      <w:szCs w:val="21"/>
                    </w:rPr>
                    <w:t>/</w:t>
                  </w:r>
                  <w:r>
                    <w:rPr>
                      <w:rFonts w:hint="eastAsia"/>
                      <w:color w:val="000000"/>
                      <w:kern w:val="0"/>
                      <w:szCs w:val="21"/>
                    </w:rPr>
                    <w:t>水平</w:t>
                  </w:r>
                  <w:r>
                    <w:rPr>
                      <w:color w:val="000000"/>
                      <w:kern w:val="0"/>
                      <w:szCs w:val="21"/>
                    </w:rPr>
                    <w:t>排列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3"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导线型号</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snapToGrid w:val="0"/>
                      <w:color w:val="000000"/>
                      <w:szCs w:val="21"/>
                    </w:rPr>
                    <w:t>2×</w:t>
                  </w:r>
                  <w:r>
                    <w:rPr>
                      <w:color w:val="000000" w:themeColor="text1"/>
                      <w:szCs w:val="21"/>
                      <w14:textFill>
                        <w14:solidFill>
                          <w14:schemeClr w14:val="tx1"/>
                        </w14:solidFill>
                      </w14:textFill>
                    </w:rPr>
                    <w:t>JL3/GIA-</w:t>
                  </w:r>
                  <w:r>
                    <w:rPr>
                      <w:rFonts w:hint="eastAsia"/>
                      <w:color w:val="000000" w:themeColor="text1"/>
                      <w:kern w:val="0"/>
                      <w:szCs w:val="21"/>
                      <w14:textFill>
                        <w14:solidFill>
                          <w14:schemeClr w14:val="tx1"/>
                        </w14:solidFill>
                      </w14:textFill>
                    </w:rPr>
                    <w:t>400/3</w:t>
                  </w:r>
                  <w:r>
                    <w:rPr>
                      <w:color w:val="000000" w:themeColor="text1"/>
                      <w:kern w:val="0"/>
                      <w:szCs w:val="21"/>
                      <w14:textFill>
                        <w14:solidFill>
                          <w14:schemeClr w14:val="tx1"/>
                        </w14:solidFill>
                      </w14:textFill>
                    </w:rPr>
                    <w:t>5</w:t>
                  </w:r>
                  <w:r>
                    <w:rPr>
                      <w:rFonts w:hint="eastAsia"/>
                      <w:kern w:val="0"/>
                      <w:szCs w:val="21"/>
                    </w:rPr>
                    <w:t>型钢芯铝绞线</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snapToGrid w:val="0"/>
                      <w:color w:val="000000"/>
                      <w:szCs w:val="21"/>
                    </w:rPr>
                    <w:t>2×</w:t>
                  </w:r>
                  <w:r>
                    <w:rPr>
                      <w:rFonts w:hint="eastAsia"/>
                      <w:color w:val="000000" w:themeColor="text1"/>
                      <w:szCs w:val="21"/>
                      <w14:textFill>
                        <w14:solidFill>
                          <w14:schemeClr w14:val="tx1"/>
                        </w14:solidFill>
                      </w14:textFill>
                    </w:rPr>
                    <w:t>JL3/G1A-400/35</w:t>
                  </w:r>
                  <w:r>
                    <w:rPr>
                      <w:rFonts w:hint="eastAsia"/>
                      <w:kern w:val="0"/>
                      <w:szCs w:val="21"/>
                    </w:rPr>
                    <w:t>型钢芯铝绞线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5"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rFonts w:hint="eastAsia"/>
                      <w:color w:val="000000"/>
                      <w:szCs w:val="21"/>
                    </w:rPr>
                    <w:t>分裂间距</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400</w:t>
                  </w:r>
                  <w:r>
                    <w:rPr>
                      <w:color w:val="000000"/>
                      <w:szCs w:val="21"/>
                    </w:rPr>
                    <w:t>mm</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400mm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3"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color w:val="000000"/>
                      <w:szCs w:val="21"/>
                    </w:rPr>
                    <w:t>导线高度</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13</w:t>
                  </w:r>
                  <w:r>
                    <w:rPr>
                      <w:color w:val="000000"/>
                      <w:szCs w:val="21"/>
                    </w:rPr>
                    <w:t>m</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非居民区不低于6.5m，</w:t>
                  </w:r>
                </w:p>
                <w:p>
                  <w:pPr>
                    <w:jc w:val="center"/>
                    <w:rPr>
                      <w:color w:val="FF0000"/>
                      <w:szCs w:val="21"/>
                    </w:rPr>
                  </w:pPr>
                  <w:r>
                    <w:rPr>
                      <w:rFonts w:hint="eastAsia"/>
                      <w:color w:val="000000"/>
                      <w:szCs w:val="21"/>
                    </w:rPr>
                    <w:t>居民区不低于11.5m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51" w:type="pct"/>
                  <w:tcBorders>
                    <w:top w:val="single" w:color="auto" w:sz="6" w:space="0"/>
                    <w:left w:val="single" w:color="auto" w:sz="6" w:space="0"/>
                    <w:bottom w:val="single" w:color="auto" w:sz="6" w:space="0"/>
                    <w:right w:val="single" w:color="auto" w:sz="6" w:space="0"/>
                  </w:tcBorders>
                  <w:vAlign w:val="center"/>
                </w:tcPr>
                <w:p>
                  <w:pPr>
                    <w:spacing w:before="48" w:beforeLines="20" w:after="48" w:afterLines="20"/>
                    <w:jc w:val="center"/>
                    <w:rPr>
                      <w:color w:val="000000"/>
                      <w:szCs w:val="21"/>
                    </w:rPr>
                  </w:pPr>
                  <w:r>
                    <w:rPr>
                      <w:rFonts w:hint="eastAsia"/>
                      <w:color w:val="000000"/>
                      <w:szCs w:val="21"/>
                    </w:rPr>
                    <w:t>环境条件</w:t>
                  </w:r>
                </w:p>
              </w:tc>
              <w:tc>
                <w:tcPr>
                  <w:tcW w:w="1955"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乡村、平原</w:t>
                  </w:r>
                </w:p>
              </w:tc>
              <w:tc>
                <w:tcPr>
                  <w:tcW w:w="2192" w:type="pct"/>
                  <w:tcBorders>
                    <w:top w:val="single" w:color="auto" w:sz="6" w:space="0"/>
                    <w:left w:val="single" w:color="auto" w:sz="6" w:space="0"/>
                    <w:bottom w:val="single" w:color="auto" w:sz="6" w:space="0"/>
                    <w:right w:val="single" w:color="auto" w:sz="6" w:space="0"/>
                  </w:tcBorders>
                  <w:vAlign w:val="center"/>
                </w:tcPr>
                <w:p>
                  <w:pPr>
                    <w:jc w:val="center"/>
                    <w:rPr>
                      <w:color w:val="000000"/>
                      <w:szCs w:val="21"/>
                    </w:rPr>
                  </w:pPr>
                  <w:r>
                    <w:rPr>
                      <w:rFonts w:hint="eastAsia"/>
                      <w:color w:val="000000"/>
                      <w:szCs w:val="21"/>
                    </w:rPr>
                    <w:t>乡村、平原</w:t>
                  </w:r>
                </w:p>
              </w:tc>
            </w:tr>
          </w:tbl>
          <w:p>
            <w:pPr>
              <w:pStyle w:val="5"/>
              <w:shd w:val="clear" w:color="auto" w:fill="FFFFFF"/>
              <w:adjustRightInd w:val="0"/>
              <w:snapToGrid w:val="0"/>
              <w:ind w:firstLineChars="0"/>
              <w:outlineLvl w:val="4"/>
              <w:rPr>
                <w:b/>
                <w:bCs/>
                <w:color w:val="000000"/>
              </w:rPr>
            </w:pPr>
            <w:r>
              <w:rPr>
                <w:b/>
                <w:bCs/>
                <w:color w:val="000000"/>
              </w:rPr>
              <w:t>②类比对象可行性分析</w:t>
            </w:r>
          </w:p>
          <w:p>
            <w:pPr>
              <w:spacing w:line="360" w:lineRule="auto"/>
              <w:ind w:firstLine="482"/>
              <w:rPr>
                <w:rFonts w:eastAsia="楷体_GB2312"/>
                <w:b/>
                <w:color w:val="000000"/>
              </w:rPr>
            </w:pPr>
            <w:r>
              <w:rPr>
                <w:rFonts w:hint="eastAsia"/>
                <w:kern w:val="0"/>
                <w:sz w:val="24"/>
                <w:shd w:val="clear" w:color="auto" w:fill="FFFFFF"/>
              </w:rPr>
              <w:t>根据</w:t>
            </w:r>
            <w:r>
              <w:rPr>
                <w:rFonts w:hint="eastAsia"/>
                <w:b w:val="0"/>
                <w:bCs w:val="0"/>
                <w:kern w:val="0"/>
                <w:sz w:val="24"/>
                <w:szCs w:val="24"/>
                <w:shd w:val="clear" w:color="auto" w:fill="FFFFFF"/>
              </w:rPr>
              <w:fldChar w:fldCharType="begin"/>
            </w:r>
            <w:r>
              <w:rPr>
                <w:b w:val="0"/>
                <w:bCs w:val="0"/>
              </w:rPr>
              <w:instrText xml:space="preserve"> REF _Ref5832 \h  \* MERGEFORMAT</w:instrText>
            </w:r>
            <w:r>
              <w:rPr>
                <w:rFonts w:hint="eastAsia"/>
                <w:b w:val="0"/>
                <w:bCs w:val="0"/>
                <w:kern w:val="0"/>
                <w:sz w:val="24"/>
                <w:szCs w:val="24"/>
                <w:shd w:val="clear" w:color="auto" w:fill="FFFFFF"/>
              </w:rPr>
              <w:fldChar w:fldCharType="separate"/>
            </w:r>
            <w:r>
              <w:rPr>
                <w:rFonts w:ascii="Times New Roman" w:hAnsi="Times New Roman" w:eastAsia="宋体"/>
                <w:b w:val="0"/>
                <w:bCs w:val="0"/>
                <w:sz w:val="24"/>
                <w:szCs w:val="24"/>
              </w:rPr>
              <w:t>表24</w:t>
            </w:r>
            <w:r>
              <w:rPr>
                <w:rFonts w:hint="eastAsia"/>
                <w:b w:val="0"/>
                <w:bCs w:val="0"/>
                <w:kern w:val="0"/>
                <w:sz w:val="24"/>
                <w:szCs w:val="24"/>
                <w:shd w:val="clear" w:color="auto" w:fill="FFFFFF"/>
              </w:rPr>
              <w:fldChar w:fldCharType="end"/>
            </w:r>
            <w:r>
              <w:rPr>
                <w:rFonts w:hint="eastAsia"/>
                <w:kern w:val="0"/>
                <w:sz w:val="24"/>
                <w:shd w:val="clear" w:color="auto" w:fill="FFFFFF"/>
              </w:rPr>
              <w:t>可知，选取的类比线路电压等级、架设型式、排列方式、导线型号、分裂间距均与本工程线路基本一致。监测期间类比线路运行正常，因此类比线路的声环境监测结果能反映本工程输电线路运行后可能产生的声环境影响水平。故本次环评将220千伏彩吉木一线作为线路类比对象是可行的。</w:t>
            </w:r>
          </w:p>
          <w:p>
            <w:pPr>
              <w:pStyle w:val="5"/>
              <w:shd w:val="clear" w:color="auto" w:fill="FFFFFF"/>
              <w:adjustRightInd w:val="0"/>
              <w:snapToGrid w:val="0"/>
              <w:ind w:firstLineChars="0"/>
              <w:outlineLvl w:val="4"/>
              <w:rPr>
                <w:b/>
                <w:bCs/>
                <w:color w:val="000000"/>
              </w:rPr>
            </w:pPr>
            <w:r>
              <w:rPr>
                <w:b/>
                <w:bCs/>
                <w:color w:val="000000"/>
              </w:rPr>
              <w:t>③类比监测点</w:t>
            </w:r>
          </w:p>
          <w:p>
            <w:pPr>
              <w:spacing w:line="360" w:lineRule="auto"/>
              <w:ind w:firstLine="482"/>
              <w:rPr>
                <w:color w:val="000000"/>
                <w:kern w:val="0"/>
                <w:sz w:val="24"/>
                <w:highlight w:val="yellow"/>
                <w:shd w:val="clear" w:color="auto" w:fill="FFFFFF"/>
              </w:rPr>
            </w:pPr>
            <w:r>
              <w:rPr>
                <w:rFonts w:hint="eastAsia"/>
                <w:color w:val="000000"/>
                <w:kern w:val="0"/>
                <w:sz w:val="24"/>
                <w:shd w:val="clear" w:color="auto" w:fill="FFFFFF"/>
              </w:rPr>
              <w:t>以220千伏彩吉木一线179#~180#杆塔中相导线弧垂最低位置对地投影点为起点，沿垂直于线路方向测试。</w:t>
            </w:r>
          </w:p>
          <w:p>
            <w:pPr>
              <w:pStyle w:val="5"/>
              <w:shd w:val="clear" w:color="auto" w:fill="FFFFFF"/>
              <w:adjustRightInd w:val="0"/>
              <w:snapToGrid w:val="0"/>
              <w:ind w:firstLineChars="0"/>
              <w:outlineLvl w:val="4"/>
              <w:rPr>
                <w:b/>
                <w:bCs/>
                <w:color w:val="000000"/>
              </w:rPr>
            </w:pPr>
            <w:r>
              <w:rPr>
                <w:b/>
                <w:bCs/>
                <w:color w:val="000000"/>
              </w:rPr>
              <w:t>④类比监测内容</w:t>
            </w:r>
          </w:p>
          <w:p>
            <w:pPr>
              <w:spacing w:line="360" w:lineRule="auto"/>
              <w:ind w:firstLine="482"/>
              <w:rPr>
                <w:color w:val="000000"/>
                <w:kern w:val="0"/>
                <w:sz w:val="24"/>
                <w:shd w:val="clear" w:color="auto" w:fill="FFFFFF"/>
              </w:rPr>
            </w:pPr>
            <w:r>
              <w:rPr>
                <w:rFonts w:hint="eastAsia"/>
                <w:color w:val="000000"/>
                <w:kern w:val="0"/>
                <w:sz w:val="24"/>
                <w:shd w:val="clear" w:color="auto" w:fill="FFFFFF"/>
              </w:rPr>
              <w:t>等效连续</w:t>
            </w:r>
            <w:r>
              <w:rPr>
                <w:color w:val="000000"/>
                <w:kern w:val="0"/>
                <w:sz w:val="24"/>
                <w:shd w:val="clear" w:color="auto" w:fill="FFFFFF"/>
              </w:rPr>
              <w:t>A</w:t>
            </w:r>
            <w:r>
              <w:rPr>
                <w:rFonts w:hint="eastAsia"/>
                <w:color w:val="000000"/>
                <w:kern w:val="0"/>
                <w:sz w:val="24"/>
                <w:shd w:val="clear" w:color="auto" w:fill="FFFFFF"/>
              </w:rPr>
              <w:t>声级。</w:t>
            </w:r>
          </w:p>
          <w:p>
            <w:pPr>
              <w:pStyle w:val="5"/>
              <w:shd w:val="clear" w:color="auto" w:fill="FFFFFF"/>
              <w:adjustRightInd w:val="0"/>
              <w:snapToGrid w:val="0"/>
              <w:ind w:firstLineChars="0"/>
              <w:outlineLvl w:val="4"/>
              <w:rPr>
                <w:b/>
                <w:bCs/>
                <w:color w:val="000000"/>
              </w:rPr>
            </w:pPr>
            <w:r>
              <w:rPr>
                <w:b/>
                <w:bCs/>
                <w:color w:val="000000"/>
              </w:rPr>
              <w:t>⑤类比监测方法及频次</w:t>
            </w:r>
          </w:p>
          <w:p>
            <w:pPr>
              <w:spacing w:line="360" w:lineRule="auto"/>
              <w:ind w:firstLine="482"/>
              <w:rPr>
                <w:color w:val="000000"/>
                <w:sz w:val="24"/>
              </w:rPr>
            </w:pPr>
            <w:r>
              <w:rPr>
                <w:rFonts w:hint="eastAsia"/>
                <w:kern w:val="0"/>
                <w:sz w:val="24"/>
                <w:shd w:val="clear" w:color="auto" w:fill="FFFFFF"/>
              </w:rPr>
              <w:t>类比监测按《声环境质量标准》（</w:t>
            </w:r>
            <w:r>
              <w:rPr>
                <w:kern w:val="0"/>
                <w:sz w:val="24"/>
                <w:shd w:val="clear" w:color="auto" w:fill="FFFFFF"/>
              </w:rPr>
              <w:t>GB3096-2008</w:t>
            </w:r>
            <w:r>
              <w:rPr>
                <w:rFonts w:hint="eastAsia"/>
                <w:kern w:val="0"/>
                <w:sz w:val="24"/>
                <w:shd w:val="clear" w:color="auto" w:fill="FFFFFF"/>
              </w:rPr>
              <w:t>）中的规定监测方法进行监测，监测方法也符合《工业企业厂界环境噪声排放标准》（GB12348-2008）中监测要求。</w:t>
            </w:r>
          </w:p>
          <w:p>
            <w:pPr>
              <w:pStyle w:val="5"/>
              <w:shd w:val="clear" w:color="auto" w:fill="FFFFFF"/>
              <w:adjustRightInd w:val="0"/>
              <w:snapToGrid w:val="0"/>
              <w:ind w:firstLineChars="0"/>
              <w:outlineLvl w:val="4"/>
              <w:rPr>
                <w:b/>
                <w:bCs/>
                <w:color w:val="000000"/>
              </w:rPr>
            </w:pPr>
            <w:r>
              <w:rPr>
                <w:b/>
                <w:bCs/>
                <w:color w:val="000000"/>
              </w:rPr>
              <w:t>⑥类比监测单位及测量仪器</w:t>
            </w:r>
          </w:p>
          <w:p>
            <w:pPr>
              <w:adjustRightInd w:val="0"/>
              <w:snapToGrid w:val="0"/>
              <w:spacing w:line="360" w:lineRule="auto"/>
              <w:ind w:firstLine="480" w:firstLineChars="200"/>
              <w:rPr>
                <w:kern w:val="0"/>
                <w:sz w:val="24"/>
                <w:shd w:val="clear" w:color="auto" w:fill="FFFFFF"/>
              </w:rPr>
            </w:pPr>
            <w:r>
              <w:rPr>
                <w:rFonts w:hint="eastAsia"/>
                <w:kern w:val="0"/>
                <w:sz w:val="24"/>
                <w:shd w:val="clear" w:color="auto" w:fill="FFFFFF"/>
              </w:rPr>
              <w:t>监测单位：武汉中电工程检测有限公司</w:t>
            </w:r>
          </w:p>
          <w:p>
            <w:pPr>
              <w:adjustRightInd w:val="0"/>
              <w:snapToGrid w:val="0"/>
              <w:spacing w:line="360" w:lineRule="auto"/>
              <w:ind w:firstLine="480" w:firstLineChars="200"/>
              <w:rPr>
                <w:color w:val="000000"/>
                <w:kern w:val="0"/>
                <w:sz w:val="24"/>
                <w:shd w:val="clear" w:color="auto" w:fill="FFFFFF"/>
              </w:rPr>
            </w:pPr>
            <w:r>
              <w:rPr>
                <w:rFonts w:hint="eastAsia"/>
                <w:kern w:val="0"/>
                <w:sz w:val="24"/>
                <w:shd w:val="clear" w:color="auto" w:fill="FFFFFF"/>
              </w:rPr>
              <w:t>监测仪器：AWA</w:t>
            </w:r>
            <w:r>
              <w:rPr>
                <w:kern w:val="0"/>
                <w:sz w:val="24"/>
                <w:shd w:val="clear" w:color="auto" w:fill="FFFFFF"/>
              </w:rPr>
              <w:t>6228+</w:t>
            </w:r>
            <w:r>
              <w:rPr>
                <w:rFonts w:hint="eastAsia"/>
                <w:kern w:val="0"/>
                <w:sz w:val="24"/>
                <w:shd w:val="clear" w:color="auto" w:fill="FFFFFF"/>
              </w:rPr>
              <w:t>型声级计</w:t>
            </w:r>
          </w:p>
          <w:p>
            <w:pPr>
              <w:pStyle w:val="5"/>
              <w:shd w:val="clear" w:color="auto" w:fill="FFFFFF"/>
              <w:adjustRightInd w:val="0"/>
              <w:snapToGrid w:val="0"/>
              <w:ind w:firstLineChars="0"/>
              <w:outlineLvl w:val="4"/>
              <w:rPr>
                <w:b/>
                <w:bCs/>
                <w:color w:val="000000"/>
              </w:rPr>
            </w:pPr>
            <w:r>
              <w:rPr>
                <w:b/>
                <w:bCs/>
                <w:color w:val="000000"/>
              </w:rPr>
              <w:t>⑦类比监测时间、监测环境</w:t>
            </w:r>
          </w:p>
          <w:p>
            <w:pPr>
              <w:adjustRightInd w:val="0"/>
              <w:snapToGrid w:val="0"/>
              <w:spacing w:line="360" w:lineRule="auto"/>
              <w:ind w:firstLine="480" w:firstLineChars="200"/>
              <w:rPr>
                <w:kern w:val="0"/>
                <w:sz w:val="24"/>
                <w:shd w:val="clear" w:color="auto" w:fill="FFFFFF"/>
              </w:rPr>
            </w:pPr>
            <w:r>
              <w:rPr>
                <w:rFonts w:hint="eastAsia"/>
                <w:kern w:val="0"/>
                <w:sz w:val="24"/>
                <w:shd w:val="clear" w:color="auto" w:fill="FFFFFF"/>
              </w:rPr>
              <w:t>测量时间：2025年1月10日</w:t>
            </w:r>
          </w:p>
          <w:p>
            <w:pPr>
              <w:adjustRightInd w:val="0"/>
              <w:snapToGrid w:val="0"/>
              <w:spacing w:line="360" w:lineRule="auto"/>
              <w:ind w:firstLine="480" w:firstLineChars="200"/>
              <w:rPr>
                <w:kern w:val="0"/>
                <w:sz w:val="24"/>
                <w:shd w:val="clear" w:color="auto" w:fill="FFFFFF"/>
              </w:rPr>
            </w:pPr>
            <w:r>
              <w:rPr>
                <w:rFonts w:hint="eastAsia"/>
                <w:kern w:val="0"/>
                <w:sz w:val="24"/>
                <w:shd w:val="clear" w:color="auto" w:fill="FFFFFF"/>
              </w:rPr>
              <w:t>气象条件：天气晴，温度-7.1</w:t>
            </w:r>
            <w:r>
              <w:rPr>
                <w:kern w:val="0"/>
                <w:sz w:val="24"/>
                <w:shd w:val="clear" w:color="auto" w:fill="FFFFFF"/>
              </w:rPr>
              <w:t>℃</w:t>
            </w:r>
            <w:r>
              <w:rPr>
                <w:rFonts w:hint="eastAsia"/>
                <w:kern w:val="0"/>
                <w:sz w:val="24"/>
                <w:shd w:val="clear" w:color="auto" w:fill="FFFFFF"/>
              </w:rPr>
              <w:t>--6.3</w:t>
            </w:r>
            <w:r>
              <w:rPr>
                <w:kern w:val="0"/>
                <w:sz w:val="24"/>
                <w:shd w:val="clear" w:color="auto" w:fill="FFFFFF"/>
              </w:rPr>
              <w:t>℃</w:t>
            </w:r>
            <w:r>
              <w:rPr>
                <w:rFonts w:hint="eastAsia"/>
                <w:kern w:val="0"/>
                <w:sz w:val="24"/>
                <w:shd w:val="clear" w:color="auto" w:fill="FFFFFF"/>
              </w:rPr>
              <w:t>，风速0.9m/s-1.2m/s。</w:t>
            </w:r>
          </w:p>
          <w:p>
            <w:pPr>
              <w:spacing w:line="360" w:lineRule="auto"/>
              <w:ind w:firstLine="480" w:firstLineChars="200"/>
            </w:pPr>
            <w:r>
              <w:rPr>
                <w:rFonts w:hint="eastAsia"/>
                <w:color w:val="000000" w:themeColor="text1"/>
                <w:kern w:val="0"/>
                <w:sz w:val="24"/>
                <w:shd w:val="clear" w:color="auto" w:fill="FFFFFF"/>
                <w14:textFill>
                  <w14:solidFill>
                    <w14:schemeClr w14:val="tx1"/>
                  </w14:solidFill>
                </w14:textFill>
              </w:rPr>
              <w:t>监测时工况见</w:t>
            </w:r>
            <w:r>
              <w:rPr>
                <w:rFonts w:hint="eastAsia"/>
                <w:b w:val="0"/>
                <w:bCs w:val="0"/>
                <w:color w:val="000000" w:themeColor="text1"/>
                <w:kern w:val="0"/>
                <w:sz w:val="24"/>
                <w:szCs w:val="24"/>
                <w:shd w:val="clear" w:color="auto" w:fill="FFFFFF"/>
                <w14:textFill>
                  <w14:solidFill>
                    <w14:schemeClr w14:val="tx1"/>
                  </w14:solidFill>
                </w14:textFill>
              </w:rPr>
              <w:fldChar w:fldCharType="begin"/>
            </w:r>
            <w:r>
              <w:rPr>
                <w:b w:val="0"/>
                <w:bCs w:val="0"/>
              </w:rPr>
              <w:instrText xml:space="preserve"> REF _Ref6070 \h  \* MERGEFORMAT</w:instrText>
            </w:r>
            <w:r>
              <w:rPr>
                <w:rFonts w:hint="eastAsia"/>
                <w:b w:val="0"/>
                <w:bCs w:val="0"/>
                <w:color w:val="000000" w:themeColor="text1"/>
                <w:kern w:val="0"/>
                <w:sz w:val="24"/>
                <w:szCs w:val="24"/>
                <w:shd w:val="clear" w:color="auto" w:fill="FFFFFF"/>
                <w14:textFill>
                  <w14:solidFill>
                    <w14:schemeClr w14:val="tx1"/>
                  </w14:solidFill>
                </w14:textFill>
              </w:rPr>
              <w:fldChar w:fldCharType="separate"/>
            </w:r>
            <w:r>
              <w:rPr>
                <w:rFonts w:ascii="Times New Roman" w:hAnsi="Times New Roman" w:eastAsia="宋体"/>
                <w:b w:val="0"/>
                <w:bCs w:val="0"/>
                <w:sz w:val="24"/>
                <w:szCs w:val="24"/>
              </w:rPr>
              <w:t>表25</w:t>
            </w:r>
            <w:r>
              <w:rPr>
                <w:rFonts w:hint="eastAsia"/>
                <w:b w:val="0"/>
                <w:bCs w:val="0"/>
                <w:color w:val="000000" w:themeColor="text1"/>
                <w:kern w:val="0"/>
                <w:sz w:val="24"/>
                <w:szCs w:val="24"/>
                <w:shd w:val="clear" w:color="auto" w:fill="FFFFFF"/>
                <w14:textFill>
                  <w14:solidFill>
                    <w14:schemeClr w14:val="tx1"/>
                  </w14:solidFill>
                </w14:textFill>
              </w:rPr>
              <w:fldChar w:fldCharType="end"/>
            </w:r>
            <w:r>
              <w:rPr>
                <w:rFonts w:hint="eastAsia"/>
                <w:color w:val="000000" w:themeColor="text1"/>
                <w:kern w:val="0"/>
                <w:sz w:val="24"/>
                <w:shd w:val="clear" w:color="auto" w:fill="FFFFFF"/>
                <w14:textFill>
                  <w14:solidFill>
                    <w14:schemeClr w14:val="tx1"/>
                  </w14:solidFill>
                </w14:textFill>
              </w:rPr>
              <w:t>。</w:t>
            </w:r>
          </w:p>
          <w:p>
            <w:pPr>
              <w:pStyle w:val="10"/>
              <w:rPr>
                <w:rFonts w:ascii="Times New Roman" w:hAnsi="Times New Roman" w:eastAsia="宋体"/>
                <w:b/>
                <w:bCs/>
              </w:rPr>
            </w:pPr>
            <w:bookmarkStart w:id="607" w:name="_Ref6070"/>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25</w:t>
            </w:r>
            <w:r>
              <w:rPr>
                <w:rFonts w:ascii="Times New Roman" w:hAnsi="Times New Roman" w:eastAsia="宋体"/>
                <w:b/>
                <w:bCs/>
              </w:rPr>
              <w:fldChar w:fldCharType="end"/>
            </w:r>
            <w:bookmarkEnd w:id="607"/>
            <w:r>
              <w:rPr>
                <w:rFonts w:ascii="Times New Roman" w:hAnsi="Times New Roman" w:eastAsia="宋体"/>
                <w:b/>
                <w:bCs/>
              </w:rPr>
              <w:t>监测时运行工况</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383"/>
              <w:gridCol w:w="1383"/>
              <w:gridCol w:w="1383"/>
              <w:gridCol w:w="1383"/>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序号</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对象</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运行电压（kV）</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运行电流（A）</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有功功率（MW）</w:t>
                  </w:r>
                </w:p>
              </w:tc>
              <w:tc>
                <w:tcPr>
                  <w:tcW w:w="1384"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无功功率（MW）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1</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220kV彩吉木一线</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235.66~236.24</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373.84~416.73</w:t>
                  </w:r>
                </w:p>
              </w:tc>
              <w:tc>
                <w:tcPr>
                  <w:tcW w:w="1383"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143.23~-161.54</w:t>
                  </w:r>
                </w:p>
              </w:tc>
              <w:tc>
                <w:tcPr>
                  <w:tcW w:w="1384" w:type="dxa"/>
                  <w:vAlign w:val="center"/>
                </w:tcPr>
                <w:p>
                  <w:pPr>
                    <w:pStyle w:val="5"/>
                    <w:adjustRightInd w:val="0"/>
                    <w:snapToGrid w:val="0"/>
                    <w:spacing w:line="240" w:lineRule="auto"/>
                    <w:ind w:firstLine="0" w:firstLineChars="0"/>
                    <w:jc w:val="center"/>
                    <w:outlineLvl w:val="4"/>
                    <w:rPr>
                      <w:color w:val="000000"/>
                      <w:sz w:val="21"/>
                    </w:rPr>
                  </w:pPr>
                  <w:r>
                    <w:rPr>
                      <w:rFonts w:hint="eastAsia"/>
                      <w:color w:val="000000"/>
                      <w:sz w:val="21"/>
                    </w:rPr>
                    <w:t>-16.85~-15.94</w:t>
                  </w:r>
                </w:p>
              </w:tc>
            </w:tr>
          </w:tbl>
          <w:p>
            <w:pPr>
              <w:pStyle w:val="5"/>
              <w:shd w:val="clear" w:color="auto" w:fill="FFFFFF"/>
              <w:adjustRightInd w:val="0"/>
              <w:snapToGrid w:val="0"/>
              <w:ind w:firstLineChars="0"/>
              <w:outlineLvl w:val="4"/>
              <w:rPr>
                <w:b/>
                <w:bCs/>
                <w:color w:val="000000"/>
              </w:rPr>
            </w:pPr>
            <w:r>
              <w:rPr>
                <w:b/>
                <w:bCs/>
                <w:color w:val="000000"/>
              </w:rPr>
              <w:t>⑧类比监测结果</w:t>
            </w:r>
          </w:p>
          <w:p>
            <w:pPr>
              <w:adjustRightInd w:val="0"/>
              <w:snapToGrid w:val="0"/>
              <w:spacing w:line="360" w:lineRule="auto"/>
              <w:ind w:firstLine="480" w:firstLineChars="200"/>
              <w:rPr>
                <w:color w:val="000000"/>
                <w:kern w:val="0"/>
                <w:sz w:val="24"/>
                <w:shd w:val="clear" w:color="auto" w:fill="FFFFFF"/>
              </w:rPr>
            </w:pPr>
            <w:r>
              <w:rPr>
                <w:rFonts w:hint="eastAsia"/>
                <w:kern w:val="0"/>
                <w:sz w:val="24"/>
                <w:shd w:val="clear" w:color="auto" w:fill="FFFFFF"/>
              </w:rPr>
              <w:t>220千伏彩吉木一线</w:t>
            </w:r>
            <w:r>
              <w:rPr>
                <w:rFonts w:hint="eastAsia"/>
                <w:color w:val="000000"/>
                <w:kern w:val="0"/>
                <w:sz w:val="24"/>
                <w:shd w:val="clear" w:color="auto" w:fill="FFFFFF"/>
              </w:rPr>
              <w:t>噪声监测结果见</w:t>
            </w:r>
            <w:r>
              <w:rPr>
                <w:rFonts w:hint="eastAsia"/>
                <w:b w:val="0"/>
                <w:bCs w:val="0"/>
                <w:color w:val="000000"/>
                <w:kern w:val="0"/>
                <w:sz w:val="24"/>
                <w:szCs w:val="24"/>
                <w:shd w:val="clear" w:color="auto" w:fill="FFFFFF"/>
              </w:rPr>
              <w:fldChar w:fldCharType="begin"/>
            </w:r>
            <w:r>
              <w:rPr>
                <w:b w:val="0"/>
                <w:bCs w:val="0"/>
              </w:rPr>
              <w:instrText xml:space="preserve"> REF _Ref6250 \h  \* MERGEFORMAT</w:instrText>
            </w:r>
            <w:r>
              <w:rPr>
                <w:rFonts w:hint="eastAsia"/>
                <w:b w:val="0"/>
                <w:bCs w:val="0"/>
                <w:color w:val="000000"/>
                <w:kern w:val="0"/>
                <w:sz w:val="24"/>
                <w:szCs w:val="24"/>
                <w:shd w:val="clear" w:color="auto" w:fill="FFFFFF"/>
              </w:rPr>
              <w:fldChar w:fldCharType="separate"/>
            </w:r>
            <w:r>
              <w:rPr>
                <w:rFonts w:ascii="Times New Roman" w:hAnsi="Times New Roman" w:eastAsia="宋体"/>
                <w:b w:val="0"/>
                <w:bCs w:val="0"/>
                <w:sz w:val="24"/>
                <w:szCs w:val="24"/>
              </w:rPr>
              <w:t>表26</w:t>
            </w:r>
            <w:r>
              <w:rPr>
                <w:rFonts w:hint="eastAsia"/>
                <w:b w:val="0"/>
                <w:bCs w:val="0"/>
                <w:color w:val="000000"/>
                <w:kern w:val="0"/>
                <w:sz w:val="24"/>
                <w:szCs w:val="24"/>
                <w:shd w:val="clear" w:color="auto" w:fill="FFFFFF"/>
              </w:rPr>
              <w:fldChar w:fldCharType="end"/>
            </w:r>
            <w:r>
              <w:rPr>
                <w:rFonts w:hint="eastAsia"/>
                <w:color w:val="000000"/>
                <w:kern w:val="0"/>
                <w:sz w:val="24"/>
                <w:shd w:val="clear" w:color="auto" w:fill="FFFFFF"/>
              </w:rPr>
              <w:t>。</w:t>
            </w:r>
          </w:p>
          <w:p>
            <w:pPr>
              <w:pStyle w:val="10"/>
              <w:rPr>
                <w:rFonts w:eastAsia="宋体"/>
              </w:rPr>
            </w:pPr>
            <w:bookmarkStart w:id="608" w:name="_Ref6250"/>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26</w:t>
            </w:r>
            <w:r>
              <w:rPr>
                <w:rFonts w:ascii="Times New Roman" w:hAnsi="Times New Roman" w:eastAsia="宋体"/>
                <w:b/>
                <w:bCs/>
              </w:rPr>
              <w:fldChar w:fldCharType="end"/>
            </w:r>
            <w:bookmarkEnd w:id="608"/>
            <w:r>
              <w:rPr>
                <w:rFonts w:hint="eastAsia" w:ascii="Times New Roman" w:hAnsi="Times New Roman" w:eastAsia="宋体"/>
                <w:b/>
                <w:bCs/>
              </w:rPr>
              <w:t xml:space="preserve"> </w:t>
            </w:r>
            <w:r>
              <w:rPr>
                <w:rFonts w:ascii="Times New Roman" w:hAnsi="Times New Roman" w:eastAsia="宋体"/>
                <w:b/>
                <w:bCs/>
              </w:rPr>
              <w:t>220kV彩吉木一线单回输电线路噪声类比监测结果</w:t>
            </w:r>
            <w:r>
              <w:rPr>
                <w:rFonts w:hint="eastAsia" w:ascii="Times New Roman" w:hAnsi="Times New Roman" w:eastAsia="宋体"/>
                <w:b/>
                <w:bCs/>
              </w:rPr>
              <w:t xml:space="preserve">                  </w:t>
            </w:r>
            <w:r>
              <w:rPr>
                <w:rFonts w:ascii="Times New Roman" w:hAnsi="Times New Roman" w:eastAsia="宋体"/>
                <w:b/>
                <w:bCs/>
              </w:rPr>
              <w:t>单位：dB(A)</w:t>
            </w:r>
          </w:p>
          <w:tbl>
            <w:tblPr>
              <w:tblStyle w:val="38"/>
              <w:tblW w:w="83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390"/>
              <w:gridCol w:w="2276"/>
              <w:gridCol w:w="1042"/>
              <w:gridCol w:w="1043"/>
              <w:gridCol w:w="1043"/>
              <w:gridCol w:w="1043"/>
              <w:gridCol w:w="1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458" w:type="dxa"/>
                  <w:vMerge w:val="restart"/>
                  <w:vAlign w:val="center"/>
                </w:tcPr>
                <w:p>
                  <w:pPr>
                    <w:pStyle w:val="10"/>
                    <w:keepNext/>
                    <w:jc w:val="center"/>
                    <w:rPr>
                      <w:rFonts w:ascii="Times New Roman" w:hAnsi="Times New Roman" w:eastAsia="宋体"/>
                      <w:b/>
                    </w:rPr>
                  </w:pPr>
                  <w:r>
                    <w:rPr>
                      <w:rFonts w:ascii="Times New Roman" w:hAnsi="Times New Roman" w:eastAsia="宋体"/>
                      <w:b/>
                    </w:rPr>
                    <w:t>序号</w:t>
                  </w:r>
                </w:p>
              </w:tc>
              <w:tc>
                <w:tcPr>
                  <w:tcW w:w="2666" w:type="dxa"/>
                  <w:gridSpan w:val="2"/>
                  <w:vMerge w:val="restart"/>
                  <w:vAlign w:val="center"/>
                </w:tcPr>
                <w:p>
                  <w:pPr>
                    <w:pStyle w:val="10"/>
                    <w:keepNext/>
                    <w:jc w:val="center"/>
                    <w:rPr>
                      <w:rFonts w:ascii="Times New Roman" w:hAnsi="Times New Roman" w:eastAsia="宋体"/>
                      <w:b/>
                    </w:rPr>
                  </w:pPr>
                  <w:r>
                    <w:rPr>
                      <w:rFonts w:ascii="Times New Roman" w:hAnsi="Times New Roman" w:eastAsia="宋体"/>
                      <w:b/>
                    </w:rPr>
                    <w:t>检测点位</w:t>
                  </w:r>
                </w:p>
              </w:tc>
              <w:tc>
                <w:tcPr>
                  <w:tcW w:w="4171" w:type="dxa"/>
                  <w:gridSpan w:val="4"/>
                  <w:vAlign w:val="center"/>
                </w:tcPr>
                <w:p>
                  <w:pPr>
                    <w:pStyle w:val="10"/>
                    <w:keepNext/>
                    <w:jc w:val="center"/>
                    <w:rPr>
                      <w:rFonts w:ascii="Times New Roman" w:hAnsi="Times New Roman" w:eastAsia="宋体"/>
                      <w:b/>
                    </w:rPr>
                  </w:pPr>
                  <w:r>
                    <w:rPr>
                      <w:rFonts w:ascii="Times New Roman" w:hAnsi="Times New Roman" w:eastAsia="宋体"/>
                      <w:b/>
                    </w:rPr>
                    <w:t>等效连续A声级</w:t>
                  </w:r>
                </w:p>
                <w:p>
                  <w:pPr>
                    <w:pStyle w:val="10"/>
                    <w:keepNext/>
                    <w:jc w:val="center"/>
                    <w:rPr>
                      <w:rFonts w:ascii="Times New Roman" w:hAnsi="Times New Roman" w:eastAsia="宋体"/>
                      <w:b/>
                    </w:rPr>
                  </w:pPr>
                  <w:r>
                    <w:rPr>
                      <w:rFonts w:ascii="Times New Roman" w:hAnsi="Times New Roman" w:eastAsia="宋体"/>
                      <w:b/>
                    </w:rPr>
                    <w:t>（L</w:t>
                  </w:r>
                  <w:r>
                    <w:rPr>
                      <w:rFonts w:ascii="Times New Roman" w:hAnsi="Times New Roman" w:eastAsia="宋体"/>
                      <w:b/>
                      <w:vertAlign w:val="subscript"/>
                    </w:rPr>
                    <w:t>eq</w:t>
                  </w:r>
                  <w:r>
                    <w:rPr>
                      <w:rFonts w:ascii="Times New Roman" w:hAnsi="Times New Roman" w:eastAsia="宋体"/>
                      <w:b/>
                    </w:rPr>
                    <w:t>，dB（A））</w:t>
                  </w:r>
                </w:p>
              </w:tc>
              <w:tc>
                <w:tcPr>
                  <w:tcW w:w="1043" w:type="dxa"/>
                  <w:vMerge w:val="restart"/>
                  <w:vAlign w:val="center"/>
                </w:tcPr>
                <w:p>
                  <w:pPr>
                    <w:pStyle w:val="10"/>
                    <w:keepNext/>
                    <w:jc w:val="center"/>
                    <w:rPr>
                      <w:rFonts w:ascii="Times New Roman" w:hAnsi="Times New Roman" w:eastAsia="宋体"/>
                      <w:b/>
                    </w:rPr>
                  </w:pPr>
                  <w:r>
                    <w:rPr>
                      <w:rFonts w:ascii="Times New Roman" w:hAnsi="Times New Roman" w:eastAsia="宋体"/>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Merge w:val="continue"/>
                  <w:vAlign w:val="center"/>
                </w:tcPr>
                <w:p>
                  <w:pPr>
                    <w:pStyle w:val="10"/>
                    <w:keepNext/>
                    <w:jc w:val="center"/>
                    <w:rPr>
                      <w:rFonts w:ascii="Times New Roman" w:hAnsi="Times New Roman" w:eastAsia="宋体"/>
                      <w:b/>
                    </w:rPr>
                  </w:pPr>
                </w:p>
              </w:tc>
              <w:tc>
                <w:tcPr>
                  <w:tcW w:w="2666" w:type="dxa"/>
                  <w:gridSpan w:val="2"/>
                  <w:vMerge w:val="continue"/>
                  <w:vAlign w:val="center"/>
                </w:tcPr>
                <w:p>
                  <w:pPr>
                    <w:pStyle w:val="10"/>
                    <w:keepNext/>
                    <w:jc w:val="center"/>
                    <w:rPr>
                      <w:rFonts w:ascii="Times New Roman" w:hAnsi="Times New Roman" w:eastAsia="宋体"/>
                      <w:b/>
                    </w:rPr>
                  </w:pPr>
                </w:p>
              </w:tc>
              <w:tc>
                <w:tcPr>
                  <w:tcW w:w="2085" w:type="dxa"/>
                  <w:gridSpan w:val="2"/>
                  <w:vAlign w:val="center"/>
                </w:tcPr>
                <w:p>
                  <w:pPr>
                    <w:pStyle w:val="10"/>
                    <w:keepNext/>
                    <w:jc w:val="center"/>
                    <w:rPr>
                      <w:rFonts w:ascii="Times New Roman" w:hAnsi="Times New Roman" w:eastAsia="宋体"/>
                      <w:b/>
                    </w:rPr>
                  </w:pPr>
                  <w:r>
                    <w:rPr>
                      <w:rFonts w:ascii="Times New Roman" w:hAnsi="Times New Roman" w:eastAsia="宋体"/>
                      <w:b/>
                    </w:rPr>
                    <w:t>测量值</w:t>
                  </w:r>
                </w:p>
              </w:tc>
              <w:tc>
                <w:tcPr>
                  <w:tcW w:w="2086" w:type="dxa"/>
                  <w:gridSpan w:val="2"/>
                  <w:vAlign w:val="center"/>
                </w:tcPr>
                <w:p>
                  <w:pPr>
                    <w:pStyle w:val="10"/>
                    <w:keepNext/>
                    <w:jc w:val="center"/>
                    <w:rPr>
                      <w:rFonts w:ascii="Times New Roman" w:hAnsi="Times New Roman" w:eastAsia="宋体"/>
                      <w:b/>
                    </w:rPr>
                  </w:pPr>
                  <w:r>
                    <w:rPr>
                      <w:rFonts w:ascii="Times New Roman" w:hAnsi="Times New Roman" w:eastAsia="宋体"/>
                      <w:b/>
                    </w:rPr>
                    <w:t>修约值</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Merge w:val="continue"/>
                  <w:vAlign w:val="center"/>
                </w:tcPr>
                <w:p>
                  <w:pPr>
                    <w:pStyle w:val="10"/>
                    <w:keepNext/>
                    <w:jc w:val="center"/>
                    <w:rPr>
                      <w:rFonts w:ascii="Times New Roman" w:hAnsi="Times New Roman" w:eastAsia="宋体"/>
                      <w:b/>
                    </w:rPr>
                  </w:pPr>
                </w:p>
              </w:tc>
              <w:tc>
                <w:tcPr>
                  <w:tcW w:w="2666" w:type="dxa"/>
                  <w:gridSpan w:val="2"/>
                  <w:vMerge w:val="continue"/>
                  <w:vAlign w:val="center"/>
                </w:tcPr>
                <w:p>
                  <w:pPr>
                    <w:pStyle w:val="10"/>
                    <w:keepNext/>
                    <w:jc w:val="center"/>
                    <w:rPr>
                      <w:rFonts w:ascii="Times New Roman" w:hAnsi="Times New Roman" w:eastAsia="宋体"/>
                      <w:b/>
                    </w:rPr>
                  </w:pPr>
                </w:p>
              </w:tc>
              <w:tc>
                <w:tcPr>
                  <w:tcW w:w="1042" w:type="dxa"/>
                  <w:vAlign w:val="center"/>
                </w:tcPr>
                <w:p>
                  <w:pPr>
                    <w:pStyle w:val="10"/>
                    <w:keepNext/>
                    <w:jc w:val="center"/>
                    <w:rPr>
                      <w:rFonts w:ascii="Times New Roman" w:hAnsi="Times New Roman" w:eastAsia="宋体"/>
                      <w:b/>
                    </w:rPr>
                  </w:pPr>
                  <w:r>
                    <w:rPr>
                      <w:rFonts w:ascii="Times New Roman" w:hAnsi="Times New Roman" w:eastAsia="宋体"/>
                      <w:b/>
                    </w:rPr>
                    <w:t>昼间</w:t>
                  </w:r>
                </w:p>
              </w:tc>
              <w:tc>
                <w:tcPr>
                  <w:tcW w:w="1043" w:type="dxa"/>
                  <w:vAlign w:val="center"/>
                </w:tcPr>
                <w:p>
                  <w:pPr>
                    <w:pStyle w:val="10"/>
                    <w:keepNext/>
                    <w:jc w:val="center"/>
                    <w:rPr>
                      <w:rFonts w:ascii="Times New Roman" w:hAnsi="Times New Roman" w:eastAsia="宋体"/>
                      <w:b/>
                    </w:rPr>
                  </w:pPr>
                  <w:r>
                    <w:rPr>
                      <w:rFonts w:ascii="Times New Roman" w:hAnsi="Times New Roman" w:eastAsia="宋体"/>
                      <w:b/>
                    </w:rPr>
                    <w:t>夜间</w:t>
                  </w:r>
                </w:p>
              </w:tc>
              <w:tc>
                <w:tcPr>
                  <w:tcW w:w="1043" w:type="dxa"/>
                  <w:shd w:val="clear" w:color="auto" w:fill="auto"/>
                  <w:vAlign w:val="center"/>
                </w:tcPr>
                <w:p>
                  <w:pPr>
                    <w:pStyle w:val="10"/>
                    <w:keepNext/>
                    <w:jc w:val="center"/>
                    <w:rPr>
                      <w:rFonts w:ascii="Times New Roman" w:hAnsi="Times New Roman" w:eastAsia="宋体"/>
                      <w:b/>
                    </w:rPr>
                  </w:pPr>
                  <w:r>
                    <w:rPr>
                      <w:rFonts w:ascii="Times New Roman" w:hAnsi="Times New Roman" w:eastAsia="宋体"/>
                      <w:b/>
                    </w:rPr>
                    <w:t>昼间</w:t>
                  </w:r>
                </w:p>
              </w:tc>
              <w:tc>
                <w:tcPr>
                  <w:tcW w:w="1043" w:type="dxa"/>
                  <w:shd w:val="clear" w:color="auto" w:fill="auto"/>
                  <w:vAlign w:val="center"/>
                </w:tcPr>
                <w:p>
                  <w:pPr>
                    <w:pStyle w:val="10"/>
                    <w:keepNext/>
                    <w:jc w:val="center"/>
                    <w:rPr>
                      <w:rFonts w:ascii="Times New Roman" w:hAnsi="Times New Roman" w:eastAsia="宋体"/>
                      <w:b/>
                    </w:rPr>
                  </w:pPr>
                  <w:r>
                    <w:rPr>
                      <w:rFonts w:ascii="Times New Roman" w:hAnsi="Times New Roman" w:eastAsia="宋体"/>
                      <w:b/>
                    </w:rPr>
                    <w:t>夜间</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1</w:t>
                  </w:r>
                </w:p>
              </w:tc>
              <w:tc>
                <w:tcPr>
                  <w:tcW w:w="390" w:type="dxa"/>
                  <w:vMerge w:val="restart"/>
                  <w:vAlign w:val="center"/>
                </w:tcPr>
                <w:p>
                  <w:pPr>
                    <w:pStyle w:val="10"/>
                    <w:keepNext/>
                    <w:jc w:val="center"/>
                    <w:rPr>
                      <w:rFonts w:ascii="Times New Roman" w:hAnsi="Times New Roman" w:eastAsia="宋体"/>
                      <w:bCs/>
                    </w:rPr>
                  </w:pPr>
                  <w:r>
                    <w:rPr>
                      <w:rFonts w:ascii="Times New Roman" w:hAnsi="Times New Roman" w:eastAsia="宋体"/>
                      <w:bCs/>
                    </w:rPr>
                    <w:t>220kV彩吉木一线噪声断面</w:t>
                  </w:r>
                </w:p>
              </w:tc>
              <w:tc>
                <w:tcPr>
                  <w:tcW w:w="2276" w:type="dxa"/>
                  <w:vAlign w:val="center"/>
                </w:tcPr>
                <w:p>
                  <w:pPr>
                    <w:pStyle w:val="10"/>
                    <w:keepNext/>
                    <w:wordWrap w:val="0"/>
                    <w:jc w:val="center"/>
                    <w:rPr>
                      <w:rFonts w:ascii="Times New Roman" w:hAnsi="Times New Roman" w:eastAsia="宋体"/>
                      <w:bCs/>
                    </w:rPr>
                  </w:pPr>
                  <w:r>
                    <w:rPr>
                      <w:rFonts w:ascii="Times New Roman" w:hAnsi="Times New Roman" w:eastAsia="宋体"/>
                      <w:bCs/>
                    </w:rPr>
                    <w:t>与线路中心投影距离</w:t>
                  </w:r>
                </w:p>
                <w:p>
                  <w:pPr>
                    <w:pStyle w:val="10"/>
                    <w:keepNext/>
                    <w:wordWrap w:val="0"/>
                    <w:jc w:val="center"/>
                    <w:rPr>
                      <w:rFonts w:ascii="Times New Roman" w:hAnsi="Times New Roman" w:eastAsia="宋体"/>
                      <w:bCs/>
                    </w:rPr>
                  </w:pPr>
                  <w:r>
                    <w:rPr>
                      <w:rFonts w:ascii="Times New Roman" w:hAnsi="Times New Roman" w:eastAsia="宋体"/>
                      <w:bCs/>
                    </w:rPr>
                    <w:t>0m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36.2</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35.8</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Merge w:val="restart"/>
                  <w:vAlign w:val="center"/>
                </w:tcPr>
                <w:p>
                  <w:pPr>
                    <w:pStyle w:val="10"/>
                    <w:keepNext/>
                    <w:wordWrap w:val="0"/>
                    <w:rPr>
                      <w:rFonts w:ascii="Times New Roman" w:hAnsi="Times New Roman" w:eastAsia="宋体"/>
                      <w:b/>
                    </w:rPr>
                  </w:pPr>
                  <w:r>
                    <w:rPr>
                      <w:rFonts w:ascii="Times New Roman" w:hAnsi="Times New Roman" w:eastAsia="宋体"/>
                      <w:bCs/>
                    </w:rPr>
                    <w:t>220kV彩吉木一线179#~180#塔段线路之间，单回架设，水平排列，相间距8m，线高13m，导线2分裂，分裂间距400mm，从线路中心向西方向展开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2</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与线路中心投影距离5m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36.6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37</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3</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与线路中心投影距离8m（边导线下）</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35.9</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35.9</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4</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边导线外5m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36.4</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36.0</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5</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边导线外10m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36.5</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35.5</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6</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边导线外15m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35.8</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35.4</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7</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边导线外20m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35.9</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35.7</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8</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边导线外25m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36.1</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35.9</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9</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边导线外30m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36.3</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35.5</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10</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边导线外35m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35.9</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35.8</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11</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边导线外40m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36.2</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35.3</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12</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边导线外45m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35.8</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35.4</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w:t>
                  </w:r>
                </w:p>
              </w:tc>
              <w:tc>
                <w:tcPr>
                  <w:tcW w:w="1043" w:type="dxa"/>
                  <w:vMerge w:val="continue"/>
                  <w:vAlign w:val="center"/>
                </w:tcPr>
                <w:p>
                  <w:pPr>
                    <w:pStyle w:val="10"/>
                    <w:keepNext/>
                    <w:jc w:val="center"/>
                    <w:rPr>
                      <w:rFonts w:ascii="Times New Roman" w:hAnsi="Times New Roman"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vAlign w:val="center"/>
                </w:tcPr>
                <w:p>
                  <w:pPr>
                    <w:pStyle w:val="10"/>
                    <w:keepNext/>
                    <w:jc w:val="center"/>
                    <w:rPr>
                      <w:rFonts w:ascii="Times New Roman" w:hAnsi="Times New Roman" w:eastAsia="宋体"/>
                      <w:bCs/>
                    </w:rPr>
                  </w:pPr>
                  <w:r>
                    <w:rPr>
                      <w:rFonts w:ascii="Times New Roman" w:hAnsi="Times New Roman" w:eastAsia="宋体"/>
                      <w:bCs/>
                    </w:rPr>
                    <w:t>13</w:t>
                  </w:r>
                </w:p>
              </w:tc>
              <w:tc>
                <w:tcPr>
                  <w:tcW w:w="390" w:type="dxa"/>
                  <w:vMerge w:val="continue"/>
                  <w:vAlign w:val="center"/>
                </w:tcPr>
                <w:p>
                  <w:pPr>
                    <w:pStyle w:val="10"/>
                    <w:keepNext/>
                    <w:jc w:val="center"/>
                    <w:rPr>
                      <w:rFonts w:ascii="Times New Roman" w:hAnsi="Times New Roman" w:eastAsia="宋体"/>
                      <w:bCs/>
                    </w:rPr>
                  </w:pPr>
                </w:p>
              </w:tc>
              <w:tc>
                <w:tcPr>
                  <w:tcW w:w="2276" w:type="dxa"/>
                  <w:vAlign w:val="center"/>
                </w:tcPr>
                <w:p>
                  <w:pPr>
                    <w:pStyle w:val="10"/>
                    <w:keepNext/>
                    <w:jc w:val="center"/>
                    <w:rPr>
                      <w:rFonts w:ascii="Times New Roman" w:hAnsi="Times New Roman" w:eastAsia="宋体"/>
                      <w:bCs/>
                    </w:rPr>
                  </w:pPr>
                  <w:r>
                    <w:rPr>
                      <w:rFonts w:ascii="Times New Roman" w:hAnsi="Times New Roman" w:eastAsia="宋体"/>
                      <w:bCs/>
                    </w:rPr>
                    <w:t>边导线外50m</w:t>
                  </w:r>
                </w:p>
              </w:tc>
              <w:tc>
                <w:tcPr>
                  <w:tcW w:w="1042" w:type="dxa"/>
                  <w:vAlign w:val="center"/>
                </w:tcPr>
                <w:p>
                  <w:pPr>
                    <w:pStyle w:val="10"/>
                    <w:keepNext/>
                    <w:jc w:val="center"/>
                    <w:rPr>
                      <w:rFonts w:ascii="Times New Roman" w:hAnsi="Times New Roman" w:eastAsia="宋体"/>
                      <w:bCs/>
                    </w:rPr>
                  </w:pPr>
                  <w:r>
                    <w:rPr>
                      <w:rFonts w:ascii="Times New Roman" w:hAnsi="Times New Roman" w:eastAsia="宋体"/>
                      <w:bCs/>
                    </w:rPr>
                    <w:t>35.7</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35.6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Align w:val="center"/>
                </w:tcPr>
                <w:p>
                  <w:pPr>
                    <w:pStyle w:val="10"/>
                    <w:keepNext/>
                    <w:jc w:val="center"/>
                    <w:rPr>
                      <w:rFonts w:ascii="Times New Roman" w:hAnsi="Times New Roman" w:eastAsia="宋体"/>
                      <w:bCs/>
                    </w:rPr>
                  </w:pPr>
                  <w:r>
                    <w:rPr>
                      <w:rFonts w:ascii="Times New Roman" w:hAnsi="Times New Roman" w:eastAsia="宋体"/>
                      <w:bCs/>
                    </w:rPr>
                    <w:t>36</w:t>
                  </w:r>
                </w:p>
              </w:tc>
              <w:tc>
                <w:tcPr>
                  <w:tcW w:w="1043" w:type="dxa"/>
                  <w:vMerge w:val="continue"/>
                  <w:vAlign w:val="center"/>
                </w:tcPr>
                <w:p>
                  <w:pPr>
                    <w:pStyle w:val="10"/>
                    <w:keepNext/>
                    <w:jc w:val="center"/>
                    <w:rPr>
                      <w:rFonts w:ascii="Times New Roman" w:hAnsi="Times New Roman" w:eastAsia="宋体"/>
                      <w:b/>
                    </w:rPr>
                  </w:pPr>
                </w:p>
              </w:tc>
            </w:tr>
          </w:tbl>
          <w:p>
            <w:pPr>
              <w:pStyle w:val="5"/>
              <w:shd w:val="clear" w:color="auto" w:fill="FFFFFF"/>
              <w:wordWrap w:val="0"/>
              <w:adjustRightInd w:val="0"/>
              <w:snapToGrid w:val="0"/>
              <w:outlineLvl w:val="4"/>
            </w:pPr>
            <w:r>
              <w:rPr>
                <w:rFonts w:hint="eastAsia"/>
                <w:color w:val="000000"/>
              </w:rPr>
              <w:t>由</w:t>
            </w:r>
            <w:r>
              <w:rPr>
                <w:rFonts w:hint="eastAsia"/>
                <w:b w:val="0"/>
                <w:bCs w:val="0"/>
                <w:color w:val="000000"/>
              </w:rPr>
              <w:fldChar w:fldCharType="begin"/>
            </w:r>
            <w:r>
              <w:rPr>
                <w:b w:val="0"/>
                <w:bCs w:val="0"/>
              </w:rPr>
              <w:instrText xml:space="preserve"> REF _Ref6250 \h  \* MERGEFORMAT</w:instrText>
            </w:r>
            <w:r>
              <w:rPr>
                <w:rFonts w:hint="eastAsia"/>
                <w:b w:val="0"/>
                <w:bCs w:val="0"/>
                <w:color w:val="000000"/>
              </w:rPr>
              <w:fldChar w:fldCharType="separate"/>
            </w:r>
            <w:r>
              <w:rPr>
                <w:rFonts w:ascii="Times New Roman" w:hAnsi="Times New Roman" w:eastAsia="宋体"/>
                <w:b w:val="0"/>
                <w:bCs w:val="0"/>
              </w:rPr>
              <w:t>表26</w:t>
            </w:r>
            <w:r>
              <w:rPr>
                <w:rFonts w:hint="eastAsia"/>
                <w:b w:val="0"/>
                <w:bCs w:val="0"/>
                <w:color w:val="000000"/>
              </w:rPr>
              <w:fldChar w:fldCharType="end"/>
            </w:r>
            <w:r>
              <w:rPr>
                <w:rFonts w:hint="eastAsia"/>
                <w:color w:val="000000"/>
              </w:rPr>
              <w:t>可知，220千伏彩吉木一线50</w:t>
            </w:r>
            <w:r>
              <w:rPr>
                <w:color w:val="000000"/>
              </w:rPr>
              <w:t>m范围内昼间噪声监测值为</w:t>
            </w:r>
            <w:r>
              <w:rPr>
                <w:rFonts w:hint="eastAsia"/>
              </w:rPr>
              <w:t>36</w:t>
            </w:r>
            <w:r>
              <w:rPr>
                <w:color w:val="000000"/>
              </w:rPr>
              <w:t>dB(A)</w:t>
            </w:r>
            <w:r>
              <w:rPr>
                <w:rFonts w:hint="eastAsia"/>
              </w:rPr>
              <w:t>~</w:t>
            </w:r>
            <w:r>
              <w:t>37</w:t>
            </w:r>
            <w:r>
              <w:rPr>
                <w:color w:val="000000"/>
              </w:rPr>
              <w:t>dB(A)，夜间噪声监测值为</w:t>
            </w:r>
            <w:r>
              <w:t>35</w:t>
            </w:r>
            <w:r>
              <w:rPr>
                <w:color w:val="000000"/>
              </w:rPr>
              <w:t>dB(A)</w:t>
            </w:r>
            <w:r>
              <w:rPr>
                <w:rFonts w:hint="eastAsia"/>
              </w:rPr>
              <w:t>~</w:t>
            </w:r>
            <w:r>
              <w:t>36</w:t>
            </w:r>
            <w:r>
              <w:rPr>
                <w:color w:val="000000"/>
              </w:rPr>
              <w:t>dB(A)，满足《声环境质量标准》（GB3096-2008）</w:t>
            </w:r>
            <w:r>
              <w:rPr>
                <w:rFonts w:hint="eastAsia"/>
                <w:color w:val="000000"/>
              </w:rPr>
              <w:t>中2</w:t>
            </w:r>
            <w:r>
              <w:rPr>
                <w:color w:val="000000"/>
              </w:rPr>
              <w:t>类标准</w:t>
            </w:r>
            <w:r>
              <w:rPr>
                <w:rFonts w:hint="eastAsia"/>
                <w:color w:val="000000"/>
              </w:rPr>
              <w:t>限值</w:t>
            </w:r>
            <w:r>
              <w:rPr>
                <w:color w:val="000000"/>
              </w:rPr>
              <w:t>要求，且0~</w:t>
            </w:r>
            <w:r>
              <w:rPr>
                <w:rFonts w:hint="eastAsia"/>
                <w:color w:val="000000"/>
              </w:rPr>
              <w:t>5</w:t>
            </w:r>
            <w:r>
              <w:rPr>
                <w:color w:val="000000"/>
              </w:rPr>
              <w:t>0m范围内变化趋势不明显，说明输电线路的运行噪声对周围环境噪声的贡献很小。</w:t>
            </w:r>
            <w:r>
              <w:rPr>
                <w:rFonts w:hint="eastAsia"/>
                <w:color w:val="000000"/>
              </w:rPr>
              <w:t>因此可以预测</w:t>
            </w:r>
            <w:r>
              <w:rPr>
                <w:color w:val="000000"/>
              </w:rPr>
              <w:t>，</w:t>
            </w:r>
            <w:r>
              <w:rPr>
                <w:rFonts w:hint="eastAsia"/>
                <w:color w:val="000000"/>
              </w:rPr>
              <w:t>本工程新建单回输电线路投运前后周围声环境水平将保持同一水平，并能够满足相应声环境质量标准要求。</w:t>
            </w:r>
          </w:p>
          <w:p>
            <w:pPr>
              <w:pStyle w:val="5"/>
              <w:numPr>
                <w:ilvl w:val="3"/>
                <w:numId w:val="15"/>
              </w:numPr>
              <w:ind w:firstLineChars="0"/>
              <w:rPr>
                <w:color w:val="000000"/>
              </w:rPr>
            </w:pPr>
            <w:r>
              <w:rPr>
                <w:rFonts w:hint="eastAsia"/>
                <w:b/>
                <w:bCs/>
                <w:color w:val="000000"/>
              </w:rPr>
              <w:t>运行期输电线路声环境保护目标噪声预测分析</w:t>
            </w:r>
          </w:p>
          <w:p>
            <w:pPr>
              <w:pStyle w:val="5"/>
              <w:adjustRightInd w:val="0"/>
              <w:snapToGrid w:val="0"/>
              <w:rPr>
                <w:rStyle w:val="44"/>
                <w:kern w:val="0"/>
                <w:sz w:val="24"/>
                <w:szCs w:val="24"/>
              </w:rPr>
            </w:pPr>
            <w:r>
              <w:rPr>
                <w:rStyle w:val="44"/>
                <w:rFonts w:hint="eastAsia"/>
                <w:kern w:val="0"/>
                <w:sz w:val="24"/>
                <w:szCs w:val="24"/>
              </w:rPr>
              <w:t>本项目输电线路声环境评价范围内有5处声环境保护目标，声环境保护目标处昼间和夜间噪声均满足《声环境质量标准》（</w:t>
            </w:r>
            <w:r>
              <w:rPr>
                <w:rStyle w:val="44"/>
                <w:kern w:val="0"/>
                <w:sz w:val="24"/>
                <w:szCs w:val="24"/>
              </w:rPr>
              <w:t>GB3096-2008</w:t>
            </w:r>
            <w:r>
              <w:rPr>
                <w:rStyle w:val="44"/>
                <w:rFonts w:hint="eastAsia"/>
                <w:kern w:val="0"/>
                <w:sz w:val="24"/>
                <w:szCs w:val="24"/>
              </w:rPr>
              <w:t>）中</w:t>
            </w:r>
            <w:r>
              <w:rPr>
                <w:rStyle w:val="44"/>
                <w:kern w:val="0"/>
                <w:sz w:val="24"/>
                <w:szCs w:val="24"/>
              </w:rPr>
              <w:t>2</w:t>
            </w:r>
            <w:r>
              <w:rPr>
                <w:rStyle w:val="44"/>
                <w:rFonts w:hint="eastAsia"/>
                <w:kern w:val="0"/>
                <w:sz w:val="24"/>
                <w:szCs w:val="24"/>
              </w:rPr>
              <w:t>类标准要求，通过运行期输电线路声环境影响类比分析，本工程运行期输电线路声环境保护目标处噪声预测结果见</w:t>
            </w:r>
            <w:r>
              <w:rPr>
                <w:rStyle w:val="44"/>
                <w:rFonts w:hint="eastAsia"/>
                <w:b w:val="0"/>
                <w:bCs w:val="0"/>
                <w:kern w:val="0"/>
                <w:sz w:val="24"/>
                <w:szCs w:val="24"/>
              </w:rPr>
              <w:fldChar w:fldCharType="begin"/>
            </w:r>
            <w:r>
              <w:rPr>
                <w:b w:val="0"/>
                <w:bCs w:val="0"/>
              </w:rPr>
              <w:instrText xml:space="preserve"> REF _Ref987 \h  \* MERGEFORMAT</w:instrText>
            </w:r>
            <w:r>
              <w:rPr>
                <w:rStyle w:val="44"/>
                <w:rFonts w:hint="eastAsia"/>
                <w:b w:val="0"/>
                <w:bCs w:val="0"/>
                <w:kern w:val="0"/>
                <w:sz w:val="24"/>
                <w:szCs w:val="24"/>
              </w:rPr>
              <w:fldChar w:fldCharType="separate"/>
            </w:r>
            <w:r>
              <w:rPr>
                <w:rFonts w:ascii="Times New Roman" w:hAnsi="Times New Roman" w:eastAsia="宋体"/>
                <w:b w:val="0"/>
                <w:bCs w:val="0"/>
              </w:rPr>
              <w:t>表27</w:t>
            </w:r>
            <w:r>
              <w:rPr>
                <w:rStyle w:val="44"/>
                <w:rFonts w:hint="eastAsia"/>
                <w:b w:val="0"/>
                <w:bCs w:val="0"/>
                <w:kern w:val="0"/>
                <w:sz w:val="24"/>
                <w:szCs w:val="24"/>
              </w:rPr>
              <w:fldChar w:fldCharType="end"/>
            </w:r>
            <w:r>
              <w:rPr>
                <w:rStyle w:val="44"/>
                <w:rFonts w:hint="eastAsia"/>
                <w:kern w:val="0"/>
                <w:sz w:val="24"/>
                <w:szCs w:val="24"/>
              </w:rPr>
              <w:t>。</w:t>
            </w:r>
          </w:p>
          <w:p>
            <w:pPr>
              <w:pStyle w:val="10"/>
              <w:rPr>
                <w:rFonts w:eastAsia="宋体"/>
              </w:rPr>
            </w:pPr>
            <w:bookmarkStart w:id="609" w:name="_Ref987"/>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27</w:t>
            </w:r>
            <w:r>
              <w:rPr>
                <w:rFonts w:ascii="Times New Roman" w:hAnsi="Times New Roman" w:eastAsia="宋体"/>
                <w:b/>
                <w:bCs/>
              </w:rPr>
              <w:fldChar w:fldCharType="end"/>
            </w:r>
            <w:bookmarkEnd w:id="609"/>
            <w:r>
              <w:rPr>
                <w:rFonts w:ascii="Times New Roman" w:hAnsi="Times New Roman" w:eastAsia="宋体"/>
                <w:b/>
                <w:bCs/>
              </w:rPr>
              <w:t>运行期输电线路声环境保护目标噪声预测结果与达标情况分析表</w:t>
            </w:r>
            <w:r>
              <w:rPr>
                <w:rFonts w:hint="eastAsia" w:ascii="Times New Roman" w:hAnsi="Times New Roman" w:eastAsia="宋体"/>
                <w:b/>
                <w:bCs/>
              </w:rPr>
              <w:t xml:space="preserve">    </w:t>
            </w:r>
            <w:r>
              <w:rPr>
                <w:rFonts w:ascii="Times New Roman" w:hAnsi="Times New Roman" w:eastAsia="宋体"/>
                <w:b/>
                <w:bCs/>
              </w:rPr>
              <w:t>单位：dB（A）</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2261"/>
              <w:gridCol w:w="1289"/>
              <w:gridCol w:w="714"/>
              <w:gridCol w:w="714"/>
              <w:gridCol w:w="714"/>
              <w:gridCol w:w="714"/>
              <w:gridCol w:w="657"/>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blHeader/>
                <w:jc w:val="center"/>
              </w:trPr>
              <w:tc>
                <w:tcPr>
                  <w:tcW w:w="279" w:type="pct"/>
                  <w:vMerge w:val="restart"/>
                  <w:vAlign w:val="center"/>
                </w:tcPr>
                <w:p>
                  <w:pPr>
                    <w:widowControl/>
                    <w:jc w:val="center"/>
                    <w:rPr>
                      <w:b/>
                      <w:bCs/>
                      <w:kern w:val="0"/>
                      <w:szCs w:val="21"/>
                    </w:rPr>
                  </w:pPr>
                  <w:r>
                    <w:rPr>
                      <w:b/>
                      <w:bCs/>
                      <w:kern w:val="0"/>
                      <w:szCs w:val="21"/>
                    </w:rPr>
                    <w:t>序号</w:t>
                  </w:r>
                </w:p>
              </w:tc>
              <w:tc>
                <w:tcPr>
                  <w:tcW w:w="1361" w:type="pct"/>
                  <w:vMerge w:val="restart"/>
                  <w:vAlign w:val="center"/>
                </w:tcPr>
                <w:p>
                  <w:pPr>
                    <w:widowControl/>
                    <w:jc w:val="center"/>
                    <w:rPr>
                      <w:b/>
                      <w:bCs/>
                      <w:kern w:val="0"/>
                      <w:szCs w:val="21"/>
                    </w:rPr>
                  </w:pPr>
                  <w:r>
                    <w:rPr>
                      <w:rFonts w:hint="eastAsia"/>
                      <w:b/>
                      <w:bCs/>
                      <w:kern w:val="0"/>
                      <w:szCs w:val="21"/>
                    </w:rPr>
                    <w:t>敏感点名称</w:t>
                  </w:r>
                </w:p>
              </w:tc>
              <w:tc>
                <w:tcPr>
                  <w:tcW w:w="777" w:type="pct"/>
                  <w:vMerge w:val="restart"/>
                  <w:vAlign w:val="center"/>
                </w:tcPr>
                <w:p>
                  <w:pPr>
                    <w:widowControl/>
                    <w:jc w:val="center"/>
                    <w:rPr>
                      <w:b/>
                      <w:bCs/>
                      <w:kern w:val="0"/>
                      <w:szCs w:val="21"/>
                    </w:rPr>
                  </w:pPr>
                  <w:r>
                    <w:rPr>
                      <w:rFonts w:hint="eastAsia"/>
                      <w:b/>
                      <w:bCs/>
                      <w:kern w:val="0"/>
                      <w:szCs w:val="21"/>
                    </w:rPr>
                    <w:t>预测</w:t>
                  </w:r>
                  <w:r>
                    <w:rPr>
                      <w:b/>
                      <w:bCs/>
                      <w:kern w:val="0"/>
                      <w:szCs w:val="21"/>
                    </w:rPr>
                    <w:t>点位</w:t>
                  </w:r>
                </w:p>
              </w:tc>
              <w:tc>
                <w:tcPr>
                  <w:tcW w:w="860" w:type="pct"/>
                  <w:gridSpan w:val="2"/>
                  <w:vAlign w:val="center"/>
                </w:tcPr>
                <w:p>
                  <w:pPr>
                    <w:pStyle w:val="75"/>
                    <w:rPr>
                      <w:b/>
                      <w:bCs/>
                      <w:szCs w:val="21"/>
                    </w:rPr>
                  </w:pPr>
                  <w:r>
                    <w:rPr>
                      <w:b/>
                      <w:szCs w:val="21"/>
                    </w:rPr>
                    <w:t>噪声</w:t>
                  </w:r>
                  <w:r>
                    <w:rPr>
                      <w:rFonts w:hint="eastAsia"/>
                      <w:b/>
                      <w:szCs w:val="21"/>
                    </w:rPr>
                    <w:t>现状</w:t>
                  </w:r>
                  <w:r>
                    <w:rPr>
                      <w:b/>
                      <w:szCs w:val="21"/>
                    </w:rPr>
                    <w:t>值</w:t>
                  </w:r>
                </w:p>
              </w:tc>
              <w:tc>
                <w:tcPr>
                  <w:tcW w:w="860" w:type="pct"/>
                  <w:gridSpan w:val="2"/>
                  <w:vAlign w:val="center"/>
                </w:tcPr>
                <w:p>
                  <w:pPr>
                    <w:pStyle w:val="75"/>
                    <w:rPr>
                      <w:b/>
                      <w:bCs/>
                      <w:szCs w:val="21"/>
                    </w:rPr>
                  </w:pPr>
                  <w:r>
                    <w:rPr>
                      <w:b/>
                      <w:szCs w:val="21"/>
                    </w:rPr>
                    <w:t>噪声</w:t>
                  </w:r>
                  <w:r>
                    <w:rPr>
                      <w:rFonts w:hint="eastAsia"/>
                      <w:b/>
                      <w:szCs w:val="21"/>
                    </w:rPr>
                    <w:t>预测</w:t>
                  </w:r>
                  <w:r>
                    <w:rPr>
                      <w:b/>
                      <w:szCs w:val="21"/>
                    </w:rPr>
                    <w:t>值</w:t>
                  </w:r>
                </w:p>
              </w:tc>
              <w:tc>
                <w:tcPr>
                  <w:tcW w:w="860" w:type="pct"/>
                  <w:gridSpan w:val="2"/>
                  <w:vAlign w:val="center"/>
                </w:tcPr>
                <w:p>
                  <w:pPr>
                    <w:widowControl/>
                    <w:jc w:val="center"/>
                    <w:rPr>
                      <w:b/>
                      <w:bCs/>
                      <w:kern w:val="0"/>
                      <w:szCs w:val="21"/>
                    </w:rPr>
                  </w:pPr>
                  <w:r>
                    <w:rPr>
                      <w:b/>
                      <w:szCs w:val="21"/>
                    </w:rPr>
                    <w:t>超标和达标情况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blHeader/>
                <w:jc w:val="center"/>
              </w:trPr>
              <w:tc>
                <w:tcPr>
                  <w:tcW w:w="279" w:type="pct"/>
                  <w:vMerge w:val="continue"/>
                  <w:vAlign w:val="center"/>
                </w:tcPr>
                <w:p>
                  <w:pPr>
                    <w:widowControl/>
                    <w:jc w:val="center"/>
                    <w:rPr>
                      <w:b/>
                      <w:bCs/>
                      <w:kern w:val="0"/>
                      <w:szCs w:val="21"/>
                    </w:rPr>
                  </w:pPr>
                </w:p>
              </w:tc>
              <w:tc>
                <w:tcPr>
                  <w:tcW w:w="1361" w:type="pct"/>
                  <w:vMerge w:val="continue"/>
                  <w:vAlign w:val="center"/>
                </w:tcPr>
                <w:p>
                  <w:pPr>
                    <w:widowControl/>
                    <w:jc w:val="center"/>
                    <w:rPr>
                      <w:b/>
                      <w:bCs/>
                      <w:kern w:val="0"/>
                      <w:szCs w:val="21"/>
                    </w:rPr>
                  </w:pPr>
                </w:p>
              </w:tc>
              <w:tc>
                <w:tcPr>
                  <w:tcW w:w="777" w:type="pct"/>
                  <w:vMerge w:val="continue"/>
                  <w:vAlign w:val="center"/>
                </w:tcPr>
                <w:p>
                  <w:pPr>
                    <w:widowControl/>
                    <w:jc w:val="center"/>
                    <w:rPr>
                      <w:b/>
                      <w:bCs/>
                      <w:kern w:val="0"/>
                      <w:szCs w:val="21"/>
                    </w:rPr>
                  </w:pPr>
                </w:p>
              </w:tc>
              <w:tc>
                <w:tcPr>
                  <w:tcW w:w="430" w:type="pct"/>
                  <w:vAlign w:val="center"/>
                </w:tcPr>
                <w:p>
                  <w:pPr>
                    <w:widowControl/>
                    <w:jc w:val="center"/>
                    <w:rPr>
                      <w:b/>
                      <w:bCs/>
                      <w:kern w:val="0"/>
                      <w:szCs w:val="21"/>
                    </w:rPr>
                  </w:pPr>
                  <w:r>
                    <w:rPr>
                      <w:b/>
                      <w:snapToGrid w:val="0"/>
                      <w:kern w:val="0"/>
                      <w:szCs w:val="21"/>
                    </w:rPr>
                    <w:t>昼间</w:t>
                  </w:r>
                </w:p>
              </w:tc>
              <w:tc>
                <w:tcPr>
                  <w:tcW w:w="430" w:type="pct"/>
                  <w:vAlign w:val="center"/>
                </w:tcPr>
                <w:p>
                  <w:pPr>
                    <w:widowControl/>
                    <w:jc w:val="center"/>
                    <w:rPr>
                      <w:b/>
                      <w:bCs/>
                      <w:kern w:val="0"/>
                      <w:szCs w:val="21"/>
                    </w:rPr>
                  </w:pPr>
                  <w:r>
                    <w:rPr>
                      <w:b/>
                      <w:snapToGrid w:val="0"/>
                      <w:kern w:val="0"/>
                      <w:szCs w:val="21"/>
                    </w:rPr>
                    <w:t>夜间</w:t>
                  </w:r>
                </w:p>
              </w:tc>
              <w:tc>
                <w:tcPr>
                  <w:tcW w:w="430" w:type="pct"/>
                  <w:vAlign w:val="center"/>
                </w:tcPr>
                <w:p>
                  <w:pPr>
                    <w:widowControl/>
                    <w:jc w:val="center"/>
                    <w:rPr>
                      <w:b/>
                      <w:bCs/>
                      <w:kern w:val="0"/>
                      <w:szCs w:val="21"/>
                    </w:rPr>
                  </w:pPr>
                  <w:r>
                    <w:rPr>
                      <w:b/>
                      <w:snapToGrid w:val="0"/>
                      <w:kern w:val="0"/>
                      <w:szCs w:val="21"/>
                    </w:rPr>
                    <w:t>昼间</w:t>
                  </w:r>
                </w:p>
              </w:tc>
              <w:tc>
                <w:tcPr>
                  <w:tcW w:w="430" w:type="pct"/>
                  <w:vAlign w:val="center"/>
                </w:tcPr>
                <w:p>
                  <w:pPr>
                    <w:widowControl/>
                    <w:jc w:val="center"/>
                    <w:rPr>
                      <w:b/>
                      <w:bCs/>
                      <w:kern w:val="0"/>
                      <w:szCs w:val="21"/>
                    </w:rPr>
                  </w:pPr>
                  <w:r>
                    <w:rPr>
                      <w:b/>
                      <w:snapToGrid w:val="0"/>
                      <w:kern w:val="0"/>
                      <w:szCs w:val="21"/>
                    </w:rPr>
                    <w:t>夜间</w:t>
                  </w:r>
                </w:p>
              </w:tc>
              <w:tc>
                <w:tcPr>
                  <w:tcW w:w="396" w:type="pct"/>
                  <w:vAlign w:val="center"/>
                </w:tcPr>
                <w:p>
                  <w:pPr>
                    <w:widowControl/>
                    <w:jc w:val="center"/>
                    <w:rPr>
                      <w:b/>
                      <w:bCs/>
                      <w:kern w:val="0"/>
                      <w:szCs w:val="21"/>
                    </w:rPr>
                  </w:pPr>
                  <w:r>
                    <w:rPr>
                      <w:b/>
                      <w:snapToGrid w:val="0"/>
                      <w:kern w:val="0"/>
                      <w:szCs w:val="21"/>
                    </w:rPr>
                    <w:t>昼间</w:t>
                  </w:r>
                </w:p>
              </w:tc>
              <w:tc>
                <w:tcPr>
                  <w:tcW w:w="464" w:type="pct"/>
                  <w:vAlign w:val="center"/>
                </w:tcPr>
                <w:p>
                  <w:pPr>
                    <w:widowControl/>
                    <w:jc w:val="center"/>
                    <w:rPr>
                      <w:b/>
                      <w:bCs/>
                      <w:kern w:val="0"/>
                      <w:szCs w:val="21"/>
                    </w:rPr>
                  </w:pPr>
                  <w:r>
                    <w:rPr>
                      <w:b/>
                      <w:snapToGrid w:val="0"/>
                      <w:kern w:val="0"/>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Align w:val="center"/>
                </w:tcPr>
                <w:p>
                  <w:pPr>
                    <w:jc w:val="center"/>
                    <w:rPr>
                      <w:b/>
                      <w:bCs/>
                      <w:kern w:val="0"/>
                      <w:szCs w:val="21"/>
                    </w:rPr>
                  </w:pPr>
                  <w:r>
                    <w:rPr>
                      <w:b/>
                      <w:bCs/>
                      <w:kern w:val="0"/>
                      <w:szCs w:val="21"/>
                    </w:rPr>
                    <w:t>1</w:t>
                  </w:r>
                </w:p>
              </w:tc>
              <w:tc>
                <w:tcPr>
                  <w:tcW w:w="1361" w:type="pct"/>
                  <w:vAlign w:val="center"/>
                </w:tcPr>
                <w:p>
                  <w:pPr>
                    <w:widowControl/>
                    <w:jc w:val="center"/>
                    <w:rPr>
                      <w:szCs w:val="21"/>
                    </w:rPr>
                  </w:pPr>
                  <w:r>
                    <w:rPr>
                      <w:kern w:val="0"/>
                      <w:szCs w:val="21"/>
                    </w:rPr>
                    <w:t>新疆维吾尔自治区吐鲁番市托克逊县郭勒布依乡河东村六组阿</w:t>
                  </w:r>
                  <w:r>
                    <w:rPr>
                      <w:rFonts w:hint="eastAsia"/>
                      <w:kern w:val="0"/>
                      <w:szCs w:val="21"/>
                    </w:rPr>
                    <w:t>某家</w:t>
                  </w:r>
                </w:p>
              </w:tc>
              <w:tc>
                <w:tcPr>
                  <w:tcW w:w="777" w:type="pct"/>
                  <w:vAlign w:val="center"/>
                </w:tcPr>
                <w:p>
                  <w:pPr>
                    <w:widowControl/>
                    <w:jc w:val="center"/>
                    <w:rPr>
                      <w:szCs w:val="21"/>
                    </w:rPr>
                  </w:pPr>
                  <w:r>
                    <w:rPr>
                      <w:rFonts w:hint="eastAsia"/>
                      <w:szCs w:val="21"/>
                    </w:rPr>
                    <w:t>居</w:t>
                  </w:r>
                  <w:r>
                    <w:rPr>
                      <w:szCs w:val="21"/>
                    </w:rPr>
                    <w:t>民房</w:t>
                  </w:r>
                  <w:r>
                    <w:rPr>
                      <w:rFonts w:hint="eastAsia"/>
                      <w:szCs w:val="21"/>
                    </w:rPr>
                    <w:t>a</w:t>
                  </w:r>
                </w:p>
              </w:tc>
              <w:tc>
                <w:tcPr>
                  <w:tcW w:w="430" w:type="pct"/>
                  <w:vAlign w:val="center"/>
                </w:tcPr>
                <w:p>
                  <w:pPr>
                    <w:widowControl/>
                    <w:jc w:val="center"/>
                    <w:rPr>
                      <w:szCs w:val="21"/>
                    </w:rPr>
                  </w:pPr>
                  <w:r>
                    <w:rPr>
                      <w:kern w:val="0"/>
                      <w:szCs w:val="21"/>
                    </w:rPr>
                    <w:t>37.3</w:t>
                  </w:r>
                </w:p>
              </w:tc>
              <w:tc>
                <w:tcPr>
                  <w:tcW w:w="430" w:type="pct"/>
                  <w:vAlign w:val="center"/>
                </w:tcPr>
                <w:p>
                  <w:pPr>
                    <w:widowControl/>
                    <w:jc w:val="center"/>
                    <w:rPr>
                      <w:szCs w:val="21"/>
                    </w:rPr>
                  </w:pPr>
                  <w:r>
                    <w:rPr>
                      <w:kern w:val="0"/>
                      <w:szCs w:val="21"/>
                    </w:rPr>
                    <w:t>36.4</w:t>
                  </w:r>
                </w:p>
              </w:tc>
              <w:tc>
                <w:tcPr>
                  <w:tcW w:w="430" w:type="pct"/>
                  <w:vAlign w:val="center"/>
                </w:tcPr>
                <w:p>
                  <w:pPr>
                    <w:widowControl/>
                    <w:jc w:val="center"/>
                    <w:rPr>
                      <w:szCs w:val="21"/>
                    </w:rPr>
                  </w:pPr>
                  <w:r>
                    <w:rPr>
                      <w:rFonts w:hint="eastAsia"/>
                      <w:szCs w:val="21"/>
                    </w:rPr>
                    <w:t>＜60</w:t>
                  </w:r>
                </w:p>
              </w:tc>
              <w:tc>
                <w:tcPr>
                  <w:tcW w:w="430" w:type="pct"/>
                  <w:vAlign w:val="center"/>
                </w:tcPr>
                <w:p>
                  <w:pPr>
                    <w:widowControl/>
                    <w:jc w:val="center"/>
                    <w:rPr>
                      <w:szCs w:val="21"/>
                    </w:rPr>
                  </w:pPr>
                  <w:r>
                    <w:rPr>
                      <w:rFonts w:hint="eastAsia"/>
                      <w:szCs w:val="21"/>
                    </w:rPr>
                    <w:t>＜50</w:t>
                  </w:r>
                </w:p>
              </w:tc>
              <w:tc>
                <w:tcPr>
                  <w:tcW w:w="860" w:type="pct"/>
                  <w:gridSpan w:val="2"/>
                  <w:vAlign w:val="center"/>
                </w:tcPr>
                <w:p>
                  <w:pPr>
                    <w:widowControl/>
                    <w:jc w:val="center"/>
                    <w:rPr>
                      <w:szCs w:val="21"/>
                    </w:rPr>
                  </w:pPr>
                  <w:r>
                    <w:rPr>
                      <w:rFonts w:hint="eastAsia"/>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Align w:val="center"/>
                </w:tcPr>
                <w:p>
                  <w:pPr>
                    <w:jc w:val="center"/>
                    <w:rPr>
                      <w:b/>
                      <w:bCs/>
                      <w:kern w:val="0"/>
                      <w:szCs w:val="21"/>
                    </w:rPr>
                  </w:pPr>
                  <w:r>
                    <w:rPr>
                      <w:rFonts w:hint="eastAsia"/>
                      <w:b/>
                      <w:bCs/>
                      <w:kern w:val="0"/>
                      <w:szCs w:val="21"/>
                    </w:rPr>
                    <w:t>2</w:t>
                  </w:r>
                </w:p>
              </w:tc>
              <w:tc>
                <w:tcPr>
                  <w:tcW w:w="1361" w:type="pct"/>
                  <w:vAlign w:val="center"/>
                </w:tcPr>
                <w:p>
                  <w:pPr>
                    <w:widowControl/>
                    <w:jc w:val="center"/>
                    <w:rPr>
                      <w:szCs w:val="21"/>
                    </w:rPr>
                  </w:pPr>
                  <w:r>
                    <w:rPr>
                      <w:kern w:val="0"/>
                      <w:szCs w:val="21"/>
                    </w:rPr>
                    <w:t>新疆维吾尔自治区吐鲁番市托克逊县郭勒布依乡巴格万村二组238户北侧</w:t>
                  </w:r>
                </w:p>
              </w:tc>
              <w:tc>
                <w:tcPr>
                  <w:tcW w:w="777" w:type="pct"/>
                  <w:vAlign w:val="center"/>
                </w:tcPr>
                <w:p>
                  <w:pPr>
                    <w:widowControl/>
                    <w:jc w:val="center"/>
                    <w:rPr>
                      <w:szCs w:val="21"/>
                    </w:rPr>
                  </w:pPr>
                  <w:r>
                    <w:rPr>
                      <w:rFonts w:hint="eastAsia"/>
                      <w:szCs w:val="21"/>
                    </w:rPr>
                    <w:t>居</w:t>
                  </w:r>
                  <w:r>
                    <w:rPr>
                      <w:szCs w:val="21"/>
                    </w:rPr>
                    <w:t>民房</w:t>
                  </w:r>
                  <w:r>
                    <w:rPr>
                      <w:rFonts w:hint="eastAsia"/>
                      <w:szCs w:val="21"/>
                    </w:rPr>
                    <w:t>d</w:t>
                  </w:r>
                </w:p>
              </w:tc>
              <w:tc>
                <w:tcPr>
                  <w:tcW w:w="430" w:type="pct"/>
                  <w:vAlign w:val="center"/>
                </w:tcPr>
                <w:p>
                  <w:pPr>
                    <w:widowControl/>
                    <w:jc w:val="center"/>
                    <w:rPr>
                      <w:szCs w:val="21"/>
                    </w:rPr>
                  </w:pPr>
                  <w:r>
                    <w:rPr>
                      <w:kern w:val="0"/>
                      <w:szCs w:val="21"/>
                    </w:rPr>
                    <w:t>38.2</w:t>
                  </w:r>
                </w:p>
              </w:tc>
              <w:tc>
                <w:tcPr>
                  <w:tcW w:w="430" w:type="pct"/>
                  <w:vAlign w:val="center"/>
                </w:tcPr>
                <w:p>
                  <w:pPr>
                    <w:widowControl/>
                    <w:jc w:val="center"/>
                    <w:rPr>
                      <w:szCs w:val="21"/>
                    </w:rPr>
                  </w:pPr>
                  <w:r>
                    <w:rPr>
                      <w:kern w:val="0"/>
                      <w:szCs w:val="21"/>
                    </w:rPr>
                    <w:t>36.6</w:t>
                  </w:r>
                </w:p>
              </w:tc>
              <w:tc>
                <w:tcPr>
                  <w:tcW w:w="430" w:type="pct"/>
                  <w:vAlign w:val="center"/>
                </w:tcPr>
                <w:p>
                  <w:pPr>
                    <w:widowControl/>
                    <w:jc w:val="center"/>
                    <w:rPr>
                      <w:szCs w:val="21"/>
                    </w:rPr>
                  </w:pPr>
                  <w:r>
                    <w:rPr>
                      <w:rFonts w:hint="eastAsia"/>
                      <w:szCs w:val="21"/>
                    </w:rPr>
                    <w:t>＜60</w:t>
                  </w:r>
                </w:p>
              </w:tc>
              <w:tc>
                <w:tcPr>
                  <w:tcW w:w="430" w:type="pct"/>
                  <w:vAlign w:val="center"/>
                </w:tcPr>
                <w:p>
                  <w:pPr>
                    <w:widowControl/>
                    <w:jc w:val="center"/>
                    <w:rPr>
                      <w:szCs w:val="21"/>
                    </w:rPr>
                  </w:pPr>
                  <w:r>
                    <w:rPr>
                      <w:rFonts w:hint="eastAsia"/>
                      <w:szCs w:val="21"/>
                    </w:rPr>
                    <w:t>＜50</w:t>
                  </w:r>
                </w:p>
              </w:tc>
              <w:tc>
                <w:tcPr>
                  <w:tcW w:w="860" w:type="pct"/>
                  <w:gridSpan w:val="2"/>
                  <w:vAlign w:val="center"/>
                </w:tcPr>
                <w:p>
                  <w:pPr>
                    <w:widowControl/>
                    <w:jc w:val="center"/>
                    <w:rPr>
                      <w:szCs w:val="21"/>
                    </w:rPr>
                  </w:pPr>
                  <w:r>
                    <w:rPr>
                      <w:rFonts w:hint="eastAsia"/>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Align w:val="center"/>
                </w:tcPr>
                <w:p>
                  <w:pPr>
                    <w:jc w:val="center"/>
                    <w:rPr>
                      <w:b/>
                      <w:bCs/>
                      <w:kern w:val="0"/>
                      <w:szCs w:val="21"/>
                    </w:rPr>
                  </w:pPr>
                  <w:r>
                    <w:rPr>
                      <w:rFonts w:hint="eastAsia"/>
                      <w:b/>
                      <w:bCs/>
                      <w:kern w:val="0"/>
                      <w:szCs w:val="21"/>
                    </w:rPr>
                    <w:t>3</w:t>
                  </w:r>
                </w:p>
              </w:tc>
              <w:tc>
                <w:tcPr>
                  <w:tcW w:w="1361" w:type="pct"/>
                  <w:vAlign w:val="center"/>
                </w:tcPr>
                <w:p>
                  <w:pPr>
                    <w:widowControl/>
                    <w:jc w:val="center"/>
                    <w:rPr>
                      <w:kern w:val="0"/>
                      <w:szCs w:val="21"/>
                    </w:rPr>
                  </w:pPr>
                  <w:r>
                    <w:rPr>
                      <w:kern w:val="0"/>
                      <w:szCs w:val="21"/>
                    </w:rPr>
                    <w:t>新疆维吾尔自治区吐鲁番市托克逊县夏镇闲置厂房西侧</w:t>
                  </w:r>
                </w:p>
              </w:tc>
              <w:tc>
                <w:tcPr>
                  <w:tcW w:w="777" w:type="pct"/>
                  <w:vAlign w:val="center"/>
                </w:tcPr>
                <w:p>
                  <w:pPr>
                    <w:widowControl/>
                    <w:jc w:val="center"/>
                    <w:rPr>
                      <w:szCs w:val="21"/>
                    </w:rPr>
                  </w:pPr>
                  <w:r>
                    <w:rPr>
                      <w:kern w:val="0"/>
                      <w:szCs w:val="21"/>
                    </w:rPr>
                    <w:t>闲置厂房</w:t>
                  </w:r>
                </w:p>
              </w:tc>
              <w:tc>
                <w:tcPr>
                  <w:tcW w:w="430" w:type="pct"/>
                  <w:shd w:val="clear" w:color="auto" w:fill="auto"/>
                  <w:vAlign w:val="center"/>
                </w:tcPr>
                <w:p>
                  <w:pPr>
                    <w:widowControl/>
                    <w:jc w:val="center"/>
                    <w:rPr>
                      <w:szCs w:val="21"/>
                    </w:rPr>
                  </w:pPr>
                  <w:r>
                    <w:rPr>
                      <w:kern w:val="0"/>
                      <w:szCs w:val="21"/>
                    </w:rPr>
                    <w:t>37.6</w:t>
                  </w:r>
                </w:p>
              </w:tc>
              <w:tc>
                <w:tcPr>
                  <w:tcW w:w="430" w:type="pct"/>
                  <w:shd w:val="clear" w:color="auto" w:fill="auto"/>
                  <w:vAlign w:val="center"/>
                </w:tcPr>
                <w:p>
                  <w:pPr>
                    <w:widowControl/>
                    <w:jc w:val="center"/>
                    <w:rPr>
                      <w:szCs w:val="21"/>
                    </w:rPr>
                  </w:pPr>
                  <w:r>
                    <w:rPr>
                      <w:kern w:val="0"/>
                      <w:szCs w:val="21"/>
                    </w:rPr>
                    <w:t>36.7</w:t>
                  </w:r>
                </w:p>
              </w:tc>
              <w:tc>
                <w:tcPr>
                  <w:tcW w:w="430" w:type="pct"/>
                  <w:shd w:val="clear" w:color="auto" w:fill="auto"/>
                  <w:vAlign w:val="center"/>
                </w:tcPr>
                <w:p>
                  <w:pPr>
                    <w:widowControl/>
                    <w:jc w:val="center"/>
                    <w:rPr>
                      <w:szCs w:val="21"/>
                    </w:rPr>
                  </w:pPr>
                  <w:r>
                    <w:rPr>
                      <w:rFonts w:hint="eastAsia"/>
                      <w:szCs w:val="21"/>
                    </w:rPr>
                    <w:t>＜60</w:t>
                  </w:r>
                </w:p>
              </w:tc>
              <w:tc>
                <w:tcPr>
                  <w:tcW w:w="430" w:type="pct"/>
                  <w:shd w:val="clear" w:color="auto" w:fill="auto"/>
                  <w:vAlign w:val="center"/>
                </w:tcPr>
                <w:p>
                  <w:pPr>
                    <w:widowControl/>
                    <w:jc w:val="center"/>
                    <w:rPr>
                      <w:szCs w:val="21"/>
                    </w:rPr>
                  </w:pPr>
                  <w:r>
                    <w:rPr>
                      <w:rFonts w:hint="eastAsia"/>
                      <w:szCs w:val="21"/>
                    </w:rPr>
                    <w:t>＜50</w:t>
                  </w:r>
                </w:p>
              </w:tc>
              <w:tc>
                <w:tcPr>
                  <w:tcW w:w="860" w:type="pct"/>
                  <w:gridSpan w:val="2"/>
                  <w:shd w:val="clear" w:color="auto" w:fill="auto"/>
                  <w:vAlign w:val="center"/>
                </w:tcPr>
                <w:p>
                  <w:pPr>
                    <w:widowControl/>
                    <w:jc w:val="center"/>
                    <w:rPr>
                      <w:szCs w:val="21"/>
                    </w:rPr>
                  </w:pPr>
                  <w:r>
                    <w:rPr>
                      <w:rFonts w:hint="eastAsia"/>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Align w:val="center"/>
                </w:tcPr>
                <w:p>
                  <w:pPr>
                    <w:jc w:val="center"/>
                    <w:rPr>
                      <w:b/>
                      <w:bCs/>
                      <w:kern w:val="0"/>
                      <w:szCs w:val="21"/>
                    </w:rPr>
                  </w:pPr>
                  <w:r>
                    <w:rPr>
                      <w:rFonts w:hint="eastAsia"/>
                      <w:b/>
                      <w:bCs/>
                      <w:kern w:val="0"/>
                      <w:szCs w:val="21"/>
                    </w:rPr>
                    <w:t>4</w:t>
                  </w:r>
                </w:p>
              </w:tc>
              <w:tc>
                <w:tcPr>
                  <w:tcW w:w="1361" w:type="pct"/>
                  <w:vAlign w:val="center"/>
                </w:tcPr>
                <w:p>
                  <w:pPr>
                    <w:widowControl/>
                    <w:jc w:val="center"/>
                    <w:rPr>
                      <w:kern w:val="0"/>
                      <w:szCs w:val="21"/>
                    </w:rPr>
                  </w:pPr>
                  <w:r>
                    <w:rPr>
                      <w:kern w:val="0"/>
                      <w:szCs w:val="21"/>
                    </w:rPr>
                    <w:t>新疆维吾尔自治区吐鲁番市托克逊县夏镇海柱资源有限公司宿舍南侧</w:t>
                  </w:r>
                </w:p>
              </w:tc>
              <w:tc>
                <w:tcPr>
                  <w:tcW w:w="777" w:type="pct"/>
                  <w:vAlign w:val="center"/>
                </w:tcPr>
                <w:p>
                  <w:pPr>
                    <w:widowControl/>
                    <w:jc w:val="center"/>
                    <w:rPr>
                      <w:szCs w:val="21"/>
                    </w:rPr>
                  </w:pPr>
                  <w:r>
                    <w:rPr>
                      <w:kern w:val="0"/>
                      <w:szCs w:val="21"/>
                    </w:rPr>
                    <w:t>海柱资源有限公司宿舍</w:t>
                  </w:r>
                </w:p>
              </w:tc>
              <w:tc>
                <w:tcPr>
                  <w:tcW w:w="430" w:type="pct"/>
                  <w:shd w:val="clear" w:color="auto" w:fill="auto"/>
                  <w:vAlign w:val="center"/>
                </w:tcPr>
                <w:p>
                  <w:pPr>
                    <w:widowControl/>
                    <w:jc w:val="center"/>
                    <w:rPr>
                      <w:szCs w:val="21"/>
                    </w:rPr>
                  </w:pPr>
                  <w:r>
                    <w:rPr>
                      <w:kern w:val="0"/>
                      <w:szCs w:val="21"/>
                    </w:rPr>
                    <w:t>37.8</w:t>
                  </w:r>
                </w:p>
              </w:tc>
              <w:tc>
                <w:tcPr>
                  <w:tcW w:w="430" w:type="pct"/>
                  <w:shd w:val="clear" w:color="auto" w:fill="auto"/>
                  <w:vAlign w:val="center"/>
                </w:tcPr>
                <w:p>
                  <w:pPr>
                    <w:widowControl/>
                    <w:jc w:val="center"/>
                    <w:rPr>
                      <w:szCs w:val="21"/>
                    </w:rPr>
                  </w:pPr>
                  <w:r>
                    <w:rPr>
                      <w:kern w:val="0"/>
                      <w:szCs w:val="21"/>
                    </w:rPr>
                    <w:t>36.5</w:t>
                  </w:r>
                </w:p>
              </w:tc>
              <w:tc>
                <w:tcPr>
                  <w:tcW w:w="430" w:type="pct"/>
                  <w:shd w:val="clear" w:color="auto" w:fill="auto"/>
                  <w:vAlign w:val="center"/>
                </w:tcPr>
                <w:p>
                  <w:pPr>
                    <w:widowControl/>
                    <w:jc w:val="center"/>
                    <w:rPr>
                      <w:szCs w:val="21"/>
                    </w:rPr>
                  </w:pPr>
                  <w:r>
                    <w:rPr>
                      <w:rFonts w:hint="eastAsia"/>
                      <w:szCs w:val="21"/>
                    </w:rPr>
                    <w:t>＜60</w:t>
                  </w:r>
                </w:p>
              </w:tc>
              <w:tc>
                <w:tcPr>
                  <w:tcW w:w="430" w:type="pct"/>
                  <w:shd w:val="clear" w:color="auto" w:fill="auto"/>
                  <w:vAlign w:val="center"/>
                </w:tcPr>
                <w:p>
                  <w:pPr>
                    <w:widowControl/>
                    <w:jc w:val="center"/>
                    <w:rPr>
                      <w:szCs w:val="21"/>
                    </w:rPr>
                  </w:pPr>
                  <w:r>
                    <w:rPr>
                      <w:rFonts w:hint="eastAsia"/>
                      <w:szCs w:val="21"/>
                    </w:rPr>
                    <w:t>＜50</w:t>
                  </w:r>
                </w:p>
              </w:tc>
              <w:tc>
                <w:tcPr>
                  <w:tcW w:w="860" w:type="pct"/>
                  <w:gridSpan w:val="2"/>
                  <w:shd w:val="clear" w:color="auto" w:fill="auto"/>
                  <w:vAlign w:val="center"/>
                </w:tcPr>
                <w:p>
                  <w:pPr>
                    <w:widowControl/>
                    <w:jc w:val="center"/>
                    <w:rPr>
                      <w:szCs w:val="21"/>
                    </w:rPr>
                  </w:pPr>
                  <w:r>
                    <w:rPr>
                      <w:rFonts w:hint="eastAsia"/>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Align w:val="center"/>
                </w:tcPr>
                <w:p>
                  <w:pPr>
                    <w:jc w:val="center"/>
                    <w:rPr>
                      <w:b/>
                      <w:bCs/>
                      <w:kern w:val="0"/>
                      <w:szCs w:val="21"/>
                    </w:rPr>
                  </w:pPr>
                  <w:r>
                    <w:rPr>
                      <w:rFonts w:hint="eastAsia"/>
                      <w:b/>
                      <w:bCs/>
                      <w:kern w:val="0"/>
                      <w:szCs w:val="21"/>
                    </w:rPr>
                    <w:t>5</w:t>
                  </w:r>
                </w:p>
              </w:tc>
              <w:tc>
                <w:tcPr>
                  <w:tcW w:w="1361" w:type="pct"/>
                  <w:vAlign w:val="center"/>
                </w:tcPr>
                <w:p>
                  <w:pPr>
                    <w:widowControl/>
                    <w:jc w:val="center"/>
                    <w:rPr>
                      <w:kern w:val="0"/>
                      <w:szCs w:val="21"/>
                    </w:rPr>
                  </w:pPr>
                  <w:r>
                    <w:rPr>
                      <w:kern w:val="0"/>
                      <w:szCs w:val="21"/>
                    </w:rPr>
                    <w:t>新疆维吾尔自治区吐鲁番市托克逊县夏镇恒氿庄园生活区东侧</w:t>
                  </w:r>
                </w:p>
              </w:tc>
              <w:tc>
                <w:tcPr>
                  <w:tcW w:w="777" w:type="pct"/>
                  <w:vAlign w:val="center"/>
                </w:tcPr>
                <w:p>
                  <w:pPr>
                    <w:widowControl/>
                    <w:jc w:val="center"/>
                    <w:rPr>
                      <w:szCs w:val="21"/>
                    </w:rPr>
                  </w:pPr>
                  <w:r>
                    <w:rPr>
                      <w:kern w:val="0"/>
                      <w:szCs w:val="21"/>
                    </w:rPr>
                    <w:t>恒氿庄园生活区</w:t>
                  </w:r>
                </w:p>
              </w:tc>
              <w:tc>
                <w:tcPr>
                  <w:tcW w:w="430" w:type="pct"/>
                  <w:shd w:val="clear" w:color="auto" w:fill="auto"/>
                  <w:vAlign w:val="center"/>
                </w:tcPr>
                <w:p>
                  <w:pPr>
                    <w:widowControl/>
                    <w:jc w:val="center"/>
                    <w:rPr>
                      <w:szCs w:val="21"/>
                    </w:rPr>
                  </w:pPr>
                  <w:r>
                    <w:rPr>
                      <w:kern w:val="0"/>
                      <w:szCs w:val="21"/>
                    </w:rPr>
                    <w:t>37.3</w:t>
                  </w:r>
                </w:p>
              </w:tc>
              <w:tc>
                <w:tcPr>
                  <w:tcW w:w="430" w:type="pct"/>
                  <w:shd w:val="clear" w:color="auto" w:fill="auto"/>
                  <w:vAlign w:val="center"/>
                </w:tcPr>
                <w:p>
                  <w:pPr>
                    <w:widowControl/>
                    <w:jc w:val="center"/>
                    <w:rPr>
                      <w:szCs w:val="21"/>
                    </w:rPr>
                  </w:pPr>
                  <w:r>
                    <w:rPr>
                      <w:kern w:val="0"/>
                      <w:szCs w:val="21"/>
                    </w:rPr>
                    <w:t>36.3</w:t>
                  </w:r>
                </w:p>
              </w:tc>
              <w:tc>
                <w:tcPr>
                  <w:tcW w:w="430" w:type="pct"/>
                  <w:shd w:val="clear" w:color="auto" w:fill="auto"/>
                  <w:vAlign w:val="center"/>
                </w:tcPr>
                <w:p>
                  <w:pPr>
                    <w:widowControl/>
                    <w:jc w:val="center"/>
                    <w:rPr>
                      <w:szCs w:val="21"/>
                    </w:rPr>
                  </w:pPr>
                  <w:r>
                    <w:rPr>
                      <w:rFonts w:hint="eastAsia"/>
                      <w:szCs w:val="21"/>
                    </w:rPr>
                    <w:t>＜60</w:t>
                  </w:r>
                </w:p>
              </w:tc>
              <w:tc>
                <w:tcPr>
                  <w:tcW w:w="430" w:type="pct"/>
                  <w:shd w:val="clear" w:color="auto" w:fill="auto"/>
                  <w:vAlign w:val="center"/>
                </w:tcPr>
                <w:p>
                  <w:pPr>
                    <w:widowControl/>
                    <w:jc w:val="center"/>
                    <w:rPr>
                      <w:szCs w:val="21"/>
                    </w:rPr>
                  </w:pPr>
                  <w:r>
                    <w:rPr>
                      <w:rFonts w:hint="eastAsia"/>
                      <w:szCs w:val="21"/>
                    </w:rPr>
                    <w:t>＜50</w:t>
                  </w:r>
                </w:p>
              </w:tc>
              <w:tc>
                <w:tcPr>
                  <w:tcW w:w="860" w:type="pct"/>
                  <w:gridSpan w:val="2"/>
                  <w:shd w:val="clear" w:color="auto" w:fill="auto"/>
                  <w:vAlign w:val="center"/>
                </w:tcPr>
                <w:p>
                  <w:pPr>
                    <w:widowControl/>
                    <w:jc w:val="center"/>
                    <w:rPr>
                      <w:szCs w:val="21"/>
                    </w:rPr>
                  </w:pPr>
                  <w:r>
                    <w:rPr>
                      <w:rFonts w:hint="eastAsia"/>
                      <w:szCs w:val="21"/>
                    </w:rPr>
                    <w:t>达标</w:t>
                  </w:r>
                </w:p>
              </w:tc>
            </w:tr>
          </w:tbl>
          <w:p>
            <w:pPr>
              <w:pStyle w:val="5"/>
              <w:numPr>
                <w:ilvl w:val="3"/>
                <w:numId w:val="15"/>
              </w:numPr>
              <w:ind w:firstLineChars="0"/>
              <w:rPr>
                <w:b/>
                <w:color w:val="000000"/>
                <w:kern w:val="0"/>
                <w:szCs w:val="21"/>
              </w:rPr>
            </w:pPr>
            <w:r>
              <w:rPr>
                <w:rFonts w:hint="eastAsia"/>
                <w:b/>
                <w:color w:val="000000"/>
                <w:kern w:val="0"/>
                <w:szCs w:val="21"/>
              </w:rPr>
              <w:t>输电</w:t>
            </w:r>
            <w:r>
              <w:rPr>
                <w:b/>
                <w:color w:val="000000"/>
                <w:kern w:val="0"/>
                <w:szCs w:val="21"/>
              </w:rPr>
              <w:t>线路声环境影响评价结论</w:t>
            </w:r>
          </w:p>
          <w:p>
            <w:pPr>
              <w:pStyle w:val="5"/>
              <w:adjustRightInd w:val="0"/>
              <w:snapToGrid w:val="0"/>
              <w:rPr>
                <w:color w:val="000000"/>
                <w:kern w:val="0"/>
                <w:shd w:val="clear" w:color="auto" w:fill="FFFFFF"/>
              </w:rPr>
            </w:pPr>
            <w:r>
              <w:rPr>
                <w:color w:val="000000"/>
                <w:kern w:val="0"/>
                <w:shd w:val="clear" w:color="auto" w:fill="FFFFFF"/>
              </w:rPr>
              <w:t>由类比监测结果可知，运行状态下</w:t>
            </w:r>
            <w:r>
              <w:rPr>
                <w:rFonts w:hint="eastAsia"/>
                <w:color w:val="000000"/>
                <w:kern w:val="0"/>
                <w:shd w:val="clear" w:color="auto" w:fill="FFFFFF"/>
              </w:rPr>
              <w:t>22</w:t>
            </w:r>
            <w:r>
              <w:rPr>
                <w:color w:val="000000"/>
                <w:kern w:val="0"/>
                <w:shd w:val="clear" w:color="auto" w:fill="FFFFFF"/>
              </w:rPr>
              <w:t>0</w:t>
            </w:r>
            <w:r>
              <w:rPr>
                <w:rFonts w:hint="eastAsia"/>
                <w:color w:val="000000"/>
                <w:kern w:val="0"/>
                <w:shd w:val="clear" w:color="auto" w:fill="FFFFFF"/>
              </w:rPr>
              <w:t>千伏</w:t>
            </w:r>
            <w:r>
              <w:rPr>
                <w:color w:val="000000"/>
                <w:kern w:val="0"/>
                <w:shd w:val="clear" w:color="auto" w:fill="FFFFFF"/>
              </w:rPr>
              <w:t>单回线路周边测点的等效连续A声级没有表现出明显的随距离增大而减小的声传播趋势，表明</w:t>
            </w:r>
            <w:r>
              <w:rPr>
                <w:rFonts w:hint="eastAsia"/>
                <w:color w:val="000000"/>
                <w:kern w:val="0"/>
                <w:shd w:val="clear" w:color="auto" w:fill="FFFFFF"/>
              </w:rPr>
              <w:t>22</w:t>
            </w:r>
            <w:r>
              <w:rPr>
                <w:color w:val="000000"/>
                <w:kern w:val="0"/>
                <w:shd w:val="clear" w:color="auto" w:fill="FFFFFF"/>
              </w:rPr>
              <w:t>0</w:t>
            </w:r>
            <w:r>
              <w:rPr>
                <w:rFonts w:hint="eastAsia"/>
                <w:color w:val="000000"/>
                <w:kern w:val="0"/>
                <w:shd w:val="clear" w:color="auto" w:fill="FFFFFF"/>
              </w:rPr>
              <w:t>千伏</w:t>
            </w:r>
            <w:r>
              <w:rPr>
                <w:color w:val="000000"/>
                <w:kern w:val="0"/>
                <w:shd w:val="clear" w:color="auto" w:fill="FFFFFF"/>
              </w:rPr>
              <w:t>输电线路电晕噪声对声环境的影响很小，各测点噪声基本为环境背景噪声；线路弧垂下方离地面1.2m高度处的噪声均满足《声环境质量标准》</w:t>
            </w:r>
            <w:r>
              <w:rPr>
                <w:rFonts w:hint="eastAsia"/>
                <w:color w:val="000000"/>
                <w:kern w:val="0"/>
                <w:shd w:val="clear" w:color="auto" w:fill="FFFFFF"/>
              </w:rPr>
              <w:t>（</w:t>
            </w:r>
            <w:r>
              <w:rPr>
                <w:color w:val="000000"/>
                <w:kern w:val="0"/>
                <w:shd w:val="clear" w:color="auto" w:fill="FFFFFF"/>
              </w:rPr>
              <w:t>GB3096-2008</w:t>
            </w:r>
            <w:r>
              <w:rPr>
                <w:rFonts w:hint="eastAsia"/>
                <w:color w:val="000000"/>
                <w:kern w:val="0"/>
                <w:shd w:val="clear" w:color="auto" w:fill="FFFFFF"/>
              </w:rPr>
              <w:t>）</w:t>
            </w:r>
            <w:r>
              <w:rPr>
                <w:color w:val="000000"/>
                <w:kern w:val="0"/>
                <w:shd w:val="clear" w:color="auto" w:fill="FFFFFF"/>
              </w:rPr>
              <w:t>中</w:t>
            </w:r>
            <w:r>
              <w:rPr>
                <w:rFonts w:hint="eastAsia"/>
                <w:color w:val="000000"/>
                <w:kern w:val="0"/>
                <w:shd w:val="clear" w:color="auto" w:fill="FFFFFF"/>
              </w:rPr>
              <w:t>相应</w:t>
            </w:r>
            <w:r>
              <w:rPr>
                <w:color w:val="000000"/>
                <w:kern w:val="0"/>
                <w:shd w:val="clear" w:color="auto" w:fill="FFFFFF"/>
              </w:rPr>
              <w:t>标准要求。</w:t>
            </w:r>
          </w:p>
          <w:p>
            <w:pPr>
              <w:pStyle w:val="5"/>
              <w:rPr>
                <w:snapToGrid w:val="0"/>
                <w:color w:val="000000"/>
                <w:kern w:val="0"/>
              </w:rPr>
            </w:pPr>
            <w:r>
              <w:rPr>
                <w:color w:val="000000"/>
                <w:kern w:val="0"/>
                <w:shd w:val="clear" w:color="auto" w:fill="FFFFFF"/>
              </w:rPr>
              <w:t>通过上述类比监测可以预测，</w:t>
            </w:r>
            <w:r>
              <w:rPr>
                <w:rFonts w:hint="eastAsia"/>
                <w:color w:val="000000"/>
                <w:kern w:val="0"/>
                <w:shd w:val="clear" w:color="auto" w:fill="FFFFFF"/>
              </w:rPr>
              <w:t>22</w:t>
            </w:r>
            <w:r>
              <w:rPr>
                <w:color w:val="000000"/>
                <w:kern w:val="0"/>
                <w:shd w:val="clear" w:color="auto" w:fill="FFFFFF"/>
              </w:rPr>
              <w:t>0</w:t>
            </w:r>
            <w:r>
              <w:rPr>
                <w:rFonts w:hint="eastAsia"/>
                <w:color w:val="000000"/>
                <w:kern w:val="0"/>
                <w:shd w:val="clear" w:color="auto" w:fill="FFFFFF"/>
              </w:rPr>
              <w:t>千伏</w:t>
            </w:r>
            <w:r>
              <w:rPr>
                <w:color w:val="000000"/>
                <w:kern w:val="0"/>
                <w:shd w:val="clear" w:color="auto" w:fill="FFFFFF"/>
              </w:rPr>
              <w:t>输电线路电晕噪声对环境的影响较小，本工程线路投运后沿线声环境可基本维持建设前水平</w:t>
            </w:r>
            <w:r>
              <w:rPr>
                <w:rFonts w:hint="eastAsia"/>
                <w:color w:val="000000"/>
                <w:kern w:val="0"/>
                <w:shd w:val="clear" w:color="auto" w:fill="FFFFFF"/>
              </w:rPr>
              <w:t>，</w:t>
            </w:r>
            <w:r>
              <w:rPr>
                <w:color w:val="000000"/>
                <w:kern w:val="0"/>
                <w:szCs w:val="24"/>
                <w:shd w:val="clear" w:color="auto" w:fill="FFFFFF"/>
              </w:rPr>
              <w:t>满足《声环境质量标准》（GB3096-2008）中</w:t>
            </w:r>
            <w:r>
              <w:rPr>
                <w:rFonts w:hint="eastAsia"/>
                <w:color w:val="000000"/>
                <w:kern w:val="0"/>
                <w:szCs w:val="24"/>
                <w:shd w:val="clear" w:color="auto" w:fill="FFFFFF"/>
              </w:rPr>
              <w:t>2类</w:t>
            </w:r>
            <w:r>
              <w:rPr>
                <w:color w:val="000000"/>
                <w:kern w:val="0"/>
                <w:szCs w:val="24"/>
                <w:shd w:val="clear" w:color="auto" w:fill="FFFFFF"/>
              </w:rPr>
              <w:t>标准要求</w:t>
            </w:r>
            <w:r>
              <w:rPr>
                <w:color w:val="000000"/>
                <w:kern w:val="0"/>
                <w:shd w:val="clear" w:color="auto" w:fill="FFFFFF"/>
              </w:rPr>
              <w:t>。</w:t>
            </w:r>
            <w:r>
              <w:rPr>
                <w:rStyle w:val="44"/>
                <w:rFonts w:hint="eastAsia"/>
                <w:kern w:val="0"/>
                <w:sz w:val="24"/>
                <w:szCs w:val="24"/>
              </w:rPr>
              <w:t>220千伏输电线路投运后沿线敏感目标处的昼间、夜间噪声值能够满足</w:t>
            </w:r>
            <w:r>
              <w:rPr>
                <w:rFonts w:hint="eastAsia"/>
                <w:kern w:val="0"/>
                <w:shd w:val="clear" w:color="auto" w:fill="FFFFFF"/>
              </w:rPr>
              <w:t>《声环境质量标准》（GB3096-2008）中</w:t>
            </w:r>
            <w:r>
              <w:rPr>
                <w:kern w:val="0"/>
                <w:shd w:val="clear" w:color="auto" w:fill="FFFFFF"/>
              </w:rPr>
              <w:t>2</w:t>
            </w:r>
            <w:r>
              <w:rPr>
                <w:rFonts w:hint="eastAsia"/>
                <w:kern w:val="0"/>
                <w:shd w:val="clear" w:color="auto" w:fill="FFFFFF"/>
              </w:rPr>
              <w:t>类标准要求。</w:t>
            </w:r>
          </w:p>
          <w:p>
            <w:pPr>
              <w:pStyle w:val="5"/>
              <w:numPr>
                <w:ilvl w:val="1"/>
                <w:numId w:val="15"/>
              </w:numPr>
              <w:ind w:firstLineChars="0"/>
              <w:rPr>
                <w:b/>
                <w:color w:val="000000"/>
                <w:kern w:val="0"/>
                <w:szCs w:val="21"/>
              </w:rPr>
            </w:pPr>
            <w:r>
              <w:rPr>
                <w:b/>
                <w:color w:val="000000"/>
                <w:kern w:val="0"/>
                <w:szCs w:val="21"/>
              </w:rPr>
              <w:t>运行期水环境影响分析</w:t>
            </w:r>
          </w:p>
          <w:p>
            <w:pPr>
              <w:pStyle w:val="5"/>
              <w:numPr>
                <w:ilvl w:val="2"/>
                <w:numId w:val="15"/>
              </w:numPr>
              <w:ind w:firstLineChars="0"/>
              <w:rPr>
                <w:b/>
                <w:color w:val="000000"/>
                <w:kern w:val="0"/>
                <w:szCs w:val="21"/>
              </w:rPr>
            </w:pPr>
            <w:r>
              <w:rPr>
                <w:b/>
                <w:color w:val="000000"/>
                <w:kern w:val="0"/>
                <w:szCs w:val="21"/>
              </w:rPr>
              <w:t>变电站工程</w:t>
            </w:r>
          </w:p>
          <w:p>
            <w:pPr>
              <w:pStyle w:val="5"/>
              <w:rPr>
                <w:color w:val="000000"/>
              </w:rPr>
            </w:pPr>
            <w:r>
              <w:rPr>
                <w:rFonts w:hint="eastAsia"/>
                <w:color w:val="000000"/>
              </w:rPr>
              <w:t>伊拉湖220千伏变电站</w:t>
            </w:r>
            <w:r>
              <w:rPr>
                <w:color w:val="000000"/>
              </w:rPr>
              <w:t>为</w:t>
            </w:r>
            <w:r>
              <w:rPr>
                <w:rFonts w:hint="eastAsia"/>
                <w:color w:val="000000"/>
              </w:rPr>
              <w:t>无人值守的智能化变电站，正常工况下，变电站内的废污水主要为巡检人员产生的少量生活污水。站区内生活污水经地埋式污水处理设施处理后，由环卫部门定期清理。</w:t>
            </w:r>
          </w:p>
          <w:p>
            <w:pPr>
              <w:pStyle w:val="5"/>
              <w:numPr>
                <w:ilvl w:val="2"/>
                <w:numId w:val="15"/>
              </w:numPr>
              <w:ind w:firstLineChars="0"/>
              <w:rPr>
                <w:b/>
                <w:color w:val="000000"/>
                <w:kern w:val="0"/>
                <w:szCs w:val="21"/>
              </w:rPr>
            </w:pPr>
            <w:r>
              <w:rPr>
                <w:b/>
                <w:color w:val="000000"/>
                <w:kern w:val="0"/>
                <w:szCs w:val="21"/>
              </w:rPr>
              <w:t>输电线路工程</w:t>
            </w:r>
          </w:p>
          <w:p>
            <w:pPr>
              <w:pStyle w:val="5"/>
              <w:rPr>
                <w:color w:val="000000"/>
              </w:rPr>
            </w:pPr>
            <w:r>
              <w:rPr>
                <w:rFonts w:hint="eastAsia"/>
                <w:color w:val="000000"/>
              </w:rPr>
              <w:t>输电线路运营期无废污水产生。</w:t>
            </w:r>
          </w:p>
          <w:p>
            <w:pPr>
              <w:pStyle w:val="5"/>
              <w:numPr>
                <w:ilvl w:val="1"/>
                <w:numId w:val="15"/>
              </w:numPr>
              <w:ind w:firstLineChars="0"/>
              <w:rPr>
                <w:b/>
                <w:color w:val="000000"/>
                <w:kern w:val="0"/>
                <w:szCs w:val="21"/>
              </w:rPr>
            </w:pPr>
            <w:r>
              <w:rPr>
                <w:b/>
                <w:color w:val="000000"/>
                <w:kern w:val="0"/>
                <w:szCs w:val="21"/>
              </w:rPr>
              <w:t>运行期</w:t>
            </w:r>
            <w:r>
              <w:rPr>
                <w:rFonts w:hint="eastAsia"/>
                <w:b/>
                <w:color w:val="000000"/>
                <w:kern w:val="0"/>
                <w:szCs w:val="21"/>
              </w:rPr>
              <w:t>环境空气</w:t>
            </w:r>
            <w:r>
              <w:rPr>
                <w:b/>
                <w:color w:val="000000"/>
                <w:kern w:val="0"/>
                <w:szCs w:val="21"/>
              </w:rPr>
              <w:t>影响分析</w:t>
            </w:r>
          </w:p>
          <w:p>
            <w:pPr>
              <w:pStyle w:val="5"/>
              <w:rPr>
                <w:color w:val="000000"/>
              </w:rPr>
            </w:pPr>
            <w:r>
              <w:rPr>
                <w:color w:val="000000"/>
              </w:rPr>
              <w:t>本工程</w:t>
            </w:r>
            <w:r>
              <w:rPr>
                <w:rFonts w:hint="eastAsia"/>
                <w:color w:val="000000"/>
              </w:rPr>
              <w:t>运行期</w:t>
            </w:r>
            <w:r>
              <w:rPr>
                <w:color w:val="000000"/>
              </w:rPr>
              <w:t>无废气产生，不会对附近大气环境产生影响。</w:t>
            </w:r>
          </w:p>
          <w:p>
            <w:pPr>
              <w:pStyle w:val="5"/>
              <w:numPr>
                <w:ilvl w:val="1"/>
                <w:numId w:val="15"/>
              </w:numPr>
              <w:ind w:firstLineChars="0"/>
              <w:rPr>
                <w:b/>
                <w:color w:val="000000"/>
                <w:kern w:val="0"/>
                <w:szCs w:val="21"/>
              </w:rPr>
            </w:pPr>
            <w:r>
              <w:rPr>
                <w:b/>
                <w:color w:val="000000"/>
                <w:kern w:val="0"/>
                <w:szCs w:val="21"/>
              </w:rPr>
              <w:t>运行期固体废物环境影响分析</w:t>
            </w:r>
          </w:p>
          <w:p>
            <w:pPr>
              <w:pStyle w:val="5"/>
              <w:numPr>
                <w:ilvl w:val="2"/>
                <w:numId w:val="15"/>
              </w:numPr>
              <w:ind w:firstLineChars="0"/>
              <w:rPr>
                <w:b/>
                <w:color w:val="000000"/>
                <w:kern w:val="0"/>
                <w:szCs w:val="21"/>
              </w:rPr>
            </w:pPr>
            <w:r>
              <w:rPr>
                <w:b/>
                <w:color w:val="000000"/>
                <w:kern w:val="0"/>
                <w:szCs w:val="21"/>
              </w:rPr>
              <w:t>变电站新建工程</w:t>
            </w:r>
          </w:p>
          <w:p>
            <w:pPr>
              <w:pStyle w:val="5"/>
              <w:rPr>
                <w:color w:val="000000"/>
              </w:rPr>
            </w:pPr>
            <w:r>
              <w:rPr>
                <w:color w:val="000000"/>
              </w:rPr>
              <w:t>变电站运行期间固体废物为定期巡检人员产生的生活垃圾以及变电站内的废旧蓄电池。</w:t>
            </w:r>
          </w:p>
          <w:p>
            <w:pPr>
              <w:pStyle w:val="5"/>
              <w:rPr>
                <w:color w:val="000000"/>
              </w:rPr>
            </w:pPr>
            <w:r>
              <w:rPr>
                <w:color w:val="000000"/>
              </w:rPr>
              <w:t>对于定期巡检人员产生的少量生活垃圾，应收集集中后运至当地镇区的生活垃圾转运点，交由环卫部门妥善处理。</w:t>
            </w:r>
          </w:p>
          <w:p>
            <w:pPr>
              <w:pStyle w:val="5"/>
            </w:pPr>
            <w:r>
              <w:rPr>
                <w:rFonts w:hint="eastAsia"/>
              </w:rPr>
              <w:t>变电站内的变压器、电抗器等设备，为了绝缘和冷却的需要，在变压器外壳内装有大量的变压器油，一般只有检修及事故情况下才会产生油污染。在变电站内设计有变压器事故贮油池1座</w:t>
            </w:r>
            <w:r>
              <w:t>(有效容积90m</w:t>
            </w:r>
            <w:r>
              <w:rPr>
                <w:vertAlign w:val="superscript"/>
              </w:rPr>
              <w:t>3</w:t>
            </w:r>
            <w:r>
              <w:t>)</w:t>
            </w:r>
            <w:r>
              <w:rPr>
                <w:rFonts w:hint="eastAsia"/>
              </w:rPr>
              <w:t>，可使变压器在发生事故时，壳体内的油排入事故贮油池，防止变压器油随意乱排造成对环境的污染。</w:t>
            </w:r>
          </w:p>
          <w:p>
            <w:pPr>
              <w:pStyle w:val="5"/>
              <w:rPr>
                <w:color w:val="000000"/>
              </w:rPr>
            </w:pPr>
            <w:r>
              <w:rPr>
                <w:rFonts w:hint="eastAsia"/>
              </w:rPr>
              <w:t>根据物质危险性判定标准，变压器事故排油属于废矿物油，根据《国家危险废物名录(2025年版)》，建设项目事故排油属于“HW08废矿物油与含矿物油废物”中的“变压器维护、更换和拆解过程中产生的废变压器油”，废物代码“900-220-08”。因该废矿物油由变压器发生事故状态产生，变压器事故油池主要起临时收集贮存作用，废油产生后将转运至吐鲁番供电公司物资库房危废仓内贮存，后交由有资质单位回收处置，不在变电站内长时间储存。</w:t>
            </w:r>
          </w:p>
          <w:p>
            <w:pPr>
              <w:pStyle w:val="5"/>
              <w:rPr>
                <w:color w:val="000000"/>
              </w:rPr>
            </w:pPr>
            <w:r>
              <w:rPr>
                <w:color w:val="000000"/>
              </w:rPr>
              <w:t>变电站采用蓄电池作为备用电源，</w:t>
            </w:r>
            <w:r>
              <w:rPr>
                <w:rFonts w:hint="eastAsia"/>
                <w:color w:val="000000"/>
              </w:rPr>
              <w:t>2</w:t>
            </w:r>
            <w:r>
              <w:rPr>
                <w:color w:val="000000"/>
              </w:rPr>
              <w:t>20</w:t>
            </w:r>
            <w:r>
              <w:rPr>
                <w:rFonts w:hint="eastAsia"/>
                <w:color w:val="000000"/>
                <w:lang w:bidi="ar"/>
              </w:rPr>
              <w:t>千伏</w:t>
            </w:r>
            <w:r>
              <w:rPr>
                <w:color w:val="000000"/>
              </w:rPr>
              <w:t>变电站内一般设置有两组容量为5</w:t>
            </w:r>
            <w:r>
              <w:rPr>
                <w:color w:val="000000"/>
                <w:lang w:bidi="ar"/>
              </w:rPr>
              <w:t>00Ah</w:t>
            </w:r>
            <w:r>
              <w:rPr>
                <w:color w:val="000000"/>
              </w:rPr>
              <w:t>的蓄电池组，一般巡视维护时间为2-3月/次，电池寿命周期为8-10年。根据《国家危险废物名录（202</w:t>
            </w:r>
            <w:r>
              <w:rPr>
                <w:rFonts w:hint="eastAsia"/>
                <w:color w:val="000000"/>
              </w:rPr>
              <w:t>5</w:t>
            </w:r>
            <w:r>
              <w:rPr>
                <w:color w:val="000000"/>
              </w:rPr>
              <w:t>年版）》</w:t>
            </w:r>
            <w:r>
              <w:rPr>
                <w:rFonts w:hint="eastAsia"/>
                <w:color w:val="000000"/>
              </w:rPr>
              <w:t>“废铅蓄电池及废铅蓄电池拆解工程中产生的废铅板、废铅膏和酸液”</w:t>
            </w:r>
            <w:r>
              <w:rPr>
                <w:color w:val="000000"/>
              </w:rPr>
              <w:t>属于危险废物，废物类别为HW31含铅废物，废物代码为900-052-31，危险特性为毒性（T，C）。</w:t>
            </w:r>
            <w:r>
              <w:rPr>
                <w:rFonts w:hint="eastAsia"/>
                <w:color w:val="000000"/>
              </w:rPr>
              <w:t>变电站内蓄电池达到寿命周期后，废旧蓄电池转运至吐鲁番供电公司物资库房危废仓内贮存，后交由有资质单位回收处置。同时根据该名录附录“危险废物豁免管理清单”内容，废弃蓄电池为“未破损”状态时，在“运输”环节，当运输工具满足防雨、防渗漏、防遗撒要求时，可进行豁免，不按危险废物进行运输。</w:t>
            </w:r>
          </w:p>
          <w:p>
            <w:pPr>
              <w:pStyle w:val="5"/>
              <w:numPr>
                <w:ilvl w:val="2"/>
                <w:numId w:val="15"/>
              </w:numPr>
              <w:ind w:firstLineChars="0"/>
              <w:rPr>
                <w:b/>
                <w:color w:val="000000"/>
                <w:kern w:val="0"/>
                <w:szCs w:val="21"/>
              </w:rPr>
            </w:pPr>
            <w:r>
              <w:rPr>
                <w:b/>
                <w:color w:val="000000"/>
                <w:kern w:val="0"/>
                <w:szCs w:val="21"/>
              </w:rPr>
              <w:t>输电线路工程</w:t>
            </w:r>
          </w:p>
          <w:p>
            <w:pPr>
              <w:pStyle w:val="5"/>
              <w:rPr>
                <w:color w:val="000000"/>
              </w:rPr>
            </w:pPr>
            <w:r>
              <w:rPr>
                <w:color w:val="000000"/>
              </w:rPr>
              <w:t>输电线路运行期无固体废物产生，对外环境无影响。</w:t>
            </w:r>
          </w:p>
          <w:p>
            <w:pPr>
              <w:pStyle w:val="5"/>
              <w:rPr>
                <w:color w:val="000000"/>
              </w:rPr>
            </w:pPr>
            <w:r>
              <w:rPr>
                <w:rFonts w:hint="eastAsia"/>
                <w:color w:val="000000"/>
              </w:rPr>
              <w:t>在输电线路定期巡线过程中，线路的检修可能产生少量废弃绝缘子、生活垃圾等固体废物，经妥善处置后不会对外环境产生影响。</w:t>
            </w:r>
          </w:p>
          <w:p>
            <w:pPr>
              <w:pStyle w:val="5"/>
              <w:numPr>
                <w:ilvl w:val="1"/>
                <w:numId w:val="15"/>
              </w:numPr>
              <w:ind w:firstLineChars="0"/>
              <w:rPr>
                <w:b/>
                <w:color w:val="000000"/>
                <w:kern w:val="0"/>
                <w:szCs w:val="21"/>
              </w:rPr>
            </w:pPr>
            <w:r>
              <w:rPr>
                <w:b/>
                <w:color w:val="000000"/>
                <w:kern w:val="0"/>
                <w:szCs w:val="21"/>
              </w:rPr>
              <w:t>环境风险分析</w:t>
            </w:r>
          </w:p>
          <w:p>
            <w:pPr>
              <w:pStyle w:val="5"/>
              <w:rPr>
                <w:color w:val="000000"/>
              </w:rPr>
            </w:pPr>
            <w:bookmarkStart w:id="610" w:name="_Toc344398329"/>
            <w:bookmarkStart w:id="611" w:name="_Toc344400065"/>
            <w:bookmarkStart w:id="612" w:name="_Toc386904090"/>
            <w:r>
              <w:rPr>
                <w:color w:val="000000"/>
              </w:rPr>
              <w:t>由于冷却或绝缘需要，变电站内变压器及其它电气设备均使用电力用油，这些冷却或绝缘油都装在电气设备的外壳内，一般无需更换（一般定期（一年一次或大修后）</w:t>
            </w:r>
            <w:r>
              <w:rPr>
                <w:rFonts w:hint="eastAsia"/>
                <w:color w:val="000000"/>
                <w:lang w:eastAsia="zh-CN"/>
              </w:rPr>
              <w:t>做</w:t>
            </w:r>
            <w:r>
              <w:rPr>
                <w:color w:val="000000"/>
              </w:rPr>
              <w:t>预防性试验，通过对绝缘电阻、吸收比、极化指数、介质损耗、绕组泄漏电流、油中微水等综合分析，综合判断受潮情况、杂质情况、油老化情况等，如果不合格，过滤再生后继续使用），也不会外泄对环境造成危害。但在设备在发生事故并失控时，可能泄漏，污染环境，造成环境风险。根据《国家危险废物名录（202</w:t>
            </w:r>
            <w:r>
              <w:rPr>
                <w:rFonts w:hint="eastAsia"/>
                <w:color w:val="000000"/>
              </w:rPr>
              <w:t>5</w:t>
            </w:r>
            <w:r>
              <w:rPr>
                <w:color w:val="000000"/>
              </w:rPr>
              <w:t>年版）》，事故变压器油经油/水分离设施处理后产生的废油、污泥属危险废物，类别代码为HW08废矿物油与含矿物油废物，废物代码为900-220-08，危险特性为（T、I）。</w:t>
            </w:r>
          </w:p>
          <w:bookmarkEnd w:id="610"/>
          <w:bookmarkEnd w:id="611"/>
          <w:bookmarkEnd w:id="612"/>
          <w:p>
            <w:pPr>
              <w:pStyle w:val="5"/>
              <w:rPr>
                <w:color w:val="000000"/>
              </w:rPr>
            </w:pPr>
            <w:r>
              <w:rPr>
                <w:rFonts w:hint="eastAsia"/>
                <w:color w:val="000000"/>
              </w:rPr>
              <w:t>为防止事故、检修时造成废油污染，变电站内一般均设置有变压器油排蓄系统，变压器基座四周设有事故油坑，事故油坑通过底部的事故排油管道与具有油水分离功能的总事故油池相连。在发生事故时，泄漏的变压器油将通过排油管道排入总事故油池。排入事故油池的变压器油大部分可以回收再利用，不能回收利用的少量含油废水应交由相应资质单位处理。根据《火力发电厂与变电站设计防火标准》（GB50229-2019），变电站内应设置事故油坑和总事故油池，事故油池容积宜按其接入的油量最大台全部油量确定。</w:t>
            </w:r>
          </w:p>
          <w:p>
            <w:pPr>
              <w:pStyle w:val="5"/>
              <w:rPr>
                <w:rFonts w:ascii="Segoe UI" w:hAnsi="Segoe UI" w:eastAsia="Segoe UI" w:cs="Segoe UI"/>
                <w:szCs w:val="24"/>
                <w:shd w:val="clear" w:color="auto" w:fill="FFFFFF"/>
              </w:rPr>
            </w:pPr>
            <w:r>
              <w:rPr>
                <w:rFonts w:ascii="Segoe UI" w:hAnsi="Segoe UI" w:eastAsia="Segoe UI" w:cs="Segoe UI"/>
                <w:szCs w:val="24"/>
                <w:shd w:val="clear" w:color="auto" w:fill="FFFFFF"/>
              </w:rPr>
              <w:t>废旧事故油的处置措施主要包括收集、</w:t>
            </w:r>
            <w:r>
              <w:rPr>
                <w:rFonts w:hint="eastAsia" w:ascii="Segoe UI" w:hAnsi="Segoe UI" w:cs="Segoe UI"/>
                <w:szCs w:val="24"/>
                <w:shd w:val="clear" w:color="auto" w:fill="FFFFFF"/>
              </w:rPr>
              <w:t>转移、处置</w:t>
            </w:r>
            <w:r>
              <w:rPr>
                <w:rFonts w:ascii="Segoe UI" w:hAnsi="Segoe UI" w:eastAsia="Segoe UI" w:cs="Segoe UI"/>
                <w:szCs w:val="24"/>
                <w:shd w:val="clear" w:color="auto" w:fill="FFFFFF"/>
              </w:rPr>
              <w:t>、运输和处理等环节。首先，使用专用的吸油设备将事故油池或设备中的废旧事故油收集至密封的储存容器中，并确保容器标识清晰、防渗漏。然后，将收集的废旧事故油按照危险废物管理规定进行分类存放和管理。在运输过程中，委托具有危险货物运输资质的单位，使用专用车辆进行运输，确保运输过程安全、无泄漏。最终，将废旧事故油交由具备相应危险废物处理资质的单位进行处理，常见的处理方式包括再生利用，通过专业的工艺将废油净化、精制，使其恢复到新油质量，实现循环利用；对于无法再生利用的部分，则采用安全填埋、焚烧等符合环保要求的方式进行无害化处置，确保废旧事故油得到妥善处理，避免对环境造成污染，保障生态环境安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6" w:hRule="atLeast"/>
          <w:jc w:val="center"/>
        </w:trPr>
        <w:tc>
          <w:tcPr>
            <w:tcW w:w="454" w:type="dxa"/>
            <w:tcMar>
              <w:left w:w="28" w:type="dxa"/>
              <w:right w:w="28" w:type="dxa"/>
            </w:tcMar>
            <w:vAlign w:val="center"/>
          </w:tcPr>
          <w:p>
            <w:pPr>
              <w:pStyle w:val="33"/>
              <w:adjustRightInd w:val="0"/>
              <w:snapToGrid w:val="0"/>
              <w:spacing w:before="0" w:beforeAutospacing="0" w:after="0" w:afterAutospacing="0"/>
              <w:jc w:val="center"/>
              <w:rPr>
                <w:rFonts w:ascii="Times New Roman" w:hAnsi="Times New Roman"/>
                <w:b/>
                <w:bCs/>
                <w:color w:val="000000"/>
                <w:kern w:val="2"/>
                <w:sz w:val="21"/>
                <w:szCs w:val="21"/>
                <w:highlight w:val="yellow"/>
              </w:rPr>
            </w:pPr>
            <w:r>
              <w:rPr>
                <w:rFonts w:ascii="Times New Roman" w:hAnsi="Times New Roman"/>
                <w:b/>
                <w:bCs/>
                <w:color w:val="000000"/>
                <w:kern w:val="2"/>
                <w:szCs w:val="24"/>
              </w:rPr>
              <w:t>选址选线环境合理性分析</w:t>
            </w:r>
          </w:p>
        </w:tc>
        <w:tc>
          <w:tcPr>
            <w:tcW w:w="8526" w:type="dxa"/>
          </w:tcPr>
          <w:p>
            <w:pPr>
              <w:adjustRightInd w:val="0"/>
              <w:snapToGrid w:val="0"/>
              <w:spacing w:line="360" w:lineRule="auto"/>
              <w:ind w:firstLine="480" w:firstLineChars="200"/>
              <w:rPr>
                <w:color w:val="000000"/>
                <w:sz w:val="24"/>
              </w:rPr>
            </w:pPr>
            <w:r>
              <w:rPr>
                <w:rFonts w:hint="eastAsia"/>
                <w:color w:val="000000"/>
                <w:sz w:val="24"/>
              </w:rPr>
              <w:t>本工程新建伊拉湖220千伏变电站和220千伏线路在选址选线过程中避让了集中居民区，避让了新疆维吾尔自治区生态保护红线，工程评价范围内不涉及《环境影响评价技术导则 生态影响》（HJ19-2022）中规定的生态保护目标，亦不涉及《环境影响评价技术导则 地表水环境》（HJ2.3-2018）中规定的水环境敏感目标。</w:t>
            </w:r>
          </w:p>
          <w:p>
            <w:pPr>
              <w:adjustRightInd w:val="0"/>
              <w:snapToGrid w:val="0"/>
              <w:spacing w:line="360" w:lineRule="auto"/>
              <w:ind w:firstLine="480" w:firstLineChars="200"/>
              <w:rPr>
                <w:color w:val="000000"/>
                <w:sz w:val="24"/>
              </w:rPr>
            </w:pPr>
            <w:r>
              <w:rPr>
                <w:rFonts w:hint="eastAsia"/>
                <w:color w:val="000000"/>
                <w:sz w:val="24"/>
              </w:rPr>
              <w:t>变电站站址距离负荷中心近，交通运输、进出线条件便利，根据工频电场、工频磁场及噪声影响预测，变电站建成投运后，其对周围环境的电磁环境、声环境影响可满足相关标准要求。</w:t>
            </w:r>
          </w:p>
          <w:p>
            <w:pPr>
              <w:adjustRightInd w:val="0"/>
              <w:snapToGrid w:val="0"/>
              <w:spacing w:line="360" w:lineRule="auto"/>
              <w:ind w:firstLine="480" w:firstLineChars="200"/>
              <w:rPr>
                <w:color w:val="000000"/>
                <w:sz w:val="24"/>
              </w:rPr>
            </w:pPr>
            <w:r>
              <w:rPr>
                <w:rFonts w:hint="eastAsia"/>
                <w:color w:val="000000"/>
                <w:sz w:val="24"/>
              </w:rPr>
              <w:t>工程选线已取得了工程所在吐鲁番市生态环境局托克逊县分局、吐鲁番市自然资源局、吐鲁番市林业和草原局、吐鲁番市林业和草原局、吐鲁番市</w:t>
            </w:r>
            <w:r>
              <w:rPr>
                <w:rFonts w:hint="eastAsia"/>
                <w:color w:val="000000"/>
                <w:sz w:val="24"/>
                <w:lang w:eastAsia="zh-CN"/>
              </w:rPr>
              <w:t>发展和改革委员会</w:t>
            </w:r>
            <w:r>
              <w:rPr>
                <w:rFonts w:hint="eastAsia"/>
                <w:color w:val="000000"/>
                <w:sz w:val="24"/>
              </w:rPr>
              <w:t>、托克逊县水利局、托克逊县自然资源局及托克逊县林业和草原局等政府部门对选线的原则同意意见。</w:t>
            </w:r>
          </w:p>
          <w:p>
            <w:pPr>
              <w:adjustRightInd w:val="0"/>
              <w:snapToGrid w:val="0"/>
              <w:spacing w:line="360" w:lineRule="auto"/>
              <w:ind w:firstLine="480" w:firstLineChars="200"/>
              <w:rPr>
                <w:color w:val="000000"/>
                <w:sz w:val="24"/>
              </w:rPr>
            </w:pPr>
            <w:r>
              <w:rPr>
                <w:rFonts w:hint="eastAsia"/>
                <w:color w:val="000000"/>
                <w:sz w:val="24"/>
              </w:rPr>
              <w:t>经本环评预测，在采取本环评报告中提出的各项污染防治措施和生态保护措施的基础上，工程建设和运行过程中对线路沿线的环境不会产生污染影响，且可有效减轻本工程施工及运行过程中对线路沿线生态环境的影响。从环境保护角度考虑，本工程新建220千伏线路路径方案无环境保护制约性因素，本工程线路选线具有环境合理性。</w:t>
            </w:r>
          </w:p>
        </w:tc>
      </w:tr>
    </w:tbl>
    <w:p>
      <w:pPr>
        <w:rPr>
          <w:color w:val="000000"/>
          <w:highlight w:val="yellow"/>
        </w:rPr>
        <w:sectPr>
          <w:pgSz w:w="11906" w:h="16838"/>
          <w:pgMar w:top="1440" w:right="1800" w:bottom="1440" w:left="1800" w:header="851" w:footer="1077" w:gutter="0"/>
          <w:cols w:space="720" w:num="1"/>
          <w:docGrid w:linePitch="312" w:charSpace="0"/>
        </w:sectPr>
      </w:pPr>
    </w:p>
    <w:p>
      <w:pPr>
        <w:pStyle w:val="33"/>
        <w:spacing w:before="0" w:beforeAutospacing="0" w:after="0" w:afterAutospacing="0"/>
        <w:jc w:val="center"/>
        <w:outlineLvl w:val="0"/>
        <w:rPr>
          <w:rFonts w:ascii="Times New Roman" w:hAnsi="Times New Roman"/>
          <w:b/>
          <w:bCs/>
          <w:snapToGrid w:val="0"/>
          <w:color w:val="000000"/>
          <w:sz w:val="32"/>
          <w:szCs w:val="32"/>
        </w:rPr>
      </w:pPr>
      <w:bookmarkStart w:id="613" w:name="_Toc2590"/>
      <w:bookmarkStart w:id="614" w:name="_Toc111564328"/>
      <w:bookmarkStart w:id="615" w:name="_Toc8009"/>
      <w:r>
        <w:rPr>
          <w:rFonts w:ascii="Times New Roman" w:hAnsi="Times New Roman"/>
          <w:b/>
          <w:bCs/>
          <w:snapToGrid w:val="0"/>
          <w:color w:val="000000"/>
          <w:sz w:val="32"/>
          <w:szCs w:val="32"/>
        </w:rPr>
        <w:t>五、主要生态环境保护措施</w:t>
      </w:r>
      <w:bookmarkEnd w:id="613"/>
      <w:bookmarkEnd w:id="614"/>
      <w:bookmarkEnd w:id="615"/>
    </w:p>
    <w:tbl>
      <w:tblPr>
        <w:tblStyle w:val="37"/>
        <w:tblW w:w="886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840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57" w:type="dxa"/>
            <w:tcMar>
              <w:left w:w="28" w:type="dxa"/>
              <w:right w:w="28" w:type="dxa"/>
            </w:tcMar>
            <w:vAlign w:val="center"/>
          </w:tcPr>
          <w:p>
            <w:pPr>
              <w:adjustRightInd w:val="0"/>
              <w:snapToGrid w:val="0"/>
              <w:jc w:val="center"/>
              <w:rPr>
                <w:b/>
                <w:bCs/>
                <w:color w:val="000000"/>
                <w:szCs w:val="21"/>
                <w:highlight w:val="yellow"/>
              </w:rPr>
            </w:pPr>
            <w:r>
              <w:rPr>
                <w:b/>
                <w:bCs/>
                <w:color w:val="000000"/>
                <w:spacing w:val="10"/>
                <w:sz w:val="24"/>
              </w:rPr>
              <w:t>施工期生态环境保护措施</w:t>
            </w:r>
          </w:p>
        </w:tc>
        <w:tc>
          <w:tcPr>
            <w:tcW w:w="8409" w:type="dxa"/>
          </w:tcPr>
          <w:p>
            <w:pPr>
              <w:numPr>
                <w:ilvl w:val="0"/>
                <w:numId w:val="17"/>
              </w:numPr>
              <w:spacing w:line="360" w:lineRule="auto"/>
              <w:rPr>
                <w:b/>
                <w:color w:val="000000"/>
                <w:kern w:val="0"/>
                <w:sz w:val="24"/>
                <w:szCs w:val="21"/>
              </w:rPr>
            </w:pPr>
            <w:r>
              <w:rPr>
                <w:rFonts w:hint="eastAsia"/>
                <w:b/>
                <w:color w:val="000000"/>
                <w:kern w:val="0"/>
                <w:sz w:val="24"/>
                <w:szCs w:val="21"/>
              </w:rPr>
              <w:t>施工期生态环境保护措施</w:t>
            </w:r>
          </w:p>
          <w:p>
            <w:pPr>
              <w:pStyle w:val="36"/>
              <w:numPr>
                <w:ilvl w:val="1"/>
                <w:numId w:val="18"/>
              </w:numPr>
              <w:ind w:left="425" w:leftChars="0" w:firstLine="0"/>
              <w:jc w:val="left"/>
              <w:rPr>
                <w:b/>
                <w:color w:val="000000"/>
                <w:szCs w:val="21"/>
              </w:rPr>
            </w:pPr>
            <w:r>
              <w:rPr>
                <w:rFonts w:hint="eastAsia"/>
                <w:b/>
                <w:color w:val="000000"/>
                <w:szCs w:val="21"/>
              </w:rPr>
              <w:t>土地占用保护措施</w:t>
            </w:r>
          </w:p>
          <w:p>
            <w:pPr>
              <w:pStyle w:val="36"/>
              <w:ind w:left="482" w:leftChars="0" w:firstLine="0"/>
              <w:jc w:val="left"/>
              <w:rPr>
                <w:color w:val="000000"/>
              </w:rPr>
            </w:pPr>
            <w:r>
              <w:rPr>
                <w:color w:val="000000"/>
                <w:szCs w:val="21"/>
              </w:rPr>
              <w:t>（</w:t>
            </w:r>
            <w:r>
              <w:rPr>
                <w:rFonts w:hint="eastAsia"/>
                <w:color w:val="000000"/>
                <w:szCs w:val="21"/>
              </w:rPr>
              <w:t>1</w:t>
            </w:r>
            <w:r>
              <w:rPr>
                <w:color w:val="000000"/>
                <w:szCs w:val="21"/>
              </w:rPr>
              <w:t>）</w:t>
            </w:r>
            <w:r>
              <w:rPr>
                <w:rFonts w:hint="eastAsia"/>
                <w:color w:val="000000"/>
                <w:szCs w:val="21"/>
              </w:rPr>
              <w:t>变电站工程土地占用保护措施</w:t>
            </w:r>
          </w:p>
          <w:p>
            <w:pPr>
              <w:spacing w:line="360" w:lineRule="auto"/>
              <w:ind w:firstLine="480" w:firstLineChars="200"/>
              <w:rPr>
                <w:color w:val="000000"/>
                <w:sz w:val="24"/>
              </w:rPr>
            </w:pPr>
            <w:r>
              <w:rPr>
                <w:rFonts w:hint="eastAsia"/>
                <w:color w:val="000000"/>
                <w:sz w:val="24"/>
              </w:rPr>
              <w:t>1）站区</w:t>
            </w:r>
          </w:p>
          <w:p>
            <w:pPr>
              <w:spacing w:line="360" w:lineRule="auto"/>
              <w:ind w:firstLine="480" w:firstLineChars="200"/>
              <w:rPr>
                <w:color w:val="000000"/>
                <w:sz w:val="24"/>
              </w:rPr>
            </w:pPr>
            <w:r>
              <w:rPr>
                <w:rFonts w:hint="eastAsia"/>
                <w:color w:val="000000"/>
                <w:sz w:val="24"/>
              </w:rPr>
              <w:t>站区施工前进行表土剥离，剥离的表土临时堆放在施工生产生活区进行防护，施工过程中对临时堆土采取彩条布铺垫、密目网苫盖、编织袋装土压脚，沿临时堆土场及施工场地布设临时土质排水沟，排水沟末端设置临时沉砂池。</w:t>
            </w:r>
          </w:p>
          <w:p>
            <w:pPr>
              <w:spacing w:line="360" w:lineRule="auto"/>
              <w:ind w:firstLine="480" w:firstLineChars="200"/>
              <w:rPr>
                <w:color w:val="000000"/>
                <w:sz w:val="24"/>
              </w:rPr>
            </w:pPr>
            <w:r>
              <w:rPr>
                <w:rFonts w:hint="eastAsia"/>
                <w:color w:val="000000"/>
                <w:sz w:val="24"/>
              </w:rPr>
              <w:t>2）进站道路区</w:t>
            </w:r>
          </w:p>
          <w:p>
            <w:pPr>
              <w:spacing w:line="360" w:lineRule="auto"/>
              <w:ind w:firstLine="480" w:firstLineChars="200"/>
              <w:rPr>
                <w:color w:val="000000"/>
                <w:sz w:val="24"/>
              </w:rPr>
            </w:pPr>
            <w:r>
              <w:rPr>
                <w:rFonts w:hint="eastAsia"/>
                <w:color w:val="000000"/>
                <w:sz w:val="24"/>
              </w:rPr>
              <w:t>进站道路区施工前进行表土剥离，剥离表土临时堆放在施工生产生活区进行防护，沿道路侧布设临时排水沟、临时沉沙池。</w:t>
            </w:r>
          </w:p>
          <w:p>
            <w:pPr>
              <w:spacing w:line="360" w:lineRule="auto"/>
              <w:ind w:firstLine="480" w:firstLineChars="200"/>
              <w:rPr>
                <w:color w:val="000000"/>
                <w:sz w:val="24"/>
              </w:rPr>
            </w:pPr>
            <w:r>
              <w:rPr>
                <w:color w:val="000000"/>
                <w:sz w:val="24"/>
              </w:rPr>
              <w:t>3</w:t>
            </w:r>
            <w:r>
              <w:rPr>
                <w:rFonts w:hint="eastAsia"/>
                <w:color w:val="000000"/>
                <w:sz w:val="24"/>
              </w:rPr>
              <w:t>）施工生产生活区</w:t>
            </w:r>
          </w:p>
          <w:p>
            <w:pPr>
              <w:spacing w:line="360" w:lineRule="auto"/>
              <w:ind w:firstLine="480" w:firstLineChars="200"/>
              <w:rPr>
                <w:color w:val="000000"/>
                <w:sz w:val="24"/>
              </w:rPr>
            </w:pPr>
            <w:r>
              <w:rPr>
                <w:rFonts w:hint="eastAsia"/>
                <w:color w:val="000000"/>
                <w:sz w:val="24"/>
              </w:rPr>
              <w:t>施工生产生活区施工前对扰动区域剥离表土，剥离的表土临时堆放在施工生产生活区临时堆土场，施工过程中对临时堆土采取密目网苫盖、编织袋装土压脚等临时防护措施，沿临时堆土场布设临时土质排水沟，排水沟末端设置临时沉沙池。施工结束后对施工生产生活区进行拆除，清理施工场地，进行土地整治、回覆表土。</w:t>
            </w:r>
          </w:p>
          <w:p>
            <w:pPr>
              <w:spacing w:line="360" w:lineRule="auto"/>
              <w:ind w:firstLine="480" w:firstLineChars="200"/>
              <w:rPr>
                <w:color w:val="000000"/>
                <w:sz w:val="24"/>
              </w:rPr>
            </w:pPr>
            <w:r>
              <w:rPr>
                <w:color w:val="000000"/>
                <w:sz w:val="24"/>
              </w:rPr>
              <w:t>（</w:t>
            </w:r>
            <w:r>
              <w:rPr>
                <w:rFonts w:hint="eastAsia"/>
                <w:color w:val="000000"/>
                <w:sz w:val="24"/>
              </w:rPr>
              <w:t>2</w:t>
            </w:r>
            <w:r>
              <w:rPr>
                <w:color w:val="000000"/>
                <w:sz w:val="24"/>
              </w:rPr>
              <w:t>）输电线路工程土地占用保护措施</w:t>
            </w:r>
          </w:p>
          <w:p>
            <w:pPr>
              <w:spacing w:line="360" w:lineRule="auto"/>
              <w:ind w:firstLine="480" w:firstLineChars="200"/>
              <w:rPr>
                <w:color w:val="000000"/>
                <w:sz w:val="24"/>
              </w:rPr>
            </w:pPr>
            <w:r>
              <w:rPr>
                <w:rFonts w:hint="eastAsia"/>
                <w:color w:val="000000"/>
                <w:sz w:val="24"/>
              </w:rPr>
              <w:t>1）塔基区</w:t>
            </w:r>
          </w:p>
          <w:p>
            <w:pPr>
              <w:spacing w:line="360" w:lineRule="auto"/>
              <w:ind w:firstLine="480" w:firstLineChars="200"/>
              <w:rPr>
                <w:color w:val="000000"/>
                <w:sz w:val="24"/>
              </w:rPr>
            </w:pPr>
            <w:r>
              <w:rPr>
                <w:rFonts w:hint="eastAsia"/>
                <w:color w:val="000000"/>
                <w:sz w:val="24"/>
              </w:rPr>
              <w:t>塔基区施工前开挖扰动区域进行表土剥离，剥离的表土临时堆放在塔基临时施工场地进行防护，施工过程中对临时堆土采取彩条布铺垫、密目网苫盖、编织袋拦挡、彩条旗围护等措施。施工结束后将基础余土在塔基区征地范围内平整压实，并及时采取表土回覆、土地整治措施。</w:t>
            </w:r>
          </w:p>
          <w:p>
            <w:pPr>
              <w:spacing w:line="360" w:lineRule="auto"/>
              <w:ind w:firstLine="480" w:firstLineChars="200"/>
              <w:rPr>
                <w:color w:val="000000"/>
                <w:sz w:val="24"/>
              </w:rPr>
            </w:pPr>
            <w:r>
              <w:rPr>
                <w:rFonts w:hint="eastAsia"/>
                <w:color w:val="000000"/>
                <w:sz w:val="24"/>
              </w:rPr>
              <w:t>2）牵张场地区</w:t>
            </w:r>
          </w:p>
          <w:p>
            <w:pPr>
              <w:spacing w:line="360" w:lineRule="auto"/>
              <w:ind w:firstLine="480" w:firstLineChars="200"/>
              <w:rPr>
                <w:color w:val="000000"/>
                <w:sz w:val="24"/>
              </w:rPr>
            </w:pPr>
            <w:r>
              <w:rPr>
                <w:rFonts w:hint="eastAsia"/>
                <w:color w:val="000000"/>
                <w:sz w:val="24"/>
              </w:rPr>
              <w:t>施工前在牵张场地内采取彩条旗围护等临时防护措施。施工完成后，压占场地进行土地整治。</w:t>
            </w:r>
          </w:p>
          <w:p>
            <w:pPr>
              <w:spacing w:line="360" w:lineRule="auto"/>
              <w:ind w:firstLine="480" w:firstLineChars="200"/>
              <w:rPr>
                <w:color w:val="000000"/>
                <w:sz w:val="24"/>
              </w:rPr>
            </w:pPr>
            <w:r>
              <w:rPr>
                <w:rFonts w:hint="eastAsia"/>
                <w:color w:val="000000"/>
                <w:sz w:val="24"/>
              </w:rPr>
              <w:t>3）施工道路区</w:t>
            </w:r>
          </w:p>
          <w:p>
            <w:pPr>
              <w:spacing w:line="360" w:lineRule="auto"/>
              <w:ind w:firstLine="480" w:firstLineChars="200"/>
              <w:rPr>
                <w:color w:val="000000"/>
                <w:sz w:val="24"/>
              </w:rPr>
            </w:pPr>
            <w:r>
              <w:rPr>
                <w:rFonts w:hint="eastAsia"/>
                <w:color w:val="000000"/>
                <w:sz w:val="24"/>
              </w:rPr>
              <w:t>施工道路区施工过程中对占压扰动区域采取彩条旗围护等措施。施工结束后及时进行土地整治，以利于后期植被恢复。</w:t>
            </w:r>
          </w:p>
          <w:p>
            <w:pPr>
              <w:pStyle w:val="5"/>
              <w:rPr>
                <w:color w:val="000000"/>
              </w:rPr>
            </w:pPr>
            <w:r>
              <w:rPr>
                <w:color w:val="000000"/>
              </w:rPr>
              <w:t>在采取上述</w:t>
            </w:r>
            <w:r>
              <w:rPr>
                <w:rFonts w:hint="eastAsia"/>
                <w:color w:val="000000"/>
              </w:rPr>
              <w:t>土地</w:t>
            </w:r>
            <w:r>
              <w:rPr>
                <w:color w:val="000000"/>
              </w:rPr>
              <w:t>整治措施和临时防护措施后，可有效控制生态环境的破坏</w:t>
            </w:r>
            <w:r>
              <w:rPr>
                <w:rFonts w:hint="eastAsia"/>
                <w:color w:val="000000"/>
                <w:lang w:eastAsia="zh-CN"/>
              </w:rPr>
              <w:t>，有</w:t>
            </w:r>
            <w:r>
              <w:rPr>
                <w:color w:val="000000"/>
              </w:rPr>
              <w:t>利于生态环境的恢复。</w:t>
            </w:r>
          </w:p>
          <w:p>
            <w:pPr>
              <w:pStyle w:val="36"/>
              <w:numPr>
                <w:ilvl w:val="1"/>
                <w:numId w:val="18"/>
              </w:numPr>
              <w:ind w:left="425" w:leftChars="0" w:firstLine="0"/>
              <w:jc w:val="left"/>
              <w:rPr>
                <w:b/>
                <w:color w:val="000000"/>
                <w:szCs w:val="21"/>
              </w:rPr>
            </w:pPr>
            <w:r>
              <w:rPr>
                <w:rFonts w:hint="eastAsia"/>
                <w:b/>
                <w:color w:val="000000"/>
                <w:szCs w:val="21"/>
              </w:rPr>
              <w:t>植物</w:t>
            </w:r>
            <w:r>
              <w:rPr>
                <w:b/>
                <w:color w:val="000000"/>
                <w:szCs w:val="21"/>
              </w:rPr>
              <w:t>保护措施</w:t>
            </w:r>
          </w:p>
          <w:p>
            <w:pPr>
              <w:pStyle w:val="5"/>
            </w:pPr>
            <w:r>
              <w:rPr>
                <w:rFonts w:hint="eastAsia"/>
              </w:rPr>
              <w:t>（1）合理规划、设计施工便道及场地，严格控制施工便道宽度，并要求各种机械和车辆固定行车路线，不能随意下道行驶或另开辟便道，禁止对施工区以外地区进行碾压和破坏，以保证周围地表和植被不受破坏。</w:t>
            </w:r>
          </w:p>
          <w:p>
            <w:pPr>
              <w:pStyle w:val="5"/>
            </w:pPr>
            <w:r>
              <w:rPr>
                <w:rFonts w:hint="eastAsia"/>
              </w:rPr>
              <w:t>（2）材料运输过程中对施工道路及人抬道路进行合理的选择，施工运输道路一般为单行道，尽量避免过多扰动原地貌，避免在植被完好的地段进行道路修筑工作。对运至塔位的塔材，选择合适的位置进行堆放，减少场地的占用。</w:t>
            </w:r>
          </w:p>
          <w:p>
            <w:pPr>
              <w:pStyle w:val="5"/>
            </w:pPr>
            <w:r>
              <w:rPr>
                <w:rFonts w:hint="eastAsia"/>
              </w:rPr>
              <w:t>（3）施工时应在工期安排上合理有序，先设置围栏措施，后进行工程建设尽量减少对地表和植被的破坏，除施工必须不得不铲除或碾压植被外，不允许以其它任何理由铲除植被，以减少对生态环境的破坏。</w:t>
            </w:r>
          </w:p>
          <w:p>
            <w:pPr>
              <w:pStyle w:val="5"/>
            </w:pPr>
            <w:r>
              <w:rPr>
                <w:rFonts w:hint="eastAsia"/>
              </w:rPr>
              <w:t>（4）塔基开挖时要将表层熟土分装在编织袋内，堆放在临时堆土场的周围用于施工结束后基坑回填，临时堆土采取四周拦挡、上铺下盖的措施，回填后及时整平。施工中要严格控制临时占地，减少破坏原地貌、植被的面积。</w:t>
            </w:r>
          </w:p>
          <w:p>
            <w:pPr>
              <w:pStyle w:val="5"/>
            </w:pPr>
            <w:r>
              <w:rPr>
                <w:rFonts w:hint="eastAsia"/>
              </w:rPr>
              <w:t>（5）基坑开挖尽量保持坑壁成型完好，并做好临时堆土的挡护及苫盖，基础坑开挖好后应尽快浇筑混凝土。</w:t>
            </w:r>
          </w:p>
          <w:p>
            <w:pPr>
              <w:pStyle w:val="5"/>
            </w:pPr>
            <w:r>
              <w:rPr>
                <w:rFonts w:hint="eastAsia"/>
              </w:rPr>
              <w:t>（6）严格控制施工范围，应尽量控制作业面，施工后期对各类施工临时占地予以土地整治。</w:t>
            </w:r>
          </w:p>
          <w:p>
            <w:pPr>
              <w:pStyle w:val="5"/>
              <w:rPr>
                <w:color w:val="000000"/>
              </w:rPr>
            </w:pPr>
            <w:r>
              <w:rPr>
                <w:rFonts w:hint="eastAsia"/>
              </w:rPr>
              <w:t>（7）在塔基基础及杆塔等施工完毕后，应按设计要求立即对塔基基础周边开挖部分进行覆土，并进行平整夯实，以减少水土流失；对作业区、牵张场等施工扰动区地表进行平整。</w:t>
            </w:r>
          </w:p>
          <w:p>
            <w:pPr>
              <w:pStyle w:val="36"/>
              <w:numPr>
                <w:ilvl w:val="1"/>
                <w:numId w:val="18"/>
              </w:numPr>
              <w:ind w:left="425" w:leftChars="0" w:firstLine="0"/>
              <w:jc w:val="left"/>
              <w:rPr>
                <w:b/>
                <w:color w:val="000000"/>
                <w:szCs w:val="21"/>
              </w:rPr>
            </w:pPr>
            <w:r>
              <w:rPr>
                <w:rFonts w:hint="eastAsia"/>
                <w:b/>
                <w:color w:val="000000"/>
                <w:szCs w:val="21"/>
              </w:rPr>
              <w:t>动物</w:t>
            </w:r>
            <w:r>
              <w:rPr>
                <w:b/>
                <w:color w:val="000000"/>
                <w:szCs w:val="21"/>
              </w:rPr>
              <w:t>保护措施</w:t>
            </w:r>
          </w:p>
          <w:p>
            <w:pPr>
              <w:pStyle w:val="5"/>
              <w:rPr>
                <w:color w:val="000000"/>
              </w:rPr>
            </w:pPr>
            <w:r>
              <w:rPr>
                <w:color w:val="000000"/>
              </w:rPr>
              <w:t>（1）加强施工人员的环境保护教育，提高施工人员和相关管理人员的环保意识，严禁出现随意捕杀野生动物的行为。</w:t>
            </w:r>
          </w:p>
          <w:p>
            <w:pPr>
              <w:pStyle w:val="5"/>
              <w:rPr>
                <w:color w:val="000000"/>
              </w:rPr>
            </w:pPr>
            <w:r>
              <w:rPr>
                <w:color w:val="000000"/>
              </w:rPr>
              <w:t>（2）采用低噪声的机械等施工设备，禁止</w:t>
            </w:r>
            <w:r>
              <w:rPr>
                <w:rFonts w:hint="eastAsia"/>
                <w:color w:val="000000"/>
              </w:rPr>
              <w:t>夜间</w:t>
            </w:r>
            <w:r>
              <w:rPr>
                <w:color w:val="000000"/>
              </w:rPr>
              <w:t>高噪声的活动，减少施工活动噪声对野生动物的驱赶效应。</w:t>
            </w:r>
          </w:p>
          <w:p>
            <w:pPr>
              <w:pStyle w:val="5"/>
              <w:rPr>
                <w:color w:val="000000"/>
              </w:rPr>
            </w:pPr>
            <w:r>
              <w:rPr>
                <w:color w:val="000000"/>
              </w:rPr>
              <w:t>（3）利用原有田间道路、机耕路等现有道路作为施工道路，减小施工道路开辟对野生动物生活环境的破坏范围和强度。</w:t>
            </w:r>
          </w:p>
          <w:p>
            <w:pPr>
              <w:pStyle w:val="5"/>
              <w:rPr>
                <w:color w:val="000000"/>
              </w:rPr>
            </w:pPr>
            <w:r>
              <w:rPr>
                <w:color w:val="000000"/>
              </w:rPr>
              <w:t>（4）施工结束后，对施工扰动区域及临时占地区域进行原生态恢复，恢复野生动物生境。</w:t>
            </w:r>
          </w:p>
          <w:p>
            <w:pPr>
              <w:pStyle w:val="36"/>
              <w:numPr>
                <w:ilvl w:val="1"/>
                <w:numId w:val="18"/>
              </w:numPr>
              <w:ind w:left="425" w:leftChars="0" w:firstLine="0"/>
              <w:jc w:val="left"/>
              <w:rPr>
                <w:b/>
                <w:color w:val="000000"/>
              </w:rPr>
            </w:pPr>
            <w:r>
              <w:rPr>
                <w:rFonts w:hint="eastAsia"/>
                <w:b/>
                <w:color w:val="000000"/>
              </w:rPr>
              <w:t>线路经过不同生态单元施工期的主要环保措施</w:t>
            </w:r>
          </w:p>
          <w:p>
            <w:pPr>
              <w:pStyle w:val="36"/>
              <w:numPr>
                <w:ilvl w:val="2"/>
                <w:numId w:val="18"/>
              </w:numPr>
              <w:spacing w:after="0" w:line="360" w:lineRule="auto"/>
              <w:ind w:left="0" w:leftChars="0" w:firstLine="482" w:firstLineChars="200"/>
              <w:jc w:val="left"/>
            </w:pPr>
            <w:r>
              <w:rPr>
                <w:rFonts w:hint="eastAsia"/>
                <w:b/>
                <w:bCs/>
              </w:rPr>
              <w:t>裸地区域</w:t>
            </w:r>
          </w:p>
          <w:p>
            <w:pPr>
              <w:pStyle w:val="5"/>
            </w:pPr>
            <w:r>
              <w:rPr>
                <w:rFonts w:ascii="PingFang SC" w:hAnsi="PingFang SC" w:eastAsia="PingFang SC" w:cs="PingFang SC"/>
                <w:szCs w:val="24"/>
                <w:shd w:val="clear" w:color="auto" w:fill="FFFFFF"/>
              </w:rPr>
              <w:t>施工前对裸地进行表土剥离，将剥离的表土分类存放，以便后期回填利用。</w:t>
            </w:r>
            <w:r>
              <w:rPr>
                <w:rFonts w:hint="eastAsia" w:ascii="PingFang SC" w:hAnsi="PingFang SC" w:cs="PingFang SC"/>
                <w:szCs w:val="24"/>
                <w:shd w:val="clear" w:color="auto" w:fill="FFFFFF"/>
              </w:rPr>
              <w:t>施工期间</w:t>
            </w:r>
            <w:r>
              <w:rPr>
                <w:rFonts w:ascii="PingFang SC" w:hAnsi="PingFang SC" w:eastAsia="PingFang SC" w:cs="PingFang SC"/>
                <w:szCs w:val="24"/>
                <w:shd w:val="clear" w:color="auto" w:fill="FFFFFF"/>
              </w:rPr>
              <w:t>对裸露地面进行覆盖，使用防尘布或防尘网，减少扬尘污染。</w:t>
            </w:r>
            <w:r>
              <w:rPr>
                <w:rFonts w:hint="eastAsia"/>
              </w:rPr>
              <w:t>施工完成后对临时占地进行土地整治，恢复原地貌。同时</w:t>
            </w:r>
            <w:r>
              <w:rPr>
                <w:rFonts w:ascii="PingFang SC" w:hAnsi="PingFang SC" w:eastAsia="PingFang SC" w:cs="PingFang SC"/>
                <w:szCs w:val="24"/>
                <w:shd w:val="clear" w:color="auto" w:fill="FFFFFF"/>
              </w:rPr>
              <w:t>合理规划施工区域，减少对裸地的扰动，尽量利用现有道路和场地，减少新开辟的施工区域。</w:t>
            </w:r>
          </w:p>
          <w:p>
            <w:pPr>
              <w:pStyle w:val="36"/>
              <w:numPr>
                <w:ilvl w:val="2"/>
                <w:numId w:val="18"/>
              </w:numPr>
              <w:spacing w:after="0" w:line="360" w:lineRule="auto"/>
              <w:ind w:left="0" w:leftChars="0" w:firstLine="482" w:firstLineChars="200"/>
              <w:jc w:val="left"/>
              <w:rPr>
                <w:b/>
                <w:bCs/>
              </w:rPr>
            </w:pPr>
            <w:r>
              <w:rPr>
                <w:rFonts w:hint="eastAsia"/>
                <w:b/>
                <w:bCs/>
              </w:rPr>
              <w:t>林地区域</w:t>
            </w:r>
          </w:p>
          <w:p>
            <w:pPr>
              <w:pStyle w:val="5"/>
              <w:rPr>
                <w:color w:val="000000"/>
              </w:rPr>
            </w:pPr>
            <w:r>
              <w:t>本工程占用的林地区域不涉及国家级、省级保护的珍稀濒危野生植物集中分布区，不涉及古树名木的生长区域，也不涉及国家一级公益林，林地占用区域的植被种类主要为区域内常见种类。</w:t>
            </w:r>
            <w:r>
              <w:rPr>
                <w:rFonts w:hint="eastAsia"/>
              </w:rPr>
              <w:t>施工时，</w:t>
            </w:r>
            <w:r>
              <w:t>严格控制施工范围</w:t>
            </w:r>
            <w:r>
              <w:rPr>
                <w:rFonts w:hint="eastAsia"/>
              </w:rPr>
              <w:t>，</w:t>
            </w:r>
            <w:r>
              <w:t>尽量减少地表扰动和植被损坏范围，杆塔定位选择在林区边缘地带，避免对林区造成大面积损坏，严格规范车辆行驶路线，合理设置临时占地，施工临时占地尽量利用植被少的空旷地</w:t>
            </w:r>
            <w:r>
              <w:rPr>
                <w:color w:val="000000"/>
              </w:rPr>
              <w:t>。</w:t>
            </w:r>
          </w:p>
          <w:p>
            <w:pPr>
              <w:pStyle w:val="5"/>
              <w:rPr>
                <w:u w:val="single"/>
              </w:rPr>
            </w:pPr>
            <w:r>
              <w:t>在施工结束后通过对临时占地区和施工扰动区裸露地表采取植被恢复措施，工程区被破坏的植被可得到一定程度的恢复，对土地占用影响很小。</w:t>
            </w:r>
          </w:p>
          <w:p>
            <w:pPr>
              <w:pStyle w:val="36"/>
              <w:numPr>
                <w:ilvl w:val="1"/>
                <w:numId w:val="18"/>
              </w:numPr>
              <w:ind w:left="425" w:leftChars="0" w:firstLine="0"/>
              <w:jc w:val="left"/>
              <w:rPr>
                <w:b/>
                <w:color w:val="000000"/>
              </w:rPr>
            </w:pPr>
            <w:r>
              <w:rPr>
                <w:rFonts w:hint="eastAsia"/>
                <w:b/>
                <w:color w:val="000000"/>
              </w:rPr>
              <w:t>水土保持措施</w:t>
            </w:r>
          </w:p>
          <w:p>
            <w:pPr>
              <w:pStyle w:val="5"/>
            </w:pPr>
            <w:r>
              <w:rPr>
                <w:rFonts w:hint="eastAsia"/>
              </w:rPr>
              <w:t>（1）建设过程中应合理组织施工，尽量减少占用临时施工用地，减小项目影响范围；</w:t>
            </w:r>
          </w:p>
          <w:p>
            <w:pPr>
              <w:pStyle w:val="5"/>
            </w:pPr>
            <w:r>
              <w:rPr>
                <w:rFonts w:hint="eastAsia"/>
              </w:rPr>
              <w:t>（2）施工场地土方堆置区域铺设彩条布，在彩条布之上堆放开挖土方及砂石料，用以减少清理场地对地表结皮的破坏；</w:t>
            </w:r>
          </w:p>
          <w:p>
            <w:pPr>
              <w:pStyle w:val="5"/>
            </w:pPr>
            <w:r>
              <w:rPr>
                <w:rFonts w:hint="eastAsia"/>
              </w:rPr>
              <w:t>（3）在暴雨或大风季节，预先采取彩条布</w:t>
            </w:r>
            <w:r>
              <w:rPr>
                <w:rFonts w:hint="eastAsia"/>
                <w:lang w:eastAsia="zh-CN"/>
              </w:rPr>
              <w:t>对</w:t>
            </w:r>
            <w:r>
              <w:rPr>
                <w:rFonts w:hint="eastAsia"/>
              </w:rPr>
              <w:t>土体进行苫盖，彩条布边缘需用石块进行压实，以防大风将彩条布刮起；</w:t>
            </w:r>
          </w:p>
          <w:p>
            <w:pPr>
              <w:pStyle w:val="5"/>
            </w:pPr>
            <w:r>
              <w:rPr>
                <w:rFonts w:hint="eastAsia"/>
              </w:rPr>
              <w:t>（4）尽量维持原自然地形，减少土石方的开挖，避免大开挖，保护植被。同时，要求施工时不随意倾倒弃土，减少水土流失；</w:t>
            </w:r>
          </w:p>
          <w:p>
            <w:pPr>
              <w:pStyle w:val="5"/>
            </w:pPr>
            <w:r>
              <w:rPr>
                <w:rFonts w:hint="eastAsia"/>
              </w:rPr>
              <w:t>（5）在临时堆土场采用编织袋装土、“品”字形紧密排列的堆砌临时拦渣墙，起到临时挡护的作用；工程完结后，对扰动的场地进行洒水，令其自然板结，降低流失量。在施工结束后应清除废弃物，平整土地，降低风蚀的影响，避免因本项目建设造成水土流失。</w:t>
            </w:r>
          </w:p>
          <w:p>
            <w:pPr>
              <w:pStyle w:val="5"/>
              <w:rPr>
                <w:color w:val="000000"/>
              </w:rPr>
            </w:pPr>
            <w:r>
              <w:t>在采取上述土地</w:t>
            </w:r>
            <w:r>
              <w:rPr>
                <w:rFonts w:hint="eastAsia"/>
              </w:rPr>
              <w:t>占用保护措施和</w:t>
            </w:r>
            <w:r>
              <w:t>植被保护、动物</w:t>
            </w:r>
            <w:r>
              <w:rPr>
                <w:rFonts w:hint="eastAsia"/>
              </w:rPr>
              <w:t>保护</w:t>
            </w:r>
            <w:r>
              <w:t>措施后，工程施工期对周边生态环境影响较小。</w:t>
            </w:r>
          </w:p>
          <w:p>
            <w:pPr>
              <w:numPr>
                <w:ilvl w:val="0"/>
                <w:numId w:val="17"/>
              </w:numPr>
              <w:spacing w:line="360" w:lineRule="auto"/>
              <w:rPr>
                <w:b/>
                <w:color w:val="000000"/>
                <w:kern w:val="0"/>
                <w:sz w:val="24"/>
                <w:szCs w:val="21"/>
              </w:rPr>
            </w:pPr>
            <w:r>
              <w:rPr>
                <w:b/>
                <w:color w:val="000000"/>
                <w:kern w:val="0"/>
                <w:sz w:val="24"/>
                <w:szCs w:val="21"/>
              </w:rPr>
              <w:t>施工期声环境污染控制措施</w:t>
            </w:r>
          </w:p>
          <w:p>
            <w:pPr>
              <w:pStyle w:val="5"/>
              <w:rPr>
                <w:color w:val="000000"/>
              </w:rPr>
            </w:pPr>
            <w:r>
              <w:rPr>
                <w:color w:val="000000"/>
              </w:rPr>
              <w:t>为减小工程施工期噪声对周围环境的影响，本环评要求施工单位在整个施工期采取如下噪声防治措施：</w:t>
            </w:r>
          </w:p>
          <w:p>
            <w:pPr>
              <w:tabs>
                <w:tab w:val="left" w:pos="720"/>
              </w:tabs>
              <w:adjustRightInd w:val="0"/>
              <w:snapToGrid w:val="0"/>
              <w:spacing w:line="360" w:lineRule="auto"/>
              <w:ind w:firstLine="480" w:firstLineChars="200"/>
              <w:rPr>
                <w:color w:val="000000"/>
                <w:sz w:val="24"/>
              </w:rPr>
            </w:pPr>
            <w:r>
              <w:rPr>
                <w:rFonts w:hint="eastAsia"/>
                <w:color w:val="000000"/>
                <w:sz w:val="24"/>
              </w:rPr>
              <w:t>（1）要求施工单位文明施工，加强施工期的环境管理和环境监控工作，并接受生态环境主管部门的监督管理。</w:t>
            </w:r>
          </w:p>
          <w:p>
            <w:pPr>
              <w:tabs>
                <w:tab w:val="left" w:pos="720"/>
              </w:tabs>
              <w:adjustRightInd w:val="0"/>
              <w:snapToGrid w:val="0"/>
              <w:spacing w:line="360" w:lineRule="auto"/>
              <w:ind w:firstLine="480" w:firstLineChars="200"/>
              <w:rPr>
                <w:color w:val="000000"/>
                <w:sz w:val="24"/>
              </w:rPr>
            </w:pPr>
            <w:r>
              <w:rPr>
                <w:rFonts w:hint="eastAsia"/>
                <w:color w:val="000000"/>
                <w:sz w:val="24"/>
              </w:rPr>
              <w:t>（2）</w:t>
            </w:r>
            <w:r>
              <w:rPr>
                <w:rFonts w:hint="eastAsia"/>
                <w:color w:val="000000"/>
                <w:sz w:val="24"/>
                <w:lang w:eastAsia="zh-CN"/>
              </w:rPr>
              <w:t>按照《中华人民共和国</w:t>
            </w:r>
            <w:r>
              <w:rPr>
                <w:rFonts w:hint="eastAsia"/>
                <w:color w:val="000000"/>
                <w:sz w:val="24"/>
              </w:rPr>
              <w:t>噪声污染防治法》的规定，在噪声敏感建筑物集中区域施工作业，应当优先使用低噪声施工工艺和设备。本环评要求在噪声敏感建筑物集中区域的施工作业应按《</w:t>
            </w:r>
            <w:bookmarkStart w:id="616" w:name="OLE_LINK5"/>
            <w:r>
              <w:rPr>
                <w:rFonts w:hint="eastAsia"/>
                <w:color w:val="000000"/>
                <w:sz w:val="24"/>
              </w:rPr>
              <w:t>低噪声施工设备指导名录</w:t>
            </w:r>
            <w:bookmarkEnd w:id="616"/>
            <w:r>
              <w:rPr>
                <w:rFonts w:hint="eastAsia"/>
                <w:color w:val="000000"/>
                <w:sz w:val="24"/>
              </w:rPr>
              <w:t>（2024年版）》，优先选用低噪声施工设备进行施工。</w:t>
            </w:r>
          </w:p>
          <w:p>
            <w:pPr>
              <w:tabs>
                <w:tab w:val="left" w:pos="720"/>
              </w:tabs>
              <w:adjustRightInd w:val="0"/>
              <w:snapToGrid w:val="0"/>
              <w:spacing w:line="360" w:lineRule="auto"/>
              <w:ind w:firstLine="480" w:firstLineChars="200"/>
              <w:rPr>
                <w:color w:val="000000"/>
                <w:sz w:val="24"/>
              </w:rPr>
            </w:pPr>
            <w:r>
              <w:rPr>
                <w:rFonts w:hint="eastAsia"/>
                <w:color w:val="000000"/>
                <w:sz w:val="24"/>
              </w:rPr>
              <w:t>（3）优化施工方案，合理安排工期，依法限制夜间施工。</w:t>
            </w:r>
            <w:r>
              <w:rPr>
                <w:rFonts w:hint="eastAsia"/>
                <w:color w:val="000000"/>
                <w:sz w:val="24"/>
                <w:lang w:eastAsia="zh-CN"/>
              </w:rPr>
              <w:t>按照《中华人民共和国</w:t>
            </w:r>
            <w:r>
              <w:rPr>
                <w:rFonts w:hint="eastAsia"/>
                <w:color w:val="000000"/>
                <w:sz w:val="24"/>
              </w:rPr>
              <w:t>噪声污染防治法》的规定，在噪声敏感建筑物集中区域，禁止夜间进行产生噪声的建筑施工作业，但抢修、抢险施工作业，因生产工艺要求或者其他特殊需要必须连续施工作业的除外。因特殊需要必须连续施工作业的，应当取得地方人民政府住房和城乡建设、生态环境主管部门或者地方人民政府指定的部门的证明，并在施工现场显著位置公示或者以其他方式公告附近居民。</w:t>
            </w:r>
          </w:p>
          <w:p>
            <w:pPr>
              <w:tabs>
                <w:tab w:val="left" w:pos="720"/>
              </w:tabs>
              <w:adjustRightInd w:val="0"/>
              <w:snapToGrid w:val="0"/>
              <w:spacing w:line="360" w:lineRule="auto"/>
              <w:ind w:firstLine="480" w:firstLineChars="200"/>
              <w:rPr>
                <w:color w:val="000000"/>
                <w:sz w:val="24"/>
              </w:rPr>
            </w:pPr>
            <w:r>
              <w:rPr>
                <w:rFonts w:hint="eastAsia"/>
                <w:color w:val="000000"/>
                <w:sz w:val="24"/>
              </w:rPr>
              <w:t>（4）加强施工车辆在施工区附近的交通管理，当车辆途经附近居民点时，限速行驶、不高音鸣笛，以减少施工车辆行驶对沿途居民点的噪声影响。</w:t>
            </w:r>
          </w:p>
          <w:p>
            <w:pPr>
              <w:pStyle w:val="5"/>
              <w:rPr>
                <w:color w:val="000000"/>
              </w:rPr>
            </w:pPr>
            <w:r>
              <w:rPr>
                <w:rFonts w:hint="eastAsia"/>
                <w:color w:val="000000"/>
              </w:rPr>
              <w:t>本工程变电站采取限制源强、依法限制夜间高噪声施工等措施；在各线路塔基处分散施工，单个塔基施工期较短，且施工场地大部分位于拟建道路及已建道路两侧，施工区域对噪声影响不敏感，在采取上述环境保护措施后，本工程施工期对声环境影响</w:t>
            </w:r>
            <w:r>
              <w:rPr>
                <w:color w:val="000000"/>
              </w:rPr>
              <w:t>较小。</w:t>
            </w:r>
          </w:p>
          <w:p>
            <w:pPr>
              <w:numPr>
                <w:ilvl w:val="0"/>
                <w:numId w:val="17"/>
              </w:numPr>
              <w:spacing w:line="360" w:lineRule="auto"/>
              <w:rPr>
                <w:b/>
                <w:color w:val="000000"/>
                <w:kern w:val="0"/>
                <w:sz w:val="24"/>
                <w:szCs w:val="21"/>
              </w:rPr>
            </w:pPr>
            <w:r>
              <w:rPr>
                <w:b/>
                <w:color w:val="000000"/>
                <w:kern w:val="0"/>
                <w:sz w:val="24"/>
                <w:szCs w:val="21"/>
              </w:rPr>
              <w:t>施工期</w:t>
            </w:r>
            <w:r>
              <w:rPr>
                <w:rFonts w:hint="eastAsia"/>
                <w:b/>
                <w:color w:val="000000"/>
                <w:kern w:val="0"/>
                <w:sz w:val="24"/>
                <w:szCs w:val="21"/>
              </w:rPr>
              <w:t>环境</w:t>
            </w:r>
            <w:r>
              <w:rPr>
                <w:b/>
                <w:color w:val="000000"/>
                <w:kern w:val="0"/>
                <w:sz w:val="24"/>
                <w:szCs w:val="21"/>
              </w:rPr>
              <w:t>空气污染控制措施</w:t>
            </w:r>
          </w:p>
          <w:p>
            <w:pPr>
              <w:pStyle w:val="5"/>
              <w:rPr>
                <w:color w:val="000000"/>
              </w:rPr>
            </w:pPr>
            <w:r>
              <w:rPr>
                <w:color w:val="000000"/>
              </w:rPr>
              <w:t>为减小工程施工期扬尘对周围环境的影响，本环评要求施工单位在整个施工期采取如下施工期扬尘防治措施：</w:t>
            </w:r>
          </w:p>
          <w:p>
            <w:pPr>
              <w:adjustRightInd w:val="0"/>
              <w:snapToGrid w:val="0"/>
              <w:spacing w:line="360" w:lineRule="auto"/>
              <w:ind w:firstLine="480" w:firstLineChars="200"/>
              <w:rPr>
                <w:color w:val="000000"/>
                <w:sz w:val="24"/>
              </w:rPr>
            </w:pPr>
            <w:r>
              <w:rPr>
                <w:color w:val="000000"/>
                <w:sz w:val="24"/>
              </w:rPr>
              <w:t>（1）施工单位应文明施工，加强施工期的环境管理和环境监控工作。</w:t>
            </w:r>
          </w:p>
          <w:p>
            <w:pPr>
              <w:adjustRightInd w:val="0"/>
              <w:snapToGrid w:val="0"/>
              <w:spacing w:line="360" w:lineRule="auto"/>
              <w:ind w:firstLine="480" w:firstLineChars="200"/>
              <w:rPr>
                <w:color w:val="000000"/>
                <w:sz w:val="24"/>
              </w:rPr>
            </w:pPr>
            <w:r>
              <w:rPr>
                <w:color w:val="000000"/>
                <w:sz w:val="24"/>
              </w:rPr>
              <w:t>（2）施工产生的建筑垃圾等要合理堆放，应定期清运。</w:t>
            </w:r>
          </w:p>
          <w:p>
            <w:pPr>
              <w:adjustRightInd w:val="0"/>
              <w:snapToGrid w:val="0"/>
              <w:spacing w:line="360" w:lineRule="auto"/>
              <w:ind w:firstLine="480" w:firstLineChars="200"/>
              <w:rPr>
                <w:color w:val="000000"/>
                <w:sz w:val="24"/>
              </w:rPr>
            </w:pPr>
            <w:r>
              <w:rPr>
                <w:color w:val="000000"/>
                <w:sz w:val="24"/>
              </w:rPr>
              <w:t>（3）车辆运输土方</w:t>
            </w:r>
            <w:r>
              <w:rPr>
                <w:rFonts w:hint="eastAsia"/>
                <w:color w:val="000000"/>
                <w:sz w:val="24"/>
              </w:rPr>
              <w:t>或散体材料</w:t>
            </w:r>
            <w:r>
              <w:rPr>
                <w:color w:val="000000"/>
                <w:sz w:val="24"/>
              </w:rPr>
              <w:t>时，必须密闭、包扎、覆盖，避免沿途漏撒，并且在规定的时间内按指定路段行驶，控制扬尘污染。</w:t>
            </w:r>
          </w:p>
          <w:p>
            <w:pPr>
              <w:adjustRightInd w:val="0"/>
              <w:snapToGrid w:val="0"/>
              <w:spacing w:line="360" w:lineRule="auto"/>
              <w:ind w:firstLine="480" w:firstLineChars="200"/>
              <w:rPr>
                <w:color w:val="000000"/>
                <w:sz w:val="24"/>
              </w:rPr>
            </w:pPr>
            <w:r>
              <w:rPr>
                <w:color w:val="000000"/>
                <w:sz w:val="24"/>
              </w:rPr>
              <w:t>（4）加强材料转运与使用的管理，合理装卸，规范操作。</w:t>
            </w:r>
          </w:p>
          <w:p>
            <w:pPr>
              <w:adjustRightInd w:val="0"/>
              <w:snapToGrid w:val="0"/>
              <w:spacing w:line="360" w:lineRule="auto"/>
              <w:ind w:firstLine="480" w:firstLineChars="200"/>
              <w:rPr>
                <w:color w:val="000000"/>
                <w:sz w:val="24"/>
              </w:rPr>
            </w:pPr>
            <w:r>
              <w:rPr>
                <w:color w:val="000000"/>
                <w:sz w:val="24"/>
              </w:rPr>
              <w:t>（5）变电站及输电线路附近的道路在车辆进出时洒水，保持湿润，减少或避免产生扬尘。</w:t>
            </w:r>
          </w:p>
          <w:p>
            <w:pPr>
              <w:adjustRightInd w:val="0"/>
              <w:snapToGrid w:val="0"/>
              <w:spacing w:line="360" w:lineRule="auto"/>
              <w:ind w:firstLine="480" w:firstLineChars="200"/>
              <w:rPr>
                <w:color w:val="000000"/>
                <w:sz w:val="24"/>
              </w:rPr>
            </w:pPr>
            <w:r>
              <w:rPr>
                <w:color w:val="000000"/>
                <w:sz w:val="24"/>
              </w:rPr>
              <w:t>（6）临时堆土应及时苫盖</w:t>
            </w:r>
            <w:r>
              <w:rPr>
                <w:rFonts w:hint="eastAsia"/>
                <w:color w:val="000000"/>
                <w:sz w:val="24"/>
              </w:rPr>
              <w:t>，</w:t>
            </w:r>
            <w:r>
              <w:rPr>
                <w:color w:val="000000"/>
                <w:sz w:val="24"/>
              </w:rPr>
              <w:t>干燥天气下易起尘的裸露土地及时洒水抑尘。</w:t>
            </w:r>
          </w:p>
          <w:p>
            <w:pPr>
              <w:pStyle w:val="5"/>
              <w:rPr>
                <w:color w:val="000000"/>
              </w:rPr>
            </w:pPr>
            <w:r>
              <w:rPr>
                <w:rFonts w:hint="eastAsia"/>
                <w:color w:val="000000"/>
              </w:rPr>
              <w:t>本工程施工期较短且施工地点较分散，在采取上述防护措施后，本工程施工期对环境空气影响较小</w:t>
            </w:r>
            <w:r>
              <w:rPr>
                <w:color w:val="000000"/>
              </w:rPr>
              <w:t>。</w:t>
            </w:r>
          </w:p>
          <w:p>
            <w:pPr>
              <w:numPr>
                <w:ilvl w:val="0"/>
                <w:numId w:val="17"/>
              </w:numPr>
              <w:spacing w:line="360" w:lineRule="auto"/>
              <w:rPr>
                <w:b/>
                <w:color w:val="000000"/>
                <w:kern w:val="0"/>
                <w:sz w:val="24"/>
                <w:szCs w:val="21"/>
              </w:rPr>
            </w:pPr>
            <w:r>
              <w:rPr>
                <w:b/>
                <w:color w:val="000000"/>
                <w:kern w:val="0"/>
                <w:sz w:val="24"/>
                <w:szCs w:val="21"/>
              </w:rPr>
              <w:t>施工期水环境污染控制措施</w:t>
            </w:r>
          </w:p>
          <w:p>
            <w:pPr>
              <w:pStyle w:val="5"/>
              <w:rPr>
                <w:color w:val="000000"/>
              </w:rPr>
            </w:pPr>
            <w:r>
              <w:rPr>
                <w:color w:val="000000"/>
              </w:rPr>
              <w:t>为减小工程施工期废水对周围环境的影响，本环评要求施工单位在整个施工期采取如下施工期废水防治措施：</w:t>
            </w:r>
          </w:p>
          <w:p>
            <w:pPr>
              <w:pStyle w:val="5"/>
              <w:rPr>
                <w:color w:val="000000"/>
              </w:rPr>
            </w:pPr>
            <w:r>
              <w:rPr>
                <w:color w:val="000000"/>
              </w:rPr>
              <w:t>（1）变电站施工时应及时修建临时旱厕对生活污水进行处理，施工完成后对旱厕进行拆除并</w:t>
            </w:r>
            <w:r>
              <w:rPr>
                <w:rFonts w:hint="eastAsia"/>
                <w:color w:val="000000"/>
              </w:rPr>
              <w:t>恢复</w:t>
            </w:r>
            <w:r>
              <w:rPr>
                <w:color w:val="000000"/>
              </w:rPr>
              <w:t>原有植被。</w:t>
            </w:r>
          </w:p>
          <w:p>
            <w:pPr>
              <w:pStyle w:val="5"/>
              <w:rPr>
                <w:color w:val="000000"/>
              </w:rPr>
            </w:pPr>
            <w:r>
              <w:rPr>
                <w:color w:val="000000"/>
              </w:rPr>
              <w:t>（2）</w:t>
            </w:r>
            <w:r>
              <w:rPr>
                <w:rFonts w:hint="eastAsia"/>
                <w:color w:val="000000"/>
              </w:rPr>
              <w:t>对于输电线路，</w:t>
            </w:r>
            <w:r>
              <w:rPr>
                <w:color w:val="000000"/>
              </w:rPr>
              <w:t>在施工区域设置简易排水系统，并设置简易沉砂池，使产生的施工废水经沉淀处理后用于施工场地洒水抑尘。</w:t>
            </w:r>
          </w:p>
          <w:p>
            <w:pPr>
              <w:pStyle w:val="5"/>
              <w:rPr>
                <w:color w:val="000000"/>
              </w:rPr>
            </w:pPr>
            <w:r>
              <w:rPr>
                <w:color w:val="000000"/>
              </w:rPr>
              <w:t>（3）输电线路施工人员临时租用附近村庄民房或工屋，不设置施工营地</w:t>
            </w:r>
            <w:r>
              <w:rPr>
                <w:rFonts w:hint="eastAsia"/>
                <w:color w:val="000000"/>
              </w:rPr>
              <w:t>，施工现场可设置移动式环保厕所，用于收集处理施工现场的生活污水</w:t>
            </w:r>
            <w:r>
              <w:rPr>
                <w:color w:val="000000"/>
              </w:rPr>
              <w:t>。</w:t>
            </w:r>
          </w:p>
          <w:p>
            <w:pPr>
              <w:pStyle w:val="5"/>
              <w:rPr>
                <w:color w:val="000000"/>
              </w:rPr>
            </w:pPr>
            <w:r>
              <w:rPr>
                <w:rFonts w:hint="eastAsia"/>
                <w:color w:val="000000"/>
              </w:rPr>
              <w:t>（4）</w:t>
            </w:r>
            <w:r>
              <w:rPr>
                <w:rFonts w:hint="eastAsia"/>
                <w:color w:val="000000"/>
                <w:kern w:val="0"/>
                <w:szCs w:val="24"/>
              </w:rPr>
              <w:t>对线路运行维护人员进行水环境相关知识的培训，</w:t>
            </w:r>
            <w:r>
              <w:rPr>
                <w:rFonts w:hint="eastAsia"/>
                <w:color w:val="000000"/>
                <w:kern w:val="0"/>
                <w:szCs w:val="24"/>
                <w:lang w:eastAsia="zh-CN"/>
              </w:rPr>
              <w:t>增强</w:t>
            </w:r>
            <w:r>
              <w:rPr>
                <w:rFonts w:hint="eastAsia"/>
                <w:color w:val="000000"/>
                <w:kern w:val="0"/>
                <w:szCs w:val="24"/>
              </w:rPr>
              <w:t>他们的环境保护意识，将工程运行维护过程中产生的生活垃圾等废物妥善处置，及时消除由此带来的环境影响</w:t>
            </w:r>
            <w:r>
              <w:rPr>
                <w:rFonts w:hint="eastAsia"/>
                <w:snapToGrid w:val="0"/>
                <w:color w:val="000000"/>
                <w:kern w:val="0"/>
                <w:szCs w:val="24"/>
              </w:rPr>
              <w:t>。</w:t>
            </w:r>
          </w:p>
          <w:p>
            <w:pPr>
              <w:pStyle w:val="5"/>
            </w:pPr>
            <w:r>
              <w:rPr>
                <w:rFonts w:hint="eastAsia"/>
              </w:rPr>
              <w:t>（5）施工场地要尽量远离水体，并划定明确的施工范围，不得随意扩大，施工临时堆土点应远离跨越的水体，并对开挖的土石方采取拦挡措施不向河道水体弃土弃渣。</w:t>
            </w:r>
          </w:p>
          <w:p>
            <w:pPr>
              <w:pStyle w:val="5"/>
              <w:rPr>
                <w:color w:val="000000"/>
              </w:rPr>
            </w:pPr>
            <w:r>
              <w:rPr>
                <w:rFonts w:hint="eastAsia"/>
              </w:rPr>
              <w:t>（6）</w:t>
            </w:r>
            <w:r>
              <w:t>优先选用低排放、高密封性机械设备，定期检查油路、油箱密封性</w:t>
            </w:r>
            <w:r>
              <w:rPr>
                <w:rFonts w:hint="eastAsia"/>
              </w:rPr>
              <w:t>；</w:t>
            </w:r>
            <w:r>
              <w:t>油料加注时采用防滴漏装置，油料存储区设置防渗托盘或围堰，防止油污直接接触地面‌</w:t>
            </w:r>
            <w:r>
              <w:rPr>
                <w:rFonts w:hint="eastAsia"/>
              </w:rPr>
              <w:t>；</w:t>
            </w:r>
            <w:r>
              <w:t>油料操作区（如加油点、维修点）与水体、土壤敏感区域保持安全距离，作业区地面铺设防渗材料</w:t>
            </w:r>
            <w:r>
              <w:rPr>
                <w:rFonts w:hint="eastAsia"/>
              </w:rPr>
              <w:t>；</w:t>
            </w:r>
            <w:r>
              <w:t>配备吸油棉、应急收集桶等物资</w:t>
            </w:r>
            <w:r>
              <w:rPr>
                <w:rFonts w:hint="eastAsia"/>
              </w:rPr>
              <w:t>。</w:t>
            </w:r>
          </w:p>
          <w:p>
            <w:pPr>
              <w:pStyle w:val="5"/>
              <w:rPr>
                <w:color w:val="000000"/>
              </w:rPr>
            </w:pPr>
            <w:r>
              <w:rPr>
                <w:color w:val="000000"/>
              </w:rPr>
              <w:t>各项污染防治措施</w:t>
            </w:r>
            <w:r>
              <w:rPr>
                <w:rFonts w:hint="eastAsia"/>
                <w:color w:val="000000"/>
              </w:rPr>
              <w:t>均是</w:t>
            </w:r>
            <w:r>
              <w:rPr>
                <w:color w:val="000000"/>
              </w:rPr>
              <w:t>根据国家环境保护要求及相关的设计规程规范提出</w:t>
            </w:r>
            <w:r>
              <w:rPr>
                <w:rFonts w:hint="eastAsia"/>
                <w:color w:val="000000"/>
              </w:rPr>
              <w:t>和</w:t>
            </w:r>
            <w:r>
              <w:rPr>
                <w:color w:val="000000"/>
              </w:rPr>
              <w:t>设计，同时结合已建成的同等级的输变电工程设计、实际运行经验确定的，因此在技术上合理、可操作性强</w:t>
            </w:r>
            <w:r>
              <w:rPr>
                <w:rFonts w:hint="eastAsia"/>
                <w:color w:val="000000"/>
              </w:rPr>
              <w:t>，</w:t>
            </w:r>
            <w:r>
              <w:rPr>
                <w:color w:val="000000"/>
              </w:rPr>
              <w:t>是可行的。</w:t>
            </w:r>
          </w:p>
          <w:p>
            <w:pPr>
              <w:pStyle w:val="5"/>
              <w:rPr>
                <w:color w:val="000000"/>
              </w:rPr>
            </w:pPr>
            <w:r>
              <w:rPr>
                <w:color w:val="000000"/>
              </w:rPr>
              <w:t>在采取上述临时防护措施后，可有效的保护生态环境，使本工程的建设对生态环境的影响在环境可接受的范围内。</w:t>
            </w:r>
          </w:p>
          <w:p>
            <w:pPr>
              <w:numPr>
                <w:ilvl w:val="1"/>
                <w:numId w:val="17"/>
              </w:numPr>
              <w:spacing w:line="360" w:lineRule="auto"/>
              <w:rPr>
                <w:color w:val="000000"/>
              </w:rPr>
            </w:pPr>
            <w:r>
              <w:rPr>
                <w:rFonts w:hint="eastAsia"/>
                <w:b/>
                <w:bCs/>
                <w:color w:val="000000"/>
                <w:sz w:val="24"/>
              </w:rPr>
              <w:t>跨越河流段污染控制措施</w:t>
            </w:r>
          </w:p>
          <w:p>
            <w:pPr>
              <w:pStyle w:val="5"/>
              <w:rPr>
                <w:color w:val="000000"/>
              </w:rPr>
            </w:pPr>
            <w:r>
              <w:rPr>
                <w:rFonts w:hint="eastAsia"/>
                <w:color w:val="000000"/>
              </w:rPr>
              <w:t>为减小工程施工期线路跨越河流段施工对水环境的影响，本环评要求施工单位在跨越河流段施工时采取如下污染控制措施：</w:t>
            </w:r>
          </w:p>
          <w:p>
            <w:pPr>
              <w:pStyle w:val="5"/>
              <w:rPr>
                <w:color w:val="000000"/>
              </w:rPr>
            </w:pPr>
            <w:r>
              <w:rPr>
                <w:rFonts w:hint="eastAsia"/>
                <w:color w:val="000000"/>
              </w:rPr>
              <w:t>（1）跨越河流段两侧塔基施工时，应严格控制施工范围，设置施工控制带，对施工场地四周进行围护、严格限制施工机械和人员活动范围。</w:t>
            </w:r>
          </w:p>
          <w:p>
            <w:pPr>
              <w:pStyle w:val="5"/>
              <w:rPr>
                <w:color w:val="000000"/>
              </w:rPr>
            </w:pPr>
            <w:r>
              <w:rPr>
                <w:rFonts w:hint="eastAsia"/>
                <w:color w:val="000000"/>
              </w:rPr>
              <w:t>（2）施工用料堆放应远离河道范围，同时设置挡墙，防止滑坡或被暴雨径流进入河流水体，影响水质，同时各类材料应备有防雨遮雨设施。</w:t>
            </w:r>
          </w:p>
          <w:p>
            <w:pPr>
              <w:pStyle w:val="5"/>
              <w:rPr>
                <w:color w:val="000000"/>
              </w:rPr>
            </w:pPr>
            <w:r>
              <w:rPr>
                <w:rFonts w:hint="eastAsia"/>
                <w:color w:val="000000"/>
              </w:rPr>
              <w:t>（3）跨越河流段两侧塔基施工机械和车辆须严格检查，防止油料泄漏；施工期的残油、废油分别用不同容器收集回收利用处理。</w:t>
            </w:r>
          </w:p>
          <w:p>
            <w:pPr>
              <w:pStyle w:val="5"/>
              <w:rPr>
                <w:color w:val="000000"/>
              </w:rPr>
            </w:pPr>
            <w:r>
              <w:rPr>
                <w:rFonts w:hint="eastAsia"/>
                <w:color w:val="000000"/>
              </w:rPr>
              <w:t>（4）河道范围内禁止弃渣排污，不得设置临时垃圾、废弃物堆放场，且施工废弃物应远离河道范围。</w:t>
            </w:r>
          </w:p>
          <w:p>
            <w:pPr>
              <w:pStyle w:val="5"/>
              <w:rPr>
                <w:color w:val="000000"/>
              </w:rPr>
            </w:pPr>
            <w:r>
              <w:rPr>
                <w:rFonts w:hint="eastAsia"/>
                <w:color w:val="000000"/>
              </w:rPr>
              <w:t>（5）河道范围内均不得布置机械维修和冲洗设施，河道两侧塔基混凝土采用商品混凝土，施工产生的极少量废水排入沉淀池，经沉淀池处理后回用于洒水降尘，不外排。</w:t>
            </w:r>
          </w:p>
          <w:p>
            <w:pPr>
              <w:pStyle w:val="5"/>
              <w:rPr>
                <w:color w:val="000000"/>
              </w:rPr>
            </w:pPr>
            <w:r>
              <w:rPr>
                <w:rFonts w:hint="eastAsia"/>
                <w:color w:val="000000"/>
              </w:rPr>
              <w:t>在采取了上述废水防治措施和跨越河流段污染控制措施后，本工程施工期对水环境影响很小。</w:t>
            </w:r>
          </w:p>
          <w:p>
            <w:pPr>
              <w:numPr>
                <w:ilvl w:val="0"/>
                <w:numId w:val="17"/>
              </w:numPr>
              <w:spacing w:line="360" w:lineRule="auto"/>
              <w:rPr>
                <w:b/>
                <w:color w:val="000000"/>
                <w:kern w:val="0"/>
                <w:sz w:val="24"/>
                <w:szCs w:val="21"/>
              </w:rPr>
            </w:pPr>
            <w:r>
              <w:rPr>
                <w:b/>
                <w:color w:val="000000"/>
                <w:kern w:val="0"/>
                <w:sz w:val="24"/>
                <w:szCs w:val="21"/>
              </w:rPr>
              <w:t>固体废物污染控制措施</w:t>
            </w:r>
          </w:p>
          <w:p>
            <w:pPr>
              <w:pStyle w:val="5"/>
              <w:rPr>
                <w:color w:val="000000"/>
              </w:rPr>
            </w:pPr>
            <w:r>
              <w:rPr>
                <w:color w:val="000000"/>
              </w:rPr>
              <w:t>为减小工程施工期固体废物对周围环境的影响，本环评要求施工单位在整个施工期采取如下施工期固体废物防治措施：</w:t>
            </w:r>
          </w:p>
          <w:p>
            <w:pPr>
              <w:adjustRightInd w:val="0"/>
              <w:snapToGrid w:val="0"/>
              <w:spacing w:line="360" w:lineRule="auto"/>
              <w:ind w:firstLine="480" w:firstLineChars="200"/>
              <w:rPr>
                <w:color w:val="000000"/>
                <w:sz w:val="24"/>
              </w:rPr>
            </w:pPr>
            <w:r>
              <w:rPr>
                <w:color w:val="000000"/>
                <w:sz w:val="24"/>
              </w:rPr>
              <w:t>（1）明确要求施工过程中的建筑垃圾及生活垃圾应分别收集存放，及时清运。生活垃圾实行袋装化，封闭贮存；建筑垃圾分类堆存，并采取必要的防护措施（防雨、防扬尘等）。</w:t>
            </w:r>
          </w:p>
          <w:p>
            <w:pPr>
              <w:adjustRightInd w:val="0"/>
              <w:snapToGrid w:val="0"/>
              <w:spacing w:line="360" w:lineRule="auto"/>
              <w:ind w:firstLine="480" w:firstLineChars="200"/>
              <w:rPr>
                <w:color w:val="000000"/>
                <w:sz w:val="24"/>
              </w:rPr>
            </w:pPr>
            <w:r>
              <w:rPr>
                <w:color w:val="000000"/>
                <w:sz w:val="24"/>
              </w:rPr>
              <w:t>（2）本工程变电站</w:t>
            </w:r>
            <w:r>
              <w:rPr>
                <w:rFonts w:hint="eastAsia"/>
                <w:color w:val="000000"/>
                <w:sz w:val="24"/>
              </w:rPr>
              <w:t>三</w:t>
            </w:r>
            <w:r>
              <w:rPr>
                <w:color w:val="000000"/>
                <w:sz w:val="24"/>
              </w:rPr>
              <w:t>通一平工作产生的表层耕植土应集中收集堆放，结合附近区域的绿化工程或土地改造工程综合利用。主变等建构筑物基础开挖余土应结合场地平整综合利用，严禁边挖边弃。</w:t>
            </w:r>
          </w:p>
          <w:p>
            <w:pPr>
              <w:tabs>
                <w:tab w:val="left" w:pos="720"/>
              </w:tabs>
              <w:adjustRightInd w:val="0"/>
              <w:snapToGrid w:val="0"/>
              <w:spacing w:line="360" w:lineRule="auto"/>
              <w:ind w:firstLine="480" w:firstLineChars="200"/>
              <w:rPr>
                <w:color w:val="000000"/>
                <w:sz w:val="24"/>
              </w:rPr>
            </w:pPr>
            <w:r>
              <w:rPr>
                <w:color w:val="000000"/>
                <w:sz w:val="24"/>
              </w:rPr>
              <w:t>（3）新建输电线路塔基开挖多余土方应在塔基征地范围内进行平整，同时在表面进行绿化恢复。</w:t>
            </w:r>
          </w:p>
          <w:p>
            <w:pPr>
              <w:tabs>
                <w:tab w:val="left" w:pos="720"/>
              </w:tabs>
              <w:adjustRightInd w:val="0"/>
              <w:snapToGrid w:val="0"/>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）施工结束后对施工区域再次进行清理，做到“工完、料尽、场地清”。</w:t>
            </w:r>
          </w:p>
          <w:p>
            <w:pPr>
              <w:pStyle w:val="5"/>
              <w:rPr>
                <w:color w:val="000000"/>
              </w:rPr>
            </w:pPr>
            <w:r>
              <w:rPr>
                <w:rFonts w:hint="eastAsia" w:ascii="Segoe UI" w:hAnsi="Segoe UI" w:cs="Segoe UI"/>
                <w:szCs w:val="24"/>
                <w:shd w:val="clear" w:color="auto" w:fill="FFFFFF"/>
              </w:rPr>
              <w:t>上述固体废物处置方式</w:t>
            </w:r>
            <w:r>
              <w:rPr>
                <w:rFonts w:ascii="Segoe UI" w:hAnsi="Segoe UI" w:eastAsia="Segoe UI" w:cs="Segoe UI"/>
                <w:szCs w:val="24"/>
                <w:shd w:val="clear" w:color="auto" w:fill="FFFFFF"/>
              </w:rPr>
              <w:t>均符合环保要求和相关法规标准，</w:t>
            </w:r>
            <w:r>
              <w:rPr>
                <w:rFonts w:hint="eastAsia" w:ascii="Segoe UI" w:hAnsi="Segoe UI" w:cs="Segoe UI"/>
                <w:szCs w:val="24"/>
                <w:shd w:val="clear" w:color="auto" w:fill="FFFFFF"/>
              </w:rPr>
              <w:t>可以</w:t>
            </w:r>
            <w:r>
              <w:rPr>
                <w:rFonts w:ascii="Segoe UI" w:hAnsi="Segoe UI" w:eastAsia="Segoe UI" w:cs="Segoe UI"/>
                <w:szCs w:val="24"/>
                <w:shd w:val="clear" w:color="auto" w:fill="FFFFFF"/>
              </w:rPr>
              <w:t>确保施工期固废得到妥善处理，不对周边环境造成不良影响。</w:t>
            </w:r>
          </w:p>
          <w:p>
            <w:pPr>
              <w:numPr>
                <w:ilvl w:val="0"/>
                <w:numId w:val="17"/>
              </w:numPr>
              <w:spacing w:line="360" w:lineRule="auto"/>
              <w:rPr>
                <w:b/>
                <w:kern w:val="0"/>
                <w:sz w:val="24"/>
                <w:szCs w:val="21"/>
              </w:rPr>
            </w:pPr>
            <w:r>
              <w:rPr>
                <w:rFonts w:hint="eastAsia"/>
                <w:b/>
                <w:kern w:val="0"/>
                <w:sz w:val="24"/>
                <w:szCs w:val="21"/>
              </w:rPr>
              <w:t>施工期生态环境保护措施及预期效果</w:t>
            </w:r>
          </w:p>
          <w:p>
            <w:pPr>
              <w:pStyle w:val="5"/>
              <w:rPr>
                <w:rFonts w:ascii="Segoe UI" w:hAnsi="Segoe UI" w:eastAsia="Segoe UI" w:cs="Segoe UI"/>
                <w:szCs w:val="24"/>
                <w:shd w:val="clear" w:color="auto" w:fill="FFFFFF"/>
              </w:rPr>
            </w:pPr>
            <w:r>
              <w:rPr>
                <w:rFonts w:hint="eastAsia"/>
              </w:rPr>
              <w:t>本项目施工期主要生态环境保护措施及预期效果，见</w:t>
            </w:r>
            <w:r>
              <w:rPr>
                <w:rFonts w:hint="eastAsia"/>
                <w:b w:val="0"/>
                <w:bCs w:val="0"/>
                <w:sz w:val="24"/>
                <w:szCs w:val="24"/>
              </w:rPr>
              <w:fldChar w:fldCharType="begin"/>
            </w:r>
            <w:r>
              <w:rPr>
                <w:b w:val="0"/>
                <w:bCs w:val="0"/>
              </w:rPr>
              <w:instrText xml:space="preserve"> REF _Ref9700 \h  \* MERGEFORMAT</w:instrText>
            </w:r>
            <w:r>
              <w:rPr>
                <w:rFonts w:hint="eastAsia"/>
                <w:b w:val="0"/>
                <w:bCs w:val="0"/>
                <w:sz w:val="24"/>
                <w:szCs w:val="24"/>
              </w:rPr>
              <w:fldChar w:fldCharType="separate"/>
            </w:r>
            <w:r>
              <w:rPr>
                <w:b w:val="0"/>
                <w:bCs w:val="0"/>
                <w:sz w:val="24"/>
                <w:szCs w:val="24"/>
              </w:rPr>
              <w:t>表28</w:t>
            </w:r>
            <w:r>
              <w:rPr>
                <w:rFonts w:hint="eastAsia"/>
                <w:b w:val="0"/>
                <w:bCs w:val="0"/>
                <w:sz w:val="24"/>
                <w:szCs w:val="24"/>
              </w:rPr>
              <w:fldChar w:fldCharType="end"/>
            </w:r>
            <w:r>
              <w:rPr>
                <w:rFonts w:hint="eastAsia"/>
              </w:rPr>
              <w:t>。</w:t>
            </w:r>
          </w:p>
          <w:p>
            <w:pPr>
              <w:pStyle w:val="5"/>
              <w:spacing w:line="240" w:lineRule="auto"/>
              <w:ind w:firstLine="0" w:firstLineChars="0"/>
              <w:jc w:val="left"/>
            </w:pPr>
            <w:bookmarkStart w:id="617" w:name="_Ref9700"/>
            <w:r>
              <w:rPr>
                <w:b/>
                <w:sz w:val="21"/>
                <w:szCs w:val="16"/>
              </w:rPr>
              <w:t>表</w:t>
            </w:r>
            <w:r>
              <w:rPr>
                <w:b/>
                <w:sz w:val="21"/>
                <w:szCs w:val="16"/>
              </w:rPr>
              <w:fldChar w:fldCharType="begin"/>
            </w:r>
            <w:r>
              <w:rPr>
                <w:b/>
                <w:sz w:val="21"/>
                <w:szCs w:val="16"/>
              </w:rPr>
              <w:instrText xml:space="preserve"> SEQ 表 \* ARABIC </w:instrText>
            </w:r>
            <w:r>
              <w:rPr>
                <w:b/>
                <w:sz w:val="21"/>
                <w:szCs w:val="16"/>
              </w:rPr>
              <w:fldChar w:fldCharType="separate"/>
            </w:r>
            <w:r>
              <w:rPr>
                <w:b/>
                <w:sz w:val="21"/>
                <w:szCs w:val="16"/>
              </w:rPr>
              <w:t>28</w:t>
            </w:r>
            <w:r>
              <w:rPr>
                <w:b/>
                <w:sz w:val="21"/>
                <w:szCs w:val="16"/>
              </w:rPr>
              <w:fldChar w:fldCharType="end"/>
            </w:r>
            <w:bookmarkEnd w:id="617"/>
            <w:r>
              <w:rPr>
                <w:rFonts w:hint="eastAsia"/>
                <w:b/>
                <w:sz w:val="21"/>
                <w:szCs w:val="16"/>
              </w:rPr>
              <w:t xml:space="preserve"> </w:t>
            </w:r>
            <w:r>
              <w:rPr>
                <w:b/>
                <w:spacing w:val="-2"/>
                <w:sz w:val="21"/>
                <w:szCs w:val="16"/>
              </w:rPr>
              <w:t>施工期生态环境保护措施及预期效果一览</w:t>
            </w:r>
            <w:r>
              <w:rPr>
                <w:b/>
                <w:spacing w:val="-10"/>
                <w:sz w:val="21"/>
                <w:szCs w:val="16"/>
              </w:rPr>
              <w:t>表</w:t>
            </w:r>
          </w:p>
          <w:tbl>
            <w:tblPr>
              <w:tblStyle w:val="37"/>
              <w:tblW w:w="4998" w:type="pct"/>
              <w:tblInd w:w="0" w:type="dxa"/>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Layout w:type="autofit"/>
              <w:tblCellMar>
                <w:top w:w="0" w:type="dxa"/>
                <w:left w:w="0" w:type="dxa"/>
                <w:bottom w:w="0" w:type="dxa"/>
                <w:right w:w="0" w:type="dxa"/>
              </w:tblCellMar>
            </w:tblPr>
            <w:tblGrid>
              <w:gridCol w:w="385"/>
              <w:gridCol w:w="3412"/>
              <w:gridCol w:w="522"/>
              <w:gridCol w:w="832"/>
              <w:gridCol w:w="589"/>
              <w:gridCol w:w="833"/>
              <w:gridCol w:w="1607"/>
            </w:tblGrid>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535" w:hRule="atLeast"/>
              </w:trPr>
              <w:tc>
                <w:tcPr>
                  <w:tcW w:w="235" w:type="pct"/>
                  <w:tcBorders>
                    <w:bottom w:val="single" w:color="000000" w:sz="4" w:space="0"/>
                    <w:right w:val="single" w:color="000000" w:sz="4" w:space="0"/>
                  </w:tcBorders>
                  <w:vAlign w:val="center"/>
                </w:tcPr>
                <w:p>
                  <w:pPr>
                    <w:pStyle w:val="124"/>
                    <w:autoSpaceDE w:val="0"/>
                    <w:autoSpaceDN w:val="0"/>
                    <w:jc w:val="center"/>
                    <w:rPr>
                      <w:rFonts w:ascii="Times New Roman" w:hAnsi="Times New Roman"/>
                      <w:b/>
                    </w:rPr>
                  </w:pPr>
                  <w:r>
                    <w:rPr>
                      <w:rFonts w:ascii="Times New Roman" w:hAnsi="Times New Roman"/>
                      <w:b/>
                      <w:spacing w:val="-10"/>
                    </w:rPr>
                    <w:t>序</w:t>
                  </w:r>
                </w:p>
                <w:p>
                  <w:pPr>
                    <w:pStyle w:val="124"/>
                    <w:autoSpaceDE w:val="0"/>
                    <w:autoSpaceDN w:val="0"/>
                    <w:jc w:val="center"/>
                    <w:rPr>
                      <w:rFonts w:ascii="Times New Roman" w:hAnsi="Times New Roman"/>
                      <w:b/>
                    </w:rPr>
                  </w:pPr>
                  <w:r>
                    <w:rPr>
                      <w:rFonts w:ascii="Times New Roman" w:hAnsi="Times New Roman"/>
                      <w:b/>
                      <w:spacing w:val="-10"/>
                    </w:rPr>
                    <w:t>号</w:t>
                  </w:r>
                </w:p>
              </w:tc>
              <w:tc>
                <w:tcPr>
                  <w:tcW w:w="2084" w:type="pct"/>
                  <w:tcBorders>
                    <w:left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b/>
                    </w:rPr>
                  </w:pPr>
                  <w:r>
                    <w:rPr>
                      <w:rFonts w:ascii="Times New Roman" w:hAnsi="Times New Roman"/>
                      <w:b/>
                      <w:spacing w:val="-4"/>
                    </w:rPr>
                    <w:t>生态保护措施要求</w:t>
                  </w:r>
                </w:p>
              </w:tc>
              <w:tc>
                <w:tcPr>
                  <w:tcW w:w="319" w:type="pct"/>
                  <w:tcBorders>
                    <w:left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b/>
                    </w:rPr>
                  </w:pPr>
                  <w:r>
                    <w:rPr>
                      <w:rFonts w:ascii="Times New Roman" w:hAnsi="Times New Roman"/>
                      <w:b/>
                      <w:spacing w:val="-6"/>
                    </w:rPr>
                    <w:t>实施</w:t>
                  </w:r>
                </w:p>
                <w:p>
                  <w:pPr>
                    <w:pStyle w:val="124"/>
                    <w:autoSpaceDE w:val="0"/>
                    <w:autoSpaceDN w:val="0"/>
                    <w:jc w:val="center"/>
                    <w:rPr>
                      <w:rFonts w:ascii="Times New Roman" w:hAnsi="Times New Roman"/>
                      <w:b/>
                    </w:rPr>
                  </w:pPr>
                  <w:r>
                    <w:rPr>
                      <w:rFonts w:ascii="Times New Roman" w:hAnsi="Times New Roman"/>
                      <w:b/>
                      <w:spacing w:val="-6"/>
                    </w:rPr>
                    <w:t>部位</w:t>
                  </w:r>
                </w:p>
              </w:tc>
              <w:tc>
                <w:tcPr>
                  <w:tcW w:w="508" w:type="pct"/>
                  <w:tcBorders>
                    <w:left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b/>
                    </w:rPr>
                  </w:pPr>
                  <w:r>
                    <w:rPr>
                      <w:rFonts w:ascii="Times New Roman" w:hAnsi="Times New Roman"/>
                      <w:b/>
                      <w:spacing w:val="-6"/>
                    </w:rPr>
                    <w:t>实施</w:t>
                  </w:r>
                </w:p>
                <w:p>
                  <w:pPr>
                    <w:pStyle w:val="124"/>
                    <w:autoSpaceDE w:val="0"/>
                    <w:autoSpaceDN w:val="0"/>
                    <w:jc w:val="center"/>
                    <w:rPr>
                      <w:rFonts w:ascii="Times New Roman" w:hAnsi="Times New Roman"/>
                      <w:b/>
                    </w:rPr>
                  </w:pPr>
                  <w:r>
                    <w:rPr>
                      <w:rFonts w:ascii="Times New Roman" w:hAnsi="Times New Roman"/>
                      <w:b/>
                      <w:spacing w:val="-6"/>
                    </w:rPr>
                    <w:t>时间</w:t>
                  </w:r>
                </w:p>
              </w:tc>
              <w:tc>
                <w:tcPr>
                  <w:tcW w:w="360" w:type="pct"/>
                  <w:tcBorders>
                    <w:left w:val="single" w:color="000000" w:sz="4" w:space="0"/>
                    <w:bottom w:val="single" w:color="000000" w:sz="4" w:space="0"/>
                    <w:right w:val="single" w:color="auto" w:sz="4" w:space="0"/>
                  </w:tcBorders>
                  <w:vAlign w:val="center"/>
                </w:tcPr>
                <w:p>
                  <w:pPr>
                    <w:pStyle w:val="124"/>
                    <w:autoSpaceDE w:val="0"/>
                    <w:autoSpaceDN w:val="0"/>
                    <w:jc w:val="center"/>
                    <w:rPr>
                      <w:rFonts w:ascii="Times New Roman" w:hAnsi="Times New Roman"/>
                      <w:b/>
                    </w:rPr>
                  </w:pPr>
                  <w:r>
                    <w:rPr>
                      <w:rFonts w:ascii="Times New Roman" w:hAnsi="Times New Roman"/>
                      <w:b/>
                      <w:spacing w:val="-6"/>
                    </w:rPr>
                    <w:t>责任</w:t>
                  </w:r>
                </w:p>
                <w:p>
                  <w:pPr>
                    <w:pStyle w:val="124"/>
                    <w:autoSpaceDE w:val="0"/>
                    <w:autoSpaceDN w:val="0"/>
                    <w:jc w:val="center"/>
                    <w:rPr>
                      <w:rFonts w:ascii="Times New Roman" w:hAnsi="Times New Roman"/>
                      <w:b/>
                    </w:rPr>
                  </w:pPr>
                  <w:r>
                    <w:rPr>
                      <w:rFonts w:ascii="Times New Roman" w:hAnsi="Times New Roman"/>
                      <w:b/>
                      <w:spacing w:val="-6"/>
                    </w:rPr>
                    <w:t>主体</w:t>
                  </w:r>
                </w:p>
              </w:tc>
              <w:tc>
                <w:tcPr>
                  <w:tcW w:w="509" w:type="pct"/>
                  <w:tcBorders>
                    <w:top w:val="single" w:color="auto" w:sz="4" w:space="0"/>
                    <w:left w:val="single" w:color="auto" w:sz="4" w:space="0"/>
                    <w:bottom w:val="single" w:color="000000" w:sz="4" w:space="0"/>
                    <w:right w:val="single" w:color="auto" w:sz="4" w:space="0"/>
                  </w:tcBorders>
                  <w:vAlign w:val="center"/>
                </w:tcPr>
                <w:p>
                  <w:pPr>
                    <w:pStyle w:val="124"/>
                    <w:autoSpaceDE w:val="0"/>
                    <w:autoSpaceDN w:val="0"/>
                    <w:jc w:val="center"/>
                    <w:rPr>
                      <w:rFonts w:ascii="Times New Roman" w:hAnsi="Times New Roman"/>
                      <w:b/>
                    </w:rPr>
                  </w:pPr>
                  <w:r>
                    <w:rPr>
                      <w:rFonts w:ascii="Times New Roman" w:hAnsi="Times New Roman"/>
                      <w:b/>
                      <w:spacing w:val="-5"/>
                    </w:rPr>
                    <w:t>实施保</w:t>
                  </w:r>
                </w:p>
                <w:p>
                  <w:pPr>
                    <w:pStyle w:val="124"/>
                    <w:autoSpaceDE w:val="0"/>
                    <w:autoSpaceDN w:val="0"/>
                    <w:jc w:val="center"/>
                    <w:rPr>
                      <w:rFonts w:ascii="Times New Roman" w:hAnsi="Times New Roman"/>
                      <w:b/>
                    </w:rPr>
                  </w:pPr>
                  <w:r>
                    <w:rPr>
                      <w:rFonts w:ascii="Times New Roman" w:hAnsi="Times New Roman"/>
                      <w:b/>
                      <w:spacing w:val="-10"/>
                    </w:rPr>
                    <w:t>障</w:t>
                  </w:r>
                </w:p>
              </w:tc>
              <w:tc>
                <w:tcPr>
                  <w:tcW w:w="981" w:type="pct"/>
                  <w:tcBorders>
                    <w:left w:val="single" w:color="auto" w:sz="4" w:space="0"/>
                    <w:bottom w:val="single" w:color="000000" w:sz="4" w:space="0"/>
                  </w:tcBorders>
                  <w:vAlign w:val="center"/>
                </w:tcPr>
                <w:p>
                  <w:pPr>
                    <w:pStyle w:val="124"/>
                    <w:autoSpaceDE w:val="0"/>
                    <w:autoSpaceDN w:val="0"/>
                    <w:jc w:val="center"/>
                    <w:rPr>
                      <w:rFonts w:ascii="Times New Roman" w:hAnsi="Times New Roman"/>
                      <w:b/>
                    </w:rPr>
                  </w:pPr>
                  <w:r>
                    <w:rPr>
                      <w:rFonts w:ascii="Times New Roman" w:hAnsi="Times New Roman"/>
                      <w:b/>
                      <w:spacing w:val="-4"/>
                    </w:rPr>
                    <w:t>实施效果</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535" w:hRule="atLeast"/>
              </w:trPr>
              <w:tc>
                <w:tcPr>
                  <w:tcW w:w="235" w:type="pct"/>
                  <w:tcBorders>
                    <w:top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rPr>
                  </w:pPr>
                  <w:r>
                    <w:rPr>
                      <w:rFonts w:ascii="Times New Roman" w:hAnsi="Times New Roman"/>
                      <w:spacing w:val="-10"/>
                    </w:rPr>
                    <w:t>1</w:t>
                  </w:r>
                </w:p>
              </w:tc>
              <w:tc>
                <w:tcPr>
                  <w:tcW w:w="2084" w:type="pct"/>
                  <w:tcBorders>
                    <w:top w:val="single" w:color="000000" w:sz="4" w:space="0"/>
                    <w:left w:val="single" w:color="000000" w:sz="4" w:space="0"/>
                    <w:bottom w:val="single" w:color="000000" w:sz="4" w:space="0"/>
                    <w:right w:val="single" w:color="000000" w:sz="4" w:space="0"/>
                  </w:tcBorders>
                  <w:vAlign w:val="center"/>
                </w:tcPr>
                <w:p>
                  <w:pPr>
                    <w:pStyle w:val="124"/>
                    <w:autoSpaceDE w:val="0"/>
                    <w:autoSpaceDN w:val="0"/>
                    <w:rPr>
                      <w:rFonts w:ascii="Times New Roman" w:hAnsi="Times New Roman"/>
                    </w:rPr>
                  </w:pPr>
                  <w:r>
                    <w:rPr>
                      <w:rFonts w:ascii="Times New Roman" w:hAnsi="Times New Roman"/>
                      <w:spacing w:val="-3"/>
                    </w:rPr>
                    <w:t>各类占地应提前办理相关</w:t>
                  </w:r>
                  <w:r>
                    <w:rPr>
                      <w:rFonts w:ascii="Times New Roman" w:hAnsi="Times New Roman"/>
                      <w:spacing w:val="-5"/>
                    </w:rPr>
                    <w:t>手续。</w:t>
                  </w:r>
                </w:p>
              </w:tc>
              <w:tc>
                <w:tcPr>
                  <w:tcW w:w="319" w:type="pct"/>
                  <w:vMerge w:val="restart"/>
                  <w:tcBorders>
                    <w:top w:val="single" w:color="000000" w:sz="4" w:space="0"/>
                    <w:left w:val="single" w:color="000000" w:sz="4" w:space="0"/>
                    <w:right w:val="single" w:color="000000" w:sz="4" w:space="0"/>
                  </w:tcBorders>
                  <w:vAlign w:val="center"/>
                </w:tcPr>
                <w:p>
                  <w:pPr>
                    <w:pStyle w:val="124"/>
                    <w:autoSpaceDE w:val="0"/>
                    <w:autoSpaceDN w:val="0"/>
                    <w:jc w:val="center"/>
                    <w:rPr>
                      <w:rFonts w:ascii="Times New Roman" w:hAnsi="Times New Roman"/>
                    </w:rPr>
                  </w:pPr>
                  <w:r>
                    <w:rPr>
                      <w:rFonts w:hint="eastAsia" w:ascii="Times New Roman" w:hAnsi="Times New Roman"/>
                      <w:spacing w:val="-6"/>
                    </w:rPr>
                    <w:t>工</w:t>
                  </w:r>
                  <w:r>
                    <w:rPr>
                      <w:rFonts w:ascii="Times New Roman" w:hAnsi="Times New Roman"/>
                      <w:spacing w:val="-6"/>
                    </w:rPr>
                    <w:t>程</w:t>
                  </w:r>
                  <w:r>
                    <w:rPr>
                      <w:rFonts w:ascii="Times New Roman" w:hAnsi="Times New Roman"/>
                      <w:spacing w:val="-4"/>
                    </w:rPr>
                    <w:t>施工场所</w:t>
                  </w:r>
                </w:p>
              </w:tc>
              <w:tc>
                <w:tcPr>
                  <w:tcW w:w="508" w:type="pct"/>
                  <w:tcBorders>
                    <w:top w:val="single" w:color="000000" w:sz="4" w:space="0"/>
                    <w:left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rPr>
                  </w:pPr>
                  <w:r>
                    <w:rPr>
                      <w:rFonts w:ascii="Times New Roman" w:hAnsi="Times New Roman"/>
                      <w:spacing w:val="-8"/>
                    </w:rPr>
                    <w:t>开工</w:t>
                  </w:r>
                  <w:r>
                    <w:rPr>
                      <w:rFonts w:ascii="Times New Roman" w:hAnsi="Times New Roman"/>
                      <w:spacing w:val="-10"/>
                    </w:rPr>
                    <w:t>前</w:t>
                  </w:r>
                </w:p>
              </w:tc>
              <w:tc>
                <w:tcPr>
                  <w:tcW w:w="360" w:type="pct"/>
                  <w:tcBorders>
                    <w:top w:val="single" w:color="000000" w:sz="4" w:space="0"/>
                    <w:left w:val="single" w:color="000000" w:sz="4" w:space="0"/>
                    <w:bottom w:val="single" w:color="000000" w:sz="4" w:space="0"/>
                    <w:right w:val="single" w:color="auto" w:sz="4" w:space="0"/>
                  </w:tcBorders>
                  <w:vAlign w:val="center"/>
                </w:tcPr>
                <w:p>
                  <w:pPr>
                    <w:pStyle w:val="124"/>
                    <w:autoSpaceDE w:val="0"/>
                    <w:autoSpaceDN w:val="0"/>
                    <w:jc w:val="center"/>
                    <w:rPr>
                      <w:rFonts w:ascii="Times New Roman" w:hAnsi="Times New Roman"/>
                    </w:rPr>
                  </w:pPr>
                  <w:r>
                    <w:rPr>
                      <w:rFonts w:ascii="Times New Roman" w:hAnsi="Times New Roman"/>
                      <w:spacing w:val="-8"/>
                    </w:rPr>
                    <w:t>建设</w:t>
                  </w:r>
                </w:p>
                <w:p>
                  <w:pPr>
                    <w:pStyle w:val="124"/>
                    <w:autoSpaceDE w:val="0"/>
                    <w:autoSpaceDN w:val="0"/>
                    <w:jc w:val="center"/>
                    <w:rPr>
                      <w:rFonts w:ascii="Times New Roman" w:hAnsi="Times New Roman"/>
                    </w:rPr>
                  </w:pPr>
                  <w:r>
                    <w:rPr>
                      <w:rFonts w:ascii="Times New Roman" w:hAnsi="Times New Roman"/>
                      <w:spacing w:val="-8"/>
                    </w:rPr>
                    <w:t>单位</w:t>
                  </w:r>
                </w:p>
              </w:tc>
              <w:tc>
                <w:tcPr>
                  <w:tcW w:w="509" w:type="pct"/>
                  <w:vMerge w:val="restart"/>
                  <w:tcBorders>
                    <w:top w:val="single" w:color="000000" w:sz="4" w:space="0"/>
                    <w:left w:val="single" w:color="auto" w:sz="4" w:space="0"/>
                    <w:right w:val="single" w:color="auto" w:sz="4" w:space="0"/>
                  </w:tcBorders>
                </w:tcPr>
                <w:p>
                  <w:pPr>
                    <w:pStyle w:val="124"/>
                    <w:autoSpaceDE w:val="0"/>
                    <w:autoSpaceDN w:val="0"/>
                    <w:jc w:val="left"/>
                    <w:rPr>
                      <w:rFonts w:ascii="Times New Roman" w:hAnsi="Times New Roman"/>
                    </w:rPr>
                  </w:pPr>
                  <w:r>
                    <w:rPr>
                      <w:rFonts w:ascii="Times New Roman" w:hAnsi="Times New Roman"/>
                      <w:spacing w:val="-9"/>
                    </w:rPr>
                    <w:t>①建立</w:t>
                  </w:r>
                  <w:r>
                    <w:rPr>
                      <w:rFonts w:ascii="Times New Roman" w:hAnsi="Times New Roman"/>
                      <w:spacing w:val="-8"/>
                    </w:rPr>
                    <w:t>环境管</w:t>
                  </w:r>
                  <w:r>
                    <w:rPr>
                      <w:rFonts w:ascii="Times New Roman" w:hAnsi="Times New Roman"/>
                      <w:spacing w:val="-4"/>
                    </w:rPr>
                    <w:t>理机构，</w:t>
                  </w:r>
                  <w:r>
                    <w:rPr>
                      <w:rFonts w:ascii="Times New Roman" w:hAnsi="Times New Roman"/>
                      <w:spacing w:val="-8"/>
                    </w:rPr>
                    <w:t>配备专职或兼</w:t>
                  </w:r>
                </w:p>
                <w:p>
                  <w:pPr>
                    <w:pStyle w:val="124"/>
                    <w:autoSpaceDE w:val="0"/>
                    <w:autoSpaceDN w:val="0"/>
                    <w:jc w:val="left"/>
                    <w:rPr>
                      <w:rFonts w:ascii="Times New Roman" w:hAnsi="Times New Roman"/>
                    </w:rPr>
                  </w:pPr>
                  <w:r>
                    <w:rPr>
                      <w:rFonts w:ascii="Times New Roman" w:hAnsi="Times New Roman"/>
                      <w:spacing w:val="-16"/>
                    </w:rPr>
                    <w:t>职环保</w:t>
                  </w:r>
                  <w:r>
                    <w:rPr>
                      <w:rFonts w:ascii="Times New Roman" w:hAnsi="Times New Roman"/>
                      <w:spacing w:val="-15"/>
                    </w:rPr>
                    <w:t>管理人</w:t>
                  </w:r>
                  <w:r>
                    <w:rPr>
                      <w:rFonts w:ascii="Times New Roman" w:hAnsi="Times New Roman"/>
                      <w:spacing w:val="-6"/>
                    </w:rPr>
                    <w:t>员；</w:t>
                  </w:r>
                </w:p>
                <w:p>
                  <w:pPr>
                    <w:pStyle w:val="124"/>
                    <w:autoSpaceDE w:val="0"/>
                    <w:autoSpaceDN w:val="0"/>
                    <w:jc w:val="left"/>
                    <w:rPr>
                      <w:rFonts w:ascii="Times New Roman" w:hAnsi="Times New Roman"/>
                    </w:rPr>
                  </w:pPr>
                  <w:r>
                    <w:rPr>
                      <w:rFonts w:ascii="Times New Roman" w:hAnsi="Times New Roman"/>
                      <w:spacing w:val="-9"/>
                    </w:rPr>
                    <w:t>②制定</w:t>
                  </w:r>
                  <w:r>
                    <w:rPr>
                      <w:rFonts w:ascii="Times New Roman" w:hAnsi="Times New Roman"/>
                      <w:spacing w:val="-8"/>
                    </w:rPr>
                    <w:t>相关方环境管</w:t>
                  </w:r>
                  <w:r>
                    <w:rPr>
                      <w:rFonts w:ascii="Times New Roman" w:hAnsi="Times New Roman"/>
                      <w:spacing w:val="-4"/>
                    </w:rPr>
                    <w:t>理条例、</w:t>
                  </w:r>
                  <w:r>
                    <w:rPr>
                      <w:rFonts w:ascii="Times New Roman" w:hAnsi="Times New Roman"/>
                      <w:spacing w:val="-8"/>
                    </w:rPr>
                    <w:t>质量管</w:t>
                  </w:r>
                  <w:r>
                    <w:rPr>
                      <w:rFonts w:ascii="Times New Roman" w:hAnsi="Times New Roman"/>
                      <w:spacing w:val="-4"/>
                    </w:rPr>
                    <w:t>理规定；</w:t>
                  </w:r>
                </w:p>
                <w:p>
                  <w:pPr>
                    <w:pStyle w:val="124"/>
                    <w:autoSpaceDE w:val="0"/>
                    <w:autoSpaceDN w:val="0"/>
                    <w:jc w:val="left"/>
                    <w:rPr>
                      <w:rFonts w:ascii="Times New Roman" w:hAnsi="Times New Roman"/>
                    </w:rPr>
                  </w:pPr>
                  <w:r>
                    <w:rPr>
                      <w:rFonts w:ascii="Times New Roman" w:hAnsi="Times New Roman"/>
                      <w:spacing w:val="-9"/>
                    </w:rPr>
                    <w:t>③加强</w:t>
                  </w:r>
                  <w:r>
                    <w:rPr>
                      <w:rFonts w:ascii="Times New Roman" w:hAnsi="Times New Roman"/>
                      <w:spacing w:val="-8"/>
                    </w:rPr>
                    <w:t>环境监</w:t>
                  </w:r>
                  <w:r>
                    <w:rPr>
                      <w:rFonts w:ascii="Times New Roman" w:hAnsi="Times New Roman"/>
                      <w:spacing w:val="-19"/>
                    </w:rPr>
                    <w:t>理，开展</w:t>
                  </w:r>
                  <w:r>
                    <w:rPr>
                      <w:rFonts w:ascii="Times New Roman" w:hAnsi="Times New Roman"/>
                      <w:spacing w:val="-8"/>
                    </w:rPr>
                    <w:t>经常性</w:t>
                  </w:r>
                  <w:r>
                    <w:rPr>
                      <w:rFonts w:ascii="Times New Roman" w:hAnsi="Times New Roman"/>
                      <w:spacing w:val="-19"/>
                    </w:rPr>
                    <w:t>检查、监督，发现</w:t>
                  </w:r>
                  <w:r>
                    <w:rPr>
                      <w:rFonts w:ascii="Times New Roman" w:hAnsi="Times New Roman"/>
                      <w:spacing w:val="-8"/>
                    </w:rPr>
                    <w:t>问题及</w:t>
                  </w:r>
                  <w:r>
                    <w:rPr>
                      <w:rFonts w:ascii="Times New Roman" w:hAnsi="Times New Roman"/>
                      <w:spacing w:val="-4"/>
                    </w:rPr>
                    <w:t>时解决、</w:t>
                  </w:r>
                  <w:r>
                    <w:rPr>
                      <w:rFonts w:ascii="Times New Roman" w:hAnsi="Times New Roman"/>
                      <w:spacing w:val="-6"/>
                    </w:rPr>
                    <w:t>纠正</w:t>
                  </w:r>
                </w:p>
              </w:tc>
              <w:tc>
                <w:tcPr>
                  <w:tcW w:w="981" w:type="pct"/>
                  <w:tcBorders>
                    <w:top w:val="single" w:color="000000" w:sz="4" w:space="0"/>
                    <w:left w:val="single" w:color="auto" w:sz="4" w:space="0"/>
                    <w:bottom w:val="single" w:color="000000" w:sz="4" w:space="0"/>
                  </w:tcBorders>
                  <w:vAlign w:val="center"/>
                </w:tcPr>
                <w:p>
                  <w:pPr>
                    <w:pStyle w:val="124"/>
                    <w:autoSpaceDE w:val="0"/>
                    <w:autoSpaceDN w:val="0"/>
                    <w:rPr>
                      <w:rFonts w:ascii="Times New Roman" w:hAnsi="Times New Roman"/>
                    </w:rPr>
                  </w:pPr>
                  <w:r>
                    <w:rPr>
                      <w:rFonts w:ascii="Times New Roman" w:hAnsi="Times New Roman"/>
                      <w:spacing w:val="-4"/>
                    </w:rPr>
                    <w:t>取得征地手续</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1499" w:hRule="atLeast"/>
              </w:trPr>
              <w:tc>
                <w:tcPr>
                  <w:tcW w:w="235" w:type="pct"/>
                  <w:tcBorders>
                    <w:top w:val="single" w:color="000000" w:sz="4" w:space="0"/>
                    <w:right w:val="single" w:color="000000" w:sz="4" w:space="0"/>
                  </w:tcBorders>
                  <w:vAlign w:val="center"/>
                </w:tcPr>
                <w:p>
                  <w:pPr>
                    <w:pStyle w:val="124"/>
                    <w:autoSpaceDE w:val="0"/>
                    <w:autoSpaceDN w:val="0"/>
                    <w:jc w:val="center"/>
                    <w:rPr>
                      <w:rFonts w:ascii="Times New Roman" w:hAnsi="Times New Roman"/>
                    </w:rPr>
                  </w:pPr>
                </w:p>
                <w:p>
                  <w:pPr>
                    <w:pStyle w:val="124"/>
                    <w:autoSpaceDE w:val="0"/>
                    <w:autoSpaceDN w:val="0"/>
                    <w:jc w:val="center"/>
                    <w:rPr>
                      <w:rFonts w:ascii="Times New Roman" w:hAnsi="Times New Roman"/>
                    </w:rPr>
                  </w:pPr>
                  <w:r>
                    <w:rPr>
                      <w:rFonts w:ascii="Times New Roman" w:hAnsi="Times New Roman"/>
                      <w:spacing w:val="-10"/>
                    </w:rPr>
                    <w:t>2</w:t>
                  </w:r>
                </w:p>
              </w:tc>
              <w:tc>
                <w:tcPr>
                  <w:tcW w:w="2084" w:type="pct"/>
                  <w:tcBorders>
                    <w:top w:val="single" w:color="000000" w:sz="4" w:space="0"/>
                    <w:left w:val="single" w:color="000000" w:sz="4" w:space="0"/>
                    <w:right w:val="single" w:color="000000" w:sz="4" w:space="0"/>
                  </w:tcBorders>
                  <w:vAlign w:val="center"/>
                </w:tcPr>
                <w:p>
                  <w:pPr>
                    <w:pStyle w:val="124"/>
                    <w:autoSpaceDE w:val="0"/>
                    <w:autoSpaceDN w:val="0"/>
                    <w:rPr>
                      <w:rFonts w:ascii="Times New Roman" w:hAnsi="Times New Roman"/>
                    </w:rPr>
                  </w:pPr>
                  <w:r>
                    <w:rPr>
                      <w:rFonts w:ascii="Times New Roman" w:hAnsi="Times New Roman"/>
                      <w:spacing w:val="-2"/>
                    </w:rPr>
                    <w:t>合理规划、设计施工临时道路及场地，尽量减少占地、</w:t>
                  </w:r>
                  <w:r>
                    <w:rPr>
                      <w:rFonts w:ascii="Times New Roman" w:hAnsi="Times New Roman"/>
                      <w:spacing w:val="-7"/>
                    </w:rPr>
                    <w:t>控制施工范围，作业区四周</w:t>
                  </w:r>
                  <w:r>
                    <w:rPr>
                      <w:rFonts w:ascii="Times New Roman" w:hAnsi="Times New Roman"/>
                      <w:spacing w:val="-3"/>
                    </w:rPr>
                    <w:t>设置彩带，控制作业范围。</w:t>
                  </w:r>
                  <w:r>
                    <w:rPr>
                      <w:rFonts w:ascii="Times New Roman" w:hAnsi="Times New Roman"/>
                      <w:spacing w:val="-2"/>
                    </w:rPr>
                    <w:t>施工结束后及时对临时占</w:t>
                  </w:r>
                  <w:r>
                    <w:rPr>
                      <w:rFonts w:ascii="Times New Roman" w:hAnsi="Times New Roman"/>
                      <w:spacing w:val="-3"/>
                    </w:rPr>
                    <w:t>地进行平整，便于生态恢</w:t>
                  </w:r>
                  <w:r>
                    <w:rPr>
                      <w:rFonts w:ascii="Times New Roman" w:hAnsi="Times New Roman"/>
                      <w:spacing w:val="-8"/>
                    </w:rPr>
                    <w:t>复。</w:t>
                  </w:r>
                </w:p>
              </w:tc>
              <w:tc>
                <w:tcPr>
                  <w:tcW w:w="319" w:type="pct"/>
                  <w:vMerge w:val="continue"/>
                  <w:tcBorders>
                    <w:left w:val="single" w:color="000000" w:sz="4" w:space="0"/>
                    <w:right w:val="single" w:color="000000" w:sz="4" w:space="0"/>
                  </w:tcBorders>
                  <w:vAlign w:val="center"/>
                </w:tcPr>
                <w:p>
                  <w:pPr>
                    <w:autoSpaceDE w:val="0"/>
                    <w:autoSpaceDN w:val="0"/>
                    <w:rPr>
                      <w:sz w:val="2"/>
                      <w:szCs w:val="2"/>
                    </w:rPr>
                  </w:pPr>
                </w:p>
              </w:tc>
              <w:tc>
                <w:tcPr>
                  <w:tcW w:w="508" w:type="pct"/>
                  <w:vMerge w:val="restart"/>
                  <w:tcBorders>
                    <w:top w:val="single" w:color="000000" w:sz="4" w:space="0"/>
                    <w:left w:val="single" w:color="000000" w:sz="4" w:space="0"/>
                    <w:right w:val="single" w:color="000000" w:sz="4" w:space="0"/>
                  </w:tcBorders>
                  <w:vAlign w:val="center"/>
                </w:tcPr>
                <w:p>
                  <w:pPr>
                    <w:pStyle w:val="124"/>
                    <w:autoSpaceDE w:val="0"/>
                    <w:autoSpaceDN w:val="0"/>
                    <w:jc w:val="center"/>
                    <w:rPr>
                      <w:rFonts w:ascii="Times New Roman" w:hAnsi="Times New Roman"/>
                      <w:spacing w:val="-6"/>
                    </w:rPr>
                  </w:pPr>
                  <w:r>
                    <w:rPr>
                      <w:rFonts w:ascii="Times New Roman" w:hAnsi="Times New Roman"/>
                      <w:spacing w:val="-6"/>
                    </w:rPr>
                    <w:t>全部施</w:t>
                  </w:r>
                </w:p>
                <w:p>
                  <w:pPr>
                    <w:pStyle w:val="124"/>
                    <w:autoSpaceDE w:val="0"/>
                    <w:autoSpaceDN w:val="0"/>
                    <w:jc w:val="center"/>
                    <w:rPr>
                      <w:rFonts w:ascii="Times New Roman" w:hAnsi="Times New Roman"/>
                    </w:rPr>
                  </w:pPr>
                  <w:r>
                    <w:rPr>
                      <w:rFonts w:ascii="Times New Roman" w:hAnsi="Times New Roman"/>
                      <w:spacing w:val="-6"/>
                    </w:rPr>
                    <w:t>工</w:t>
                  </w:r>
                  <w:r>
                    <w:rPr>
                      <w:rFonts w:ascii="Times New Roman" w:hAnsi="Times New Roman"/>
                      <w:spacing w:val="-10"/>
                    </w:rPr>
                    <w:t>期</w:t>
                  </w:r>
                </w:p>
              </w:tc>
              <w:tc>
                <w:tcPr>
                  <w:tcW w:w="360" w:type="pct"/>
                  <w:vMerge w:val="restart"/>
                  <w:tcBorders>
                    <w:top w:val="single" w:color="000000" w:sz="4" w:space="0"/>
                    <w:left w:val="single" w:color="000000" w:sz="4" w:space="0"/>
                    <w:right w:val="single" w:color="auto" w:sz="4" w:space="0"/>
                  </w:tcBorders>
                  <w:vAlign w:val="center"/>
                </w:tcPr>
                <w:p>
                  <w:pPr>
                    <w:pStyle w:val="124"/>
                    <w:autoSpaceDE w:val="0"/>
                    <w:autoSpaceDN w:val="0"/>
                    <w:jc w:val="center"/>
                    <w:rPr>
                      <w:rFonts w:ascii="Times New Roman" w:hAnsi="Times New Roman"/>
                    </w:rPr>
                  </w:pPr>
                  <w:r>
                    <w:rPr>
                      <w:rFonts w:ascii="Times New Roman" w:hAnsi="Times New Roman"/>
                      <w:spacing w:val="-6"/>
                    </w:rPr>
                    <w:t>施工</w:t>
                  </w:r>
                  <w:r>
                    <w:rPr>
                      <w:rFonts w:ascii="Times New Roman" w:hAnsi="Times New Roman"/>
                      <w:spacing w:val="-8"/>
                    </w:rPr>
                    <w:t>单位</w:t>
                  </w:r>
                </w:p>
              </w:tc>
              <w:tc>
                <w:tcPr>
                  <w:tcW w:w="509" w:type="pct"/>
                  <w:vMerge w:val="continue"/>
                  <w:tcBorders>
                    <w:left w:val="single" w:color="auto" w:sz="4" w:space="0"/>
                    <w:right w:val="single" w:color="auto" w:sz="4" w:space="0"/>
                  </w:tcBorders>
                </w:tcPr>
                <w:p>
                  <w:pPr>
                    <w:autoSpaceDE w:val="0"/>
                    <w:autoSpaceDN w:val="0"/>
                    <w:jc w:val="left"/>
                    <w:rPr>
                      <w:sz w:val="2"/>
                      <w:szCs w:val="2"/>
                    </w:rPr>
                  </w:pPr>
                </w:p>
              </w:tc>
              <w:tc>
                <w:tcPr>
                  <w:tcW w:w="981" w:type="pct"/>
                  <w:tcBorders>
                    <w:top w:val="single" w:color="000000" w:sz="4" w:space="0"/>
                    <w:left w:val="single" w:color="auto" w:sz="4" w:space="0"/>
                    <w:bottom w:val="single" w:color="000000" w:sz="4" w:space="0"/>
                  </w:tcBorders>
                  <w:vAlign w:val="center"/>
                </w:tcPr>
                <w:p>
                  <w:pPr>
                    <w:pStyle w:val="124"/>
                    <w:autoSpaceDE w:val="0"/>
                    <w:autoSpaceDN w:val="0"/>
                    <w:rPr>
                      <w:rFonts w:ascii="Times New Roman" w:hAnsi="Times New Roman"/>
                    </w:rPr>
                  </w:pPr>
                  <w:r>
                    <w:rPr>
                      <w:rFonts w:ascii="Times New Roman" w:hAnsi="Times New Roman"/>
                      <w:spacing w:val="-2"/>
                    </w:rPr>
                    <w:t>划定施工作业范</w:t>
                  </w:r>
                  <w:r>
                    <w:rPr>
                      <w:rFonts w:ascii="Times New Roman" w:hAnsi="Times New Roman"/>
                      <w:spacing w:val="-10"/>
                    </w:rPr>
                    <w:t>围，将施工占地控制在最小范围；施</w:t>
                  </w:r>
                  <w:r>
                    <w:rPr>
                      <w:rFonts w:ascii="Times New Roman" w:hAnsi="Times New Roman"/>
                      <w:spacing w:val="-4"/>
                    </w:rPr>
                    <w:t>工迹地得以恢复。</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1413" w:hRule="atLeast"/>
              </w:trPr>
              <w:tc>
                <w:tcPr>
                  <w:tcW w:w="235" w:type="pct"/>
                  <w:tcBorders>
                    <w:top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rPr>
                  </w:pPr>
                </w:p>
                <w:p>
                  <w:pPr>
                    <w:pStyle w:val="124"/>
                    <w:autoSpaceDE w:val="0"/>
                    <w:autoSpaceDN w:val="0"/>
                    <w:jc w:val="center"/>
                    <w:rPr>
                      <w:rFonts w:ascii="Times New Roman" w:hAnsi="Times New Roman"/>
                    </w:rPr>
                  </w:pPr>
                </w:p>
                <w:p>
                  <w:pPr>
                    <w:pStyle w:val="124"/>
                    <w:autoSpaceDE w:val="0"/>
                    <w:autoSpaceDN w:val="0"/>
                    <w:jc w:val="center"/>
                    <w:rPr>
                      <w:rFonts w:ascii="Times New Roman" w:hAnsi="Times New Roman"/>
                    </w:rPr>
                  </w:pPr>
                  <w:r>
                    <w:rPr>
                      <w:rFonts w:ascii="Times New Roman" w:hAnsi="Times New Roman"/>
                      <w:spacing w:val="-10"/>
                    </w:rPr>
                    <w:t>3</w:t>
                  </w:r>
                </w:p>
              </w:tc>
              <w:tc>
                <w:tcPr>
                  <w:tcW w:w="2084" w:type="pct"/>
                  <w:tcBorders>
                    <w:top w:val="single" w:color="000000" w:sz="4" w:space="0"/>
                    <w:left w:val="single" w:color="000000" w:sz="4" w:space="0"/>
                    <w:bottom w:val="single" w:color="000000" w:sz="4" w:space="0"/>
                    <w:right w:val="single" w:color="000000" w:sz="4" w:space="0"/>
                  </w:tcBorders>
                  <w:vAlign w:val="center"/>
                </w:tcPr>
                <w:p>
                  <w:pPr>
                    <w:pStyle w:val="124"/>
                    <w:autoSpaceDE w:val="0"/>
                    <w:autoSpaceDN w:val="0"/>
                    <w:rPr>
                      <w:rFonts w:ascii="Times New Roman" w:hAnsi="Times New Roman"/>
                    </w:rPr>
                  </w:pPr>
                  <w:r>
                    <w:rPr>
                      <w:rFonts w:ascii="Times New Roman" w:hAnsi="Times New Roman"/>
                      <w:spacing w:val="-2"/>
                    </w:rPr>
                    <w:t>施工期间基础开挖时要将</w:t>
                  </w:r>
                  <w:r>
                    <w:rPr>
                      <w:rFonts w:ascii="Times New Roman" w:hAnsi="Times New Roman"/>
                      <w:spacing w:val="-4"/>
                    </w:rPr>
                    <w:t>表层熟土分层开挖、分层回填，施工场地采取洒水降尘措施；施工结</w:t>
                  </w:r>
                  <w:r>
                    <w:rPr>
                      <w:rFonts w:hint="eastAsia" w:ascii="Times New Roman" w:hAnsi="Times New Roman"/>
                      <w:spacing w:val="-4"/>
                    </w:rPr>
                    <w:t>束后</w:t>
                  </w:r>
                  <w:r>
                    <w:rPr>
                      <w:rFonts w:ascii="Times New Roman" w:hAnsi="Times New Roman"/>
                      <w:spacing w:val="-4"/>
                    </w:rPr>
                    <w:t>，将施工临</w:t>
                  </w:r>
                  <w:r>
                    <w:rPr>
                      <w:rFonts w:ascii="Times New Roman" w:hAnsi="Times New Roman"/>
                      <w:spacing w:val="-2"/>
                    </w:rPr>
                    <w:t>时占地范围进行清理、平</w:t>
                  </w:r>
                  <w:r>
                    <w:rPr>
                      <w:rFonts w:ascii="Times New Roman" w:hAnsi="Times New Roman"/>
                      <w:spacing w:val="-3"/>
                    </w:rPr>
                    <w:t>整、压实，自然恢复</w:t>
                  </w:r>
                  <w:r>
                    <w:rPr>
                      <w:rFonts w:hint="eastAsia" w:ascii="Times New Roman" w:hAnsi="Times New Roman"/>
                      <w:spacing w:val="-3"/>
                    </w:rPr>
                    <w:t>。</w:t>
                  </w:r>
                </w:p>
              </w:tc>
              <w:tc>
                <w:tcPr>
                  <w:tcW w:w="319" w:type="pct"/>
                  <w:vMerge w:val="continue"/>
                  <w:tcBorders>
                    <w:left w:val="single" w:color="000000" w:sz="4" w:space="0"/>
                    <w:right w:val="single" w:color="000000" w:sz="4" w:space="0"/>
                  </w:tcBorders>
                  <w:vAlign w:val="center"/>
                </w:tcPr>
                <w:p>
                  <w:pPr>
                    <w:autoSpaceDE w:val="0"/>
                    <w:autoSpaceDN w:val="0"/>
                    <w:rPr>
                      <w:sz w:val="2"/>
                      <w:szCs w:val="2"/>
                    </w:rPr>
                  </w:pPr>
                </w:p>
              </w:tc>
              <w:tc>
                <w:tcPr>
                  <w:tcW w:w="508" w:type="pct"/>
                  <w:vMerge w:val="continue"/>
                  <w:tcBorders>
                    <w:left w:val="single" w:color="000000" w:sz="4" w:space="0"/>
                    <w:right w:val="single" w:color="000000" w:sz="4" w:space="0"/>
                  </w:tcBorders>
                </w:tcPr>
                <w:p>
                  <w:pPr>
                    <w:autoSpaceDE w:val="0"/>
                    <w:autoSpaceDN w:val="0"/>
                    <w:jc w:val="center"/>
                    <w:rPr>
                      <w:sz w:val="2"/>
                      <w:szCs w:val="2"/>
                    </w:rPr>
                  </w:pPr>
                </w:p>
              </w:tc>
              <w:tc>
                <w:tcPr>
                  <w:tcW w:w="360" w:type="pct"/>
                  <w:vMerge w:val="continue"/>
                  <w:tcBorders>
                    <w:left w:val="single" w:color="000000" w:sz="4" w:space="0"/>
                    <w:right w:val="single" w:color="auto" w:sz="4" w:space="0"/>
                  </w:tcBorders>
                  <w:vAlign w:val="center"/>
                </w:tcPr>
                <w:p>
                  <w:pPr>
                    <w:autoSpaceDE w:val="0"/>
                    <w:autoSpaceDN w:val="0"/>
                    <w:jc w:val="center"/>
                    <w:rPr>
                      <w:sz w:val="2"/>
                      <w:szCs w:val="2"/>
                    </w:rPr>
                  </w:pPr>
                </w:p>
              </w:tc>
              <w:tc>
                <w:tcPr>
                  <w:tcW w:w="509" w:type="pct"/>
                  <w:vMerge w:val="continue"/>
                  <w:tcBorders>
                    <w:left w:val="single" w:color="auto" w:sz="4" w:space="0"/>
                    <w:right w:val="single" w:color="auto" w:sz="4" w:space="0"/>
                  </w:tcBorders>
                </w:tcPr>
                <w:p>
                  <w:pPr>
                    <w:autoSpaceDE w:val="0"/>
                    <w:autoSpaceDN w:val="0"/>
                    <w:jc w:val="left"/>
                    <w:rPr>
                      <w:sz w:val="2"/>
                      <w:szCs w:val="2"/>
                    </w:rPr>
                  </w:pPr>
                </w:p>
              </w:tc>
              <w:tc>
                <w:tcPr>
                  <w:tcW w:w="981" w:type="pct"/>
                  <w:vMerge w:val="restart"/>
                  <w:tcBorders>
                    <w:top w:val="single" w:color="000000" w:sz="4" w:space="0"/>
                    <w:left w:val="single" w:color="auto" w:sz="4" w:space="0"/>
                    <w:bottom w:val="single" w:color="000000" w:sz="4" w:space="0"/>
                  </w:tcBorders>
                  <w:vAlign w:val="center"/>
                </w:tcPr>
                <w:p>
                  <w:pPr>
                    <w:pStyle w:val="124"/>
                    <w:autoSpaceDE w:val="0"/>
                    <w:autoSpaceDN w:val="0"/>
                    <w:rPr>
                      <w:rFonts w:ascii="Times New Roman" w:hAnsi="Times New Roman"/>
                    </w:rPr>
                  </w:pPr>
                  <w:r>
                    <w:rPr>
                      <w:rFonts w:ascii="Times New Roman" w:hAnsi="Times New Roman"/>
                      <w:spacing w:val="-2"/>
                    </w:rPr>
                    <w:t>减少土壤养分的</w:t>
                  </w:r>
                  <w:r>
                    <w:rPr>
                      <w:rFonts w:ascii="Times New Roman" w:hAnsi="Times New Roman"/>
                      <w:spacing w:val="-10"/>
                    </w:rPr>
                    <w:t>流失，恢复土壤肥</w:t>
                  </w:r>
                  <w:r>
                    <w:rPr>
                      <w:rFonts w:ascii="Times New Roman" w:hAnsi="Times New Roman"/>
                      <w:spacing w:val="-2"/>
                    </w:rPr>
                    <w:t>力和土壤理化性</w:t>
                  </w:r>
                  <w:r>
                    <w:rPr>
                      <w:rFonts w:ascii="Times New Roman" w:hAnsi="Times New Roman"/>
                      <w:spacing w:val="-8"/>
                    </w:rPr>
                    <w:t>质，使土壤、植被</w:t>
                  </w:r>
                  <w:r>
                    <w:rPr>
                      <w:rFonts w:ascii="Times New Roman" w:hAnsi="Times New Roman"/>
                      <w:spacing w:val="-2"/>
                    </w:rPr>
                    <w:t>受影响程度最低</w:t>
                  </w:r>
                  <w:r>
                    <w:rPr>
                      <w:rFonts w:hint="eastAsia" w:ascii="Times New Roman" w:hAnsi="Times New Roman"/>
                      <w:spacing w:val="-2"/>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673" w:hRule="atLeast"/>
              </w:trPr>
              <w:tc>
                <w:tcPr>
                  <w:tcW w:w="235" w:type="pct"/>
                  <w:tcBorders>
                    <w:top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rPr>
                  </w:pPr>
                </w:p>
                <w:p>
                  <w:pPr>
                    <w:pStyle w:val="124"/>
                    <w:autoSpaceDE w:val="0"/>
                    <w:autoSpaceDN w:val="0"/>
                    <w:jc w:val="center"/>
                    <w:rPr>
                      <w:rFonts w:ascii="Times New Roman" w:hAnsi="Times New Roman"/>
                    </w:rPr>
                  </w:pPr>
                  <w:r>
                    <w:rPr>
                      <w:rFonts w:ascii="Times New Roman" w:hAnsi="Times New Roman"/>
                      <w:spacing w:val="-10"/>
                    </w:rPr>
                    <w:t>4</w:t>
                  </w:r>
                </w:p>
              </w:tc>
              <w:tc>
                <w:tcPr>
                  <w:tcW w:w="2084" w:type="pct"/>
                  <w:tcBorders>
                    <w:top w:val="single" w:color="000000" w:sz="4" w:space="0"/>
                    <w:left w:val="single" w:color="000000" w:sz="4" w:space="0"/>
                    <w:bottom w:val="single" w:color="000000" w:sz="4" w:space="0"/>
                    <w:right w:val="single" w:color="000000" w:sz="4" w:space="0"/>
                  </w:tcBorders>
                  <w:vAlign w:val="center"/>
                </w:tcPr>
                <w:p>
                  <w:pPr>
                    <w:pStyle w:val="124"/>
                    <w:autoSpaceDE w:val="0"/>
                    <w:autoSpaceDN w:val="0"/>
                    <w:rPr>
                      <w:rFonts w:ascii="Times New Roman" w:hAnsi="Times New Roman"/>
                    </w:rPr>
                  </w:pPr>
                  <w:r>
                    <w:rPr>
                      <w:rFonts w:ascii="Times New Roman" w:hAnsi="Times New Roman"/>
                      <w:spacing w:val="-4"/>
                    </w:rPr>
                    <w:t>减少地表开挖裸露时间、避</w:t>
                  </w:r>
                  <w:r>
                    <w:rPr>
                      <w:rFonts w:ascii="Times New Roman" w:hAnsi="Times New Roman"/>
                      <w:spacing w:val="-7"/>
                    </w:rPr>
                    <w:t>开雨季及大风天气施工、及</w:t>
                  </w:r>
                  <w:r>
                    <w:rPr>
                      <w:rFonts w:ascii="Times New Roman" w:hAnsi="Times New Roman"/>
                      <w:spacing w:val="-3"/>
                    </w:rPr>
                    <w:t>时进行迹地恢复等。</w:t>
                  </w:r>
                </w:p>
              </w:tc>
              <w:tc>
                <w:tcPr>
                  <w:tcW w:w="319" w:type="pct"/>
                  <w:vMerge w:val="continue"/>
                  <w:tcBorders>
                    <w:left w:val="single" w:color="000000" w:sz="4" w:space="0"/>
                    <w:right w:val="single" w:color="000000" w:sz="4" w:space="0"/>
                  </w:tcBorders>
                  <w:vAlign w:val="center"/>
                </w:tcPr>
                <w:p>
                  <w:pPr>
                    <w:autoSpaceDE w:val="0"/>
                    <w:autoSpaceDN w:val="0"/>
                    <w:rPr>
                      <w:sz w:val="2"/>
                      <w:szCs w:val="2"/>
                    </w:rPr>
                  </w:pPr>
                </w:p>
              </w:tc>
              <w:tc>
                <w:tcPr>
                  <w:tcW w:w="508" w:type="pct"/>
                  <w:vMerge w:val="continue"/>
                  <w:tcBorders>
                    <w:left w:val="single" w:color="000000" w:sz="4" w:space="0"/>
                    <w:bottom w:val="single" w:color="000000" w:sz="4" w:space="0"/>
                    <w:right w:val="single" w:color="000000" w:sz="4" w:space="0"/>
                  </w:tcBorders>
                </w:tcPr>
                <w:p>
                  <w:pPr>
                    <w:autoSpaceDE w:val="0"/>
                    <w:autoSpaceDN w:val="0"/>
                    <w:jc w:val="center"/>
                    <w:rPr>
                      <w:sz w:val="2"/>
                      <w:szCs w:val="2"/>
                    </w:rPr>
                  </w:pPr>
                </w:p>
              </w:tc>
              <w:tc>
                <w:tcPr>
                  <w:tcW w:w="360" w:type="pct"/>
                  <w:vMerge w:val="continue"/>
                  <w:tcBorders>
                    <w:left w:val="single" w:color="000000" w:sz="4" w:space="0"/>
                    <w:bottom w:val="single" w:color="000000" w:sz="4" w:space="0"/>
                    <w:right w:val="single" w:color="auto" w:sz="4" w:space="0"/>
                  </w:tcBorders>
                  <w:vAlign w:val="center"/>
                </w:tcPr>
                <w:p>
                  <w:pPr>
                    <w:autoSpaceDE w:val="0"/>
                    <w:autoSpaceDN w:val="0"/>
                    <w:jc w:val="center"/>
                    <w:rPr>
                      <w:sz w:val="2"/>
                      <w:szCs w:val="2"/>
                    </w:rPr>
                  </w:pPr>
                </w:p>
              </w:tc>
              <w:tc>
                <w:tcPr>
                  <w:tcW w:w="509" w:type="pct"/>
                  <w:vMerge w:val="continue"/>
                  <w:tcBorders>
                    <w:left w:val="single" w:color="auto" w:sz="4" w:space="0"/>
                    <w:right w:val="single" w:color="auto" w:sz="4" w:space="0"/>
                  </w:tcBorders>
                </w:tcPr>
                <w:p>
                  <w:pPr>
                    <w:autoSpaceDE w:val="0"/>
                    <w:autoSpaceDN w:val="0"/>
                    <w:jc w:val="left"/>
                    <w:rPr>
                      <w:sz w:val="2"/>
                      <w:szCs w:val="2"/>
                    </w:rPr>
                  </w:pPr>
                </w:p>
              </w:tc>
              <w:tc>
                <w:tcPr>
                  <w:tcW w:w="981" w:type="pct"/>
                  <w:vMerge w:val="continue"/>
                  <w:tcBorders>
                    <w:top w:val="nil"/>
                    <w:left w:val="single" w:color="auto" w:sz="4" w:space="0"/>
                    <w:bottom w:val="single" w:color="000000" w:sz="4" w:space="0"/>
                  </w:tcBorders>
                  <w:vAlign w:val="center"/>
                </w:tcPr>
                <w:p>
                  <w:pPr>
                    <w:autoSpaceDE w:val="0"/>
                    <w:autoSpaceDN w:val="0"/>
                    <w:rPr>
                      <w:sz w:val="2"/>
                      <w:szCs w:val="2"/>
                    </w:rPr>
                  </w:pP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525" w:hRule="atLeast"/>
              </w:trPr>
              <w:tc>
                <w:tcPr>
                  <w:tcW w:w="235" w:type="pct"/>
                  <w:tcBorders>
                    <w:top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rPr>
                  </w:pPr>
                  <w:r>
                    <w:rPr>
                      <w:rFonts w:ascii="Times New Roman" w:hAnsi="Times New Roman"/>
                      <w:spacing w:val="-10"/>
                    </w:rPr>
                    <w:t>5</w:t>
                  </w:r>
                </w:p>
              </w:tc>
              <w:tc>
                <w:tcPr>
                  <w:tcW w:w="2084" w:type="pct"/>
                  <w:tcBorders>
                    <w:top w:val="single" w:color="000000" w:sz="4" w:space="0"/>
                    <w:left w:val="single" w:color="000000" w:sz="4" w:space="0"/>
                    <w:bottom w:val="single" w:color="000000" w:sz="4" w:space="0"/>
                    <w:right w:val="single" w:color="000000" w:sz="4" w:space="0"/>
                  </w:tcBorders>
                  <w:vAlign w:val="center"/>
                </w:tcPr>
                <w:p>
                  <w:pPr>
                    <w:pStyle w:val="124"/>
                    <w:autoSpaceDE w:val="0"/>
                    <w:autoSpaceDN w:val="0"/>
                    <w:rPr>
                      <w:rFonts w:ascii="Times New Roman" w:hAnsi="Times New Roman"/>
                    </w:rPr>
                  </w:pPr>
                  <w:r>
                    <w:rPr>
                      <w:rFonts w:ascii="Times New Roman" w:hAnsi="Times New Roman"/>
                      <w:spacing w:val="-7"/>
                    </w:rPr>
                    <w:t>占地范围内清理平整，恢复</w:t>
                  </w:r>
                  <w:r>
                    <w:rPr>
                      <w:rFonts w:ascii="Times New Roman" w:hAnsi="Times New Roman"/>
                      <w:spacing w:val="-5"/>
                    </w:rPr>
                    <w:t>地貌。</w:t>
                  </w:r>
                </w:p>
              </w:tc>
              <w:tc>
                <w:tcPr>
                  <w:tcW w:w="319" w:type="pct"/>
                  <w:vMerge w:val="continue"/>
                  <w:tcBorders>
                    <w:left w:val="single" w:color="000000" w:sz="4" w:space="0"/>
                    <w:right w:val="single" w:color="000000" w:sz="4" w:space="0"/>
                  </w:tcBorders>
                  <w:vAlign w:val="center"/>
                </w:tcPr>
                <w:p>
                  <w:pPr>
                    <w:autoSpaceDE w:val="0"/>
                    <w:autoSpaceDN w:val="0"/>
                    <w:rPr>
                      <w:sz w:val="2"/>
                      <w:szCs w:val="2"/>
                    </w:rPr>
                  </w:pPr>
                </w:p>
              </w:tc>
              <w:tc>
                <w:tcPr>
                  <w:tcW w:w="508" w:type="pct"/>
                  <w:tcBorders>
                    <w:top w:val="single" w:color="000000" w:sz="4" w:space="0"/>
                    <w:left w:val="single" w:color="000000" w:sz="4" w:space="0"/>
                    <w:bottom w:val="single" w:color="000000" w:sz="4" w:space="0"/>
                    <w:right w:val="single" w:color="000000" w:sz="4" w:space="0"/>
                  </w:tcBorders>
                </w:tcPr>
                <w:p>
                  <w:pPr>
                    <w:pStyle w:val="124"/>
                    <w:autoSpaceDE w:val="0"/>
                    <w:autoSpaceDN w:val="0"/>
                    <w:jc w:val="center"/>
                    <w:rPr>
                      <w:rFonts w:ascii="Times New Roman" w:hAnsi="Times New Roman"/>
                    </w:rPr>
                  </w:pPr>
                  <w:r>
                    <w:rPr>
                      <w:rFonts w:ascii="Times New Roman" w:hAnsi="Times New Roman"/>
                      <w:spacing w:val="-8"/>
                    </w:rPr>
                    <w:t>施工</w:t>
                  </w:r>
                </w:p>
                <w:p>
                  <w:pPr>
                    <w:pStyle w:val="124"/>
                    <w:autoSpaceDE w:val="0"/>
                    <w:autoSpaceDN w:val="0"/>
                    <w:jc w:val="center"/>
                    <w:rPr>
                      <w:rFonts w:ascii="Times New Roman" w:hAnsi="Times New Roman"/>
                    </w:rPr>
                  </w:pPr>
                  <w:r>
                    <w:rPr>
                      <w:rFonts w:ascii="Times New Roman" w:hAnsi="Times New Roman"/>
                      <w:spacing w:val="-8"/>
                    </w:rPr>
                    <w:t>后期</w:t>
                  </w:r>
                </w:p>
              </w:tc>
              <w:tc>
                <w:tcPr>
                  <w:tcW w:w="360" w:type="pct"/>
                  <w:vMerge w:val="restart"/>
                  <w:tcBorders>
                    <w:top w:val="single" w:color="000000" w:sz="4" w:space="0"/>
                    <w:left w:val="single" w:color="000000" w:sz="4" w:space="0"/>
                    <w:bottom w:val="single" w:color="000000" w:sz="4" w:space="0"/>
                    <w:right w:val="single" w:color="auto" w:sz="4" w:space="0"/>
                  </w:tcBorders>
                  <w:vAlign w:val="center"/>
                </w:tcPr>
                <w:p>
                  <w:pPr>
                    <w:pStyle w:val="124"/>
                    <w:autoSpaceDE w:val="0"/>
                    <w:autoSpaceDN w:val="0"/>
                    <w:jc w:val="center"/>
                    <w:rPr>
                      <w:rFonts w:ascii="Times New Roman" w:hAnsi="Times New Roman"/>
                    </w:rPr>
                  </w:pPr>
                  <w:r>
                    <w:rPr>
                      <w:rFonts w:ascii="Times New Roman" w:hAnsi="Times New Roman"/>
                      <w:spacing w:val="-6"/>
                    </w:rPr>
                    <w:t>施工</w:t>
                  </w:r>
                  <w:r>
                    <w:rPr>
                      <w:rFonts w:ascii="Times New Roman" w:hAnsi="Times New Roman"/>
                      <w:spacing w:val="-8"/>
                    </w:rPr>
                    <w:t>单位</w:t>
                  </w:r>
                </w:p>
              </w:tc>
              <w:tc>
                <w:tcPr>
                  <w:tcW w:w="509" w:type="pct"/>
                  <w:vMerge w:val="continue"/>
                  <w:tcBorders>
                    <w:left w:val="single" w:color="auto" w:sz="4" w:space="0"/>
                    <w:right w:val="single" w:color="auto" w:sz="4" w:space="0"/>
                  </w:tcBorders>
                </w:tcPr>
                <w:p>
                  <w:pPr>
                    <w:autoSpaceDE w:val="0"/>
                    <w:autoSpaceDN w:val="0"/>
                    <w:jc w:val="left"/>
                    <w:rPr>
                      <w:sz w:val="2"/>
                      <w:szCs w:val="2"/>
                    </w:rPr>
                  </w:pPr>
                </w:p>
              </w:tc>
              <w:tc>
                <w:tcPr>
                  <w:tcW w:w="981" w:type="pct"/>
                  <w:tcBorders>
                    <w:top w:val="single" w:color="000000" w:sz="4" w:space="0"/>
                    <w:left w:val="single" w:color="auto" w:sz="4" w:space="0"/>
                    <w:bottom w:val="single" w:color="000000" w:sz="4" w:space="0"/>
                  </w:tcBorders>
                  <w:vAlign w:val="center"/>
                </w:tcPr>
                <w:p>
                  <w:pPr>
                    <w:pStyle w:val="124"/>
                    <w:autoSpaceDE w:val="0"/>
                    <w:autoSpaceDN w:val="0"/>
                    <w:rPr>
                      <w:rFonts w:ascii="Times New Roman" w:hAnsi="Times New Roman"/>
                    </w:rPr>
                  </w:pPr>
                  <w:r>
                    <w:rPr>
                      <w:rFonts w:ascii="Times New Roman" w:hAnsi="Times New Roman"/>
                      <w:spacing w:val="-4"/>
                    </w:rPr>
                    <w:t>施工后做到工完料净场地清</w:t>
                  </w:r>
                  <w:r>
                    <w:rPr>
                      <w:rFonts w:hint="eastAsia" w:ascii="Times New Roman" w:hAnsi="Times New Roman"/>
                      <w:spacing w:val="-4"/>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715" w:hRule="atLeast"/>
              </w:trPr>
              <w:tc>
                <w:tcPr>
                  <w:tcW w:w="235" w:type="pct"/>
                  <w:tcBorders>
                    <w:top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rPr>
                  </w:pPr>
                  <w:r>
                    <w:rPr>
                      <w:rFonts w:ascii="Times New Roman" w:hAnsi="Times New Roman"/>
                      <w:spacing w:val="-10"/>
                    </w:rPr>
                    <w:t>6</w:t>
                  </w:r>
                </w:p>
              </w:tc>
              <w:tc>
                <w:tcPr>
                  <w:tcW w:w="2084" w:type="pct"/>
                  <w:tcBorders>
                    <w:top w:val="single" w:color="000000" w:sz="4" w:space="0"/>
                    <w:left w:val="single" w:color="000000" w:sz="4" w:space="0"/>
                    <w:bottom w:val="single" w:color="000000" w:sz="4" w:space="0"/>
                    <w:right w:val="single" w:color="000000" w:sz="4" w:space="0"/>
                  </w:tcBorders>
                  <w:vAlign w:val="center"/>
                </w:tcPr>
                <w:p>
                  <w:pPr>
                    <w:pStyle w:val="124"/>
                    <w:autoSpaceDE w:val="0"/>
                    <w:autoSpaceDN w:val="0"/>
                    <w:rPr>
                      <w:rFonts w:ascii="Times New Roman" w:hAnsi="Times New Roman"/>
                    </w:rPr>
                  </w:pPr>
                  <w:r>
                    <w:rPr>
                      <w:rFonts w:ascii="Times New Roman" w:hAnsi="Times New Roman"/>
                      <w:spacing w:val="-4"/>
                    </w:rPr>
                    <w:t>加强宣传教育，设置环保宣传牌。</w:t>
                  </w:r>
                </w:p>
              </w:tc>
              <w:tc>
                <w:tcPr>
                  <w:tcW w:w="319" w:type="pct"/>
                  <w:vMerge w:val="continue"/>
                  <w:tcBorders>
                    <w:left w:val="single" w:color="000000" w:sz="4" w:space="0"/>
                    <w:right w:val="single" w:color="000000" w:sz="4" w:space="0"/>
                  </w:tcBorders>
                  <w:vAlign w:val="center"/>
                </w:tcPr>
                <w:p>
                  <w:pPr>
                    <w:autoSpaceDE w:val="0"/>
                    <w:autoSpaceDN w:val="0"/>
                    <w:rPr>
                      <w:sz w:val="2"/>
                      <w:szCs w:val="2"/>
                    </w:rPr>
                  </w:pPr>
                </w:p>
              </w:tc>
              <w:tc>
                <w:tcPr>
                  <w:tcW w:w="508" w:type="pct"/>
                  <w:tcBorders>
                    <w:top w:val="single" w:color="000000" w:sz="4" w:space="0"/>
                    <w:left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spacing w:val="-6"/>
                    </w:rPr>
                  </w:pPr>
                  <w:r>
                    <w:rPr>
                      <w:rFonts w:ascii="Times New Roman" w:hAnsi="Times New Roman"/>
                      <w:spacing w:val="-6"/>
                    </w:rPr>
                    <w:t>全部施</w:t>
                  </w:r>
                </w:p>
                <w:p>
                  <w:pPr>
                    <w:pStyle w:val="124"/>
                    <w:autoSpaceDE w:val="0"/>
                    <w:autoSpaceDN w:val="0"/>
                    <w:jc w:val="center"/>
                    <w:rPr>
                      <w:rFonts w:ascii="Times New Roman" w:hAnsi="Times New Roman"/>
                    </w:rPr>
                  </w:pPr>
                  <w:r>
                    <w:rPr>
                      <w:rFonts w:ascii="Times New Roman" w:hAnsi="Times New Roman"/>
                      <w:spacing w:val="-6"/>
                    </w:rPr>
                    <w:t>工</w:t>
                  </w:r>
                  <w:r>
                    <w:rPr>
                      <w:rFonts w:ascii="Times New Roman" w:hAnsi="Times New Roman"/>
                      <w:spacing w:val="-10"/>
                    </w:rPr>
                    <w:t>期</w:t>
                  </w:r>
                </w:p>
              </w:tc>
              <w:tc>
                <w:tcPr>
                  <w:tcW w:w="360" w:type="pct"/>
                  <w:vMerge w:val="continue"/>
                  <w:tcBorders>
                    <w:top w:val="nil"/>
                    <w:left w:val="single" w:color="000000" w:sz="4" w:space="0"/>
                    <w:bottom w:val="single" w:color="000000" w:sz="4" w:space="0"/>
                    <w:right w:val="single" w:color="auto" w:sz="4" w:space="0"/>
                  </w:tcBorders>
                  <w:vAlign w:val="center"/>
                </w:tcPr>
                <w:p>
                  <w:pPr>
                    <w:autoSpaceDE w:val="0"/>
                    <w:autoSpaceDN w:val="0"/>
                    <w:jc w:val="center"/>
                    <w:rPr>
                      <w:sz w:val="2"/>
                      <w:szCs w:val="2"/>
                    </w:rPr>
                  </w:pPr>
                </w:p>
              </w:tc>
              <w:tc>
                <w:tcPr>
                  <w:tcW w:w="509" w:type="pct"/>
                  <w:vMerge w:val="continue"/>
                  <w:tcBorders>
                    <w:left w:val="single" w:color="auto" w:sz="4" w:space="0"/>
                    <w:right w:val="single" w:color="auto" w:sz="4" w:space="0"/>
                  </w:tcBorders>
                </w:tcPr>
                <w:p>
                  <w:pPr>
                    <w:autoSpaceDE w:val="0"/>
                    <w:autoSpaceDN w:val="0"/>
                    <w:jc w:val="left"/>
                    <w:rPr>
                      <w:sz w:val="2"/>
                      <w:szCs w:val="2"/>
                    </w:rPr>
                  </w:pPr>
                </w:p>
              </w:tc>
              <w:tc>
                <w:tcPr>
                  <w:tcW w:w="981" w:type="pct"/>
                  <w:tcBorders>
                    <w:top w:val="single" w:color="000000" w:sz="4" w:space="0"/>
                    <w:left w:val="single" w:color="auto" w:sz="4" w:space="0"/>
                    <w:bottom w:val="single" w:color="000000" w:sz="4" w:space="0"/>
                  </w:tcBorders>
                  <w:vAlign w:val="center"/>
                </w:tcPr>
                <w:p>
                  <w:pPr>
                    <w:pStyle w:val="124"/>
                    <w:autoSpaceDE w:val="0"/>
                    <w:autoSpaceDN w:val="0"/>
                    <w:rPr>
                      <w:rFonts w:ascii="Times New Roman" w:hAnsi="Times New Roman"/>
                    </w:rPr>
                  </w:pPr>
                  <w:r>
                    <w:rPr>
                      <w:rFonts w:ascii="Times New Roman" w:hAnsi="Times New Roman"/>
                      <w:spacing w:val="-2"/>
                    </w:rPr>
                    <w:t>避免发生施工人</w:t>
                  </w:r>
                  <w:r>
                    <w:rPr>
                      <w:rFonts w:ascii="Times New Roman" w:hAnsi="Times New Roman"/>
                      <w:spacing w:val="-12"/>
                    </w:rPr>
                    <w:t>员随意惊吓、捕杀</w:t>
                  </w:r>
                  <w:r>
                    <w:rPr>
                      <w:rFonts w:ascii="Times New Roman" w:hAnsi="Times New Roman"/>
                      <w:spacing w:val="-4"/>
                    </w:rPr>
                    <w:t>野生动物，踩踏、破坏植被的现象</w:t>
                  </w:r>
                  <w:r>
                    <w:rPr>
                      <w:rFonts w:hint="eastAsia" w:ascii="Times New Roman" w:hAnsi="Times New Roman"/>
                      <w:spacing w:val="-4"/>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703" w:hRule="atLeast"/>
              </w:trPr>
              <w:tc>
                <w:tcPr>
                  <w:tcW w:w="235" w:type="pct"/>
                  <w:tcBorders>
                    <w:top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rPr>
                  </w:pPr>
                  <w:r>
                    <w:rPr>
                      <w:rFonts w:hint="eastAsia" w:ascii="Times New Roman" w:hAnsi="Times New Roman"/>
                    </w:rPr>
                    <w:t>7</w:t>
                  </w:r>
                </w:p>
              </w:tc>
              <w:tc>
                <w:tcPr>
                  <w:tcW w:w="2084" w:type="pct"/>
                  <w:tcBorders>
                    <w:top w:val="single" w:color="000000" w:sz="4" w:space="0"/>
                    <w:left w:val="single" w:color="000000" w:sz="4" w:space="0"/>
                    <w:bottom w:val="single" w:color="000000" w:sz="4" w:space="0"/>
                    <w:right w:val="single" w:color="000000" w:sz="4" w:space="0"/>
                  </w:tcBorders>
                  <w:vAlign w:val="center"/>
                </w:tcPr>
                <w:p>
                  <w:pPr>
                    <w:pStyle w:val="124"/>
                    <w:autoSpaceDE w:val="0"/>
                    <w:autoSpaceDN w:val="0"/>
                    <w:rPr>
                      <w:rFonts w:ascii="Times New Roman" w:hAnsi="Times New Roman"/>
                    </w:rPr>
                  </w:pPr>
                  <w:r>
                    <w:rPr>
                      <w:rFonts w:ascii="Times New Roman" w:hAnsi="Times New Roman"/>
                      <w:spacing w:val="-7"/>
                    </w:rPr>
                    <w:t>采用低噪声施工设备，加强</w:t>
                  </w:r>
                  <w:r>
                    <w:rPr>
                      <w:rFonts w:ascii="Times New Roman" w:hAnsi="Times New Roman"/>
                      <w:spacing w:val="-3"/>
                    </w:rPr>
                    <w:t>维护保养，严格操作规程，</w:t>
                  </w:r>
                  <w:r>
                    <w:rPr>
                      <w:rFonts w:ascii="Times New Roman" w:hAnsi="Times New Roman"/>
                      <w:spacing w:val="-4"/>
                    </w:rPr>
                    <w:t>禁止夜间施工。</w:t>
                  </w:r>
                </w:p>
              </w:tc>
              <w:tc>
                <w:tcPr>
                  <w:tcW w:w="319" w:type="pct"/>
                  <w:vMerge w:val="continue"/>
                  <w:tcBorders>
                    <w:left w:val="single" w:color="000000" w:sz="4" w:space="0"/>
                    <w:right w:val="single" w:color="000000" w:sz="4" w:space="0"/>
                  </w:tcBorders>
                  <w:vAlign w:val="center"/>
                </w:tcPr>
                <w:p>
                  <w:pPr>
                    <w:pStyle w:val="124"/>
                    <w:autoSpaceDE w:val="0"/>
                    <w:autoSpaceDN w:val="0"/>
                    <w:rPr>
                      <w:rFonts w:ascii="Times New Roman" w:hAnsi="Times New Roman"/>
                    </w:rPr>
                  </w:pPr>
                </w:p>
              </w:tc>
              <w:tc>
                <w:tcPr>
                  <w:tcW w:w="508" w:type="pct"/>
                  <w:tcBorders>
                    <w:top w:val="single" w:color="000000" w:sz="4" w:space="0"/>
                    <w:left w:val="single" w:color="000000" w:sz="4" w:space="0"/>
                    <w:bottom w:val="single" w:color="000000" w:sz="4" w:space="0"/>
                    <w:right w:val="single" w:color="000000" w:sz="4" w:space="0"/>
                  </w:tcBorders>
                </w:tcPr>
                <w:p>
                  <w:pPr>
                    <w:pStyle w:val="124"/>
                    <w:autoSpaceDE w:val="0"/>
                    <w:autoSpaceDN w:val="0"/>
                    <w:jc w:val="center"/>
                    <w:rPr>
                      <w:rFonts w:ascii="Times New Roman" w:hAnsi="Times New Roman"/>
                      <w:spacing w:val="-8"/>
                    </w:rPr>
                  </w:pPr>
                  <w:r>
                    <w:rPr>
                      <w:rFonts w:ascii="Times New Roman" w:hAnsi="Times New Roman"/>
                      <w:spacing w:val="-8"/>
                    </w:rPr>
                    <w:t>全部施</w:t>
                  </w:r>
                </w:p>
                <w:p>
                  <w:pPr>
                    <w:pStyle w:val="124"/>
                    <w:autoSpaceDE w:val="0"/>
                    <w:autoSpaceDN w:val="0"/>
                    <w:jc w:val="center"/>
                    <w:rPr>
                      <w:rFonts w:ascii="Times New Roman" w:hAnsi="Times New Roman"/>
                    </w:rPr>
                  </w:pPr>
                  <w:r>
                    <w:rPr>
                      <w:rFonts w:ascii="Times New Roman" w:hAnsi="Times New Roman"/>
                      <w:spacing w:val="-8"/>
                    </w:rPr>
                    <w:t>工</w:t>
                  </w:r>
                  <w:r>
                    <w:rPr>
                      <w:rFonts w:ascii="Times New Roman" w:hAnsi="Times New Roman"/>
                      <w:spacing w:val="-10"/>
                    </w:rPr>
                    <w:t>期</w:t>
                  </w:r>
                </w:p>
              </w:tc>
              <w:tc>
                <w:tcPr>
                  <w:tcW w:w="360" w:type="pct"/>
                  <w:tcBorders>
                    <w:top w:val="single" w:color="000000" w:sz="4" w:space="0"/>
                    <w:left w:val="single" w:color="000000" w:sz="4" w:space="0"/>
                    <w:bottom w:val="single" w:color="000000" w:sz="4" w:space="0"/>
                    <w:right w:val="single" w:color="auto" w:sz="4" w:space="0"/>
                  </w:tcBorders>
                  <w:vAlign w:val="center"/>
                </w:tcPr>
                <w:p>
                  <w:pPr>
                    <w:pStyle w:val="124"/>
                    <w:autoSpaceDE w:val="0"/>
                    <w:autoSpaceDN w:val="0"/>
                    <w:jc w:val="center"/>
                    <w:rPr>
                      <w:rFonts w:ascii="Times New Roman" w:hAnsi="Times New Roman"/>
                    </w:rPr>
                  </w:pPr>
                  <w:r>
                    <w:rPr>
                      <w:rFonts w:ascii="Times New Roman" w:hAnsi="Times New Roman"/>
                      <w:spacing w:val="-6"/>
                    </w:rPr>
                    <w:t>施工</w:t>
                  </w:r>
                  <w:r>
                    <w:rPr>
                      <w:rFonts w:ascii="Times New Roman" w:hAnsi="Times New Roman"/>
                      <w:spacing w:val="-8"/>
                    </w:rPr>
                    <w:t>单位</w:t>
                  </w:r>
                </w:p>
              </w:tc>
              <w:tc>
                <w:tcPr>
                  <w:tcW w:w="509" w:type="pct"/>
                  <w:vMerge w:val="continue"/>
                  <w:tcBorders>
                    <w:left w:val="single" w:color="auto" w:sz="4" w:space="0"/>
                    <w:right w:val="single" w:color="auto" w:sz="4" w:space="0"/>
                  </w:tcBorders>
                </w:tcPr>
                <w:p>
                  <w:pPr>
                    <w:autoSpaceDE w:val="0"/>
                    <w:autoSpaceDN w:val="0"/>
                    <w:jc w:val="left"/>
                    <w:rPr>
                      <w:sz w:val="2"/>
                      <w:szCs w:val="2"/>
                    </w:rPr>
                  </w:pPr>
                </w:p>
              </w:tc>
              <w:tc>
                <w:tcPr>
                  <w:tcW w:w="981" w:type="pct"/>
                  <w:tcBorders>
                    <w:top w:val="single" w:color="000000" w:sz="4" w:space="0"/>
                    <w:left w:val="single" w:color="auto" w:sz="4" w:space="0"/>
                    <w:bottom w:val="single" w:color="000000" w:sz="4" w:space="0"/>
                  </w:tcBorders>
                  <w:vAlign w:val="center"/>
                </w:tcPr>
                <w:p>
                  <w:pPr>
                    <w:pStyle w:val="124"/>
                    <w:autoSpaceDE w:val="0"/>
                    <w:autoSpaceDN w:val="0"/>
                    <w:rPr>
                      <w:rFonts w:ascii="Times New Roman" w:hAnsi="Times New Roman"/>
                    </w:rPr>
                  </w:pPr>
                  <w:r>
                    <w:rPr>
                      <w:rFonts w:ascii="Times New Roman" w:hAnsi="Times New Roman"/>
                      <w:spacing w:val="-2"/>
                    </w:rPr>
                    <w:t>对周边声环境影</w:t>
                  </w:r>
                  <w:r>
                    <w:rPr>
                      <w:rFonts w:ascii="Times New Roman" w:hAnsi="Times New Roman"/>
                      <w:spacing w:val="-4"/>
                    </w:rPr>
                    <w:t>响较小</w:t>
                  </w:r>
                  <w:r>
                    <w:rPr>
                      <w:rFonts w:hint="eastAsia" w:ascii="Times New Roman" w:hAnsi="Times New Roman"/>
                      <w:spacing w:val="-4"/>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1136" w:hRule="atLeast"/>
              </w:trPr>
              <w:tc>
                <w:tcPr>
                  <w:tcW w:w="235" w:type="pct"/>
                  <w:tcBorders>
                    <w:top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rPr>
                  </w:pPr>
                  <w:r>
                    <w:rPr>
                      <w:rFonts w:ascii="Times New Roman" w:hAnsi="Times New Roman"/>
                      <w:spacing w:val="-10"/>
                    </w:rPr>
                    <w:t>8</w:t>
                  </w:r>
                </w:p>
              </w:tc>
              <w:tc>
                <w:tcPr>
                  <w:tcW w:w="2084" w:type="pct"/>
                  <w:tcBorders>
                    <w:top w:val="single" w:color="000000" w:sz="4" w:space="0"/>
                    <w:left w:val="single" w:color="000000" w:sz="4" w:space="0"/>
                    <w:bottom w:val="single" w:color="000000" w:sz="4" w:space="0"/>
                    <w:right w:val="single" w:color="000000" w:sz="4" w:space="0"/>
                  </w:tcBorders>
                  <w:vAlign w:val="center"/>
                </w:tcPr>
                <w:p>
                  <w:pPr>
                    <w:pStyle w:val="124"/>
                    <w:autoSpaceDE w:val="0"/>
                    <w:autoSpaceDN w:val="0"/>
                    <w:rPr>
                      <w:rFonts w:ascii="Times New Roman" w:hAnsi="Times New Roman"/>
                    </w:rPr>
                  </w:pPr>
                  <w:r>
                    <w:rPr>
                      <w:rFonts w:ascii="Times New Roman" w:hAnsi="Times New Roman"/>
                      <w:spacing w:val="-4"/>
                    </w:rPr>
                    <w:t>道路及施工面洒水降尘、物料运输篷布遮盖、土石方采</w:t>
                  </w:r>
                  <w:r>
                    <w:rPr>
                      <w:rFonts w:ascii="Times New Roman" w:hAnsi="Times New Roman"/>
                      <w:spacing w:val="-6"/>
                    </w:rPr>
                    <w:t>用防尘布（网）</w:t>
                  </w:r>
                  <w:r>
                    <w:rPr>
                      <w:rFonts w:ascii="Times New Roman" w:hAnsi="Times New Roman"/>
                      <w:spacing w:val="-7"/>
                    </w:rPr>
                    <w:t>苫盖；使用</w:t>
                  </w:r>
                  <w:r>
                    <w:rPr>
                      <w:rFonts w:ascii="Times New Roman" w:hAnsi="Times New Roman"/>
                      <w:spacing w:val="-2"/>
                    </w:rPr>
                    <w:t>符合国家标准的工程车辆</w:t>
                  </w:r>
                  <w:r>
                    <w:rPr>
                      <w:rFonts w:ascii="Times New Roman" w:hAnsi="Times New Roman"/>
                      <w:spacing w:val="-4"/>
                    </w:rPr>
                    <w:t>及施工机械</w:t>
                  </w:r>
                  <w:r>
                    <w:rPr>
                      <w:rFonts w:ascii="Times New Roman" w:hAnsi="Times New Roman"/>
                      <w:spacing w:val="-5"/>
                    </w:rPr>
                    <w:t>。</w:t>
                  </w:r>
                </w:p>
              </w:tc>
              <w:tc>
                <w:tcPr>
                  <w:tcW w:w="319" w:type="pct"/>
                  <w:vMerge w:val="continue"/>
                  <w:tcBorders>
                    <w:left w:val="single" w:color="000000" w:sz="4" w:space="0"/>
                    <w:right w:val="single" w:color="000000" w:sz="4" w:space="0"/>
                  </w:tcBorders>
                  <w:vAlign w:val="center"/>
                </w:tcPr>
                <w:p>
                  <w:pPr>
                    <w:pStyle w:val="124"/>
                    <w:autoSpaceDE w:val="0"/>
                    <w:autoSpaceDN w:val="0"/>
                    <w:rPr>
                      <w:rFonts w:ascii="Times New Roman" w:hAnsi="Times New Roman"/>
                    </w:rPr>
                  </w:pPr>
                </w:p>
              </w:tc>
              <w:tc>
                <w:tcPr>
                  <w:tcW w:w="508" w:type="pct"/>
                  <w:tcBorders>
                    <w:top w:val="single" w:color="000000" w:sz="4" w:space="0"/>
                    <w:left w:val="single" w:color="000000" w:sz="4" w:space="0"/>
                    <w:bottom w:val="single" w:color="000000" w:sz="4" w:space="0"/>
                    <w:right w:val="single" w:color="000000" w:sz="4" w:space="0"/>
                  </w:tcBorders>
                  <w:vAlign w:val="center"/>
                </w:tcPr>
                <w:p>
                  <w:pPr>
                    <w:pStyle w:val="124"/>
                    <w:autoSpaceDE w:val="0"/>
                    <w:autoSpaceDN w:val="0"/>
                    <w:jc w:val="center"/>
                    <w:rPr>
                      <w:rFonts w:ascii="Times New Roman" w:hAnsi="Times New Roman"/>
                      <w:spacing w:val="-6"/>
                    </w:rPr>
                  </w:pPr>
                  <w:r>
                    <w:rPr>
                      <w:rFonts w:ascii="Times New Roman" w:hAnsi="Times New Roman"/>
                      <w:spacing w:val="-6"/>
                    </w:rPr>
                    <w:t>全部施</w:t>
                  </w:r>
                </w:p>
                <w:p>
                  <w:pPr>
                    <w:pStyle w:val="124"/>
                    <w:autoSpaceDE w:val="0"/>
                    <w:autoSpaceDN w:val="0"/>
                    <w:jc w:val="center"/>
                    <w:rPr>
                      <w:rFonts w:ascii="Times New Roman" w:hAnsi="Times New Roman"/>
                    </w:rPr>
                  </w:pPr>
                  <w:r>
                    <w:rPr>
                      <w:rFonts w:ascii="Times New Roman" w:hAnsi="Times New Roman"/>
                      <w:spacing w:val="-6"/>
                    </w:rPr>
                    <w:t>工</w:t>
                  </w:r>
                  <w:r>
                    <w:rPr>
                      <w:rFonts w:ascii="Times New Roman" w:hAnsi="Times New Roman"/>
                      <w:spacing w:val="-10"/>
                    </w:rPr>
                    <w:t>期</w:t>
                  </w:r>
                </w:p>
              </w:tc>
              <w:tc>
                <w:tcPr>
                  <w:tcW w:w="360" w:type="pct"/>
                  <w:tcBorders>
                    <w:top w:val="single" w:color="000000" w:sz="4" w:space="0"/>
                    <w:left w:val="single" w:color="000000" w:sz="4" w:space="0"/>
                    <w:bottom w:val="single" w:color="000000" w:sz="4" w:space="0"/>
                    <w:right w:val="single" w:color="auto" w:sz="4" w:space="0"/>
                  </w:tcBorders>
                  <w:vAlign w:val="center"/>
                </w:tcPr>
                <w:p>
                  <w:pPr>
                    <w:pStyle w:val="124"/>
                    <w:autoSpaceDE w:val="0"/>
                    <w:autoSpaceDN w:val="0"/>
                    <w:jc w:val="center"/>
                    <w:rPr>
                      <w:rFonts w:ascii="Times New Roman" w:hAnsi="Times New Roman"/>
                    </w:rPr>
                  </w:pPr>
                  <w:r>
                    <w:rPr>
                      <w:rFonts w:ascii="Times New Roman" w:hAnsi="Times New Roman"/>
                      <w:spacing w:val="-6"/>
                    </w:rPr>
                    <w:t>施工</w:t>
                  </w:r>
                  <w:r>
                    <w:rPr>
                      <w:rFonts w:ascii="Times New Roman" w:hAnsi="Times New Roman"/>
                      <w:spacing w:val="-8"/>
                    </w:rPr>
                    <w:t>单位</w:t>
                  </w:r>
                </w:p>
              </w:tc>
              <w:tc>
                <w:tcPr>
                  <w:tcW w:w="509" w:type="pct"/>
                  <w:vMerge w:val="continue"/>
                  <w:tcBorders>
                    <w:left w:val="single" w:color="auto" w:sz="4" w:space="0"/>
                    <w:right w:val="single" w:color="auto" w:sz="4" w:space="0"/>
                  </w:tcBorders>
                </w:tcPr>
                <w:p>
                  <w:pPr>
                    <w:autoSpaceDE w:val="0"/>
                    <w:autoSpaceDN w:val="0"/>
                    <w:jc w:val="left"/>
                    <w:rPr>
                      <w:sz w:val="2"/>
                      <w:szCs w:val="2"/>
                    </w:rPr>
                  </w:pPr>
                </w:p>
              </w:tc>
              <w:tc>
                <w:tcPr>
                  <w:tcW w:w="981" w:type="pct"/>
                  <w:tcBorders>
                    <w:top w:val="single" w:color="000000" w:sz="4" w:space="0"/>
                    <w:left w:val="single" w:color="auto" w:sz="4" w:space="0"/>
                    <w:bottom w:val="single" w:color="000000" w:sz="4" w:space="0"/>
                  </w:tcBorders>
                  <w:vAlign w:val="center"/>
                </w:tcPr>
                <w:p>
                  <w:pPr>
                    <w:pStyle w:val="124"/>
                    <w:autoSpaceDE w:val="0"/>
                    <w:autoSpaceDN w:val="0"/>
                    <w:rPr>
                      <w:rFonts w:ascii="Times New Roman" w:hAnsi="Times New Roman"/>
                    </w:rPr>
                  </w:pPr>
                  <w:r>
                    <w:rPr>
                      <w:rFonts w:ascii="Times New Roman" w:hAnsi="Times New Roman"/>
                      <w:spacing w:val="-2"/>
                    </w:rPr>
                    <w:t>对周边大气环境</w:t>
                  </w:r>
                  <w:r>
                    <w:rPr>
                      <w:rFonts w:ascii="Times New Roman" w:hAnsi="Times New Roman"/>
                      <w:spacing w:val="-4"/>
                    </w:rPr>
                    <w:t>影响较小</w:t>
                  </w:r>
                  <w:r>
                    <w:rPr>
                      <w:rFonts w:hint="eastAsia" w:ascii="Times New Roman" w:hAnsi="Times New Roman"/>
                      <w:spacing w:val="-4"/>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1743" w:hRule="atLeast"/>
              </w:trPr>
              <w:tc>
                <w:tcPr>
                  <w:tcW w:w="235" w:type="pct"/>
                  <w:tcBorders>
                    <w:top w:val="single" w:color="000000" w:sz="4" w:space="0"/>
                    <w:right w:val="single" w:color="000000" w:sz="4" w:space="0"/>
                  </w:tcBorders>
                  <w:vAlign w:val="center"/>
                </w:tcPr>
                <w:p>
                  <w:pPr>
                    <w:pStyle w:val="124"/>
                    <w:autoSpaceDE w:val="0"/>
                    <w:autoSpaceDN w:val="0"/>
                    <w:jc w:val="center"/>
                    <w:rPr>
                      <w:rFonts w:ascii="Times New Roman" w:hAnsi="Times New Roman"/>
                    </w:rPr>
                  </w:pPr>
                  <w:r>
                    <w:rPr>
                      <w:rFonts w:ascii="Times New Roman" w:hAnsi="Times New Roman"/>
                      <w:spacing w:val="-10"/>
                    </w:rPr>
                    <w:t>9</w:t>
                  </w:r>
                </w:p>
              </w:tc>
              <w:tc>
                <w:tcPr>
                  <w:tcW w:w="2084" w:type="pct"/>
                  <w:tcBorders>
                    <w:top w:val="single" w:color="000000" w:sz="4" w:space="0"/>
                    <w:left w:val="single" w:color="000000" w:sz="4" w:space="0"/>
                    <w:right w:val="single" w:color="000000" w:sz="4" w:space="0"/>
                  </w:tcBorders>
                  <w:vAlign w:val="center"/>
                </w:tcPr>
                <w:p>
                  <w:pPr>
                    <w:pStyle w:val="124"/>
                    <w:autoSpaceDE w:val="0"/>
                    <w:autoSpaceDN w:val="0"/>
                    <w:rPr>
                      <w:rFonts w:ascii="Times New Roman" w:hAnsi="Times New Roman"/>
                    </w:rPr>
                  </w:pPr>
                  <w:r>
                    <w:rPr>
                      <w:rFonts w:ascii="Times New Roman" w:hAnsi="Times New Roman"/>
                      <w:spacing w:val="-2"/>
                    </w:rPr>
                    <w:t>施工完成后及时做好迹地清理工作；废弃建筑材料、包装袋由施工单位统一回收，综合利用；不能回收利用的废弃建材运至当地建筑垃圾填埋场处理；施工土方回填、</w:t>
                  </w:r>
                  <w:r>
                    <w:rPr>
                      <w:rFonts w:ascii="Times New Roman" w:hAnsi="Times New Roman"/>
                      <w:spacing w:val="-3"/>
                    </w:rPr>
                    <w:t>护坡、平整及迹地恢复。</w:t>
                  </w:r>
                </w:p>
              </w:tc>
              <w:tc>
                <w:tcPr>
                  <w:tcW w:w="319" w:type="pct"/>
                  <w:vMerge w:val="continue"/>
                  <w:tcBorders>
                    <w:left w:val="single" w:color="000000" w:sz="4" w:space="0"/>
                    <w:right w:val="single" w:color="000000" w:sz="4" w:space="0"/>
                  </w:tcBorders>
                  <w:vAlign w:val="center"/>
                </w:tcPr>
                <w:p>
                  <w:pPr>
                    <w:pStyle w:val="124"/>
                    <w:autoSpaceDE w:val="0"/>
                    <w:autoSpaceDN w:val="0"/>
                    <w:rPr>
                      <w:rFonts w:ascii="Times New Roman" w:hAnsi="Times New Roman"/>
                    </w:rPr>
                  </w:pPr>
                </w:p>
              </w:tc>
              <w:tc>
                <w:tcPr>
                  <w:tcW w:w="508" w:type="pct"/>
                  <w:tcBorders>
                    <w:top w:val="single" w:color="000000" w:sz="4" w:space="0"/>
                    <w:left w:val="single" w:color="000000" w:sz="4" w:space="0"/>
                    <w:right w:val="single" w:color="000000" w:sz="4" w:space="0"/>
                  </w:tcBorders>
                  <w:vAlign w:val="center"/>
                </w:tcPr>
                <w:p>
                  <w:pPr>
                    <w:pStyle w:val="124"/>
                    <w:autoSpaceDE w:val="0"/>
                    <w:autoSpaceDN w:val="0"/>
                    <w:jc w:val="center"/>
                    <w:rPr>
                      <w:rFonts w:ascii="Times New Roman" w:hAnsi="Times New Roman"/>
                      <w:spacing w:val="-6"/>
                    </w:rPr>
                  </w:pPr>
                  <w:r>
                    <w:rPr>
                      <w:rFonts w:ascii="Times New Roman" w:hAnsi="Times New Roman"/>
                      <w:spacing w:val="-6"/>
                    </w:rPr>
                    <w:t>全部施</w:t>
                  </w:r>
                </w:p>
                <w:p>
                  <w:pPr>
                    <w:pStyle w:val="124"/>
                    <w:autoSpaceDE w:val="0"/>
                    <w:autoSpaceDN w:val="0"/>
                    <w:jc w:val="center"/>
                    <w:rPr>
                      <w:rFonts w:ascii="Times New Roman" w:hAnsi="Times New Roman"/>
                    </w:rPr>
                  </w:pPr>
                  <w:r>
                    <w:rPr>
                      <w:rFonts w:ascii="Times New Roman" w:hAnsi="Times New Roman"/>
                      <w:spacing w:val="-6"/>
                    </w:rPr>
                    <w:t>工</w:t>
                  </w:r>
                  <w:r>
                    <w:rPr>
                      <w:rFonts w:ascii="Times New Roman" w:hAnsi="Times New Roman"/>
                      <w:spacing w:val="-10"/>
                    </w:rPr>
                    <w:t>期</w:t>
                  </w:r>
                </w:p>
              </w:tc>
              <w:tc>
                <w:tcPr>
                  <w:tcW w:w="360" w:type="pct"/>
                  <w:tcBorders>
                    <w:top w:val="single" w:color="000000" w:sz="4" w:space="0"/>
                    <w:left w:val="single" w:color="000000" w:sz="4" w:space="0"/>
                    <w:right w:val="single" w:color="auto" w:sz="4" w:space="0"/>
                  </w:tcBorders>
                  <w:vAlign w:val="center"/>
                </w:tcPr>
                <w:p>
                  <w:pPr>
                    <w:pStyle w:val="124"/>
                    <w:autoSpaceDE w:val="0"/>
                    <w:autoSpaceDN w:val="0"/>
                    <w:jc w:val="center"/>
                    <w:rPr>
                      <w:rFonts w:ascii="Times New Roman" w:hAnsi="Times New Roman"/>
                    </w:rPr>
                  </w:pPr>
                  <w:r>
                    <w:rPr>
                      <w:rFonts w:ascii="Times New Roman" w:hAnsi="Times New Roman"/>
                      <w:spacing w:val="-6"/>
                    </w:rPr>
                    <w:t>施工</w:t>
                  </w:r>
                  <w:r>
                    <w:rPr>
                      <w:rFonts w:ascii="Times New Roman" w:hAnsi="Times New Roman"/>
                      <w:spacing w:val="-8"/>
                    </w:rPr>
                    <w:t>单位</w:t>
                  </w:r>
                </w:p>
              </w:tc>
              <w:tc>
                <w:tcPr>
                  <w:tcW w:w="509" w:type="pct"/>
                  <w:vMerge w:val="continue"/>
                  <w:tcBorders>
                    <w:left w:val="single" w:color="auto" w:sz="4" w:space="0"/>
                    <w:bottom w:val="single" w:color="auto" w:sz="4" w:space="0"/>
                    <w:right w:val="single" w:color="auto" w:sz="4" w:space="0"/>
                  </w:tcBorders>
                </w:tcPr>
                <w:p>
                  <w:pPr>
                    <w:autoSpaceDE w:val="0"/>
                    <w:autoSpaceDN w:val="0"/>
                    <w:jc w:val="left"/>
                    <w:rPr>
                      <w:sz w:val="2"/>
                      <w:szCs w:val="2"/>
                    </w:rPr>
                  </w:pPr>
                </w:p>
              </w:tc>
              <w:tc>
                <w:tcPr>
                  <w:tcW w:w="981" w:type="pct"/>
                  <w:tcBorders>
                    <w:top w:val="single" w:color="000000" w:sz="4" w:space="0"/>
                    <w:left w:val="single" w:color="auto" w:sz="4" w:space="0"/>
                  </w:tcBorders>
                  <w:vAlign w:val="center"/>
                </w:tcPr>
                <w:p>
                  <w:pPr>
                    <w:pStyle w:val="124"/>
                    <w:autoSpaceDE w:val="0"/>
                    <w:autoSpaceDN w:val="0"/>
                    <w:rPr>
                      <w:rFonts w:ascii="Times New Roman" w:hAnsi="Times New Roman"/>
                    </w:rPr>
                  </w:pPr>
                  <w:r>
                    <w:rPr>
                      <w:rFonts w:ascii="Times New Roman" w:hAnsi="Times New Roman"/>
                      <w:spacing w:val="-2"/>
                    </w:rPr>
                    <w:t>固废均得到有效</w:t>
                  </w:r>
                  <w:r>
                    <w:rPr>
                      <w:rFonts w:ascii="Times New Roman" w:hAnsi="Times New Roman"/>
                      <w:spacing w:val="-10"/>
                    </w:rPr>
                    <w:t>处置，施工迹地得</w:t>
                  </w:r>
                  <w:r>
                    <w:rPr>
                      <w:rFonts w:ascii="Times New Roman" w:hAnsi="Times New Roman"/>
                      <w:spacing w:val="-4"/>
                    </w:rPr>
                    <w:t>以恢复</w:t>
                  </w:r>
                  <w:r>
                    <w:rPr>
                      <w:rFonts w:hint="eastAsia" w:ascii="Times New Roman" w:hAnsi="Times New Roman"/>
                      <w:spacing w:val="-4"/>
                    </w:rPr>
                    <w:t>。</w:t>
                  </w:r>
                </w:p>
              </w:tc>
            </w:tr>
          </w:tbl>
          <w:p>
            <w:pPr>
              <w:pStyle w:val="5"/>
              <w:rPr>
                <w:rFonts w:ascii="Segoe UI" w:hAnsi="Segoe UI" w:eastAsia="Segoe UI" w:cs="Segoe UI"/>
                <w:szCs w:val="24"/>
                <w:u w:val="single"/>
                <w:shd w:val="clear" w:color="auto" w:fill="FFFFFF"/>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7" w:type="dxa"/>
            <w:tcMar>
              <w:left w:w="28" w:type="dxa"/>
              <w:right w:w="28" w:type="dxa"/>
            </w:tcMar>
            <w:vAlign w:val="center"/>
          </w:tcPr>
          <w:p>
            <w:pPr>
              <w:adjustRightInd w:val="0"/>
              <w:snapToGrid w:val="0"/>
              <w:jc w:val="center"/>
              <w:rPr>
                <w:b/>
                <w:bCs/>
                <w:color w:val="000000"/>
                <w:spacing w:val="10"/>
                <w:szCs w:val="21"/>
                <w:highlight w:val="yellow"/>
              </w:rPr>
            </w:pPr>
            <w:r>
              <w:rPr>
                <w:b/>
                <w:bCs/>
                <w:color w:val="000000"/>
                <w:spacing w:val="10"/>
                <w:sz w:val="24"/>
              </w:rPr>
              <w:t>运行期生态环境保护措施</w:t>
            </w:r>
          </w:p>
        </w:tc>
        <w:tc>
          <w:tcPr>
            <w:tcW w:w="8409" w:type="dxa"/>
          </w:tcPr>
          <w:p>
            <w:pPr>
              <w:numPr>
                <w:ilvl w:val="0"/>
                <w:numId w:val="19"/>
              </w:numPr>
              <w:spacing w:line="360" w:lineRule="auto"/>
              <w:rPr>
                <w:b/>
                <w:color w:val="000000"/>
                <w:kern w:val="0"/>
                <w:sz w:val="24"/>
                <w:szCs w:val="21"/>
              </w:rPr>
            </w:pPr>
            <w:r>
              <w:rPr>
                <w:b/>
                <w:color w:val="000000"/>
                <w:kern w:val="0"/>
                <w:sz w:val="24"/>
                <w:szCs w:val="21"/>
              </w:rPr>
              <w:t>运行期电磁环境污染控制措施</w:t>
            </w:r>
          </w:p>
          <w:p>
            <w:pPr>
              <w:pStyle w:val="5"/>
              <w:rPr>
                <w:color w:val="000000"/>
              </w:rPr>
            </w:pPr>
            <w:r>
              <w:rPr>
                <w:color w:val="000000"/>
              </w:rPr>
              <w:t>严格落实导线对地最低设计高度</w:t>
            </w:r>
            <w:r>
              <w:rPr>
                <w:rFonts w:hint="eastAsia"/>
                <w:color w:val="000000"/>
              </w:rPr>
              <w:t>，</w:t>
            </w:r>
            <w:r>
              <w:rPr>
                <w:color w:val="000000"/>
              </w:rPr>
              <w:t>输电线路经过居民区应抬升导线对地高度</w:t>
            </w:r>
            <w:r>
              <w:rPr>
                <w:rFonts w:hint="eastAsia"/>
                <w:color w:val="000000"/>
              </w:rPr>
              <w:t>，</w:t>
            </w:r>
            <w:r>
              <w:rPr>
                <w:color w:val="000000"/>
              </w:rPr>
              <w:t>降低电磁环境的影响</w:t>
            </w:r>
            <w:r>
              <w:rPr>
                <w:rFonts w:hint="eastAsia"/>
                <w:color w:val="000000"/>
              </w:rPr>
              <w:t>。</w:t>
            </w:r>
            <w:r>
              <w:rPr>
                <w:color w:val="000000"/>
              </w:rPr>
              <w:t>运行期</w:t>
            </w:r>
            <w:r>
              <w:rPr>
                <w:rFonts w:hint="eastAsia"/>
                <w:color w:val="000000"/>
              </w:rPr>
              <w:t>需要</w:t>
            </w:r>
            <w:r>
              <w:rPr>
                <w:color w:val="000000"/>
              </w:rPr>
              <w:t>做好设施的维护和运行管理，定期开展环境监测，确保电磁环境满足《电磁环境控制限值》（GB8702-2014）相关要求。</w:t>
            </w:r>
          </w:p>
          <w:p>
            <w:pPr>
              <w:numPr>
                <w:ilvl w:val="0"/>
                <w:numId w:val="19"/>
              </w:numPr>
              <w:spacing w:line="360" w:lineRule="auto"/>
              <w:rPr>
                <w:b/>
                <w:color w:val="000000"/>
                <w:kern w:val="0"/>
                <w:sz w:val="24"/>
                <w:szCs w:val="21"/>
              </w:rPr>
            </w:pPr>
            <w:r>
              <w:rPr>
                <w:b/>
                <w:color w:val="000000"/>
                <w:kern w:val="0"/>
                <w:sz w:val="24"/>
                <w:szCs w:val="21"/>
              </w:rPr>
              <w:t>运行期</w:t>
            </w:r>
            <w:r>
              <w:rPr>
                <w:rFonts w:hint="eastAsia"/>
                <w:b/>
                <w:color w:val="000000"/>
                <w:kern w:val="0"/>
                <w:sz w:val="24"/>
                <w:szCs w:val="21"/>
              </w:rPr>
              <w:t>噪声</w:t>
            </w:r>
            <w:r>
              <w:rPr>
                <w:b/>
                <w:color w:val="000000"/>
                <w:kern w:val="0"/>
                <w:sz w:val="24"/>
                <w:szCs w:val="21"/>
              </w:rPr>
              <w:t>污染控制措施</w:t>
            </w:r>
          </w:p>
          <w:p>
            <w:pPr>
              <w:pStyle w:val="5"/>
              <w:wordWrap w:val="0"/>
              <w:rPr>
                <w:color w:val="000000"/>
              </w:rPr>
            </w:pPr>
            <w:bookmarkStart w:id="618" w:name="OLE_LINK4"/>
            <w:r>
              <w:rPr>
                <w:color w:val="000000"/>
              </w:rPr>
              <w:t>运行期</w:t>
            </w:r>
            <w:r>
              <w:rPr>
                <w:rFonts w:hint="eastAsia"/>
                <w:color w:val="000000"/>
              </w:rPr>
              <w:t>需要</w:t>
            </w:r>
            <w:r>
              <w:rPr>
                <w:color w:val="000000"/>
              </w:rPr>
              <w:t>做好设施的维护和运行管理，定期开展环境监测，</w:t>
            </w:r>
            <w:r>
              <w:rPr>
                <w:rFonts w:hint="eastAsia"/>
                <w:color w:val="000000"/>
              </w:rPr>
              <w:t>伊拉湖220千伏变电站</w:t>
            </w:r>
            <w:r>
              <w:rPr>
                <w:color w:val="000000"/>
              </w:rPr>
              <w:t>运行期间厂界噪声均满足《工业企业厂界环境噪声排放标准》（GB12348-2008）</w:t>
            </w:r>
            <w:r>
              <w:rPr>
                <w:rFonts w:hint="eastAsia"/>
                <w:color w:val="000000"/>
              </w:rPr>
              <w:t>中2类排放</w:t>
            </w:r>
            <w:r>
              <w:rPr>
                <w:color w:val="000000"/>
              </w:rPr>
              <w:t>标准限值要求</w:t>
            </w:r>
            <w:r>
              <w:rPr>
                <w:rFonts w:hint="eastAsia"/>
                <w:color w:val="000000"/>
              </w:rPr>
              <w:t>；</w:t>
            </w:r>
            <w:r>
              <w:rPr>
                <w:color w:val="000000"/>
              </w:rPr>
              <w:t>输电线路沿线的声环境</w:t>
            </w:r>
            <w:r>
              <w:rPr>
                <w:rFonts w:hint="eastAsia"/>
                <w:color w:val="000000"/>
              </w:rPr>
              <w:t>保护</w:t>
            </w:r>
            <w:r>
              <w:rPr>
                <w:color w:val="000000"/>
              </w:rPr>
              <w:t>目标处的声环境均满足《声环境质量标准》（GB3096-2008）</w:t>
            </w:r>
            <w:r>
              <w:rPr>
                <w:rFonts w:hint="eastAsia"/>
                <w:color w:val="000000"/>
              </w:rPr>
              <w:t>中2类</w:t>
            </w:r>
            <w:r>
              <w:rPr>
                <w:color w:val="000000"/>
              </w:rPr>
              <w:t>标准限值要求</w:t>
            </w:r>
            <w:r>
              <w:rPr>
                <w:rFonts w:hint="eastAsia"/>
                <w:color w:val="000000"/>
              </w:rPr>
              <w:t>，输电线路跨越G314国道、G580国道、S208省道处周边声环境满足</w:t>
            </w:r>
            <w:r>
              <w:rPr>
                <w:color w:val="000000"/>
              </w:rPr>
              <w:t>《声环境质量标准》（GB3096-2008）</w:t>
            </w:r>
            <w:r>
              <w:rPr>
                <w:rFonts w:hint="eastAsia"/>
                <w:color w:val="000000"/>
              </w:rPr>
              <w:t>中4a</w:t>
            </w:r>
            <w:r>
              <w:rPr>
                <w:color w:val="000000"/>
              </w:rPr>
              <w:t>类标准限值要求</w:t>
            </w:r>
            <w:r>
              <w:rPr>
                <w:rFonts w:hint="eastAsia"/>
                <w:color w:val="000000"/>
              </w:rPr>
              <w:t>。</w:t>
            </w:r>
            <w:bookmarkEnd w:id="618"/>
          </w:p>
          <w:p>
            <w:pPr>
              <w:numPr>
                <w:ilvl w:val="0"/>
                <w:numId w:val="19"/>
              </w:numPr>
              <w:spacing w:line="360" w:lineRule="auto"/>
              <w:rPr>
                <w:b/>
                <w:color w:val="000000"/>
                <w:kern w:val="0"/>
                <w:sz w:val="24"/>
                <w:szCs w:val="21"/>
              </w:rPr>
            </w:pPr>
            <w:r>
              <w:rPr>
                <w:b/>
                <w:color w:val="000000"/>
                <w:kern w:val="0"/>
                <w:sz w:val="24"/>
                <w:szCs w:val="21"/>
              </w:rPr>
              <w:t>运行期水环境污染控制措施</w:t>
            </w:r>
          </w:p>
          <w:p>
            <w:pPr>
              <w:pStyle w:val="5"/>
              <w:rPr>
                <w:color w:val="000000"/>
              </w:rPr>
            </w:pPr>
            <w:r>
              <w:rPr>
                <w:color w:val="000000"/>
              </w:rPr>
              <w:t>变电站</w:t>
            </w:r>
            <w:r>
              <w:rPr>
                <w:rFonts w:hint="eastAsia"/>
                <w:color w:val="000000"/>
              </w:rPr>
              <w:t>运行期</w:t>
            </w:r>
            <w:r>
              <w:rPr>
                <w:color w:val="000000"/>
              </w:rPr>
              <w:t>排水采取雨污分流制排水系统。站区内雨水</w:t>
            </w:r>
            <w:r>
              <w:rPr>
                <w:rFonts w:hint="eastAsia"/>
                <w:color w:val="000000"/>
              </w:rPr>
              <w:t>采取散排及自渗排水方式</w:t>
            </w:r>
            <w:r>
              <w:rPr>
                <w:color w:val="000000"/>
              </w:rPr>
              <w:t>。</w:t>
            </w:r>
            <w:r>
              <w:rPr>
                <w:rFonts w:hint="eastAsia"/>
                <w:color w:val="000000"/>
              </w:rPr>
              <w:t>伊拉湖220千伏变电站站区内生活污水经地埋式污水处理设施处理后，由环卫部门定期清理。输电线路运行期不产生废污水，不会对项目周边水环境产生影响。</w:t>
            </w:r>
          </w:p>
          <w:p>
            <w:pPr>
              <w:numPr>
                <w:ilvl w:val="0"/>
                <w:numId w:val="19"/>
              </w:numPr>
              <w:spacing w:line="360" w:lineRule="auto"/>
              <w:rPr>
                <w:b/>
                <w:color w:val="000000"/>
                <w:kern w:val="0"/>
                <w:sz w:val="24"/>
                <w:szCs w:val="21"/>
              </w:rPr>
            </w:pPr>
            <w:r>
              <w:rPr>
                <w:b/>
                <w:color w:val="000000"/>
                <w:kern w:val="0"/>
                <w:sz w:val="24"/>
                <w:szCs w:val="21"/>
              </w:rPr>
              <w:t>运行期</w:t>
            </w:r>
            <w:r>
              <w:rPr>
                <w:rFonts w:hint="eastAsia"/>
                <w:b/>
                <w:color w:val="000000"/>
                <w:kern w:val="0"/>
                <w:sz w:val="24"/>
                <w:szCs w:val="21"/>
              </w:rPr>
              <w:t>环境空气</w:t>
            </w:r>
            <w:r>
              <w:rPr>
                <w:b/>
                <w:color w:val="000000"/>
                <w:kern w:val="0"/>
                <w:sz w:val="24"/>
                <w:szCs w:val="21"/>
              </w:rPr>
              <w:t>污染控制措施</w:t>
            </w:r>
          </w:p>
          <w:p>
            <w:pPr>
              <w:widowControl/>
              <w:spacing w:line="360" w:lineRule="auto"/>
              <w:ind w:firstLine="480" w:firstLineChars="200"/>
              <w:rPr>
                <w:color w:val="000000"/>
                <w:sz w:val="24"/>
              </w:rPr>
            </w:pPr>
            <w:r>
              <w:rPr>
                <w:color w:val="000000"/>
                <w:sz w:val="24"/>
              </w:rPr>
              <w:t>运行期本工程不产生大气污染物，不会对项目周边环境空气产生影响。</w:t>
            </w:r>
          </w:p>
          <w:p>
            <w:pPr>
              <w:numPr>
                <w:ilvl w:val="0"/>
                <w:numId w:val="19"/>
              </w:numPr>
              <w:spacing w:line="360" w:lineRule="auto"/>
              <w:rPr>
                <w:b/>
                <w:color w:val="000000"/>
                <w:kern w:val="0"/>
                <w:sz w:val="24"/>
                <w:szCs w:val="21"/>
              </w:rPr>
            </w:pPr>
            <w:r>
              <w:rPr>
                <w:b/>
                <w:color w:val="000000"/>
                <w:kern w:val="0"/>
                <w:sz w:val="24"/>
                <w:szCs w:val="21"/>
              </w:rPr>
              <w:t>运行期固体废物污染控制措施</w:t>
            </w:r>
          </w:p>
          <w:p>
            <w:pPr>
              <w:pStyle w:val="5"/>
              <w:rPr>
                <w:color w:val="000000"/>
              </w:rPr>
            </w:pPr>
            <w:r>
              <w:rPr>
                <w:color w:val="000000"/>
              </w:rPr>
              <w:t>变电站运行期间固体废物为定期巡检人员产生的生活垃圾以及变电站内的废旧蓄电池。</w:t>
            </w:r>
          </w:p>
          <w:p>
            <w:pPr>
              <w:pStyle w:val="5"/>
              <w:rPr>
                <w:color w:val="000000"/>
              </w:rPr>
            </w:pPr>
            <w:r>
              <w:rPr>
                <w:color w:val="000000"/>
              </w:rPr>
              <w:t>对于定期巡检人员产生的少量生活垃圾，应收集集中后运至当地镇区的生活垃圾转运点，交由环卫部门妥善处理。</w:t>
            </w:r>
          </w:p>
          <w:p>
            <w:pPr>
              <w:pStyle w:val="5"/>
              <w:rPr>
                <w:color w:val="000000"/>
              </w:rPr>
            </w:pPr>
            <w:r>
              <w:rPr>
                <w:color w:val="000000"/>
              </w:rPr>
              <w:t>变电站采用蓄电池作为备用电源，待蓄电池达到使用寿命或需要更换时应交由有</w:t>
            </w:r>
            <w:r>
              <w:rPr>
                <w:rFonts w:hint="eastAsia"/>
                <w:color w:val="000000"/>
              </w:rPr>
              <w:t>危废处置</w:t>
            </w:r>
            <w:r>
              <w:rPr>
                <w:color w:val="000000"/>
              </w:rPr>
              <w:t>资质</w:t>
            </w:r>
            <w:r>
              <w:rPr>
                <w:rFonts w:hint="eastAsia"/>
                <w:color w:val="000000"/>
              </w:rPr>
              <w:t>的</w:t>
            </w:r>
            <w:r>
              <w:rPr>
                <w:color w:val="000000"/>
              </w:rPr>
              <w:t>单位</w:t>
            </w:r>
            <w:r>
              <w:rPr>
                <w:rFonts w:hint="eastAsia"/>
                <w:color w:val="000000"/>
              </w:rPr>
              <w:t>进行</w:t>
            </w:r>
            <w:r>
              <w:rPr>
                <w:color w:val="000000"/>
              </w:rPr>
              <w:t>处</w:t>
            </w:r>
            <w:r>
              <w:rPr>
                <w:rFonts w:hint="eastAsia"/>
                <w:color w:val="000000"/>
              </w:rPr>
              <w:t>置</w:t>
            </w:r>
            <w:r>
              <w:rPr>
                <w:color w:val="000000"/>
              </w:rPr>
              <w:t>，严禁随意丢弃。</w:t>
            </w:r>
          </w:p>
          <w:p>
            <w:pPr>
              <w:pStyle w:val="5"/>
              <w:rPr>
                <w:color w:val="000000"/>
              </w:rPr>
            </w:pPr>
            <w:r>
              <w:rPr>
                <w:color w:val="000000"/>
              </w:rPr>
              <w:t>在输电线路运行期，定期巡线过程中，线路的检修可能产生少量固体废物，运行维护过程中产生的废弃绝缘子、生活垃圾等废物不得随意丢弃，线路运维护人员应将生活垃圾带至垃圾集中收集点妥善处置，废弃绝缘子等废物回收处理。</w:t>
            </w:r>
          </w:p>
          <w:p>
            <w:pPr>
              <w:pStyle w:val="5"/>
              <w:rPr>
                <w:color w:val="000000"/>
              </w:rPr>
            </w:pPr>
          </w:p>
          <w:p>
            <w:pPr>
              <w:pStyle w:val="5"/>
              <w:rPr>
                <w:color w:val="000000"/>
              </w:rPr>
            </w:pPr>
          </w:p>
          <w:p>
            <w:pPr>
              <w:numPr>
                <w:ilvl w:val="0"/>
                <w:numId w:val="19"/>
              </w:numPr>
              <w:spacing w:line="360" w:lineRule="auto"/>
              <w:rPr>
                <w:b/>
                <w:color w:val="000000"/>
                <w:kern w:val="0"/>
                <w:sz w:val="24"/>
                <w:szCs w:val="21"/>
              </w:rPr>
            </w:pPr>
            <w:r>
              <w:rPr>
                <w:b/>
                <w:color w:val="000000"/>
                <w:kern w:val="0"/>
                <w:sz w:val="24"/>
                <w:szCs w:val="21"/>
              </w:rPr>
              <w:t>运行期环境风险控制措施</w:t>
            </w:r>
          </w:p>
          <w:p>
            <w:pPr>
              <w:pStyle w:val="5"/>
              <w:rPr>
                <w:color w:val="000000"/>
              </w:rPr>
            </w:pPr>
            <w:r>
              <w:rPr>
                <w:color w:val="000000"/>
              </w:rPr>
              <w:t>变电站内设置变压器油排蓄系统，变压器基座四周设有事故油坑，事故油坑通过底部的事故排油管道与具有油水分离功能的总事故油池相连，</w:t>
            </w:r>
            <w:r>
              <w:rPr>
                <w:rFonts w:hint="eastAsia"/>
                <w:snapToGrid w:val="0"/>
                <w:color w:val="000000"/>
              </w:rPr>
              <w:t>事故油池防渗效果需满足</w:t>
            </w:r>
            <w:r>
              <w:rPr>
                <w:rFonts w:hint="eastAsia"/>
                <w:color w:val="000000"/>
              </w:rPr>
              <w:t>《危险废物贮存污染控制标准》（</w:t>
            </w:r>
            <w:r>
              <w:rPr>
                <w:color w:val="000000"/>
              </w:rPr>
              <w:t>GB18597-2023</w:t>
            </w:r>
            <w:r>
              <w:rPr>
                <w:rFonts w:hint="eastAsia"/>
                <w:color w:val="000000"/>
              </w:rPr>
              <w:t>）</w:t>
            </w:r>
            <w:r>
              <w:rPr>
                <w:rFonts w:hint="eastAsia"/>
                <w:snapToGrid w:val="0"/>
                <w:color w:val="000000"/>
              </w:rPr>
              <w:t>的相关要求。</w:t>
            </w:r>
            <w:r>
              <w:rPr>
                <w:color w:val="000000"/>
              </w:rPr>
              <w:t>在发生事故时，</w:t>
            </w:r>
            <w:r>
              <w:rPr>
                <w:rFonts w:hint="eastAsia"/>
                <w:color w:val="000000"/>
              </w:rPr>
              <w:t>泄漏</w:t>
            </w:r>
            <w:r>
              <w:rPr>
                <w:color w:val="000000"/>
              </w:rPr>
              <w:t>的变压器油将通过排油管道排入总事故油池。排入事故油池的变压器油大部分可以回收再利用，不能回收利用的少量含油废水应交由有相应资质单位处理。</w:t>
            </w:r>
          </w:p>
          <w:p>
            <w:pPr>
              <w:pStyle w:val="5"/>
              <w:ind w:firstLineChars="0"/>
              <w:rPr>
                <w:color w:val="000000"/>
              </w:rPr>
            </w:pPr>
            <w:r>
              <w:rPr>
                <w:rFonts w:hint="eastAsia"/>
                <w:color w:val="000000"/>
              </w:rPr>
              <w:t>加强对事故油池及其排导系统的巡查和维护，做好运行期间的管理工作；对于产生的事故油及含油废水不得随意处置，必须由具有危险废物处理资格的机构妥善处理。</w:t>
            </w:r>
          </w:p>
          <w:p>
            <w:pPr>
              <w:numPr>
                <w:ilvl w:val="0"/>
                <w:numId w:val="19"/>
              </w:numPr>
              <w:spacing w:line="360" w:lineRule="auto"/>
              <w:rPr>
                <w:b/>
                <w:kern w:val="0"/>
                <w:sz w:val="24"/>
                <w:szCs w:val="21"/>
              </w:rPr>
            </w:pPr>
            <w:r>
              <w:rPr>
                <w:rFonts w:hint="eastAsia"/>
                <w:b/>
                <w:kern w:val="0"/>
                <w:sz w:val="24"/>
                <w:szCs w:val="21"/>
              </w:rPr>
              <w:t>运营期生态环境保护措施及预期效果</w:t>
            </w:r>
          </w:p>
          <w:p>
            <w:pPr>
              <w:pStyle w:val="5"/>
            </w:pPr>
            <w:r>
              <w:rPr>
                <w:rFonts w:hint="eastAsia"/>
              </w:rPr>
              <w:t>本工程运营期主要生态环境保护措施及预期效果详见</w:t>
            </w:r>
            <w:r>
              <w:rPr>
                <w:b w:val="0"/>
                <w:bCs w:val="0"/>
                <w:sz w:val="24"/>
                <w:szCs w:val="24"/>
              </w:rPr>
              <w:fldChar w:fldCharType="begin"/>
            </w:r>
            <w:r>
              <w:rPr>
                <w:b w:val="0"/>
                <w:bCs w:val="0"/>
              </w:rPr>
              <w:instrText xml:space="preserve"> REF _Ref9424 \h  \* MERGEFORMAT</w:instrText>
            </w:r>
            <w:r>
              <w:rPr>
                <w:b w:val="0"/>
                <w:bCs w:val="0"/>
                <w:sz w:val="24"/>
                <w:szCs w:val="24"/>
              </w:rPr>
              <w:fldChar w:fldCharType="separate"/>
            </w:r>
            <w:r>
              <w:rPr>
                <w:b w:val="0"/>
                <w:bCs w:val="0"/>
                <w:color w:val="000000"/>
                <w:sz w:val="24"/>
                <w:szCs w:val="24"/>
              </w:rPr>
              <w:t>表29</w:t>
            </w:r>
            <w:r>
              <w:rPr>
                <w:b w:val="0"/>
                <w:bCs w:val="0"/>
                <w:sz w:val="24"/>
                <w:szCs w:val="24"/>
              </w:rPr>
              <w:fldChar w:fldCharType="end"/>
            </w:r>
            <w:r>
              <w:rPr>
                <w:rFonts w:hint="eastAsia"/>
              </w:rPr>
              <w:t>。</w:t>
            </w:r>
          </w:p>
          <w:p>
            <w:pPr>
              <w:pStyle w:val="5"/>
              <w:spacing w:line="240" w:lineRule="auto"/>
              <w:ind w:firstLine="0" w:firstLineChars="0"/>
              <w:jc w:val="left"/>
              <w:rPr>
                <w:rFonts w:eastAsia="黑体"/>
                <w:b/>
                <w:bCs/>
                <w:sz w:val="21"/>
                <w:szCs w:val="16"/>
                <w:lang w:val="zh-CN"/>
              </w:rPr>
            </w:pPr>
            <w:bookmarkStart w:id="619" w:name="_Ref9424"/>
            <w:r>
              <w:rPr>
                <w:b/>
                <w:bCs/>
                <w:color w:val="000000"/>
                <w:sz w:val="21"/>
                <w:szCs w:val="16"/>
              </w:rPr>
              <w:t>表</w:t>
            </w:r>
            <w:r>
              <w:rPr>
                <w:b/>
                <w:bCs/>
                <w:color w:val="000000"/>
                <w:sz w:val="21"/>
                <w:szCs w:val="16"/>
              </w:rPr>
              <w:fldChar w:fldCharType="begin"/>
            </w:r>
            <w:r>
              <w:rPr>
                <w:b/>
                <w:bCs/>
                <w:color w:val="000000"/>
                <w:sz w:val="21"/>
                <w:szCs w:val="16"/>
              </w:rPr>
              <w:instrText xml:space="preserve"> SEQ 表 \* ARABIC </w:instrText>
            </w:r>
            <w:r>
              <w:rPr>
                <w:b/>
                <w:bCs/>
                <w:color w:val="000000"/>
                <w:sz w:val="21"/>
                <w:szCs w:val="16"/>
              </w:rPr>
              <w:fldChar w:fldCharType="separate"/>
            </w:r>
            <w:r>
              <w:rPr>
                <w:b/>
                <w:bCs/>
                <w:color w:val="000000"/>
                <w:sz w:val="21"/>
                <w:szCs w:val="16"/>
              </w:rPr>
              <w:t>29</w:t>
            </w:r>
            <w:r>
              <w:rPr>
                <w:b/>
                <w:bCs/>
                <w:color w:val="000000"/>
                <w:sz w:val="21"/>
                <w:szCs w:val="16"/>
              </w:rPr>
              <w:fldChar w:fldCharType="end"/>
            </w:r>
            <w:bookmarkEnd w:id="619"/>
            <w:r>
              <w:rPr>
                <w:rFonts w:hint="eastAsia"/>
                <w:b/>
                <w:bCs/>
                <w:color w:val="000000"/>
                <w:sz w:val="21"/>
                <w:szCs w:val="16"/>
              </w:rPr>
              <w:t xml:space="preserve"> </w:t>
            </w:r>
            <w:r>
              <w:rPr>
                <w:b/>
                <w:bCs/>
                <w:sz w:val="21"/>
                <w:szCs w:val="16"/>
                <w:lang w:val="zh-CN"/>
              </w:rPr>
              <w:t>运营期主要生态环境保护措施及预期效果一览表</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
              <w:gridCol w:w="2730"/>
              <w:gridCol w:w="706"/>
              <w:gridCol w:w="701"/>
              <w:gridCol w:w="701"/>
              <w:gridCol w:w="982"/>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shd w:val="clear" w:color="auto" w:fill="auto"/>
                  <w:vAlign w:val="center"/>
                </w:tcPr>
                <w:p>
                  <w:pPr>
                    <w:pStyle w:val="71"/>
                    <w:rPr>
                      <w:rFonts w:ascii="Times New Roman" w:hAnsi="Times New Roman"/>
                      <w:color w:val="auto"/>
                    </w:rPr>
                  </w:pPr>
                  <w:r>
                    <w:rPr>
                      <w:rFonts w:hint="eastAsia" w:ascii="Times New Roman" w:hAnsi="Times New Roman"/>
                      <w:color w:val="auto"/>
                    </w:rPr>
                    <w:t>序号</w:t>
                  </w:r>
                </w:p>
              </w:tc>
              <w:tc>
                <w:tcPr>
                  <w:tcW w:w="2732" w:type="dxa"/>
                  <w:shd w:val="clear" w:color="auto" w:fill="auto"/>
                  <w:vAlign w:val="center"/>
                </w:tcPr>
                <w:p>
                  <w:pPr>
                    <w:pStyle w:val="71"/>
                    <w:rPr>
                      <w:rFonts w:ascii="Times New Roman" w:hAnsi="Times New Roman"/>
                      <w:color w:val="auto"/>
                    </w:rPr>
                  </w:pPr>
                  <w:r>
                    <w:rPr>
                      <w:rFonts w:hint="eastAsia" w:ascii="Times New Roman" w:hAnsi="Times New Roman"/>
                      <w:color w:val="auto"/>
                    </w:rPr>
                    <w:t>生态保护措施要求</w:t>
                  </w:r>
                </w:p>
              </w:tc>
              <w:tc>
                <w:tcPr>
                  <w:tcW w:w="706" w:type="dxa"/>
                  <w:shd w:val="clear" w:color="auto" w:fill="auto"/>
                  <w:vAlign w:val="center"/>
                </w:tcPr>
                <w:p>
                  <w:pPr>
                    <w:pStyle w:val="71"/>
                    <w:rPr>
                      <w:rFonts w:ascii="Times New Roman" w:hAnsi="Times New Roman"/>
                      <w:color w:val="auto"/>
                    </w:rPr>
                  </w:pPr>
                  <w:r>
                    <w:rPr>
                      <w:rFonts w:hint="eastAsia" w:ascii="Times New Roman" w:hAnsi="Times New Roman"/>
                      <w:color w:val="auto"/>
                    </w:rPr>
                    <w:t>实施区域</w:t>
                  </w:r>
                </w:p>
              </w:tc>
              <w:tc>
                <w:tcPr>
                  <w:tcW w:w="701" w:type="dxa"/>
                  <w:shd w:val="clear" w:color="auto" w:fill="auto"/>
                  <w:vAlign w:val="center"/>
                </w:tcPr>
                <w:p>
                  <w:pPr>
                    <w:pStyle w:val="71"/>
                    <w:rPr>
                      <w:rFonts w:ascii="Times New Roman" w:hAnsi="Times New Roman"/>
                      <w:color w:val="auto"/>
                    </w:rPr>
                  </w:pPr>
                  <w:r>
                    <w:rPr>
                      <w:rFonts w:hint="eastAsia" w:ascii="Times New Roman" w:hAnsi="Times New Roman"/>
                      <w:color w:val="auto"/>
                    </w:rPr>
                    <w:t>实施时间</w:t>
                  </w:r>
                </w:p>
              </w:tc>
              <w:tc>
                <w:tcPr>
                  <w:tcW w:w="701" w:type="dxa"/>
                  <w:shd w:val="clear" w:color="auto" w:fill="auto"/>
                  <w:vAlign w:val="center"/>
                </w:tcPr>
                <w:p>
                  <w:pPr>
                    <w:pStyle w:val="71"/>
                    <w:rPr>
                      <w:rFonts w:ascii="Times New Roman" w:hAnsi="Times New Roman"/>
                      <w:color w:val="auto"/>
                    </w:rPr>
                  </w:pPr>
                  <w:r>
                    <w:rPr>
                      <w:rFonts w:hint="eastAsia" w:ascii="Times New Roman" w:hAnsi="Times New Roman"/>
                      <w:color w:val="auto"/>
                    </w:rPr>
                    <w:t>责任主体</w:t>
                  </w:r>
                </w:p>
              </w:tc>
              <w:tc>
                <w:tcPr>
                  <w:tcW w:w="982" w:type="dxa"/>
                  <w:shd w:val="clear" w:color="auto" w:fill="auto"/>
                  <w:vAlign w:val="center"/>
                </w:tcPr>
                <w:p>
                  <w:pPr>
                    <w:pStyle w:val="71"/>
                    <w:rPr>
                      <w:rFonts w:ascii="Times New Roman" w:hAnsi="Times New Roman"/>
                      <w:color w:val="auto"/>
                    </w:rPr>
                  </w:pPr>
                  <w:r>
                    <w:rPr>
                      <w:rFonts w:hint="eastAsia" w:ascii="Times New Roman" w:hAnsi="Times New Roman"/>
                      <w:color w:val="auto"/>
                    </w:rPr>
                    <w:t>实施保障</w:t>
                  </w:r>
                </w:p>
              </w:tc>
              <w:tc>
                <w:tcPr>
                  <w:tcW w:w="1902" w:type="dxa"/>
                  <w:shd w:val="clear" w:color="auto" w:fill="auto"/>
                  <w:vAlign w:val="center"/>
                </w:tcPr>
                <w:p>
                  <w:pPr>
                    <w:pStyle w:val="71"/>
                    <w:rPr>
                      <w:rFonts w:ascii="Times New Roman" w:hAnsi="Times New Roman"/>
                      <w:color w:val="auto"/>
                    </w:rPr>
                  </w:pPr>
                  <w:r>
                    <w:rPr>
                      <w:rFonts w:hint="eastAsia" w:ascii="Times New Roman" w:hAnsi="Times New Roman"/>
                      <w:color w:val="auto"/>
                    </w:rPr>
                    <w:t>实施效果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shd w:val="clear" w:color="auto" w:fill="auto"/>
                  <w:vAlign w:val="center"/>
                </w:tcPr>
                <w:p>
                  <w:pPr>
                    <w:pStyle w:val="71"/>
                    <w:rPr>
                      <w:rFonts w:ascii="Times New Roman" w:hAnsi="Times New Roman"/>
                      <w:color w:val="auto"/>
                    </w:rPr>
                  </w:pPr>
                  <w:r>
                    <w:rPr>
                      <w:rFonts w:hint="eastAsia" w:ascii="Times New Roman" w:hAnsi="Times New Roman"/>
                      <w:color w:val="auto"/>
                    </w:rPr>
                    <w:t>1</w:t>
                  </w:r>
                </w:p>
              </w:tc>
              <w:tc>
                <w:tcPr>
                  <w:tcW w:w="2732" w:type="dxa"/>
                  <w:shd w:val="clear" w:color="auto" w:fill="auto"/>
                  <w:vAlign w:val="center"/>
                </w:tcPr>
                <w:p>
                  <w:pPr>
                    <w:pStyle w:val="71"/>
                    <w:jc w:val="both"/>
                    <w:rPr>
                      <w:rFonts w:ascii="Times New Roman" w:hAnsi="Times New Roman"/>
                      <w:color w:val="auto"/>
                    </w:rPr>
                  </w:pPr>
                  <w:r>
                    <w:rPr>
                      <w:rFonts w:hint="eastAsia" w:ascii="Times New Roman" w:hAnsi="Times New Roman"/>
                      <w:color w:val="auto"/>
                    </w:rPr>
                    <w:t>运行期利用已有道路开展巡检工作，加强对运行维护人员的环境保护教育，减少巡检时在输电线路下方暴露的时间。</w:t>
                  </w:r>
                </w:p>
              </w:tc>
              <w:tc>
                <w:tcPr>
                  <w:tcW w:w="706" w:type="dxa"/>
                  <w:vMerge w:val="restart"/>
                  <w:shd w:val="clear" w:color="auto" w:fill="auto"/>
                  <w:vAlign w:val="center"/>
                </w:tcPr>
                <w:p>
                  <w:pPr>
                    <w:pStyle w:val="71"/>
                    <w:rPr>
                      <w:rFonts w:ascii="Times New Roman" w:hAnsi="Times New Roman"/>
                      <w:color w:val="auto"/>
                    </w:rPr>
                  </w:pPr>
                  <w:r>
                    <w:rPr>
                      <w:rFonts w:hint="eastAsia" w:ascii="Times New Roman" w:hAnsi="Times New Roman"/>
                      <w:color w:val="auto"/>
                    </w:rPr>
                    <w:t>工程运行</w:t>
                  </w:r>
                  <w:r>
                    <w:rPr>
                      <w:rFonts w:ascii="Times New Roman" w:hAnsi="Times New Roman"/>
                      <w:color w:val="auto"/>
                    </w:rPr>
                    <w:t>场所、区域</w:t>
                  </w:r>
                </w:p>
              </w:tc>
              <w:tc>
                <w:tcPr>
                  <w:tcW w:w="701" w:type="dxa"/>
                  <w:vMerge w:val="restart"/>
                  <w:shd w:val="clear" w:color="auto" w:fill="auto"/>
                  <w:vAlign w:val="center"/>
                </w:tcPr>
                <w:p>
                  <w:pPr>
                    <w:pStyle w:val="71"/>
                    <w:rPr>
                      <w:rFonts w:ascii="Times New Roman" w:hAnsi="Times New Roman"/>
                      <w:color w:val="auto"/>
                    </w:rPr>
                  </w:pPr>
                  <w:r>
                    <w:rPr>
                      <w:rFonts w:hint="eastAsia" w:ascii="Times New Roman" w:hAnsi="Times New Roman"/>
                      <w:color w:val="auto"/>
                    </w:rPr>
                    <w:t>运营期</w:t>
                  </w:r>
                </w:p>
              </w:tc>
              <w:tc>
                <w:tcPr>
                  <w:tcW w:w="701" w:type="dxa"/>
                  <w:vMerge w:val="restart"/>
                  <w:shd w:val="clear" w:color="auto" w:fill="auto"/>
                  <w:vAlign w:val="center"/>
                </w:tcPr>
                <w:p>
                  <w:pPr>
                    <w:pStyle w:val="71"/>
                    <w:rPr>
                      <w:rFonts w:ascii="Times New Roman" w:hAnsi="Times New Roman"/>
                      <w:color w:val="auto"/>
                    </w:rPr>
                  </w:pPr>
                  <w:r>
                    <w:rPr>
                      <w:rFonts w:ascii="Times New Roman" w:hAnsi="Times New Roman"/>
                      <w:color w:val="auto"/>
                    </w:rPr>
                    <w:t>建设</w:t>
                  </w:r>
                </w:p>
                <w:p>
                  <w:pPr>
                    <w:pStyle w:val="71"/>
                    <w:rPr>
                      <w:rFonts w:ascii="Times New Roman" w:hAnsi="Times New Roman"/>
                      <w:color w:val="auto"/>
                    </w:rPr>
                  </w:pPr>
                  <w:r>
                    <w:rPr>
                      <w:rFonts w:ascii="Times New Roman" w:hAnsi="Times New Roman"/>
                      <w:color w:val="auto"/>
                    </w:rPr>
                    <w:t>单位</w:t>
                  </w:r>
                </w:p>
              </w:tc>
              <w:tc>
                <w:tcPr>
                  <w:tcW w:w="982" w:type="dxa"/>
                  <w:vMerge w:val="restart"/>
                  <w:shd w:val="clear" w:color="auto" w:fill="auto"/>
                  <w:vAlign w:val="center"/>
                </w:tcPr>
                <w:p>
                  <w:pPr>
                    <w:pStyle w:val="71"/>
                    <w:jc w:val="both"/>
                    <w:rPr>
                      <w:rFonts w:ascii="Times New Roman" w:hAnsi="Times New Roman"/>
                      <w:color w:val="auto"/>
                    </w:rPr>
                  </w:pPr>
                  <w:r>
                    <w:rPr>
                      <w:rFonts w:ascii="Times New Roman" w:hAnsi="Times New Roman"/>
                      <w:color w:val="auto"/>
                    </w:rPr>
                    <w:t>①建立环境管理机构</w:t>
                  </w:r>
                  <w:r>
                    <w:rPr>
                      <w:rFonts w:hint="eastAsia" w:ascii="Times New Roman" w:hAnsi="Times New Roman"/>
                      <w:color w:val="auto"/>
                    </w:rPr>
                    <w:t>，</w:t>
                  </w:r>
                  <w:r>
                    <w:rPr>
                      <w:rFonts w:ascii="Times New Roman" w:hAnsi="Times New Roman"/>
                      <w:color w:val="auto"/>
                    </w:rPr>
                    <w:t>配备专职或兼职环保管理人员；</w:t>
                  </w:r>
                </w:p>
                <w:p>
                  <w:pPr>
                    <w:pStyle w:val="71"/>
                    <w:jc w:val="both"/>
                    <w:rPr>
                      <w:rFonts w:ascii="Times New Roman" w:hAnsi="Times New Roman"/>
                      <w:color w:val="auto"/>
                    </w:rPr>
                  </w:pPr>
                  <w:r>
                    <w:rPr>
                      <w:rFonts w:ascii="Times New Roman" w:hAnsi="Times New Roman"/>
                      <w:color w:val="auto"/>
                    </w:rPr>
                    <w:t>②制定相关方环境管理条例、质量管理规定；</w:t>
                  </w:r>
                </w:p>
                <w:p>
                  <w:pPr>
                    <w:pStyle w:val="71"/>
                    <w:jc w:val="both"/>
                    <w:rPr>
                      <w:rFonts w:ascii="Times New Roman" w:hAnsi="Times New Roman"/>
                      <w:color w:val="auto"/>
                    </w:rPr>
                  </w:pPr>
                  <w:r>
                    <w:rPr>
                      <w:rFonts w:ascii="Times New Roman" w:hAnsi="Times New Roman"/>
                      <w:color w:val="auto"/>
                    </w:rPr>
                    <w:t>③开展经常性检查、监督</w:t>
                  </w:r>
                  <w:r>
                    <w:rPr>
                      <w:rFonts w:hint="eastAsia" w:ascii="Times New Roman" w:hAnsi="Times New Roman"/>
                      <w:color w:val="auto"/>
                    </w:rPr>
                    <w:t>，</w:t>
                  </w:r>
                  <w:r>
                    <w:rPr>
                      <w:rFonts w:ascii="Times New Roman" w:hAnsi="Times New Roman"/>
                      <w:color w:val="auto"/>
                    </w:rPr>
                    <w:t>发现问题及时解决、纠正</w:t>
                  </w:r>
                </w:p>
              </w:tc>
              <w:tc>
                <w:tcPr>
                  <w:tcW w:w="1902" w:type="dxa"/>
                  <w:shd w:val="clear" w:color="auto" w:fill="auto"/>
                  <w:vAlign w:val="center"/>
                </w:tcPr>
                <w:p>
                  <w:pPr>
                    <w:pStyle w:val="71"/>
                    <w:jc w:val="both"/>
                    <w:rPr>
                      <w:rFonts w:ascii="Times New Roman" w:hAnsi="Times New Roman"/>
                      <w:color w:val="auto"/>
                    </w:rPr>
                  </w:pPr>
                  <w:r>
                    <w:rPr>
                      <w:rFonts w:hint="eastAsia" w:ascii="Times New Roman" w:hAnsi="Times New Roman"/>
                      <w:color w:val="auto"/>
                    </w:rPr>
                    <w:t>不对项目周边区域的动植物及生态环境造成破坏。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shd w:val="clear" w:color="auto" w:fill="auto"/>
                  <w:vAlign w:val="center"/>
                </w:tcPr>
                <w:p>
                  <w:pPr>
                    <w:pStyle w:val="71"/>
                    <w:rPr>
                      <w:rFonts w:ascii="Times New Roman" w:hAnsi="Times New Roman"/>
                      <w:color w:val="auto"/>
                    </w:rPr>
                  </w:pPr>
                  <w:r>
                    <w:rPr>
                      <w:rFonts w:hint="eastAsia" w:ascii="Times New Roman" w:hAnsi="Times New Roman"/>
                      <w:color w:val="auto"/>
                    </w:rPr>
                    <w:t>2</w:t>
                  </w:r>
                </w:p>
              </w:tc>
              <w:tc>
                <w:tcPr>
                  <w:tcW w:w="2732" w:type="dxa"/>
                  <w:shd w:val="clear" w:color="auto" w:fill="auto"/>
                  <w:vAlign w:val="center"/>
                </w:tcPr>
                <w:p>
                  <w:pPr>
                    <w:pStyle w:val="71"/>
                    <w:jc w:val="both"/>
                    <w:rPr>
                      <w:rFonts w:ascii="Times New Roman" w:hAnsi="Times New Roman"/>
                      <w:color w:val="auto"/>
                    </w:rPr>
                  </w:pPr>
                  <w:r>
                    <w:rPr>
                      <w:rFonts w:hint="eastAsia" w:ascii="Times New Roman" w:hAnsi="Times New Roman"/>
                      <w:color w:val="auto"/>
                    </w:rPr>
                    <w:t>加强声环境监测，及时发现问题并按照相关要求进行处理。</w:t>
                  </w:r>
                </w:p>
              </w:tc>
              <w:tc>
                <w:tcPr>
                  <w:tcW w:w="706" w:type="dxa"/>
                  <w:vMerge w:val="continue"/>
                  <w:shd w:val="clear" w:color="auto" w:fill="auto"/>
                  <w:vAlign w:val="center"/>
                </w:tcPr>
                <w:p>
                  <w:pPr>
                    <w:pStyle w:val="71"/>
                    <w:rPr>
                      <w:rFonts w:ascii="Times New Roman" w:hAnsi="Times New Roman"/>
                      <w:color w:val="auto"/>
                    </w:rPr>
                  </w:pPr>
                </w:p>
              </w:tc>
              <w:tc>
                <w:tcPr>
                  <w:tcW w:w="701" w:type="dxa"/>
                  <w:vMerge w:val="continue"/>
                  <w:shd w:val="clear" w:color="auto" w:fill="auto"/>
                  <w:vAlign w:val="center"/>
                </w:tcPr>
                <w:p>
                  <w:pPr>
                    <w:pStyle w:val="71"/>
                    <w:rPr>
                      <w:rFonts w:ascii="Times New Roman" w:hAnsi="Times New Roman"/>
                      <w:color w:val="auto"/>
                    </w:rPr>
                  </w:pPr>
                </w:p>
              </w:tc>
              <w:tc>
                <w:tcPr>
                  <w:tcW w:w="701" w:type="dxa"/>
                  <w:vMerge w:val="continue"/>
                  <w:shd w:val="clear" w:color="auto" w:fill="auto"/>
                  <w:vAlign w:val="center"/>
                </w:tcPr>
                <w:p>
                  <w:pPr>
                    <w:pStyle w:val="71"/>
                    <w:rPr>
                      <w:rFonts w:ascii="Times New Roman" w:hAnsi="Times New Roman"/>
                      <w:color w:val="auto"/>
                    </w:rPr>
                  </w:pPr>
                </w:p>
              </w:tc>
              <w:tc>
                <w:tcPr>
                  <w:tcW w:w="982" w:type="dxa"/>
                  <w:vMerge w:val="continue"/>
                  <w:shd w:val="clear" w:color="auto" w:fill="auto"/>
                  <w:vAlign w:val="center"/>
                </w:tcPr>
                <w:p>
                  <w:pPr>
                    <w:pStyle w:val="71"/>
                    <w:rPr>
                      <w:rFonts w:ascii="Times New Roman" w:hAnsi="Times New Roman"/>
                      <w:color w:val="auto"/>
                    </w:rPr>
                  </w:pPr>
                </w:p>
              </w:tc>
              <w:tc>
                <w:tcPr>
                  <w:tcW w:w="1902" w:type="dxa"/>
                  <w:shd w:val="clear" w:color="auto" w:fill="auto"/>
                  <w:vAlign w:val="center"/>
                </w:tcPr>
                <w:p>
                  <w:pPr>
                    <w:pStyle w:val="71"/>
                    <w:jc w:val="both"/>
                    <w:rPr>
                      <w:rFonts w:ascii="Times New Roman" w:hAnsi="Times New Roman"/>
                      <w:color w:val="auto"/>
                    </w:rPr>
                  </w:pPr>
                  <w:r>
                    <w:rPr>
                      <w:rFonts w:hint="eastAsia" w:ascii="Times New Roman" w:hAnsi="Times New Roman"/>
                      <w:color w:val="auto"/>
                    </w:rPr>
                    <w:t>变电站厂界及输电线路沿线声环境达标。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shd w:val="clear" w:color="auto" w:fill="auto"/>
                  <w:vAlign w:val="center"/>
                </w:tcPr>
                <w:p>
                  <w:pPr>
                    <w:pStyle w:val="71"/>
                    <w:rPr>
                      <w:rFonts w:ascii="Times New Roman" w:hAnsi="Times New Roman"/>
                      <w:color w:val="auto"/>
                    </w:rPr>
                  </w:pPr>
                  <w:r>
                    <w:rPr>
                      <w:rFonts w:hint="eastAsia" w:ascii="Times New Roman" w:hAnsi="Times New Roman"/>
                      <w:color w:val="auto"/>
                    </w:rPr>
                    <w:t>3</w:t>
                  </w:r>
                </w:p>
              </w:tc>
              <w:tc>
                <w:tcPr>
                  <w:tcW w:w="2732" w:type="dxa"/>
                  <w:shd w:val="clear" w:color="auto" w:fill="auto"/>
                  <w:vAlign w:val="center"/>
                </w:tcPr>
                <w:p>
                  <w:pPr>
                    <w:pStyle w:val="71"/>
                    <w:jc w:val="both"/>
                    <w:rPr>
                      <w:rFonts w:ascii="Times New Roman" w:hAnsi="Times New Roman"/>
                      <w:color w:val="auto"/>
                    </w:rPr>
                  </w:pPr>
                  <w:r>
                    <w:rPr>
                      <w:rFonts w:hint="eastAsia" w:ascii="Times New Roman" w:hAnsi="Times New Roman"/>
                      <w:color w:val="auto"/>
                    </w:rPr>
                    <w:t>严格落实导线对地最低设计高度，杆塔悬挂警示警告标志，加强员工安全教育加强电磁环境科普知识的宣贯。</w:t>
                  </w:r>
                </w:p>
              </w:tc>
              <w:tc>
                <w:tcPr>
                  <w:tcW w:w="706" w:type="dxa"/>
                  <w:vMerge w:val="continue"/>
                  <w:shd w:val="clear" w:color="auto" w:fill="auto"/>
                  <w:vAlign w:val="center"/>
                </w:tcPr>
                <w:p>
                  <w:pPr>
                    <w:pStyle w:val="71"/>
                    <w:rPr>
                      <w:rFonts w:ascii="Times New Roman" w:hAnsi="Times New Roman"/>
                      <w:color w:val="auto"/>
                    </w:rPr>
                  </w:pPr>
                </w:p>
              </w:tc>
              <w:tc>
                <w:tcPr>
                  <w:tcW w:w="701" w:type="dxa"/>
                  <w:vMerge w:val="continue"/>
                  <w:shd w:val="clear" w:color="auto" w:fill="auto"/>
                  <w:vAlign w:val="center"/>
                </w:tcPr>
                <w:p>
                  <w:pPr>
                    <w:pStyle w:val="71"/>
                    <w:rPr>
                      <w:rFonts w:ascii="Times New Roman" w:hAnsi="Times New Roman"/>
                      <w:color w:val="auto"/>
                    </w:rPr>
                  </w:pPr>
                </w:p>
              </w:tc>
              <w:tc>
                <w:tcPr>
                  <w:tcW w:w="701" w:type="dxa"/>
                  <w:vMerge w:val="continue"/>
                  <w:shd w:val="clear" w:color="auto" w:fill="auto"/>
                  <w:vAlign w:val="center"/>
                </w:tcPr>
                <w:p>
                  <w:pPr>
                    <w:pStyle w:val="71"/>
                    <w:rPr>
                      <w:rFonts w:ascii="Times New Roman" w:hAnsi="Times New Roman"/>
                      <w:color w:val="auto"/>
                    </w:rPr>
                  </w:pPr>
                </w:p>
              </w:tc>
              <w:tc>
                <w:tcPr>
                  <w:tcW w:w="982" w:type="dxa"/>
                  <w:vMerge w:val="continue"/>
                  <w:shd w:val="clear" w:color="auto" w:fill="auto"/>
                  <w:vAlign w:val="center"/>
                </w:tcPr>
                <w:p>
                  <w:pPr>
                    <w:pStyle w:val="71"/>
                    <w:rPr>
                      <w:rFonts w:ascii="Times New Roman" w:hAnsi="Times New Roman"/>
                      <w:color w:val="auto"/>
                    </w:rPr>
                  </w:pPr>
                </w:p>
              </w:tc>
              <w:tc>
                <w:tcPr>
                  <w:tcW w:w="1902" w:type="dxa"/>
                  <w:shd w:val="clear" w:color="auto" w:fill="auto"/>
                  <w:vAlign w:val="center"/>
                </w:tcPr>
                <w:p>
                  <w:pPr>
                    <w:pStyle w:val="71"/>
                    <w:jc w:val="both"/>
                    <w:rPr>
                      <w:rFonts w:ascii="Times New Roman" w:hAnsi="Times New Roman"/>
                      <w:color w:val="auto"/>
                    </w:rPr>
                  </w:pPr>
                  <w:r>
                    <w:rPr>
                      <w:rFonts w:hint="eastAsia" w:ascii="Times New Roman" w:hAnsi="Times New Roman"/>
                      <w:color w:val="auto"/>
                    </w:rPr>
                    <w:t>输电线路运行时电磁环境满足《电磁环境控制限值》(GB8702-2014)要求。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shd w:val="clear" w:color="auto" w:fill="auto"/>
                  <w:vAlign w:val="center"/>
                </w:tcPr>
                <w:p>
                  <w:pPr>
                    <w:pStyle w:val="71"/>
                    <w:rPr>
                      <w:rFonts w:ascii="Times New Roman" w:hAnsi="Times New Roman"/>
                      <w:color w:val="auto"/>
                    </w:rPr>
                  </w:pPr>
                  <w:r>
                    <w:rPr>
                      <w:rFonts w:hint="eastAsia" w:ascii="Times New Roman" w:hAnsi="Times New Roman"/>
                      <w:color w:val="auto"/>
                    </w:rPr>
                    <w:t>4</w:t>
                  </w:r>
                </w:p>
              </w:tc>
              <w:tc>
                <w:tcPr>
                  <w:tcW w:w="2732" w:type="dxa"/>
                  <w:shd w:val="clear" w:color="auto" w:fill="auto"/>
                  <w:vAlign w:val="center"/>
                </w:tcPr>
                <w:p>
                  <w:pPr>
                    <w:pStyle w:val="71"/>
                    <w:jc w:val="both"/>
                    <w:rPr>
                      <w:rFonts w:ascii="Times New Roman" w:hAnsi="Times New Roman"/>
                      <w:color w:val="auto"/>
                    </w:rPr>
                  </w:pPr>
                  <w:r>
                    <w:rPr>
                      <w:rFonts w:ascii="Times New Roman" w:hAnsi="Times New Roman"/>
                      <w:color w:val="auto"/>
                    </w:rPr>
                    <w:t>输电线路维护时产生少量淘汰下来的废旧金具、绝缘子串等安装附件应及时收集，统一处置，禁止现场随意丢弃。</w:t>
                  </w:r>
                </w:p>
              </w:tc>
              <w:tc>
                <w:tcPr>
                  <w:tcW w:w="706" w:type="dxa"/>
                  <w:vMerge w:val="continue"/>
                  <w:shd w:val="clear" w:color="auto" w:fill="auto"/>
                  <w:vAlign w:val="center"/>
                </w:tcPr>
                <w:p>
                  <w:pPr>
                    <w:pStyle w:val="71"/>
                    <w:rPr>
                      <w:rFonts w:ascii="Times New Roman" w:hAnsi="Times New Roman"/>
                      <w:color w:val="auto"/>
                    </w:rPr>
                  </w:pPr>
                </w:p>
              </w:tc>
              <w:tc>
                <w:tcPr>
                  <w:tcW w:w="701" w:type="dxa"/>
                  <w:vMerge w:val="continue"/>
                  <w:shd w:val="clear" w:color="auto" w:fill="auto"/>
                  <w:vAlign w:val="center"/>
                </w:tcPr>
                <w:p>
                  <w:pPr>
                    <w:pStyle w:val="71"/>
                    <w:rPr>
                      <w:rFonts w:ascii="Times New Roman" w:hAnsi="Times New Roman"/>
                      <w:color w:val="auto"/>
                    </w:rPr>
                  </w:pPr>
                </w:p>
              </w:tc>
              <w:tc>
                <w:tcPr>
                  <w:tcW w:w="701" w:type="dxa"/>
                  <w:vMerge w:val="continue"/>
                  <w:shd w:val="clear" w:color="auto" w:fill="auto"/>
                  <w:vAlign w:val="center"/>
                </w:tcPr>
                <w:p>
                  <w:pPr>
                    <w:pStyle w:val="71"/>
                    <w:rPr>
                      <w:rFonts w:ascii="Times New Roman" w:hAnsi="Times New Roman"/>
                      <w:color w:val="auto"/>
                    </w:rPr>
                  </w:pPr>
                </w:p>
              </w:tc>
              <w:tc>
                <w:tcPr>
                  <w:tcW w:w="982" w:type="dxa"/>
                  <w:vMerge w:val="continue"/>
                  <w:shd w:val="clear" w:color="auto" w:fill="auto"/>
                  <w:vAlign w:val="center"/>
                </w:tcPr>
                <w:p>
                  <w:pPr>
                    <w:pStyle w:val="71"/>
                    <w:rPr>
                      <w:rFonts w:ascii="Times New Roman" w:hAnsi="Times New Roman"/>
                      <w:color w:val="auto"/>
                    </w:rPr>
                  </w:pPr>
                </w:p>
              </w:tc>
              <w:tc>
                <w:tcPr>
                  <w:tcW w:w="1902" w:type="dxa"/>
                  <w:shd w:val="clear" w:color="auto" w:fill="auto"/>
                  <w:vAlign w:val="center"/>
                </w:tcPr>
                <w:p>
                  <w:pPr>
                    <w:pStyle w:val="71"/>
                    <w:jc w:val="both"/>
                    <w:rPr>
                      <w:rFonts w:ascii="Times New Roman" w:hAnsi="Times New Roman"/>
                      <w:color w:val="auto"/>
                    </w:rPr>
                  </w:pPr>
                  <w:r>
                    <w:rPr>
                      <w:rFonts w:ascii="Times New Roman" w:hAnsi="Times New Roman"/>
                      <w:color w:val="auto"/>
                    </w:rPr>
                    <w:t>各类固体废弃物能够妥善处置。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shd w:val="clear" w:color="auto" w:fill="auto"/>
                  <w:vAlign w:val="center"/>
                </w:tcPr>
                <w:p>
                  <w:pPr>
                    <w:pStyle w:val="71"/>
                    <w:rPr>
                      <w:rFonts w:ascii="Times New Roman" w:hAnsi="Times New Roman"/>
                      <w:color w:val="auto"/>
                    </w:rPr>
                  </w:pPr>
                  <w:r>
                    <w:rPr>
                      <w:rFonts w:hint="eastAsia" w:ascii="Times New Roman" w:hAnsi="Times New Roman"/>
                      <w:color w:val="auto"/>
                    </w:rPr>
                    <w:t>5</w:t>
                  </w:r>
                </w:p>
              </w:tc>
              <w:tc>
                <w:tcPr>
                  <w:tcW w:w="2732" w:type="dxa"/>
                  <w:shd w:val="clear" w:color="auto" w:fill="auto"/>
                  <w:vAlign w:val="center"/>
                </w:tcPr>
                <w:p>
                  <w:pPr>
                    <w:pStyle w:val="71"/>
                    <w:jc w:val="both"/>
                    <w:rPr>
                      <w:rFonts w:ascii="Times New Roman" w:hAnsi="Times New Roman"/>
                      <w:color w:val="auto"/>
                    </w:rPr>
                  </w:pPr>
                  <w:r>
                    <w:rPr>
                      <w:rFonts w:hint="eastAsia" w:ascii="Times New Roman" w:hAnsi="Times New Roman"/>
                      <w:color w:val="auto"/>
                    </w:rPr>
                    <w:t>工程投运后自主验收，工程环保竣工验收监测一次，建设单位组织开展定期监测。</w:t>
                  </w:r>
                </w:p>
              </w:tc>
              <w:tc>
                <w:tcPr>
                  <w:tcW w:w="706" w:type="dxa"/>
                  <w:vMerge w:val="continue"/>
                  <w:shd w:val="clear" w:color="auto" w:fill="auto"/>
                  <w:vAlign w:val="center"/>
                </w:tcPr>
                <w:p>
                  <w:pPr>
                    <w:pStyle w:val="71"/>
                    <w:rPr>
                      <w:rFonts w:ascii="Times New Roman" w:hAnsi="Times New Roman"/>
                      <w:color w:val="auto"/>
                    </w:rPr>
                  </w:pPr>
                </w:p>
              </w:tc>
              <w:tc>
                <w:tcPr>
                  <w:tcW w:w="701" w:type="dxa"/>
                  <w:vMerge w:val="continue"/>
                  <w:shd w:val="clear" w:color="auto" w:fill="auto"/>
                  <w:vAlign w:val="center"/>
                </w:tcPr>
                <w:p>
                  <w:pPr>
                    <w:pStyle w:val="71"/>
                    <w:rPr>
                      <w:rFonts w:ascii="Times New Roman" w:hAnsi="Times New Roman"/>
                      <w:color w:val="auto"/>
                    </w:rPr>
                  </w:pPr>
                </w:p>
              </w:tc>
              <w:tc>
                <w:tcPr>
                  <w:tcW w:w="701" w:type="dxa"/>
                  <w:vMerge w:val="continue"/>
                  <w:shd w:val="clear" w:color="auto" w:fill="auto"/>
                  <w:vAlign w:val="center"/>
                </w:tcPr>
                <w:p>
                  <w:pPr>
                    <w:pStyle w:val="71"/>
                    <w:rPr>
                      <w:rFonts w:ascii="Times New Roman" w:hAnsi="Times New Roman"/>
                      <w:color w:val="auto"/>
                    </w:rPr>
                  </w:pPr>
                </w:p>
              </w:tc>
              <w:tc>
                <w:tcPr>
                  <w:tcW w:w="982" w:type="dxa"/>
                  <w:vMerge w:val="continue"/>
                  <w:shd w:val="clear" w:color="auto" w:fill="auto"/>
                  <w:vAlign w:val="center"/>
                </w:tcPr>
                <w:p>
                  <w:pPr>
                    <w:pStyle w:val="71"/>
                    <w:rPr>
                      <w:rFonts w:ascii="Times New Roman" w:hAnsi="Times New Roman"/>
                      <w:color w:val="auto"/>
                    </w:rPr>
                  </w:pPr>
                </w:p>
              </w:tc>
              <w:tc>
                <w:tcPr>
                  <w:tcW w:w="1902" w:type="dxa"/>
                  <w:shd w:val="clear" w:color="auto" w:fill="auto"/>
                  <w:vAlign w:val="center"/>
                </w:tcPr>
                <w:p>
                  <w:pPr>
                    <w:pStyle w:val="71"/>
                    <w:rPr>
                      <w:rFonts w:ascii="Times New Roman" w:hAnsi="Times New Roman"/>
                      <w:color w:val="auto"/>
                    </w:rPr>
                  </w:pPr>
                  <w:r>
                    <w:rPr>
                      <w:rFonts w:hint="eastAsia" w:ascii="Times New Roman" w:hAnsi="Times New Roman"/>
                      <w:color w:val="auto"/>
                    </w:rPr>
                    <w:t>监测结果达标。</w:t>
                  </w:r>
                </w:p>
              </w:tc>
            </w:tr>
          </w:tbl>
          <w:p>
            <w:pPr>
              <w:pStyle w:val="5"/>
              <w:ind w:firstLine="0" w:firstLineChars="0"/>
              <w:rPr>
                <w:color w:val="00000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06" w:hRule="atLeast"/>
          <w:jc w:val="center"/>
        </w:trPr>
        <w:tc>
          <w:tcPr>
            <w:tcW w:w="457" w:type="dxa"/>
            <w:tcMar>
              <w:left w:w="28" w:type="dxa"/>
              <w:right w:w="28" w:type="dxa"/>
            </w:tcMar>
            <w:vAlign w:val="center"/>
          </w:tcPr>
          <w:p>
            <w:pPr>
              <w:adjustRightInd w:val="0"/>
              <w:snapToGrid w:val="0"/>
              <w:jc w:val="center"/>
              <w:rPr>
                <w:b/>
                <w:bCs/>
                <w:color w:val="000000"/>
                <w:spacing w:val="10"/>
                <w:sz w:val="24"/>
              </w:rPr>
            </w:pPr>
            <w:r>
              <w:rPr>
                <w:rFonts w:hint="eastAsia"/>
                <w:b/>
                <w:bCs/>
                <w:color w:val="000000"/>
                <w:spacing w:val="10"/>
                <w:sz w:val="24"/>
              </w:rPr>
              <w:t>其他</w:t>
            </w:r>
          </w:p>
        </w:tc>
        <w:tc>
          <w:tcPr>
            <w:tcW w:w="8409" w:type="dxa"/>
          </w:tcPr>
          <w:p>
            <w:pPr>
              <w:numPr>
                <w:ilvl w:val="0"/>
                <w:numId w:val="20"/>
              </w:numPr>
              <w:spacing w:line="360" w:lineRule="auto"/>
              <w:rPr>
                <w:bCs/>
                <w:color w:val="000000"/>
                <w:kern w:val="0"/>
                <w:sz w:val="24"/>
                <w:szCs w:val="21"/>
              </w:rPr>
            </w:pPr>
            <w:r>
              <w:rPr>
                <w:b/>
                <w:color w:val="000000"/>
                <w:kern w:val="0"/>
                <w:sz w:val="24"/>
                <w:szCs w:val="21"/>
              </w:rPr>
              <w:t>环境管理与监测计划</w:t>
            </w:r>
          </w:p>
          <w:p>
            <w:pPr>
              <w:numPr>
                <w:ilvl w:val="1"/>
                <w:numId w:val="20"/>
              </w:numPr>
              <w:spacing w:line="360" w:lineRule="auto"/>
              <w:rPr>
                <w:bCs/>
                <w:color w:val="000000"/>
                <w:kern w:val="0"/>
                <w:sz w:val="24"/>
                <w:szCs w:val="21"/>
              </w:rPr>
            </w:pPr>
            <w:r>
              <w:rPr>
                <w:b/>
                <w:color w:val="000000"/>
                <w:kern w:val="0"/>
                <w:sz w:val="24"/>
                <w:szCs w:val="21"/>
              </w:rPr>
              <w:t>环境管理</w:t>
            </w:r>
          </w:p>
          <w:p>
            <w:pPr>
              <w:numPr>
                <w:ilvl w:val="2"/>
                <w:numId w:val="20"/>
              </w:numPr>
              <w:spacing w:line="360" w:lineRule="auto"/>
              <w:rPr>
                <w:b/>
                <w:color w:val="000000"/>
                <w:kern w:val="0"/>
                <w:sz w:val="24"/>
                <w:szCs w:val="21"/>
              </w:rPr>
            </w:pPr>
            <w:r>
              <w:rPr>
                <w:b/>
                <w:color w:val="000000"/>
                <w:kern w:val="0"/>
                <w:sz w:val="24"/>
                <w:szCs w:val="21"/>
              </w:rPr>
              <w:t>环境管理机构</w:t>
            </w:r>
          </w:p>
          <w:p>
            <w:pPr>
              <w:pStyle w:val="5"/>
              <w:rPr>
                <w:bCs/>
                <w:color w:val="000000"/>
              </w:rPr>
            </w:pPr>
            <w:r>
              <w:rPr>
                <w:bCs/>
                <w:color w:val="000000"/>
              </w:rPr>
              <w:t>输变电工程一般不单独设立环境监测站。建设单位或运行单位在管理机构内配备必要的专职和兼职人员，负责环境保护管理工作。</w:t>
            </w:r>
          </w:p>
          <w:p>
            <w:pPr>
              <w:numPr>
                <w:ilvl w:val="2"/>
                <w:numId w:val="20"/>
              </w:numPr>
              <w:spacing w:line="360" w:lineRule="auto"/>
              <w:rPr>
                <w:b/>
                <w:color w:val="000000"/>
                <w:kern w:val="0"/>
                <w:sz w:val="24"/>
                <w:szCs w:val="21"/>
              </w:rPr>
            </w:pPr>
            <w:r>
              <w:rPr>
                <w:b/>
                <w:color w:val="000000"/>
                <w:kern w:val="0"/>
                <w:sz w:val="24"/>
                <w:szCs w:val="21"/>
              </w:rPr>
              <w:t>施工期环境管理</w:t>
            </w:r>
          </w:p>
          <w:p>
            <w:pPr>
              <w:pStyle w:val="5"/>
              <w:rPr>
                <w:bCs/>
                <w:color w:val="000000"/>
              </w:rPr>
            </w:pPr>
            <w:r>
              <w:rPr>
                <w:bCs/>
                <w:color w:val="000000"/>
              </w:rPr>
              <w:t>鉴于建设期环境管理工作的重要性，同时根据国家的有关要求，本工程的施工将采取招投标制。施工招标中应对投标单位提出建设期间的环保要求，并应对监理单位提出环境保护人员资质要求。在施工设计文件中详细说明建设期应注意的环保问题，严格要求施工单位按设计文件施工，特别是按环保设计要求施工。环境监理人员对施工中的每一道工序都应严格检查是否满足环保要求，并不定期地对施工点进行抽查形式的监督检查。建设期环境管理的职责和任务如下：</w:t>
            </w:r>
          </w:p>
          <w:p>
            <w:pPr>
              <w:pStyle w:val="5"/>
              <w:rPr>
                <w:bCs/>
                <w:color w:val="000000"/>
              </w:rPr>
            </w:pPr>
            <w:r>
              <w:rPr>
                <w:bCs/>
                <w:color w:val="000000"/>
              </w:rPr>
              <w:t>（1）贯彻执行国家、地方的各项环境保护方针、政策、法规和各项规章制度。</w:t>
            </w:r>
          </w:p>
          <w:p>
            <w:pPr>
              <w:pStyle w:val="5"/>
              <w:rPr>
                <w:bCs/>
                <w:color w:val="000000"/>
              </w:rPr>
            </w:pPr>
            <w:r>
              <w:rPr>
                <w:bCs/>
                <w:color w:val="000000"/>
              </w:rPr>
              <w:t>（2）制定本工程施工中的环境保护计划，负责工程施工过程中各项环境保护措施实施的监督和日常管理。</w:t>
            </w:r>
          </w:p>
          <w:p>
            <w:pPr>
              <w:pStyle w:val="5"/>
              <w:rPr>
                <w:bCs/>
                <w:color w:val="000000"/>
              </w:rPr>
            </w:pPr>
            <w:r>
              <w:rPr>
                <w:bCs/>
                <w:color w:val="000000"/>
              </w:rPr>
              <w:t>（3）收集、整理、推广和实施工程建设中各项环境保护的先进工作经验和技术。</w:t>
            </w:r>
          </w:p>
          <w:p>
            <w:pPr>
              <w:pStyle w:val="5"/>
              <w:rPr>
                <w:bCs/>
                <w:color w:val="000000"/>
              </w:rPr>
            </w:pPr>
            <w:r>
              <w:rPr>
                <w:bCs/>
                <w:color w:val="000000"/>
              </w:rPr>
              <w:t>（4）组织和开展对施工人员进行施工活动中应遵循的环保法规、知识的培训，提高全体员工文明施工的认识。</w:t>
            </w:r>
          </w:p>
          <w:p>
            <w:pPr>
              <w:pStyle w:val="5"/>
              <w:rPr>
                <w:bCs/>
                <w:color w:val="000000"/>
              </w:rPr>
            </w:pPr>
            <w:r>
              <w:rPr>
                <w:bCs/>
                <w:color w:val="000000"/>
              </w:rPr>
              <w:t>（5）负责日常施工活动中的环境监理工作，做好工程用地区域的环境特征调查，对于环境敏感目标要</w:t>
            </w:r>
            <w:r>
              <w:rPr>
                <w:rFonts w:hint="eastAsia"/>
                <w:bCs/>
                <w:color w:val="000000"/>
              </w:rPr>
              <w:t>做到</w:t>
            </w:r>
            <w:r>
              <w:rPr>
                <w:bCs/>
                <w:color w:val="000000"/>
              </w:rPr>
              <w:t>心中有数。</w:t>
            </w:r>
          </w:p>
          <w:p>
            <w:pPr>
              <w:pStyle w:val="5"/>
              <w:rPr>
                <w:bCs/>
                <w:color w:val="000000"/>
              </w:rPr>
            </w:pPr>
            <w:r>
              <w:rPr>
                <w:bCs/>
                <w:color w:val="000000"/>
              </w:rPr>
              <w:t>（6）在施工计划中应适当计划设备运输道路，以避免影响当地居民生活，施工中应考虑保护生态和避免水土流失，合理组织施工，不在站外设置临时施工用地。</w:t>
            </w:r>
          </w:p>
          <w:p>
            <w:pPr>
              <w:pStyle w:val="5"/>
              <w:rPr>
                <w:bCs/>
                <w:color w:val="000000"/>
              </w:rPr>
            </w:pPr>
            <w:r>
              <w:rPr>
                <w:bCs/>
                <w:color w:val="000000"/>
              </w:rPr>
              <w:t>（7）做好施工中各种环境问题的收集、记录、建档和处理工作。</w:t>
            </w:r>
          </w:p>
          <w:p>
            <w:pPr>
              <w:pStyle w:val="5"/>
              <w:rPr>
                <w:bCs/>
                <w:color w:val="000000"/>
              </w:rPr>
            </w:pPr>
            <w:r>
              <w:rPr>
                <w:bCs/>
                <w:color w:val="000000"/>
              </w:rPr>
              <w:t>（8）监督施工单位，使设计、施工过程的各项环境保护措施与主体工程同步实施。</w:t>
            </w:r>
          </w:p>
          <w:p>
            <w:pPr>
              <w:numPr>
                <w:ilvl w:val="2"/>
                <w:numId w:val="20"/>
              </w:numPr>
              <w:spacing w:line="360" w:lineRule="auto"/>
              <w:rPr>
                <w:b/>
                <w:color w:val="000000"/>
                <w:kern w:val="0"/>
                <w:sz w:val="24"/>
                <w:szCs w:val="21"/>
              </w:rPr>
            </w:pPr>
            <w:r>
              <w:rPr>
                <w:b/>
                <w:color w:val="000000"/>
                <w:kern w:val="0"/>
                <w:sz w:val="24"/>
                <w:szCs w:val="21"/>
              </w:rPr>
              <w:t>工程竣工环境保护验收</w:t>
            </w:r>
          </w:p>
          <w:p>
            <w:pPr>
              <w:pStyle w:val="5"/>
              <w:rPr>
                <w:bCs/>
                <w:color w:val="000000"/>
              </w:rPr>
            </w:pPr>
            <w:r>
              <w:rPr>
                <w:bCs/>
                <w:color w:val="000000"/>
              </w:rPr>
              <w:t>根据《建设项目环境保护管理条例》《建设项目竣工环境保护验收暂行办法》和《建设项目竣工环境保护验收技术规范输变电》，本工程的建设应执行污染治理设施与主体工程同时设计、同时施工、同时投产使用的</w:t>
            </w:r>
            <w:r>
              <w:rPr>
                <w:rFonts w:hint="eastAsia"/>
                <w:bCs/>
                <w:color w:val="000000"/>
              </w:rPr>
              <w:t>“</w:t>
            </w:r>
            <w:r>
              <w:rPr>
                <w:bCs/>
                <w:color w:val="000000"/>
              </w:rPr>
              <w:t>三同时</w:t>
            </w:r>
            <w:r>
              <w:rPr>
                <w:rFonts w:hint="eastAsia"/>
                <w:bCs/>
                <w:color w:val="000000"/>
              </w:rPr>
              <w:t>”</w:t>
            </w:r>
            <w:r>
              <w:rPr>
                <w:bCs/>
                <w:color w:val="000000"/>
              </w:rPr>
              <w:t>制度。建设项目竣工后，建设单位应当按照国务院</w:t>
            </w:r>
            <w:r>
              <w:rPr>
                <w:rFonts w:hint="eastAsia"/>
                <w:bCs/>
                <w:color w:val="000000"/>
              </w:rPr>
              <w:t>生态</w:t>
            </w:r>
            <w:r>
              <w:rPr>
                <w:bCs/>
                <w:color w:val="000000"/>
              </w:rPr>
              <w:t>环境行政主管部门规定的标准和程序，对配套建设的环境保护设施进行验收，编制验收报告。建设单位在环境保护设施验收过程中，应当如实查验、监测、记载建设项目环境保护设施的建设和调试情况，不得弄虚作假。除按照国家规定需要保密的情形外，建设单位应当依法向社会公开验收报告。</w:t>
            </w:r>
          </w:p>
          <w:p>
            <w:pPr>
              <w:numPr>
                <w:ilvl w:val="2"/>
                <w:numId w:val="20"/>
              </w:numPr>
              <w:spacing w:line="360" w:lineRule="auto"/>
              <w:rPr>
                <w:b/>
                <w:color w:val="000000"/>
                <w:kern w:val="0"/>
                <w:sz w:val="24"/>
                <w:szCs w:val="21"/>
              </w:rPr>
            </w:pPr>
            <w:r>
              <w:rPr>
                <w:b/>
                <w:color w:val="000000"/>
                <w:kern w:val="0"/>
                <w:sz w:val="24"/>
                <w:szCs w:val="21"/>
              </w:rPr>
              <w:t>运行期环境管理</w:t>
            </w:r>
          </w:p>
          <w:p>
            <w:pPr>
              <w:pStyle w:val="5"/>
              <w:rPr>
                <w:bCs/>
                <w:color w:val="000000"/>
              </w:rPr>
            </w:pPr>
            <w:r>
              <w:rPr>
                <w:bCs/>
                <w:color w:val="000000"/>
              </w:rPr>
              <w:t>本工程在运行期宜使用原有环境管理部门。环保管理人员应在各自的岗位责任制中明确所负的环保责任。监督国家法规、条例的贯彻执行情况，制订和贯彻环保管理制度，监控本工程主要污染源，对各部门、操作岗位进行环境保护监督和考核。环境管理的职能为：</w:t>
            </w:r>
          </w:p>
          <w:p>
            <w:pPr>
              <w:pStyle w:val="5"/>
              <w:rPr>
                <w:bCs/>
                <w:color w:val="000000"/>
              </w:rPr>
            </w:pPr>
            <w:r>
              <w:rPr>
                <w:bCs/>
                <w:color w:val="000000"/>
              </w:rPr>
              <w:t>（1）制订和实施各项环境管理计划。</w:t>
            </w:r>
          </w:p>
          <w:p>
            <w:pPr>
              <w:pStyle w:val="5"/>
              <w:rPr>
                <w:bCs/>
                <w:color w:val="000000"/>
              </w:rPr>
            </w:pPr>
            <w:r>
              <w:rPr>
                <w:bCs/>
                <w:color w:val="000000"/>
              </w:rPr>
              <w:t>（2）建立工频电场、工频磁场、噪声监测、生态环境现状数据档案。</w:t>
            </w:r>
          </w:p>
          <w:p>
            <w:pPr>
              <w:pStyle w:val="5"/>
              <w:rPr>
                <w:bCs/>
                <w:color w:val="000000"/>
              </w:rPr>
            </w:pPr>
            <w:r>
              <w:rPr>
                <w:bCs/>
                <w:color w:val="000000"/>
              </w:rPr>
              <w:t>（3）</w:t>
            </w:r>
            <w:r>
              <w:rPr>
                <w:bCs/>
                <w:snapToGrid w:val="0"/>
                <w:color w:val="000000"/>
                <w:szCs w:val="28"/>
              </w:rPr>
              <w:t>掌握项目所在地周围的环境特征和重点环境保护目标情况。建立环境管理和环境监测技术文件，做好记录、建档工作。技术文件包括：污染源的监测记录技术文件；污染控制、环境保护设施的设计和运行管理文件；导致严重环境影响事件的分析报告和监测数据资料等。</w:t>
            </w:r>
          </w:p>
          <w:p>
            <w:pPr>
              <w:pStyle w:val="5"/>
              <w:rPr>
                <w:bCs/>
                <w:color w:val="000000"/>
              </w:rPr>
            </w:pPr>
            <w:r>
              <w:rPr>
                <w:bCs/>
                <w:color w:val="000000"/>
              </w:rPr>
              <w:t>（4）检查污染防治设施运行情况，及时处理出现的问题，保证治理设施正常运行。</w:t>
            </w:r>
          </w:p>
          <w:p>
            <w:pPr>
              <w:pStyle w:val="5"/>
              <w:rPr>
                <w:bCs/>
                <w:color w:val="000000"/>
              </w:rPr>
            </w:pPr>
            <w:r>
              <w:rPr>
                <w:bCs/>
                <w:color w:val="000000"/>
              </w:rPr>
              <w:t>（5）协调配合上级环保主管部门所进行的环境调查，生态调查等活动。</w:t>
            </w:r>
          </w:p>
          <w:p>
            <w:pPr>
              <w:numPr>
                <w:ilvl w:val="2"/>
                <w:numId w:val="20"/>
              </w:numPr>
              <w:spacing w:line="360" w:lineRule="auto"/>
              <w:rPr>
                <w:b/>
                <w:color w:val="000000"/>
                <w:kern w:val="0"/>
                <w:sz w:val="24"/>
                <w:szCs w:val="21"/>
              </w:rPr>
            </w:pPr>
            <w:r>
              <w:rPr>
                <w:b/>
                <w:color w:val="000000"/>
                <w:kern w:val="0"/>
                <w:sz w:val="24"/>
                <w:szCs w:val="21"/>
              </w:rPr>
              <w:t>环境保护培训</w:t>
            </w:r>
          </w:p>
          <w:p>
            <w:pPr>
              <w:pStyle w:val="5"/>
              <w:rPr>
                <w:bCs/>
                <w:color w:val="000000"/>
              </w:rPr>
            </w:pPr>
            <w:r>
              <w:rPr>
                <w:bCs/>
                <w:color w:val="000000"/>
              </w:rPr>
              <w:t>应对与工程项目有关的主要人员，包括施工单位、运行单位、受影响区域的公众，进行环境保护技术和政策方面的培训与宣传，从而进一步增强施工、运行单位的环保管理的能力，减少施工和运行产生的不利环境影响，并且能够更好地参与和监督本工程的环保管理；提高人们的环保意识，加强公众的环境保护和自我保护意识。具体的环保管理培训计划见</w:t>
            </w:r>
            <w:r>
              <w:rPr>
                <w:b w:val="0"/>
                <w:bCs w:val="0"/>
                <w:color w:val="000000"/>
              </w:rPr>
              <w:fldChar w:fldCharType="begin"/>
            </w:r>
            <w:r>
              <w:rPr>
                <w:b w:val="0"/>
                <w:bCs w:val="0"/>
              </w:rPr>
              <w:instrText xml:space="preserve"> REF _Ref157243725 \h  \* MERGEFORMAT</w:instrText>
            </w:r>
            <w:r>
              <w:rPr>
                <w:b w:val="0"/>
                <w:bCs w:val="0"/>
                <w:color w:val="000000"/>
              </w:rPr>
              <w:fldChar w:fldCharType="separate"/>
            </w:r>
            <w:r>
              <w:rPr>
                <w:rFonts w:ascii="Times New Roman" w:hAnsi="Times New Roman" w:eastAsia="宋体"/>
                <w:b w:val="0"/>
                <w:bCs w:val="0"/>
              </w:rPr>
              <w:t>表30</w:t>
            </w:r>
            <w:r>
              <w:rPr>
                <w:b w:val="0"/>
                <w:bCs w:val="0"/>
                <w:color w:val="000000"/>
              </w:rPr>
              <w:fldChar w:fldCharType="end"/>
            </w:r>
            <w:r>
              <w:rPr>
                <w:bCs/>
                <w:color w:val="000000"/>
              </w:rPr>
              <w:t>。</w:t>
            </w:r>
          </w:p>
          <w:p>
            <w:pPr>
              <w:pStyle w:val="10"/>
              <w:keepNext/>
              <w:jc w:val="left"/>
              <w:rPr>
                <w:rFonts w:ascii="Times New Roman" w:hAnsi="Times New Roman"/>
                <w:bCs/>
              </w:rPr>
            </w:pPr>
            <w:bookmarkStart w:id="620" w:name="_Ref157243725"/>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30</w:t>
            </w:r>
            <w:r>
              <w:rPr>
                <w:rFonts w:ascii="Times New Roman" w:hAnsi="Times New Roman" w:eastAsia="宋体"/>
                <w:b/>
              </w:rPr>
              <w:fldChar w:fldCharType="end"/>
            </w:r>
            <w:bookmarkEnd w:id="620"/>
            <w:r>
              <w:rPr>
                <w:rFonts w:hint="eastAsia" w:ascii="Times New Roman" w:hAnsi="Times New Roman" w:eastAsia="宋体"/>
                <w:b/>
              </w:rPr>
              <w:t xml:space="preserve"> </w:t>
            </w:r>
            <w:r>
              <w:rPr>
                <w:rFonts w:ascii="Times New Roman" w:hAnsi="Times New Roman" w:eastAsia="宋体"/>
                <w:b/>
              </w:rPr>
              <w:t>环保管理培训计划</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2937"/>
              <w:gridCol w:w="3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1396" w:type="dxa"/>
                  <w:vAlign w:val="center"/>
                </w:tcPr>
                <w:p>
                  <w:pPr>
                    <w:pStyle w:val="75"/>
                    <w:rPr>
                      <w:bCs/>
                      <w:color w:val="000000"/>
                      <w:szCs w:val="21"/>
                    </w:rPr>
                  </w:pPr>
                  <w:r>
                    <w:rPr>
                      <w:bCs/>
                      <w:color w:val="000000"/>
                      <w:szCs w:val="21"/>
                    </w:rPr>
                    <w:t>项目</w:t>
                  </w:r>
                </w:p>
              </w:tc>
              <w:tc>
                <w:tcPr>
                  <w:tcW w:w="2937" w:type="dxa"/>
                  <w:vAlign w:val="center"/>
                </w:tcPr>
                <w:p>
                  <w:pPr>
                    <w:pStyle w:val="75"/>
                    <w:rPr>
                      <w:bCs/>
                      <w:color w:val="000000"/>
                      <w:szCs w:val="21"/>
                    </w:rPr>
                  </w:pPr>
                  <w:r>
                    <w:rPr>
                      <w:bCs/>
                      <w:color w:val="000000"/>
                      <w:szCs w:val="21"/>
                    </w:rPr>
                    <w:t>参加培训或宣传的对象</w:t>
                  </w:r>
                </w:p>
              </w:tc>
              <w:tc>
                <w:tcPr>
                  <w:tcW w:w="3850" w:type="dxa"/>
                  <w:vAlign w:val="center"/>
                </w:tcPr>
                <w:p>
                  <w:pPr>
                    <w:pStyle w:val="75"/>
                    <w:rPr>
                      <w:bCs/>
                      <w:color w:val="000000"/>
                      <w:szCs w:val="21"/>
                    </w:rPr>
                  </w:pPr>
                  <w:r>
                    <w:rPr>
                      <w:bCs/>
                      <w:color w:val="000000"/>
                      <w:szCs w:val="21"/>
                    </w:rPr>
                    <w:t>培训内容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96" w:type="dxa"/>
                  <w:vAlign w:val="center"/>
                </w:tcPr>
                <w:p>
                  <w:pPr>
                    <w:pStyle w:val="75"/>
                    <w:rPr>
                      <w:bCs/>
                      <w:color w:val="000000"/>
                      <w:szCs w:val="21"/>
                    </w:rPr>
                  </w:pPr>
                  <w:r>
                    <w:rPr>
                      <w:bCs/>
                      <w:color w:val="000000"/>
                      <w:szCs w:val="21"/>
                    </w:rPr>
                    <w:t>环境保护</w:t>
                  </w:r>
                </w:p>
                <w:p>
                  <w:pPr>
                    <w:pStyle w:val="75"/>
                    <w:rPr>
                      <w:bCs/>
                      <w:color w:val="000000"/>
                      <w:szCs w:val="21"/>
                    </w:rPr>
                  </w:pPr>
                  <w:r>
                    <w:rPr>
                      <w:bCs/>
                      <w:color w:val="000000"/>
                      <w:szCs w:val="21"/>
                    </w:rPr>
                    <w:t>知识和政策</w:t>
                  </w:r>
                </w:p>
              </w:tc>
              <w:tc>
                <w:tcPr>
                  <w:tcW w:w="2937" w:type="dxa"/>
                  <w:vAlign w:val="center"/>
                </w:tcPr>
                <w:p>
                  <w:pPr>
                    <w:pStyle w:val="75"/>
                    <w:rPr>
                      <w:bCs/>
                      <w:color w:val="000000"/>
                      <w:szCs w:val="21"/>
                    </w:rPr>
                  </w:pPr>
                  <w:r>
                    <w:rPr>
                      <w:bCs/>
                      <w:color w:val="000000"/>
                      <w:szCs w:val="21"/>
                    </w:rPr>
                    <w:t>变电站周围及输电线路沿线的居民</w:t>
                  </w:r>
                </w:p>
              </w:tc>
              <w:tc>
                <w:tcPr>
                  <w:tcW w:w="3850" w:type="dxa"/>
                  <w:vAlign w:val="center"/>
                </w:tcPr>
                <w:p>
                  <w:pPr>
                    <w:pStyle w:val="75"/>
                    <w:spacing w:line="252" w:lineRule="auto"/>
                    <w:jc w:val="both"/>
                    <w:rPr>
                      <w:bCs/>
                      <w:color w:val="000000"/>
                      <w:szCs w:val="21"/>
                    </w:rPr>
                  </w:pPr>
                  <w:r>
                    <w:rPr>
                      <w:bCs/>
                      <w:color w:val="000000"/>
                      <w:szCs w:val="21"/>
                    </w:rPr>
                    <w:t>1.电磁环境影响的有关知识</w:t>
                  </w:r>
                </w:p>
                <w:p>
                  <w:pPr>
                    <w:pStyle w:val="75"/>
                    <w:spacing w:line="252" w:lineRule="auto"/>
                    <w:jc w:val="both"/>
                    <w:rPr>
                      <w:bCs/>
                      <w:color w:val="000000"/>
                      <w:szCs w:val="21"/>
                    </w:rPr>
                  </w:pPr>
                  <w:r>
                    <w:rPr>
                      <w:bCs/>
                      <w:color w:val="000000"/>
                      <w:szCs w:val="21"/>
                    </w:rPr>
                    <w:t>2.</w:t>
                  </w:r>
                  <w:r>
                    <w:rPr>
                      <w:rFonts w:hint="eastAsia"/>
                      <w:bCs/>
                      <w:color w:val="000000"/>
                      <w:szCs w:val="21"/>
                    </w:rPr>
                    <w:t>《</w:t>
                  </w:r>
                  <w:r>
                    <w:rPr>
                      <w:bCs/>
                      <w:color w:val="000000"/>
                      <w:szCs w:val="21"/>
                    </w:rPr>
                    <w:t>声环境质量标准</w:t>
                  </w:r>
                  <w:r>
                    <w:rPr>
                      <w:rFonts w:hint="eastAsia"/>
                      <w:bCs/>
                      <w:color w:val="000000"/>
                      <w:szCs w:val="21"/>
                    </w:rPr>
                    <w:t>》</w:t>
                  </w:r>
                </w:p>
                <w:p>
                  <w:pPr>
                    <w:pStyle w:val="75"/>
                    <w:spacing w:line="252" w:lineRule="auto"/>
                    <w:jc w:val="both"/>
                    <w:rPr>
                      <w:bCs/>
                      <w:color w:val="000000"/>
                      <w:szCs w:val="21"/>
                    </w:rPr>
                  </w:pPr>
                  <w:r>
                    <w:rPr>
                      <w:bCs/>
                      <w:color w:val="000000"/>
                      <w:szCs w:val="21"/>
                    </w:rPr>
                    <w:t>3.</w:t>
                  </w:r>
                  <w:r>
                    <w:rPr>
                      <w:rFonts w:hint="eastAsia"/>
                      <w:bCs/>
                      <w:color w:val="000000"/>
                      <w:szCs w:val="21"/>
                    </w:rPr>
                    <w:t>《电力设施保护条例》</w:t>
                  </w:r>
                </w:p>
                <w:p>
                  <w:pPr>
                    <w:pStyle w:val="75"/>
                    <w:spacing w:line="252" w:lineRule="auto"/>
                    <w:jc w:val="both"/>
                    <w:rPr>
                      <w:bCs/>
                      <w:color w:val="000000"/>
                      <w:szCs w:val="21"/>
                    </w:rPr>
                  </w:pPr>
                  <w:r>
                    <w:rPr>
                      <w:bCs/>
                      <w:color w:val="000000"/>
                      <w:szCs w:val="21"/>
                    </w:rPr>
                    <w:t>4.其他有关的国家和地方的规定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96" w:type="dxa"/>
                  <w:vAlign w:val="center"/>
                </w:tcPr>
                <w:p>
                  <w:pPr>
                    <w:pStyle w:val="75"/>
                    <w:rPr>
                      <w:bCs/>
                      <w:color w:val="000000"/>
                      <w:szCs w:val="21"/>
                    </w:rPr>
                  </w:pPr>
                  <w:r>
                    <w:rPr>
                      <w:bCs/>
                      <w:color w:val="000000"/>
                      <w:szCs w:val="21"/>
                    </w:rPr>
                    <w:t>环境保护</w:t>
                  </w:r>
                </w:p>
                <w:p>
                  <w:pPr>
                    <w:pStyle w:val="75"/>
                    <w:rPr>
                      <w:bCs/>
                      <w:color w:val="000000"/>
                      <w:szCs w:val="21"/>
                    </w:rPr>
                  </w:pPr>
                  <w:r>
                    <w:rPr>
                      <w:bCs/>
                      <w:color w:val="000000"/>
                      <w:szCs w:val="21"/>
                    </w:rPr>
                    <w:t>管理培训</w:t>
                  </w:r>
                </w:p>
              </w:tc>
              <w:tc>
                <w:tcPr>
                  <w:tcW w:w="2937" w:type="dxa"/>
                  <w:vAlign w:val="center"/>
                </w:tcPr>
                <w:p>
                  <w:pPr>
                    <w:pStyle w:val="75"/>
                    <w:rPr>
                      <w:bCs/>
                      <w:color w:val="000000"/>
                      <w:szCs w:val="21"/>
                    </w:rPr>
                  </w:pPr>
                  <w:r>
                    <w:rPr>
                      <w:bCs/>
                      <w:color w:val="000000"/>
                      <w:szCs w:val="21"/>
                    </w:rPr>
                    <w:t>建设单位或负责运行的单位、施工单位、其他相关人员</w:t>
                  </w:r>
                </w:p>
              </w:tc>
              <w:tc>
                <w:tcPr>
                  <w:tcW w:w="3850" w:type="dxa"/>
                  <w:vAlign w:val="center"/>
                </w:tcPr>
                <w:p>
                  <w:pPr>
                    <w:pStyle w:val="75"/>
                    <w:spacing w:line="252" w:lineRule="auto"/>
                    <w:jc w:val="both"/>
                    <w:rPr>
                      <w:bCs/>
                      <w:color w:val="000000"/>
                      <w:szCs w:val="21"/>
                    </w:rPr>
                  </w:pPr>
                  <w:r>
                    <w:rPr>
                      <w:bCs/>
                      <w:color w:val="000000"/>
                      <w:szCs w:val="21"/>
                    </w:rPr>
                    <w:t>1.</w:t>
                  </w:r>
                  <w:r>
                    <w:rPr>
                      <w:rFonts w:hint="eastAsia"/>
                      <w:bCs/>
                      <w:color w:val="000000"/>
                      <w:szCs w:val="21"/>
                    </w:rPr>
                    <w:t>《中华人民共和国环境保护法》</w:t>
                  </w:r>
                </w:p>
                <w:p>
                  <w:pPr>
                    <w:pStyle w:val="75"/>
                    <w:spacing w:line="252" w:lineRule="auto"/>
                    <w:jc w:val="both"/>
                    <w:rPr>
                      <w:bCs/>
                      <w:color w:val="000000"/>
                      <w:szCs w:val="21"/>
                    </w:rPr>
                  </w:pPr>
                  <w:r>
                    <w:rPr>
                      <w:bCs/>
                      <w:color w:val="000000"/>
                      <w:szCs w:val="21"/>
                    </w:rPr>
                    <w:t>2.</w:t>
                  </w:r>
                  <w:r>
                    <w:rPr>
                      <w:rFonts w:hint="eastAsia"/>
                      <w:bCs/>
                      <w:color w:val="000000"/>
                      <w:szCs w:val="21"/>
                    </w:rPr>
                    <w:t>《中华人民共和国草原法》</w:t>
                  </w:r>
                </w:p>
                <w:p>
                  <w:pPr>
                    <w:pStyle w:val="75"/>
                    <w:spacing w:line="252" w:lineRule="auto"/>
                    <w:jc w:val="both"/>
                    <w:rPr>
                      <w:bCs/>
                      <w:color w:val="000000"/>
                      <w:szCs w:val="21"/>
                    </w:rPr>
                  </w:pPr>
                  <w:r>
                    <w:rPr>
                      <w:bCs/>
                      <w:color w:val="000000"/>
                    </w:rPr>
                    <w:t>3</w:t>
                  </w:r>
                  <w:r>
                    <w:rPr>
                      <w:bCs/>
                      <w:color w:val="000000"/>
                      <w:szCs w:val="21"/>
                    </w:rPr>
                    <w:t>.</w:t>
                  </w:r>
                  <w:r>
                    <w:rPr>
                      <w:rFonts w:hint="eastAsia"/>
                      <w:bCs/>
                      <w:color w:val="000000"/>
                      <w:szCs w:val="21"/>
                    </w:rPr>
                    <w:t>《中华人民共和国野生动物保护法》</w:t>
                  </w:r>
                </w:p>
                <w:p>
                  <w:pPr>
                    <w:pStyle w:val="75"/>
                    <w:spacing w:line="252" w:lineRule="auto"/>
                    <w:jc w:val="both"/>
                    <w:rPr>
                      <w:bCs/>
                      <w:color w:val="000000"/>
                      <w:szCs w:val="21"/>
                    </w:rPr>
                  </w:pPr>
                  <w:r>
                    <w:rPr>
                      <w:bCs/>
                      <w:color w:val="000000"/>
                      <w:szCs w:val="21"/>
                    </w:rPr>
                    <w:t>4.</w:t>
                  </w:r>
                  <w:r>
                    <w:rPr>
                      <w:rFonts w:hint="eastAsia"/>
                      <w:bCs/>
                      <w:color w:val="000000"/>
                      <w:szCs w:val="21"/>
                    </w:rPr>
                    <w:t>《</w:t>
                  </w:r>
                  <w:r>
                    <w:rPr>
                      <w:bCs/>
                      <w:color w:val="000000"/>
                      <w:szCs w:val="21"/>
                    </w:rPr>
                    <w:t>中华人民共和国</w:t>
                  </w:r>
                  <w:r>
                    <w:rPr>
                      <w:rFonts w:hint="eastAsia"/>
                      <w:bCs/>
                      <w:color w:val="000000"/>
                      <w:szCs w:val="21"/>
                    </w:rPr>
                    <w:t>野生植物保护条例》</w:t>
                  </w:r>
                </w:p>
                <w:p>
                  <w:pPr>
                    <w:pStyle w:val="75"/>
                    <w:spacing w:line="252" w:lineRule="auto"/>
                    <w:jc w:val="both"/>
                    <w:rPr>
                      <w:bCs/>
                      <w:color w:val="000000"/>
                      <w:szCs w:val="21"/>
                    </w:rPr>
                  </w:pPr>
                  <w:r>
                    <w:rPr>
                      <w:bCs/>
                      <w:color w:val="000000"/>
                      <w:szCs w:val="21"/>
                    </w:rPr>
                    <w:t>5.</w:t>
                  </w:r>
                  <w:r>
                    <w:rPr>
                      <w:rFonts w:hint="eastAsia"/>
                      <w:bCs/>
                      <w:color w:val="000000"/>
                      <w:szCs w:val="21"/>
                    </w:rPr>
                    <w:t>《建设项目环境保护管理条例》</w:t>
                  </w:r>
                </w:p>
                <w:p>
                  <w:pPr>
                    <w:pStyle w:val="75"/>
                    <w:spacing w:line="252" w:lineRule="auto"/>
                    <w:jc w:val="both"/>
                    <w:rPr>
                      <w:bCs/>
                      <w:color w:val="000000"/>
                      <w:szCs w:val="21"/>
                    </w:rPr>
                  </w:pPr>
                  <w:r>
                    <w:rPr>
                      <w:bCs/>
                      <w:color w:val="000000"/>
                      <w:szCs w:val="21"/>
                    </w:rPr>
                    <w:t>6.其他有关的管理条例、规定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96" w:type="dxa"/>
                  <w:vAlign w:val="center"/>
                </w:tcPr>
                <w:p>
                  <w:pPr>
                    <w:pStyle w:val="75"/>
                    <w:rPr>
                      <w:bCs/>
                      <w:color w:val="000000"/>
                      <w:szCs w:val="21"/>
                    </w:rPr>
                  </w:pPr>
                  <w:r>
                    <w:rPr>
                      <w:bCs/>
                      <w:color w:val="000000"/>
                      <w:szCs w:val="21"/>
                    </w:rPr>
                    <w:t>野生动植物保护</w:t>
                  </w:r>
                </w:p>
              </w:tc>
              <w:tc>
                <w:tcPr>
                  <w:tcW w:w="2937" w:type="dxa"/>
                  <w:vAlign w:val="center"/>
                </w:tcPr>
                <w:p>
                  <w:pPr>
                    <w:pStyle w:val="75"/>
                    <w:rPr>
                      <w:bCs/>
                      <w:color w:val="000000"/>
                      <w:szCs w:val="21"/>
                    </w:rPr>
                  </w:pPr>
                  <w:r>
                    <w:rPr>
                      <w:bCs/>
                      <w:color w:val="000000"/>
                      <w:szCs w:val="21"/>
                    </w:rPr>
                    <w:t>施工及其他相关人员</w:t>
                  </w:r>
                </w:p>
              </w:tc>
              <w:tc>
                <w:tcPr>
                  <w:tcW w:w="3850" w:type="dxa"/>
                  <w:vAlign w:val="center"/>
                </w:tcPr>
                <w:p>
                  <w:pPr>
                    <w:pStyle w:val="75"/>
                    <w:spacing w:line="252" w:lineRule="auto"/>
                    <w:jc w:val="both"/>
                    <w:rPr>
                      <w:bCs/>
                      <w:color w:val="000000"/>
                      <w:szCs w:val="21"/>
                    </w:rPr>
                  </w:pPr>
                  <w:r>
                    <w:rPr>
                      <w:bCs/>
                      <w:color w:val="000000"/>
                      <w:szCs w:val="21"/>
                    </w:rPr>
                    <w:t>1.</w:t>
                  </w:r>
                  <w:r>
                    <w:rPr>
                      <w:rFonts w:hint="eastAsia"/>
                      <w:bCs/>
                      <w:color w:val="000000"/>
                      <w:szCs w:val="21"/>
                    </w:rPr>
                    <w:t>《中华人民共和国野生动物保护法》</w:t>
                  </w:r>
                </w:p>
                <w:p>
                  <w:pPr>
                    <w:pStyle w:val="75"/>
                    <w:spacing w:line="252" w:lineRule="auto"/>
                    <w:jc w:val="both"/>
                    <w:rPr>
                      <w:bCs/>
                      <w:color w:val="000000"/>
                      <w:szCs w:val="21"/>
                    </w:rPr>
                  </w:pPr>
                  <w:r>
                    <w:rPr>
                      <w:bCs/>
                      <w:color w:val="000000"/>
                      <w:szCs w:val="21"/>
                    </w:rPr>
                    <w:t>2.</w:t>
                  </w:r>
                  <w:r>
                    <w:rPr>
                      <w:rFonts w:hint="eastAsia"/>
                      <w:bCs/>
                      <w:color w:val="000000"/>
                      <w:szCs w:val="21"/>
                    </w:rPr>
                    <w:t>《</w:t>
                  </w:r>
                  <w:r>
                    <w:rPr>
                      <w:bCs/>
                      <w:color w:val="000000"/>
                      <w:szCs w:val="21"/>
                    </w:rPr>
                    <w:t>中华人民共和国</w:t>
                  </w:r>
                  <w:r>
                    <w:rPr>
                      <w:rFonts w:hint="eastAsia"/>
                      <w:bCs/>
                      <w:color w:val="000000"/>
                      <w:szCs w:val="21"/>
                    </w:rPr>
                    <w:t>野生植物保护条例》</w:t>
                  </w:r>
                </w:p>
                <w:p>
                  <w:pPr>
                    <w:pStyle w:val="75"/>
                    <w:spacing w:line="252" w:lineRule="auto"/>
                    <w:jc w:val="both"/>
                    <w:rPr>
                      <w:bCs/>
                      <w:color w:val="000000"/>
                      <w:szCs w:val="21"/>
                    </w:rPr>
                  </w:pPr>
                  <w:r>
                    <w:rPr>
                      <w:bCs/>
                      <w:color w:val="000000"/>
                      <w:szCs w:val="21"/>
                    </w:rPr>
                    <w:t>3.其他有关的地方管理条例、规定</w:t>
                  </w:r>
                </w:p>
              </w:tc>
            </w:tr>
          </w:tbl>
          <w:p>
            <w:pPr>
              <w:numPr>
                <w:ilvl w:val="2"/>
                <w:numId w:val="20"/>
              </w:numPr>
              <w:spacing w:before="120" w:beforeLines="50" w:line="360" w:lineRule="auto"/>
              <w:rPr>
                <w:b/>
                <w:color w:val="000000"/>
                <w:kern w:val="0"/>
                <w:sz w:val="24"/>
                <w:szCs w:val="21"/>
              </w:rPr>
            </w:pPr>
            <w:r>
              <w:rPr>
                <w:b/>
                <w:color w:val="000000"/>
                <w:kern w:val="0"/>
                <w:sz w:val="24"/>
                <w:szCs w:val="21"/>
              </w:rPr>
              <w:t>公众沟通协调应对机制</w:t>
            </w:r>
          </w:p>
          <w:p>
            <w:pPr>
              <w:pStyle w:val="5"/>
              <w:rPr>
                <w:bCs/>
                <w:color w:val="000000"/>
              </w:rPr>
            </w:pPr>
            <w:r>
              <w:rPr>
                <w:bCs/>
                <w:color w:val="000000"/>
              </w:rPr>
              <w:t>针对输变电工程附近由静电引起的电场刺激等实际影响，建设单位或运行单位应在变电站和相关线路附近设置警示标志，并建立该类影响的应对机制。同时，加强同当地群众的宣传、解释和沟通工作，确有必要时采取接地、屏蔽等措施，消除实际影响。</w:t>
            </w:r>
          </w:p>
          <w:p>
            <w:pPr>
              <w:numPr>
                <w:ilvl w:val="1"/>
                <w:numId w:val="20"/>
              </w:numPr>
              <w:spacing w:line="360" w:lineRule="auto"/>
              <w:rPr>
                <w:b/>
                <w:color w:val="000000"/>
                <w:kern w:val="0"/>
                <w:sz w:val="24"/>
                <w:szCs w:val="21"/>
              </w:rPr>
            </w:pPr>
            <w:r>
              <w:rPr>
                <w:b/>
                <w:color w:val="000000"/>
                <w:kern w:val="0"/>
                <w:sz w:val="24"/>
                <w:szCs w:val="21"/>
              </w:rPr>
              <w:t>环境监测</w:t>
            </w:r>
          </w:p>
          <w:p>
            <w:pPr>
              <w:numPr>
                <w:ilvl w:val="2"/>
                <w:numId w:val="20"/>
              </w:numPr>
              <w:spacing w:line="360" w:lineRule="auto"/>
              <w:rPr>
                <w:b/>
                <w:color w:val="000000"/>
                <w:kern w:val="0"/>
                <w:sz w:val="24"/>
                <w:szCs w:val="21"/>
              </w:rPr>
            </w:pPr>
            <w:r>
              <w:rPr>
                <w:b/>
                <w:color w:val="000000"/>
                <w:kern w:val="0"/>
                <w:sz w:val="24"/>
                <w:szCs w:val="21"/>
              </w:rPr>
              <w:t>环境监测任务</w:t>
            </w:r>
          </w:p>
          <w:p>
            <w:pPr>
              <w:pStyle w:val="5"/>
              <w:rPr>
                <w:bCs/>
                <w:color w:val="000000"/>
              </w:rPr>
            </w:pPr>
            <w:r>
              <w:rPr>
                <w:bCs/>
                <w:color w:val="000000"/>
              </w:rPr>
              <w:t>（1）制定监测计划，监测工程施工期和运行期环境要素及评价因子的变化。</w:t>
            </w:r>
          </w:p>
          <w:p>
            <w:pPr>
              <w:pStyle w:val="5"/>
              <w:rPr>
                <w:bCs/>
                <w:color w:val="000000"/>
                <w:highlight w:val="yellow"/>
              </w:rPr>
            </w:pPr>
            <w:r>
              <w:rPr>
                <w:bCs/>
                <w:color w:val="000000"/>
              </w:rPr>
              <w:t>（2）对工程突发的环境事件进行跟踪监测调查。</w:t>
            </w:r>
          </w:p>
          <w:p>
            <w:pPr>
              <w:numPr>
                <w:ilvl w:val="2"/>
                <w:numId w:val="20"/>
              </w:numPr>
              <w:spacing w:line="360" w:lineRule="auto"/>
              <w:rPr>
                <w:b/>
                <w:color w:val="000000"/>
                <w:kern w:val="0"/>
                <w:sz w:val="24"/>
                <w:szCs w:val="21"/>
              </w:rPr>
            </w:pPr>
            <w:r>
              <w:rPr>
                <w:b/>
                <w:color w:val="000000"/>
                <w:kern w:val="0"/>
                <w:sz w:val="24"/>
                <w:szCs w:val="21"/>
              </w:rPr>
              <w:t>监测点位布设</w:t>
            </w:r>
          </w:p>
          <w:p>
            <w:pPr>
              <w:pStyle w:val="5"/>
              <w:rPr>
                <w:bCs/>
                <w:color w:val="000000"/>
              </w:rPr>
            </w:pPr>
            <w:r>
              <w:rPr>
                <w:bCs/>
                <w:color w:val="000000"/>
              </w:rPr>
              <w:t>监测点位应布置在人类活动相对频繁区域。变电站可根据总平面布置，在其厂界及站外相关环境敏感目标设置例行监测点；线路工程监测点可布置在线路附近人为活动较为频繁的区域。具体参照</w:t>
            </w:r>
            <w:r>
              <w:rPr>
                <w:rFonts w:hint="eastAsia"/>
                <w:bCs/>
                <w:color w:val="000000"/>
                <w:lang w:eastAsia="zh-CN"/>
              </w:rPr>
              <w:t>本次</w:t>
            </w:r>
            <w:r>
              <w:rPr>
                <w:bCs/>
                <w:color w:val="000000"/>
              </w:rPr>
              <w:t>环评筛选的典型环境敏感点。</w:t>
            </w:r>
          </w:p>
          <w:p>
            <w:pPr>
              <w:numPr>
                <w:ilvl w:val="2"/>
                <w:numId w:val="20"/>
              </w:numPr>
              <w:spacing w:line="360" w:lineRule="auto"/>
              <w:rPr>
                <w:b/>
                <w:color w:val="000000"/>
                <w:kern w:val="0"/>
                <w:sz w:val="24"/>
                <w:szCs w:val="21"/>
              </w:rPr>
            </w:pPr>
            <w:r>
              <w:rPr>
                <w:b/>
                <w:color w:val="000000"/>
                <w:kern w:val="0"/>
                <w:sz w:val="24"/>
                <w:szCs w:val="21"/>
              </w:rPr>
              <w:t>监测技术要求</w:t>
            </w:r>
          </w:p>
          <w:p>
            <w:pPr>
              <w:pStyle w:val="5"/>
              <w:rPr>
                <w:bCs/>
                <w:color w:val="000000"/>
              </w:rPr>
            </w:pPr>
            <w:r>
              <w:rPr>
                <w:bCs/>
                <w:color w:val="000000"/>
              </w:rPr>
              <w:t>（1）监测范围应与工程影响区域相符。</w:t>
            </w:r>
          </w:p>
          <w:p>
            <w:pPr>
              <w:pStyle w:val="5"/>
              <w:rPr>
                <w:bCs/>
                <w:color w:val="000000"/>
              </w:rPr>
            </w:pPr>
            <w:r>
              <w:rPr>
                <w:bCs/>
                <w:color w:val="000000"/>
              </w:rPr>
              <w:t>（2）监测位置与频次应根据环境影响评价、工程竣工环境保护验收的要求确定。</w:t>
            </w:r>
          </w:p>
          <w:p>
            <w:pPr>
              <w:pStyle w:val="5"/>
              <w:rPr>
                <w:bCs/>
                <w:color w:val="000000"/>
              </w:rPr>
            </w:pPr>
            <w:r>
              <w:rPr>
                <w:bCs/>
                <w:color w:val="000000"/>
              </w:rPr>
              <w:t>（3）监测方法与技术要求应符合国家现行的有关环境监测技术规范和环境监测标准分析方法。</w:t>
            </w:r>
          </w:p>
          <w:p>
            <w:pPr>
              <w:pStyle w:val="5"/>
              <w:ind w:firstLineChars="0"/>
              <w:rPr>
                <w:bCs/>
                <w:color w:val="000000"/>
              </w:rPr>
            </w:pPr>
            <w:r>
              <w:rPr>
                <w:bCs/>
                <w:color w:val="000000"/>
              </w:rPr>
              <w:t>（4）应对监测提出质量保证要求。</w:t>
            </w:r>
          </w:p>
          <w:p>
            <w:pPr>
              <w:numPr>
                <w:ilvl w:val="2"/>
                <w:numId w:val="20"/>
              </w:numPr>
              <w:spacing w:line="360" w:lineRule="auto"/>
              <w:rPr>
                <w:b/>
                <w:color w:val="000000"/>
                <w:kern w:val="0"/>
                <w:sz w:val="24"/>
                <w:szCs w:val="21"/>
              </w:rPr>
            </w:pPr>
            <w:r>
              <w:rPr>
                <w:rFonts w:hint="eastAsia"/>
                <w:b/>
                <w:color w:val="000000"/>
                <w:kern w:val="0"/>
                <w:sz w:val="24"/>
                <w:szCs w:val="21"/>
              </w:rPr>
              <w:t>环境</w:t>
            </w:r>
            <w:r>
              <w:rPr>
                <w:b/>
                <w:color w:val="000000"/>
                <w:kern w:val="0"/>
                <w:sz w:val="24"/>
                <w:szCs w:val="21"/>
              </w:rPr>
              <w:t>监测</w:t>
            </w:r>
            <w:r>
              <w:rPr>
                <w:rFonts w:hint="eastAsia"/>
                <w:b/>
                <w:color w:val="000000"/>
                <w:kern w:val="0"/>
                <w:sz w:val="24"/>
                <w:szCs w:val="21"/>
              </w:rPr>
              <w:t>计划</w:t>
            </w:r>
          </w:p>
          <w:p>
            <w:pPr>
              <w:pStyle w:val="78"/>
              <w:rPr>
                <w:rStyle w:val="59"/>
                <w:rFonts w:ascii="Times New Roman" w:hAnsi="Times New Roman"/>
                <w:bCs/>
                <w:color w:val="000000"/>
              </w:rPr>
            </w:pPr>
            <w:r>
              <w:rPr>
                <w:rStyle w:val="59"/>
                <w:rFonts w:ascii="Times New Roman" w:hAnsi="Times New Roman"/>
                <w:bCs/>
                <w:color w:val="000000"/>
              </w:rPr>
              <w:t>（1）电磁环境监测</w:t>
            </w:r>
          </w:p>
          <w:p>
            <w:pPr>
              <w:pStyle w:val="78"/>
              <w:rPr>
                <w:rStyle w:val="59"/>
                <w:rFonts w:ascii="Times New Roman" w:hAnsi="Times New Roman"/>
                <w:bCs/>
                <w:color w:val="000000"/>
              </w:rPr>
            </w:pPr>
            <w:r>
              <w:rPr>
                <w:rStyle w:val="59"/>
                <w:rFonts w:ascii="Times New Roman" w:hAnsi="Times New Roman"/>
                <w:bCs/>
                <w:color w:val="000000"/>
              </w:rPr>
              <w:t>1）监测项目：工频电场、工频磁场</w:t>
            </w:r>
          </w:p>
          <w:p>
            <w:pPr>
              <w:pStyle w:val="78"/>
              <w:rPr>
                <w:rStyle w:val="59"/>
                <w:rFonts w:ascii="Times New Roman" w:hAnsi="Times New Roman"/>
                <w:bCs/>
                <w:color w:val="000000"/>
              </w:rPr>
            </w:pPr>
            <w:r>
              <w:rPr>
                <w:rStyle w:val="59"/>
                <w:rFonts w:ascii="Times New Roman" w:hAnsi="Times New Roman"/>
                <w:bCs/>
                <w:color w:val="000000"/>
              </w:rPr>
              <w:t>2）监测方法：按《交流输变电工程电磁环境监测方法（试行）》（HJ681-2013）中的方法进行。</w:t>
            </w:r>
          </w:p>
          <w:p>
            <w:pPr>
              <w:pStyle w:val="78"/>
              <w:rPr>
                <w:rStyle w:val="59"/>
                <w:rFonts w:ascii="Times New Roman" w:hAnsi="Times New Roman"/>
                <w:bCs/>
                <w:color w:val="000000"/>
              </w:rPr>
            </w:pPr>
            <w:r>
              <w:rPr>
                <w:rStyle w:val="59"/>
                <w:rFonts w:ascii="Times New Roman" w:hAnsi="Times New Roman"/>
                <w:bCs/>
                <w:color w:val="000000"/>
              </w:rPr>
              <w:t>3）监测时间：</w:t>
            </w:r>
            <w:r>
              <w:rPr>
                <w:rStyle w:val="59"/>
                <w:rFonts w:hint="eastAsia" w:ascii="Times New Roman" w:hAnsi="Times New Roman"/>
                <w:bCs/>
                <w:color w:val="000000"/>
              </w:rPr>
              <w:t>①</w:t>
            </w:r>
            <w:r>
              <w:rPr>
                <w:rStyle w:val="59"/>
                <w:rFonts w:ascii="Times New Roman" w:hAnsi="Times New Roman"/>
                <w:bCs/>
                <w:color w:val="000000"/>
              </w:rPr>
              <w:t>工程</w:t>
            </w:r>
            <w:r>
              <w:rPr>
                <w:rStyle w:val="59"/>
                <w:rFonts w:hint="eastAsia" w:ascii="Times New Roman" w:hAnsi="Times New Roman"/>
                <w:bCs/>
              </w:rPr>
              <w:t>调试运行</w:t>
            </w:r>
            <w:r>
              <w:rPr>
                <w:rStyle w:val="59"/>
                <w:rFonts w:ascii="Times New Roman" w:hAnsi="Times New Roman"/>
                <w:bCs/>
                <w:color w:val="000000"/>
              </w:rPr>
              <w:t>后第一年结合竣工环境保护验收监测一次</w:t>
            </w:r>
            <w:r>
              <w:rPr>
                <w:rStyle w:val="59"/>
                <w:rFonts w:hint="eastAsia" w:ascii="Times New Roman" w:hAnsi="Times New Roman"/>
                <w:bCs/>
                <w:color w:val="000000"/>
              </w:rPr>
              <w:t>；②运行期间存在投诉或纠纷时进行监测；③例行环境监测计划或生态环境主管部门要求时进行监测</w:t>
            </w:r>
            <w:r>
              <w:rPr>
                <w:rStyle w:val="59"/>
                <w:rFonts w:ascii="Times New Roman" w:hAnsi="Times New Roman"/>
                <w:bCs/>
                <w:color w:val="000000"/>
              </w:rPr>
              <w:t>。</w:t>
            </w:r>
          </w:p>
          <w:p>
            <w:pPr>
              <w:pStyle w:val="78"/>
              <w:rPr>
                <w:rStyle w:val="59"/>
                <w:rFonts w:ascii="Times New Roman" w:hAnsi="Times New Roman"/>
                <w:bCs/>
                <w:color w:val="000000"/>
              </w:rPr>
            </w:pPr>
            <w:r>
              <w:rPr>
                <w:rStyle w:val="59"/>
                <w:rFonts w:ascii="Times New Roman" w:hAnsi="Times New Roman"/>
                <w:bCs/>
                <w:color w:val="000000"/>
              </w:rPr>
              <w:t>4）监测频次：各拟定点位监测一次。</w:t>
            </w:r>
          </w:p>
          <w:p>
            <w:pPr>
              <w:pStyle w:val="78"/>
              <w:rPr>
                <w:rStyle w:val="59"/>
                <w:rFonts w:ascii="Times New Roman" w:hAnsi="Times New Roman"/>
                <w:bCs/>
                <w:color w:val="000000"/>
              </w:rPr>
            </w:pPr>
            <w:r>
              <w:rPr>
                <w:rStyle w:val="59"/>
                <w:rFonts w:ascii="Times New Roman" w:hAnsi="Times New Roman"/>
                <w:bCs/>
                <w:color w:val="000000"/>
              </w:rPr>
              <w:t>（2）噪声</w:t>
            </w:r>
            <w:r>
              <w:rPr>
                <w:rStyle w:val="59"/>
                <w:rFonts w:hint="eastAsia" w:ascii="Times New Roman" w:hAnsi="Times New Roman"/>
                <w:bCs/>
                <w:color w:val="000000"/>
              </w:rPr>
              <w:t>监测</w:t>
            </w:r>
          </w:p>
          <w:p>
            <w:pPr>
              <w:pStyle w:val="78"/>
              <w:rPr>
                <w:rStyle w:val="59"/>
                <w:rFonts w:ascii="Times New Roman" w:hAnsi="Times New Roman"/>
                <w:bCs/>
                <w:color w:val="000000"/>
              </w:rPr>
            </w:pPr>
            <w:r>
              <w:rPr>
                <w:rStyle w:val="59"/>
                <w:rFonts w:ascii="Times New Roman" w:hAnsi="Times New Roman"/>
                <w:bCs/>
                <w:color w:val="000000"/>
              </w:rPr>
              <w:t>1）监测项目：等效连续A声级。</w:t>
            </w:r>
          </w:p>
          <w:p>
            <w:pPr>
              <w:pStyle w:val="78"/>
              <w:rPr>
                <w:rStyle w:val="59"/>
                <w:rFonts w:ascii="Times New Roman" w:hAnsi="Times New Roman"/>
                <w:bCs/>
                <w:color w:val="000000"/>
              </w:rPr>
            </w:pPr>
            <w:r>
              <w:rPr>
                <w:rStyle w:val="59"/>
                <w:rFonts w:ascii="Times New Roman" w:hAnsi="Times New Roman"/>
                <w:bCs/>
                <w:color w:val="000000"/>
              </w:rPr>
              <w:t>2）监测方法：</w:t>
            </w:r>
            <w:r>
              <w:rPr>
                <w:rStyle w:val="59"/>
                <w:rFonts w:hint="eastAsia" w:ascii="Times New Roman" w:hAnsi="Times New Roman"/>
                <w:bCs/>
                <w:color w:val="000000"/>
              </w:rPr>
              <w:t>按《工业企业厂界环境噪声排放标准》（GB12348-2008）、《声环境质量标准》（GB3096-2008）中的监测方法进行</w:t>
            </w:r>
            <w:r>
              <w:rPr>
                <w:rStyle w:val="59"/>
                <w:rFonts w:ascii="Times New Roman" w:hAnsi="Times New Roman"/>
                <w:bCs/>
                <w:color w:val="000000"/>
              </w:rPr>
              <w:t>。</w:t>
            </w:r>
          </w:p>
          <w:p>
            <w:pPr>
              <w:pStyle w:val="78"/>
              <w:rPr>
                <w:rStyle w:val="59"/>
                <w:rFonts w:ascii="Times New Roman" w:hAnsi="Times New Roman"/>
                <w:bCs/>
                <w:color w:val="000000"/>
              </w:rPr>
            </w:pPr>
            <w:r>
              <w:rPr>
                <w:rStyle w:val="59"/>
                <w:rFonts w:ascii="Times New Roman" w:hAnsi="Times New Roman"/>
                <w:bCs/>
                <w:color w:val="000000"/>
              </w:rPr>
              <w:t>3）监测时间：</w:t>
            </w:r>
            <w:r>
              <w:rPr>
                <w:rStyle w:val="59"/>
                <w:rFonts w:hint="eastAsia" w:ascii="Times New Roman" w:hAnsi="Times New Roman"/>
                <w:bCs/>
                <w:color w:val="000000"/>
              </w:rPr>
              <w:t>①工程</w:t>
            </w:r>
            <w:r>
              <w:rPr>
                <w:rStyle w:val="59"/>
                <w:rFonts w:hint="eastAsia" w:ascii="Times New Roman" w:hAnsi="Times New Roman"/>
                <w:bCs/>
              </w:rPr>
              <w:t>调试运行</w:t>
            </w:r>
            <w:r>
              <w:rPr>
                <w:rStyle w:val="59"/>
                <w:rFonts w:hint="eastAsia" w:ascii="Times New Roman" w:hAnsi="Times New Roman"/>
                <w:bCs/>
                <w:color w:val="000000"/>
              </w:rPr>
              <w:t>后第一年结合竣工环境保护验收监测一次；②运行期间存在投诉或纠纷时进行监测；③例行环境监测计划或生态环境主管部门要求时进行监测。</w:t>
            </w:r>
          </w:p>
          <w:p>
            <w:pPr>
              <w:pStyle w:val="78"/>
              <w:rPr>
                <w:rStyle w:val="59"/>
                <w:rFonts w:ascii="Times New Roman" w:hAnsi="Times New Roman"/>
                <w:bCs/>
                <w:color w:val="000000"/>
              </w:rPr>
            </w:pPr>
            <w:r>
              <w:rPr>
                <w:rStyle w:val="59"/>
                <w:rFonts w:ascii="Times New Roman" w:hAnsi="Times New Roman"/>
                <w:bCs/>
                <w:color w:val="000000"/>
              </w:rPr>
              <w:t>4）监测频次：各拟定点位昼夜间各监测一次。</w:t>
            </w:r>
          </w:p>
          <w:p>
            <w:pPr>
              <w:pStyle w:val="9"/>
              <w:spacing w:line="360" w:lineRule="auto"/>
              <w:ind w:firstLine="480"/>
              <w:rPr>
                <w:rStyle w:val="59"/>
                <w:rFonts w:ascii="Times New Roman"/>
                <w:bCs/>
                <w:color w:val="000000"/>
              </w:rPr>
            </w:pPr>
            <w:r>
              <w:rPr>
                <w:rStyle w:val="59"/>
                <w:rFonts w:hint="eastAsia" w:ascii="Times New Roman"/>
                <w:bCs/>
                <w:color w:val="000000"/>
              </w:rPr>
              <w:t>电磁环境、</w:t>
            </w:r>
            <w:r>
              <w:rPr>
                <w:rStyle w:val="59"/>
                <w:rFonts w:ascii="Times New Roman"/>
                <w:bCs/>
                <w:color w:val="000000"/>
              </w:rPr>
              <w:t>声环境监测计划见</w:t>
            </w:r>
            <w:r>
              <w:rPr>
                <w:rStyle w:val="59"/>
                <w:rFonts w:ascii="Times New Roman"/>
                <w:b w:val="0"/>
                <w:bCs w:val="0"/>
                <w:color w:val="000000"/>
                <w:sz w:val="24"/>
                <w:szCs w:val="24"/>
              </w:rPr>
              <w:fldChar w:fldCharType="begin"/>
            </w:r>
            <w:r>
              <w:rPr>
                <w:b w:val="0"/>
                <w:bCs w:val="0"/>
              </w:rPr>
              <w:instrText xml:space="preserve"> REF _Ref157243798 \h  \* MERGEFORMAT</w:instrText>
            </w:r>
            <w:r>
              <w:rPr>
                <w:rStyle w:val="59"/>
                <w:rFonts w:ascii="Times New Roman"/>
                <w:b w:val="0"/>
                <w:bCs w:val="0"/>
                <w:color w:val="000000"/>
                <w:sz w:val="24"/>
                <w:szCs w:val="24"/>
              </w:rPr>
              <w:fldChar w:fldCharType="separate"/>
            </w:r>
            <w:r>
              <w:rPr>
                <w:rFonts w:ascii="Times New Roman" w:hAnsi="Times New Roman" w:eastAsia="宋体"/>
                <w:b w:val="0"/>
                <w:bCs w:val="0"/>
                <w:sz w:val="24"/>
                <w:szCs w:val="24"/>
              </w:rPr>
              <w:t>表31</w:t>
            </w:r>
            <w:r>
              <w:rPr>
                <w:rStyle w:val="59"/>
                <w:rFonts w:ascii="Times New Roman"/>
                <w:b w:val="0"/>
                <w:bCs w:val="0"/>
                <w:color w:val="000000"/>
                <w:sz w:val="24"/>
                <w:szCs w:val="24"/>
              </w:rPr>
              <w:fldChar w:fldCharType="end"/>
            </w:r>
            <w:r>
              <w:rPr>
                <w:rStyle w:val="59"/>
                <w:rFonts w:hint="eastAsia" w:ascii="Times New Roman"/>
                <w:bCs/>
                <w:color w:val="000000"/>
              </w:rPr>
              <w:t>。</w:t>
            </w:r>
          </w:p>
          <w:p>
            <w:pPr>
              <w:pStyle w:val="10"/>
              <w:keepNext/>
              <w:jc w:val="left"/>
              <w:rPr>
                <w:rFonts w:ascii="Times New Roman" w:hAnsi="Times New Roman" w:eastAsia="宋体"/>
                <w:b/>
              </w:rPr>
            </w:pPr>
            <w:bookmarkStart w:id="621" w:name="_Ref157243798"/>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31</w:t>
            </w:r>
            <w:r>
              <w:rPr>
                <w:rFonts w:ascii="Times New Roman" w:hAnsi="Times New Roman" w:eastAsia="宋体"/>
                <w:b/>
              </w:rPr>
              <w:fldChar w:fldCharType="end"/>
            </w:r>
            <w:bookmarkEnd w:id="621"/>
            <w:r>
              <w:rPr>
                <w:rFonts w:hint="eastAsia" w:ascii="Times New Roman" w:hAnsi="Times New Roman" w:eastAsia="宋体"/>
                <w:b/>
              </w:rPr>
              <w:t xml:space="preserve"> </w:t>
            </w:r>
            <w:r>
              <w:rPr>
                <w:rFonts w:ascii="Times New Roman" w:hAnsi="Times New Roman" w:eastAsia="宋体"/>
                <w:b/>
              </w:rPr>
              <w:t>电磁环境、声环境监测计划要求一览表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
              <w:gridCol w:w="900"/>
              <w:gridCol w:w="783"/>
              <w:gridCol w:w="3066"/>
              <w:gridCol w:w="1716"/>
              <w:gridCol w:w="11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96" w:type="dxa"/>
                  <w:gridSpan w:val="2"/>
                  <w:vAlign w:val="center"/>
                </w:tcPr>
                <w:p>
                  <w:pPr>
                    <w:pStyle w:val="106"/>
                    <w:spacing w:line="240" w:lineRule="auto"/>
                    <w:rPr>
                      <w:rFonts w:ascii="Times New Roman" w:cs="Times New Roman"/>
                      <w:bCs/>
                      <w:color w:val="000000"/>
                    </w:rPr>
                  </w:pPr>
                  <w:r>
                    <w:rPr>
                      <w:rFonts w:ascii="Times New Roman" w:cs="Times New Roman"/>
                      <w:bCs/>
                      <w:color w:val="000000"/>
                    </w:rPr>
                    <w:t>监测内容</w:t>
                  </w:r>
                </w:p>
              </w:tc>
              <w:tc>
                <w:tcPr>
                  <w:tcW w:w="3850" w:type="dxa"/>
                  <w:gridSpan w:val="2"/>
                  <w:vAlign w:val="center"/>
                </w:tcPr>
                <w:p>
                  <w:pPr>
                    <w:pStyle w:val="106"/>
                    <w:spacing w:line="240" w:lineRule="auto"/>
                    <w:rPr>
                      <w:rFonts w:ascii="Times New Roman" w:cs="Times New Roman"/>
                      <w:bCs/>
                      <w:color w:val="000000"/>
                    </w:rPr>
                  </w:pPr>
                  <w:r>
                    <w:rPr>
                      <w:rFonts w:ascii="Times New Roman" w:cs="Times New Roman"/>
                      <w:bCs/>
                      <w:color w:val="000000"/>
                    </w:rPr>
                    <w:t>监测布点</w:t>
                  </w:r>
                </w:p>
              </w:tc>
              <w:tc>
                <w:tcPr>
                  <w:tcW w:w="1717" w:type="dxa"/>
                  <w:vAlign w:val="center"/>
                </w:tcPr>
                <w:p>
                  <w:pPr>
                    <w:pStyle w:val="106"/>
                    <w:spacing w:line="240" w:lineRule="auto"/>
                    <w:rPr>
                      <w:rFonts w:ascii="Times New Roman" w:cs="Times New Roman"/>
                      <w:bCs/>
                      <w:color w:val="000000"/>
                    </w:rPr>
                  </w:pPr>
                  <w:r>
                    <w:rPr>
                      <w:rFonts w:ascii="Times New Roman" w:cs="Times New Roman"/>
                      <w:bCs/>
                      <w:color w:val="000000"/>
                    </w:rPr>
                    <w:t>监测时间</w:t>
                  </w:r>
                </w:p>
              </w:tc>
              <w:tc>
                <w:tcPr>
                  <w:tcW w:w="1123" w:type="dxa"/>
                  <w:vAlign w:val="center"/>
                </w:tcPr>
                <w:p>
                  <w:pPr>
                    <w:pStyle w:val="106"/>
                    <w:spacing w:line="240" w:lineRule="auto"/>
                    <w:rPr>
                      <w:rFonts w:ascii="Times New Roman" w:cs="Times New Roman"/>
                      <w:bCs/>
                      <w:color w:val="000000"/>
                    </w:rPr>
                  </w:pPr>
                  <w:r>
                    <w:rPr>
                      <w:rFonts w:ascii="Times New Roman" w:cs="Times New Roman"/>
                      <w:bCs/>
                      <w:color w:val="000000"/>
                    </w:rPr>
                    <w:t>监测项目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6" w:hRule="atLeast"/>
                <w:jc w:val="center"/>
              </w:trPr>
              <w:tc>
                <w:tcPr>
                  <w:tcW w:w="596" w:type="dxa"/>
                  <w:vMerge w:val="restart"/>
                  <w:vAlign w:val="center"/>
                </w:tcPr>
                <w:p>
                  <w:pPr>
                    <w:pStyle w:val="106"/>
                    <w:spacing w:line="240" w:lineRule="auto"/>
                    <w:rPr>
                      <w:rFonts w:ascii="Times New Roman" w:cs="Times New Roman"/>
                      <w:bCs/>
                      <w:color w:val="000000"/>
                    </w:rPr>
                  </w:pPr>
                  <w:r>
                    <w:rPr>
                      <w:rFonts w:ascii="Times New Roman" w:cs="Times New Roman"/>
                      <w:bCs/>
                      <w:color w:val="000000"/>
                    </w:rPr>
                    <w:t>运行期</w:t>
                  </w:r>
                </w:p>
              </w:tc>
              <w:tc>
                <w:tcPr>
                  <w:tcW w:w="900" w:type="dxa"/>
                  <w:vMerge w:val="restart"/>
                  <w:vAlign w:val="center"/>
                </w:tcPr>
                <w:p>
                  <w:pPr>
                    <w:pStyle w:val="106"/>
                    <w:spacing w:line="240" w:lineRule="auto"/>
                    <w:rPr>
                      <w:rFonts w:ascii="Times New Roman" w:cs="Times New Roman"/>
                      <w:bCs/>
                      <w:color w:val="000000"/>
                    </w:rPr>
                  </w:pPr>
                  <w:r>
                    <w:rPr>
                      <w:rFonts w:ascii="Times New Roman" w:cs="Times New Roman"/>
                      <w:bCs/>
                      <w:color w:val="000000"/>
                    </w:rPr>
                    <w:t>工频电场、工频磁场</w:t>
                  </w:r>
                </w:p>
              </w:tc>
              <w:tc>
                <w:tcPr>
                  <w:tcW w:w="783" w:type="dxa"/>
                  <w:vAlign w:val="center"/>
                </w:tcPr>
                <w:p>
                  <w:pPr>
                    <w:pStyle w:val="106"/>
                    <w:spacing w:line="240" w:lineRule="auto"/>
                    <w:rPr>
                      <w:rFonts w:ascii="Times New Roman" w:cs="Times New Roman"/>
                      <w:bCs/>
                      <w:color w:val="000000"/>
                    </w:rPr>
                  </w:pPr>
                  <w:r>
                    <w:rPr>
                      <w:rFonts w:hint="eastAsia" w:ascii="Times New Roman" w:cs="Times New Roman"/>
                      <w:bCs/>
                      <w:color w:val="000000"/>
                    </w:rPr>
                    <w:t>变电站</w:t>
                  </w:r>
                </w:p>
              </w:tc>
              <w:tc>
                <w:tcPr>
                  <w:tcW w:w="3067" w:type="dxa"/>
                  <w:vAlign w:val="center"/>
                </w:tcPr>
                <w:p>
                  <w:pPr>
                    <w:pStyle w:val="106"/>
                    <w:spacing w:line="240" w:lineRule="auto"/>
                    <w:jc w:val="both"/>
                    <w:rPr>
                      <w:rFonts w:ascii="Times New Roman" w:cs="Times New Roman"/>
                      <w:bCs/>
                      <w:color w:val="000000"/>
                      <w:szCs w:val="21"/>
                    </w:rPr>
                  </w:pPr>
                  <w:r>
                    <w:rPr>
                      <w:rFonts w:hint="eastAsia" w:ascii="Times New Roman" w:cs="Times New Roman"/>
                      <w:bCs/>
                      <w:color w:val="000000"/>
                      <w:szCs w:val="21"/>
                    </w:rPr>
                    <w:t>变电站厂界</w:t>
                  </w:r>
                  <w:r>
                    <w:rPr>
                      <w:rFonts w:ascii="Times New Roman" w:cs="Times New Roman"/>
                      <w:bCs/>
                      <w:color w:val="000000"/>
                      <w:szCs w:val="21"/>
                    </w:rPr>
                    <w:t>四周各</w:t>
                  </w:r>
                  <w:r>
                    <w:rPr>
                      <w:rFonts w:hint="eastAsia" w:ascii="Times New Roman" w:cs="Times New Roman"/>
                      <w:bCs/>
                      <w:color w:val="000000"/>
                      <w:szCs w:val="21"/>
                    </w:rPr>
                    <w:t>均匀布设至少1个</w:t>
                  </w:r>
                  <w:r>
                    <w:rPr>
                      <w:rFonts w:ascii="Times New Roman" w:cs="Times New Roman"/>
                      <w:bCs/>
                      <w:color w:val="000000"/>
                      <w:szCs w:val="21"/>
                    </w:rPr>
                    <w:t>监测点</w:t>
                  </w:r>
                  <w:r>
                    <w:rPr>
                      <w:rFonts w:hint="eastAsia" w:ascii="Times New Roman" w:cs="Times New Roman"/>
                      <w:bCs/>
                      <w:color w:val="000000"/>
                      <w:szCs w:val="21"/>
                    </w:rPr>
                    <w:t>，</w:t>
                  </w:r>
                  <w:r>
                    <w:rPr>
                      <w:rFonts w:ascii="Times New Roman" w:cs="Times New Roman"/>
                      <w:bCs/>
                      <w:color w:val="000000"/>
                      <w:szCs w:val="21"/>
                    </w:rPr>
                    <w:t>在</w:t>
                  </w:r>
                  <w:r>
                    <w:rPr>
                      <w:rFonts w:hint="eastAsia" w:ascii="Times New Roman" w:cs="Times New Roman"/>
                      <w:bCs/>
                      <w:color w:val="000000"/>
                      <w:szCs w:val="21"/>
                    </w:rPr>
                    <w:t>高压侧</w:t>
                  </w:r>
                  <w:r>
                    <w:rPr>
                      <w:rFonts w:ascii="Times New Roman" w:cs="Times New Roman"/>
                      <w:bCs/>
                      <w:color w:val="000000"/>
                      <w:szCs w:val="21"/>
                    </w:rPr>
                    <w:t>或距</w:t>
                  </w:r>
                  <w:r>
                    <w:rPr>
                      <w:rFonts w:hint="eastAsia" w:ascii="Times New Roman" w:cs="Times New Roman"/>
                      <w:bCs/>
                      <w:color w:val="000000"/>
                      <w:szCs w:val="21"/>
                    </w:rPr>
                    <w:t>带电</w:t>
                  </w:r>
                  <w:r>
                    <w:rPr>
                      <w:rFonts w:ascii="Times New Roman" w:cs="Times New Roman"/>
                      <w:bCs/>
                      <w:color w:val="000000"/>
                      <w:szCs w:val="21"/>
                    </w:rPr>
                    <w:t>构架较近的围墙侧</w:t>
                  </w:r>
                  <w:r>
                    <w:rPr>
                      <w:rFonts w:hint="eastAsia" w:ascii="Times New Roman" w:cs="Times New Roman"/>
                      <w:bCs/>
                      <w:color w:val="000000"/>
                      <w:szCs w:val="21"/>
                    </w:rPr>
                    <w:t>适当</w:t>
                  </w:r>
                  <w:r>
                    <w:rPr>
                      <w:rFonts w:ascii="Times New Roman" w:cs="Times New Roman"/>
                      <w:bCs/>
                      <w:color w:val="000000"/>
                      <w:szCs w:val="21"/>
                    </w:rPr>
                    <w:t>增加监测点位</w:t>
                  </w:r>
                  <w:r>
                    <w:rPr>
                      <w:rFonts w:hint="eastAsia" w:ascii="Times New Roman" w:cs="Times New Roman"/>
                      <w:bCs/>
                      <w:color w:val="000000"/>
                      <w:szCs w:val="21"/>
                    </w:rPr>
                    <w:t>；</w:t>
                  </w:r>
                  <w:r>
                    <w:rPr>
                      <w:rFonts w:ascii="Times New Roman" w:cs="Times New Roman"/>
                      <w:bCs/>
                      <w:color w:val="000000"/>
                      <w:szCs w:val="21"/>
                    </w:rPr>
                    <w:t>垂直</w:t>
                  </w:r>
                  <w:r>
                    <w:rPr>
                      <w:rFonts w:hint="eastAsia" w:ascii="Times New Roman" w:cs="Times New Roman"/>
                      <w:bCs/>
                      <w:color w:val="000000"/>
                      <w:szCs w:val="21"/>
                    </w:rPr>
                    <w:t>进出线围墙</w:t>
                  </w:r>
                  <w:r>
                    <w:rPr>
                      <w:rFonts w:ascii="Times New Roman" w:cs="Times New Roman"/>
                      <w:bCs/>
                      <w:color w:val="000000"/>
                      <w:szCs w:val="21"/>
                    </w:rPr>
                    <w:t>布置监测断面，以5m间隔布置测点，测至50m处。</w:t>
                  </w:r>
                </w:p>
              </w:tc>
              <w:tc>
                <w:tcPr>
                  <w:tcW w:w="1717" w:type="dxa"/>
                  <w:vMerge w:val="restart"/>
                  <w:vAlign w:val="center"/>
                </w:tcPr>
                <w:p>
                  <w:pPr>
                    <w:pStyle w:val="106"/>
                    <w:spacing w:line="240" w:lineRule="auto"/>
                    <w:jc w:val="both"/>
                    <w:rPr>
                      <w:rFonts w:ascii="Times New Roman" w:cs="Times New Roman"/>
                      <w:bCs/>
                      <w:color w:val="000000"/>
                      <w:szCs w:val="21"/>
                    </w:rPr>
                  </w:pPr>
                  <w:r>
                    <w:rPr>
                      <w:rStyle w:val="59"/>
                      <w:bCs/>
                      <w:color w:val="000000"/>
                      <w:sz w:val="21"/>
                      <w:szCs w:val="21"/>
                    </w:rPr>
                    <w:t>工</w:t>
                  </w:r>
                  <w:r>
                    <w:rPr>
                      <w:rStyle w:val="59"/>
                      <w:rFonts w:hint="eastAsia" w:ascii="Times New Roman" w:cs="Times New Roman"/>
                      <w:bCs/>
                      <w:color w:val="000000"/>
                      <w:sz w:val="21"/>
                      <w:szCs w:val="21"/>
                    </w:rPr>
                    <w:t>程调试运行后第一年结合竣工环境保护验收监测一次；②运行期间存在投诉或纠纷时进行监测；③例行环境监测计划或生态环境主管部门要求时进行监测</w:t>
                  </w:r>
                  <w:r>
                    <w:rPr>
                      <w:rStyle w:val="59"/>
                      <w:rFonts w:hint="eastAsia" w:cs="Times New Roman" w:asciiTheme="minorEastAsia" w:hAnsiTheme="minorEastAsia" w:eastAsiaTheme="minorEastAsia"/>
                      <w:bCs/>
                      <w:color w:val="000000"/>
                      <w:sz w:val="21"/>
                      <w:szCs w:val="21"/>
                    </w:rPr>
                    <w:t>；</w:t>
                  </w:r>
                  <w:r>
                    <w:rPr>
                      <w:rFonts w:hint="eastAsia" w:ascii="Times New Roman" w:cs="Times New Roman"/>
                      <w:bCs/>
                      <w:color w:val="000000"/>
                      <w:szCs w:val="21"/>
                    </w:rPr>
                    <w:t>主要声源大修前后。</w:t>
                  </w:r>
                </w:p>
              </w:tc>
              <w:tc>
                <w:tcPr>
                  <w:tcW w:w="1123" w:type="dxa"/>
                  <w:vMerge w:val="restart"/>
                  <w:vAlign w:val="center"/>
                </w:tcPr>
                <w:p>
                  <w:pPr>
                    <w:pStyle w:val="106"/>
                    <w:spacing w:line="240" w:lineRule="auto"/>
                    <w:rPr>
                      <w:rFonts w:ascii="Times New Roman" w:cs="Times New Roman"/>
                      <w:bCs/>
                      <w:color w:val="000000"/>
                    </w:rPr>
                  </w:pPr>
                  <w:r>
                    <w:rPr>
                      <w:rFonts w:ascii="Times New Roman" w:cs="Times New Roman"/>
                      <w:bCs/>
                      <w:color w:val="000000"/>
                    </w:rPr>
                    <w:t>工频电场</w:t>
                  </w:r>
                </w:p>
                <w:p>
                  <w:pPr>
                    <w:pStyle w:val="106"/>
                    <w:spacing w:line="240" w:lineRule="auto"/>
                    <w:rPr>
                      <w:rFonts w:ascii="Times New Roman" w:cs="Times New Roman"/>
                      <w:bCs/>
                      <w:color w:val="000000"/>
                    </w:rPr>
                  </w:pPr>
                  <w:r>
                    <w:rPr>
                      <w:rFonts w:ascii="Times New Roman" w:cs="Times New Roman"/>
                      <w:bCs/>
                      <w:color w:val="000000"/>
                    </w:rPr>
                    <w:t>工频磁场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596" w:type="dxa"/>
                  <w:vMerge w:val="continue"/>
                  <w:vAlign w:val="center"/>
                </w:tcPr>
                <w:p>
                  <w:pPr>
                    <w:pStyle w:val="106"/>
                    <w:spacing w:line="240" w:lineRule="auto"/>
                    <w:rPr>
                      <w:rFonts w:ascii="Times New Roman" w:cs="Times New Roman"/>
                      <w:bCs/>
                      <w:color w:val="000000"/>
                    </w:rPr>
                  </w:pPr>
                </w:p>
              </w:tc>
              <w:tc>
                <w:tcPr>
                  <w:tcW w:w="900" w:type="dxa"/>
                  <w:vMerge w:val="continue"/>
                  <w:vAlign w:val="center"/>
                </w:tcPr>
                <w:p>
                  <w:pPr>
                    <w:pStyle w:val="106"/>
                    <w:spacing w:line="240" w:lineRule="auto"/>
                    <w:rPr>
                      <w:rFonts w:ascii="Times New Roman" w:cs="Times New Roman"/>
                      <w:bCs/>
                      <w:color w:val="000000"/>
                    </w:rPr>
                  </w:pPr>
                </w:p>
              </w:tc>
              <w:tc>
                <w:tcPr>
                  <w:tcW w:w="783" w:type="dxa"/>
                  <w:vAlign w:val="center"/>
                </w:tcPr>
                <w:p>
                  <w:pPr>
                    <w:pStyle w:val="106"/>
                    <w:spacing w:line="240" w:lineRule="auto"/>
                    <w:rPr>
                      <w:rFonts w:ascii="Times New Roman" w:cs="Times New Roman"/>
                      <w:bCs/>
                      <w:color w:val="000000"/>
                    </w:rPr>
                  </w:pPr>
                  <w:r>
                    <w:rPr>
                      <w:rFonts w:hint="eastAsia" w:ascii="Times New Roman" w:cs="Times New Roman"/>
                      <w:bCs/>
                      <w:color w:val="000000"/>
                    </w:rPr>
                    <w:t>线路</w:t>
                  </w:r>
                </w:p>
              </w:tc>
              <w:tc>
                <w:tcPr>
                  <w:tcW w:w="3067" w:type="dxa"/>
                  <w:vAlign w:val="center"/>
                </w:tcPr>
                <w:p>
                  <w:pPr>
                    <w:pStyle w:val="106"/>
                    <w:spacing w:line="240" w:lineRule="auto"/>
                    <w:jc w:val="both"/>
                    <w:rPr>
                      <w:rFonts w:ascii="Times New Roman" w:cs="Times New Roman"/>
                      <w:bCs/>
                      <w:color w:val="000000"/>
                    </w:rPr>
                  </w:pPr>
                  <w:r>
                    <w:rPr>
                      <w:rFonts w:ascii="Times New Roman" w:cs="Times New Roman"/>
                      <w:bCs/>
                      <w:color w:val="000000"/>
                    </w:rPr>
                    <w:t>线路沿线环境敏感点各布设</w:t>
                  </w:r>
                  <w:r>
                    <w:rPr>
                      <w:rFonts w:hint="eastAsia" w:ascii="Times New Roman" w:cs="Times New Roman"/>
                      <w:bCs/>
                      <w:color w:val="000000"/>
                    </w:rPr>
                    <w:t>监测</w:t>
                  </w:r>
                  <w:r>
                    <w:rPr>
                      <w:rFonts w:ascii="Times New Roman" w:cs="Times New Roman"/>
                      <w:bCs/>
                      <w:color w:val="000000"/>
                    </w:rPr>
                    <w:t>点；垂直线路布置监测断面，以5m间隔布置测点，测至50m处。</w:t>
                  </w:r>
                </w:p>
              </w:tc>
              <w:tc>
                <w:tcPr>
                  <w:tcW w:w="1717" w:type="dxa"/>
                  <w:vMerge w:val="continue"/>
                  <w:vAlign w:val="center"/>
                </w:tcPr>
                <w:p>
                  <w:pPr>
                    <w:pStyle w:val="106"/>
                    <w:spacing w:line="240" w:lineRule="auto"/>
                    <w:rPr>
                      <w:rFonts w:ascii="Times New Roman" w:cs="Times New Roman"/>
                      <w:bCs/>
                      <w:color w:val="000000"/>
                    </w:rPr>
                  </w:pPr>
                </w:p>
              </w:tc>
              <w:tc>
                <w:tcPr>
                  <w:tcW w:w="1123" w:type="dxa"/>
                  <w:vMerge w:val="continue"/>
                  <w:vAlign w:val="center"/>
                </w:tcPr>
                <w:p>
                  <w:pPr>
                    <w:pStyle w:val="106"/>
                    <w:spacing w:line="240" w:lineRule="auto"/>
                    <w:rPr>
                      <w:rFonts w:ascii="Times New Roman" w:cs="Times New Roman"/>
                      <w:bCs/>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596" w:type="dxa"/>
                  <w:vMerge w:val="continue"/>
                  <w:vAlign w:val="center"/>
                </w:tcPr>
                <w:p>
                  <w:pPr>
                    <w:pStyle w:val="106"/>
                    <w:spacing w:line="240" w:lineRule="auto"/>
                    <w:rPr>
                      <w:rFonts w:ascii="Times New Roman" w:cs="Times New Roman"/>
                      <w:bCs/>
                      <w:color w:val="000000"/>
                    </w:rPr>
                  </w:pPr>
                </w:p>
              </w:tc>
              <w:tc>
                <w:tcPr>
                  <w:tcW w:w="900" w:type="dxa"/>
                  <w:vMerge w:val="restart"/>
                  <w:vAlign w:val="center"/>
                </w:tcPr>
                <w:p>
                  <w:pPr>
                    <w:pStyle w:val="106"/>
                    <w:spacing w:line="240" w:lineRule="auto"/>
                    <w:rPr>
                      <w:rFonts w:ascii="Times New Roman" w:cs="Times New Roman"/>
                      <w:bCs/>
                      <w:color w:val="000000"/>
                    </w:rPr>
                  </w:pPr>
                  <w:r>
                    <w:rPr>
                      <w:rFonts w:ascii="Times New Roman" w:cs="Times New Roman"/>
                      <w:bCs/>
                      <w:color w:val="000000"/>
                    </w:rPr>
                    <w:t>噪声</w:t>
                  </w:r>
                </w:p>
              </w:tc>
              <w:tc>
                <w:tcPr>
                  <w:tcW w:w="783" w:type="dxa"/>
                  <w:vAlign w:val="center"/>
                </w:tcPr>
                <w:p>
                  <w:pPr>
                    <w:pStyle w:val="106"/>
                    <w:spacing w:line="240" w:lineRule="auto"/>
                    <w:rPr>
                      <w:rFonts w:ascii="Times New Roman" w:cs="Times New Roman"/>
                      <w:bCs/>
                      <w:color w:val="000000"/>
                    </w:rPr>
                  </w:pPr>
                  <w:r>
                    <w:rPr>
                      <w:rFonts w:hint="eastAsia" w:ascii="Times New Roman" w:cs="Times New Roman"/>
                      <w:bCs/>
                      <w:color w:val="000000"/>
                    </w:rPr>
                    <w:t>变电站</w:t>
                  </w:r>
                </w:p>
              </w:tc>
              <w:tc>
                <w:tcPr>
                  <w:tcW w:w="3067" w:type="dxa"/>
                  <w:vAlign w:val="center"/>
                </w:tcPr>
                <w:p>
                  <w:pPr>
                    <w:pStyle w:val="106"/>
                    <w:spacing w:line="240" w:lineRule="auto"/>
                    <w:jc w:val="both"/>
                    <w:rPr>
                      <w:rFonts w:ascii="Times New Roman" w:cs="Times New Roman"/>
                      <w:bCs/>
                      <w:color w:val="000000"/>
                    </w:rPr>
                  </w:pPr>
                  <w:r>
                    <w:rPr>
                      <w:rFonts w:hint="eastAsia" w:ascii="Times New Roman" w:cs="Times New Roman"/>
                      <w:bCs/>
                      <w:color w:val="000000"/>
                    </w:rPr>
                    <w:t>变电站厂界</w:t>
                  </w:r>
                  <w:r>
                    <w:rPr>
                      <w:rFonts w:ascii="Times New Roman" w:cs="Times New Roman"/>
                      <w:bCs/>
                      <w:color w:val="000000"/>
                    </w:rPr>
                    <w:t>四周各</w:t>
                  </w:r>
                  <w:r>
                    <w:rPr>
                      <w:rFonts w:hint="eastAsia" w:ascii="Times New Roman" w:cs="Times New Roman"/>
                      <w:bCs/>
                      <w:color w:val="000000"/>
                    </w:rPr>
                    <w:t>均匀布设至少1个</w:t>
                  </w:r>
                  <w:r>
                    <w:rPr>
                      <w:rFonts w:ascii="Times New Roman" w:cs="Times New Roman"/>
                      <w:bCs/>
                      <w:color w:val="000000"/>
                    </w:rPr>
                    <w:t>监测点位。</w:t>
                  </w:r>
                </w:p>
              </w:tc>
              <w:tc>
                <w:tcPr>
                  <w:tcW w:w="1717" w:type="dxa"/>
                  <w:vMerge w:val="restart"/>
                  <w:vAlign w:val="center"/>
                </w:tcPr>
                <w:p>
                  <w:pPr>
                    <w:pStyle w:val="106"/>
                    <w:spacing w:line="240" w:lineRule="auto"/>
                    <w:rPr>
                      <w:rFonts w:ascii="Times New Roman" w:cs="Times New Roman"/>
                      <w:bCs/>
                      <w:color w:val="000000"/>
                    </w:rPr>
                  </w:pPr>
                  <w:r>
                    <w:rPr>
                      <w:rFonts w:ascii="Times New Roman" w:cs="Times New Roman"/>
                      <w:bCs/>
                      <w:color w:val="000000"/>
                    </w:rPr>
                    <w:t>与电磁监测同时进行</w:t>
                  </w:r>
                </w:p>
              </w:tc>
              <w:tc>
                <w:tcPr>
                  <w:tcW w:w="1123" w:type="dxa"/>
                  <w:vMerge w:val="restart"/>
                  <w:vAlign w:val="center"/>
                </w:tcPr>
                <w:p>
                  <w:pPr>
                    <w:pStyle w:val="106"/>
                    <w:spacing w:line="240" w:lineRule="auto"/>
                    <w:rPr>
                      <w:rFonts w:ascii="Times New Roman" w:cs="Times New Roman"/>
                      <w:bCs/>
                      <w:color w:val="000000"/>
                    </w:rPr>
                  </w:pPr>
                  <w:r>
                    <w:rPr>
                      <w:rFonts w:ascii="Times New Roman" w:cs="Times New Roman"/>
                      <w:bCs/>
                      <w:color w:val="000000"/>
                    </w:rPr>
                    <w:t>等效连续</w:t>
                  </w:r>
                  <w:r>
                    <w:rPr>
                      <w:rFonts w:hint="eastAsia" w:ascii="Times New Roman" w:cs="Times New Roman"/>
                      <w:bCs/>
                      <w:color w:val="000000"/>
                    </w:rPr>
                    <w:t>A</w:t>
                  </w:r>
                  <w:r>
                    <w:rPr>
                      <w:rFonts w:ascii="Times New Roman" w:cs="Times New Roman"/>
                      <w:bCs/>
                      <w:color w:val="000000"/>
                    </w:rPr>
                    <w:t>声级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596" w:type="dxa"/>
                  <w:vMerge w:val="continue"/>
                  <w:vAlign w:val="center"/>
                </w:tcPr>
                <w:p>
                  <w:pPr>
                    <w:pStyle w:val="106"/>
                    <w:spacing w:line="240" w:lineRule="auto"/>
                    <w:rPr>
                      <w:rFonts w:ascii="Times New Roman" w:cs="Times New Roman"/>
                      <w:bCs/>
                      <w:color w:val="000000"/>
                      <w:u w:val="single"/>
                    </w:rPr>
                  </w:pPr>
                </w:p>
              </w:tc>
              <w:tc>
                <w:tcPr>
                  <w:tcW w:w="900" w:type="dxa"/>
                  <w:vMerge w:val="continue"/>
                  <w:vAlign w:val="center"/>
                </w:tcPr>
                <w:p>
                  <w:pPr>
                    <w:pStyle w:val="106"/>
                    <w:spacing w:line="240" w:lineRule="auto"/>
                    <w:rPr>
                      <w:rFonts w:ascii="Times New Roman" w:cs="Times New Roman"/>
                      <w:bCs/>
                      <w:color w:val="000000"/>
                      <w:u w:val="single"/>
                    </w:rPr>
                  </w:pPr>
                </w:p>
              </w:tc>
              <w:tc>
                <w:tcPr>
                  <w:tcW w:w="783" w:type="dxa"/>
                  <w:vAlign w:val="center"/>
                </w:tcPr>
                <w:p>
                  <w:pPr>
                    <w:pStyle w:val="106"/>
                    <w:spacing w:line="240" w:lineRule="auto"/>
                    <w:rPr>
                      <w:rFonts w:ascii="Times New Roman" w:cs="Times New Roman"/>
                      <w:bCs/>
                      <w:color w:val="000000"/>
                    </w:rPr>
                  </w:pPr>
                  <w:r>
                    <w:rPr>
                      <w:rFonts w:hint="eastAsia" w:ascii="Times New Roman" w:cs="Times New Roman"/>
                      <w:bCs/>
                      <w:color w:val="000000"/>
                    </w:rPr>
                    <w:t>线路</w:t>
                  </w:r>
                </w:p>
              </w:tc>
              <w:tc>
                <w:tcPr>
                  <w:tcW w:w="3067" w:type="dxa"/>
                  <w:vAlign w:val="center"/>
                </w:tcPr>
                <w:p>
                  <w:pPr>
                    <w:pStyle w:val="106"/>
                    <w:spacing w:line="240" w:lineRule="auto"/>
                    <w:rPr>
                      <w:rFonts w:ascii="Times New Roman" w:cs="Times New Roman"/>
                      <w:bCs/>
                      <w:color w:val="000000"/>
                    </w:rPr>
                  </w:pPr>
                  <w:r>
                    <w:rPr>
                      <w:rFonts w:ascii="Times New Roman" w:cs="Times New Roman"/>
                      <w:bCs/>
                      <w:color w:val="000000"/>
                    </w:rPr>
                    <w:t>线路沿线环境敏感点各布设</w:t>
                  </w:r>
                  <w:r>
                    <w:rPr>
                      <w:rFonts w:hint="eastAsia" w:ascii="Times New Roman" w:cs="Times New Roman"/>
                      <w:bCs/>
                      <w:color w:val="000000"/>
                    </w:rPr>
                    <w:t>监测</w:t>
                  </w:r>
                  <w:r>
                    <w:rPr>
                      <w:rFonts w:ascii="Times New Roman" w:cs="Times New Roman"/>
                      <w:bCs/>
                      <w:color w:val="000000"/>
                    </w:rPr>
                    <w:t>点。</w:t>
                  </w:r>
                </w:p>
              </w:tc>
              <w:tc>
                <w:tcPr>
                  <w:tcW w:w="1717" w:type="dxa"/>
                  <w:vMerge w:val="continue"/>
                  <w:vAlign w:val="center"/>
                </w:tcPr>
                <w:p>
                  <w:pPr>
                    <w:pStyle w:val="106"/>
                    <w:spacing w:line="240" w:lineRule="auto"/>
                    <w:rPr>
                      <w:rFonts w:ascii="Times New Roman" w:cs="Times New Roman"/>
                      <w:bCs/>
                      <w:color w:val="000000"/>
                      <w:u w:val="single"/>
                    </w:rPr>
                  </w:pPr>
                </w:p>
              </w:tc>
              <w:tc>
                <w:tcPr>
                  <w:tcW w:w="1123" w:type="dxa"/>
                  <w:vMerge w:val="continue"/>
                  <w:vAlign w:val="center"/>
                </w:tcPr>
                <w:p>
                  <w:pPr>
                    <w:pStyle w:val="106"/>
                    <w:spacing w:line="240" w:lineRule="auto"/>
                    <w:rPr>
                      <w:rFonts w:ascii="Times New Roman" w:cs="Times New Roman"/>
                      <w:bCs/>
                      <w:color w:val="000000"/>
                      <w:u w:val="single"/>
                    </w:rPr>
                  </w:pPr>
                </w:p>
              </w:tc>
            </w:tr>
          </w:tbl>
          <w:p>
            <w:pPr>
              <w:numPr>
                <w:ilvl w:val="1"/>
                <w:numId w:val="20"/>
              </w:numPr>
              <w:spacing w:line="360" w:lineRule="auto"/>
              <w:rPr>
                <w:b/>
                <w:kern w:val="0"/>
                <w:sz w:val="24"/>
                <w:szCs w:val="21"/>
              </w:rPr>
            </w:pPr>
            <w:r>
              <w:rPr>
                <w:b/>
                <w:kern w:val="0"/>
                <w:sz w:val="24"/>
                <w:szCs w:val="21"/>
              </w:rPr>
              <w:t>信息公开</w:t>
            </w:r>
          </w:p>
          <w:p>
            <w:pPr>
              <w:pStyle w:val="5"/>
              <w:rPr>
                <w:rStyle w:val="84"/>
                <w:rFonts w:hint="eastAsia" w:cs="Times New Roman"/>
                <w:bCs/>
                <w:sz w:val="24"/>
              </w:rPr>
            </w:pPr>
            <w:r>
              <w:rPr>
                <w:rStyle w:val="84"/>
                <w:rFonts w:ascii="Times New Roman" w:eastAsia="宋体" w:cs="Times New Roman"/>
                <w:bCs/>
                <w:sz w:val="24"/>
              </w:rPr>
              <w:t>信息公开本工程应执行《关于强化建设项目环境影响评价事中事后监督的实施意见》、《建设项目环境影响评价信息公开机制方案》等法规，应当建立健全本单位环境信息公开制度，指定机构负责本单位环境信息公开日常工作，将本单位环境信息进行全面的公开，包括</w:t>
            </w:r>
            <w:r>
              <w:rPr>
                <w:rStyle w:val="84"/>
                <w:rFonts w:hint="eastAsia" w:ascii="Times New Roman" w:eastAsia="宋体" w:cs="Times New Roman"/>
                <w:bCs/>
                <w:sz w:val="24"/>
              </w:rPr>
              <w:t>：</w:t>
            </w:r>
            <w:r>
              <w:rPr>
                <w:rStyle w:val="84"/>
                <w:rFonts w:hint="eastAsia" w:ascii="宋体" w:hAnsi="宋体" w:eastAsia="宋体" w:cs="宋体"/>
                <w:bCs/>
                <w:sz w:val="24"/>
              </w:rPr>
              <w:t>①</w:t>
            </w:r>
            <w:r>
              <w:rPr>
                <w:rStyle w:val="84"/>
                <w:rFonts w:ascii="Times New Roman" w:eastAsia="宋体" w:cs="Times New Roman"/>
                <w:bCs/>
                <w:sz w:val="24"/>
              </w:rPr>
              <w:t>公开环境影响报告表编制</w:t>
            </w:r>
            <w:r>
              <w:rPr>
                <w:rStyle w:val="84"/>
                <w:rFonts w:hint="eastAsia" w:ascii="宋体" w:hAnsi="宋体" w:eastAsia="宋体" w:cs="宋体"/>
                <w:bCs/>
                <w:sz w:val="24"/>
              </w:rPr>
              <w:t>信息及全本</w:t>
            </w:r>
            <w:r>
              <w:rPr>
                <w:rStyle w:val="84"/>
                <w:rFonts w:hint="eastAsia" w:ascii="Times New Roman" w:eastAsia="宋体" w:cs="Times New Roman"/>
                <w:bCs/>
                <w:sz w:val="24"/>
              </w:rPr>
              <w:t>；</w:t>
            </w:r>
            <w:r>
              <w:rPr>
                <w:rStyle w:val="84"/>
                <w:rFonts w:hint="eastAsia" w:ascii="宋体" w:hAnsi="宋体" w:eastAsia="宋体" w:cs="宋体"/>
                <w:bCs/>
                <w:sz w:val="24"/>
              </w:rPr>
              <w:t>②</w:t>
            </w:r>
            <w:r>
              <w:rPr>
                <w:rStyle w:val="84"/>
                <w:rFonts w:ascii="Times New Roman" w:eastAsia="宋体" w:cs="Times New Roman"/>
                <w:bCs/>
                <w:sz w:val="24"/>
              </w:rPr>
              <w:t>公开建设项目开工前</w:t>
            </w:r>
            <w:r>
              <w:rPr>
                <w:rStyle w:val="84"/>
                <w:rFonts w:hint="eastAsia" w:cs="Times New Roman"/>
                <w:bCs/>
                <w:sz w:val="24"/>
              </w:rPr>
              <w:t>、</w:t>
            </w:r>
            <w:r>
              <w:rPr>
                <w:rStyle w:val="84"/>
                <w:rFonts w:hint="eastAsia" w:ascii="宋体" w:hAnsi="宋体" w:eastAsia="宋体" w:cs="宋体"/>
                <w:bCs/>
                <w:sz w:val="24"/>
              </w:rPr>
              <w:t>施工过程中、建成后</w:t>
            </w:r>
            <w:r>
              <w:rPr>
                <w:rStyle w:val="84"/>
                <w:rFonts w:ascii="Times New Roman" w:eastAsia="宋体" w:cs="Times New Roman"/>
                <w:bCs/>
                <w:sz w:val="24"/>
              </w:rPr>
              <w:t>的信息</w:t>
            </w:r>
            <w:r>
              <w:rPr>
                <w:rStyle w:val="84"/>
                <w:rFonts w:hint="eastAsia" w:cs="Times New Roman"/>
                <w:bCs/>
                <w:sz w:val="24"/>
              </w:rPr>
              <w:t>。</w:t>
            </w: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p>
            <w:pPr>
              <w:pStyle w:val="5"/>
              <w:rPr>
                <w:rStyle w:val="84"/>
                <w:rFonts w:hint="eastAsia" w:cs="Times New Roman"/>
                <w:bCs/>
                <w:sz w:val="24"/>
              </w:rPr>
            </w:pPr>
          </w:p>
        </w:tc>
      </w:tr>
    </w:tbl>
    <w:p>
      <w:pPr>
        <w:tabs>
          <w:tab w:val="left" w:pos="1275"/>
        </w:tabs>
        <w:rPr>
          <w:color w:val="000000"/>
          <w:highlight w:val="yellow"/>
        </w:rPr>
        <w:sectPr>
          <w:pgSz w:w="11907" w:h="16840"/>
          <w:pgMar w:top="1440" w:right="1797" w:bottom="1440" w:left="1797" w:header="851" w:footer="1077" w:gutter="0"/>
          <w:cols w:space="720" w:num="1"/>
          <w:docGrid w:linePitch="312" w:charSpace="0"/>
        </w:sectPr>
      </w:pPr>
    </w:p>
    <w:p>
      <w:pPr>
        <w:pStyle w:val="33"/>
        <w:spacing w:before="0" w:beforeAutospacing="0" w:after="0" w:afterAutospacing="0"/>
        <w:jc w:val="center"/>
        <w:outlineLvl w:val="0"/>
        <w:rPr>
          <w:rFonts w:ascii="Times New Roman" w:hAnsi="Times New Roman"/>
          <w:b/>
          <w:bCs/>
          <w:snapToGrid w:val="0"/>
          <w:color w:val="000000"/>
          <w:sz w:val="32"/>
          <w:szCs w:val="32"/>
        </w:rPr>
      </w:pPr>
      <w:bookmarkStart w:id="622" w:name="_Toc20307"/>
      <w:bookmarkStart w:id="623" w:name="_Toc10913"/>
      <w:bookmarkStart w:id="624" w:name="_Toc111564329"/>
      <w:r>
        <w:rPr>
          <w:rFonts w:ascii="Times New Roman" w:hAnsi="Times New Roman"/>
          <w:b/>
          <w:bCs/>
          <w:snapToGrid w:val="0"/>
          <w:color w:val="000000"/>
          <w:sz w:val="32"/>
          <w:szCs w:val="32"/>
        </w:rPr>
        <w:t>六、生态环境保护措施监督检查清单</w:t>
      </w:r>
      <w:bookmarkEnd w:id="622"/>
      <w:bookmarkEnd w:id="623"/>
      <w:bookmarkEnd w:id="624"/>
    </w:p>
    <w:tbl>
      <w:tblPr>
        <w:tblStyle w:val="37"/>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5358"/>
        <w:gridCol w:w="4384"/>
        <w:gridCol w:w="1943"/>
        <w:gridCol w:w="194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25" w:type="pct"/>
            <w:vMerge w:val="restart"/>
            <w:tcBorders>
              <w:tl2br w:val="single" w:color="auto" w:sz="4" w:space="0"/>
            </w:tcBorders>
          </w:tcPr>
          <w:p>
            <w:pPr>
              <w:spacing w:before="240"/>
              <w:jc w:val="right"/>
              <w:rPr>
                <w:b/>
                <w:color w:val="000000"/>
              </w:rPr>
            </w:pPr>
            <w:bookmarkStart w:id="625" w:name="_Toc85037246"/>
            <w:bookmarkStart w:id="626" w:name="_Toc96031397"/>
            <w:bookmarkStart w:id="627" w:name="_Toc85036912"/>
            <w:bookmarkStart w:id="628" w:name="_Toc96935434"/>
            <w:bookmarkStart w:id="629" w:name="_Toc109472639"/>
            <w:bookmarkStart w:id="630" w:name="_Toc95464688"/>
            <w:bookmarkStart w:id="631" w:name="_Toc88558549"/>
            <w:bookmarkStart w:id="632" w:name="_Toc81415645"/>
            <w:bookmarkStart w:id="633" w:name="_Toc97290604"/>
            <w:bookmarkStart w:id="634" w:name="_Toc96031314"/>
            <w:bookmarkStart w:id="635" w:name="_Toc91493286"/>
            <w:bookmarkStart w:id="636" w:name="_Toc81308173"/>
            <w:bookmarkStart w:id="637" w:name="_Toc91532193"/>
            <w:bookmarkStart w:id="638" w:name="_Toc19289"/>
            <w:r>
              <w:rPr>
                <w:b/>
                <w:color w:val="000000"/>
              </w:rPr>
              <w:t>内容</w:t>
            </w:r>
            <w:bookmarkEnd w:id="625"/>
            <w:bookmarkEnd w:id="626"/>
            <w:bookmarkEnd w:id="627"/>
            <w:bookmarkEnd w:id="628"/>
            <w:bookmarkEnd w:id="629"/>
            <w:bookmarkEnd w:id="630"/>
            <w:bookmarkEnd w:id="631"/>
            <w:bookmarkEnd w:id="632"/>
            <w:bookmarkEnd w:id="633"/>
            <w:bookmarkEnd w:id="634"/>
            <w:bookmarkEnd w:id="635"/>
            <w:bookmarkEnd w:id="636"/>
            <w:bookmarkEnd w:id="637"/>
          </w:p>
          <w:p>
            <w:pPr>
              <w:jc w:val="center"/>
              <w:rPr>
                <w:b/>
                <w:color w:val="000000"/>
              </w:rPr>
            </w:pPr>
          </w:p>
          <w:bookmarkEnd w:id="638"/>
          <w:p>
            <w:pPr>
              <w:jc w:val="center"/>
              <w:rPr>
                <w:b/>
                <w:color w:val="000000"/>
              </w:rPr>
            </w:pPr>
            <w:bookmarkStart w:id="639" w:name="_Toc96031315"/>
            <w:bookmarkStart w:id="640" w:name="_Toc97290605"/>
            <w:bookmarkStart w:id="641" w:name="_Toc13946"/>
            <w:bookmarkStart w:id="642" w:name="_Toc109472640"/>
            <w:bookmarkStart w:id="643" w:name="_Toc96935435"/>
            <w:bookmarkStart w:id="644" w:name="_Toc88558550"/>
            <w:bookmarkStart w:id="645" w:name="_Toc85037247"/>
            <w:bookmarkStart w:id="646" w:name="_Toc96031398"/>
            <w:bookmarkStart w:id="647" w:name="_Toc95464689"/>
            <w:bookmarkStart w:id="648" w:name="_Toc91532194"/>
            <w:bookmarkStart w:id="649" w:name="_Toc91493287"/>
            <w:bookmarkStart w:id="650" w:name="_Toc81415646"/>
            <w:bookmarkStart w:id="651" w:name="_Toc81308174"/>
            <w:bookmarkStart w:id="652" w:name="_Toc85036913"/>
            <w:r>
              <w:rPr>
                <w:b/>
                <w:color w:val="000000"/>
              </w:rPr>
              <w:t>要素</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tc>
        <w:tc>
          <w:tcPr>
            <w:tcW w:w="3269" w:type="pct"/>
            <w:gridSpan w:val="2"/>
            <w:vAlign w:val="center"/>
          </w:tcPr>
          <w:p>
            <w:pPr>
              <w:jc w:val="center"/>
              <w:rPr>
                <w:b/>
                <w:color w:val="000000"/>
              </w:rPr>
            </w:pPr>
            <w:bookmarkStart w:id="653" w:name="_Toc81308175"/>
            <w:bookmarkStart w:id="654" w:name="_Toc85036914"/>
            <w:bookmarkStart w:id="655" w:name="_Toc95464690"/>
            <w:bookmarkStart w:id="656" w:name="_Toc109472641"/>
            <w:bookmarkStart w:id="657" w:name="_Toc20829"/>
            <w:bookmarkStart w:id="658" w:name="_Toc81415647"/>
            <w:bookmarkStart w:id="659" w:name="_Toc96031316"/>
            <w:bookmarkStart w:id="660" w:name="_Toc91532195"/>
            <w:bookmarkStart w:id="661" w:name="_Toc85037248"/>
            <w:bookmarkStart w:id="662" w:name="_Toc97290606"/>
            <w:bookmarkStart w:id="663" w:name="_Toc88558551"/>
            <w:bookmarkStart w:id="664" w:name="_Toc91493288"/>
            <w:bookmarkStart w:id="665" w:name="_Toc96031399"/>
            <w:bookmarkStart w:id="666" w:name="_Toc96935436"/>
            <w:r>
              <w:rPr>
                <w:b/>
                <w:color w:val="000000"/>
              </w:rPr>
              <w:t>施工期</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tc>
        <w:tc>
          <w:tcPr>
            <w:tcW w:w="1304" w:type="pct"/>
            <w:gridSpan w:val="2"/>
            <w:vAlign w:val="center"/>
          </w:tcPr>
          <w:p>
            <w:pPr>
              <w:jc w:val="center"/>
              <w:rPr>
                <w:b/>
                <w:color w:val="000000"/>
              </w:rPr>
            </w:pPr>
            <w:bookmarkStart w:id="667" w:name="_Toc96031400"/>
            <w:bookmarkStart w:id="668" w:name="_Toc109472642"/>
            <w:bookmarkStart w:id="669" w:name="_Toc91532196"/>
            <w:bookmarkStart w:id="670" w:name="_Toc96031317"/>
            <w:bookmarkStart w:id="671" w:name="_Toc91493289"/>
            <w:bookmarkStart w:id="672" w:name="_Toc95464691"/>
            <w:bookmarkStart w:id="673" w:name="_Toc85036915"/>
            <w:bookmarkStart w:id="674" w:name="_Toc81415648"/>
            <w:bookmarkStart w:id="675" w:name="_Toc88558552"/>
            <w:bookmarkStart w:id="676" w:name="_Toc85037249"/>
            <w:bookmarkStart w:id="677" w:name="_Toc6352"/>
            <w:bookmarkStart w:id="678" w:name="_Toc81308176"/>
            <w:bookmarkStart w:id="679" w:name="_Toc97290607"/>
            <w:bookmarkStart w:id="680" w:name="_Toc96935437"/>
            <w:r>
              <w:rPr>
                <w:b/>
                <w:color w:val="000000"/>
              </w:rPr>
              <w:t>运行期</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425" w:type="pct"/>
            <w:vMerge w:val="continue"/>
          </w:tcPr>
          <w:p>
            <w:pPr>
              <w:jc w:val="center"/>
              <w:rPr>
                <w:b/>
                <w:color w:val="000000"/>
              </w:rPr>
            </w:pPr>
          </w:p>
        </w:tc>
        <w:tc>
          <w:tcPr>
            <w:tcW w:w="1798" w:type="pct"/>
            <w:vAlign w:val="center"/>
          </w:tcPr>
          <w:p>
            <w:pPr>
              <w:jc w:val="center"/>
              <w:rPr>
                <w:b/>
                <w:color w:val="000000"/>
              </w:rPr>
            </w:pPr>
            <w:bookmarkStart w:id="681" w:name="_Toc96935438"/>
            <w:bookmarkStart w:id="682" w:name="_Toc81415649"/>
            <w:bookmarkStart w:id="683" w:name="_Toc85037250"/>
            <w:bookmarkStart w:id="684" w:name="_Toc109472643"/>
            <w:bookmarkStart w:id="685" w:name="_Toc95464692"/>
            <w:bookmarkStart w:id="686" w:name="_Toc96031318"/>
            <w:bookmarkStart w:id="687" w:name="_Toc85036916"/>
            <w:bookmarkStart w:id="688" w:name="_Toc13139"/>
            <w:bookmarkStart w:id="689" w:name="_Toc88558553"/>
            <w:bookmarkStart w:id="690" w:name="_Toc91532197"/>
            <w:bookmarkStart w:id="691" w:name="_Toc97290608"/>
            <w:bookmarkStart w:id="692" w:name="_Toc81308177"/>
            <w:bookmarkStart w:id="693" w:name="_Toc91493290"/>
            <w:bookmarkStart w:id="694" w:name="_Toc96031401"/>
            <w:r>
              <w:rPr>
                <w:b/>
                <w:color w:val="000000"/>
              </w:rPr>
              <w:t>环境保护措施</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tc>
        <w:tc>
          <w:tcPr>
            <w:tcW w:w="1470" w:type="pct"/>
            <w:vAlign w:val="center"/>
          </w:tcPr>
          <w:p>
            <w:pPr>
              <w:jc w:val="center"/>
              <w:rPr>
                <w:b/>
                <w:color w:val="000000"/>
              </w:rPr>
            </w:pPr>
            <w:bookmarkStart w:id="695" w:name="_Toc91493291"/>
            <w:bookmarkStart w:id="696" w:name="_Toc85036917"/>
            <w:bookmarkStart w:id="697" w:name="_Toc88558554"/>
            <w:bookmarkStart w:id="698" w:name="_Toc9642"/>
            <w:bookmarkStart w:id="699" w:name="_Toc81415650"/>
            <w:bookmarkStart w:id="700" w:name="_Toc96935439"/>
            <w:bookmarkStart w:id="701" w:name="_Toc95464693"/>
            <w:bookmarkStart w:id="702" w:name="_Toc96031402"/>
            <w:bookmarkStart w:id="703" w:name="_Toc91532198"/>
            <w:bookmarkStart w:id="704" w:name="_Toc97290609"/>
            <w:bookmarkStart w:id="705" w:name="_Toc81308178"/>
            <w:bookmarkStart w:id="706" w:name="_Toc96031319"/>
            <w:bookmarkStart w:id="707" w:name="_Toc85037251"/>
            <w:bookmarkStart w:id="708" w:name="_Toc109472644"/>
            <w:r>
              <w:rPr>
                <w:b/>
                <w:color w:val="000000"/>
              </w:rPr>
              <w:t>验收要求</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tc>
        <w:tc>
          <w:tcPr>
            <w:tcW w:w="652" w:type="pct"/>
            <w:vAlign w:val="center"/>
          </w:tcPr>
          <w:p>
            <w:pPr>
              <w:jc w:val="center"/>
              <w:rPr>
                <w:b/>
                <w:color w:val="000000"/>
              </w:rPr>
            </w:pPr>
            <w:bookmarkStart w:id="709" w:name="_Toc96935440"/>
            <w:bookmarkStart w:id="710" w:name="_Toc91532199"/>
            <w:bookmarkStart w:id="711" w:name="_Toc96031403"/>
            <w:bookmarkStart w:id="712" w:name="_Toc85037252"/>
            <w:bookmarkStart w:id="713" w:name="_Toc95464694"/>
            <w:bookmarkStart w:id="714" w:name="_Toc81415651"/>
            <w:bookmarkStart w:id="715" w:name="_Toc109472645"/>
            <w:bookmarkStart w:id="716" w:name="_Toc96031320"/>
            <w:bookmarkStart w:id="717" w:name="_Toc97290610"/>
            <w:bookmarkStart w:id="718" w:name="_Toc85036918"/>
            <w:bookmarkStart w:id="719" w:name="_Toc91493292"/>
            <w:bookmarkStart w:id="720" w:name="_Toc88558555"/>
            <w:bookmarkStart w:id="721" w:name="_Toc81308179"/>
            <w:bookmarkStart w:id="722" w:name="_Toc2994"/>
            <w:r>
              <w:rPr>
                <w:b/>
                <w:color w:val="000000"/>
              </w:rPr>
              <w:t>环境保护措施</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tc>
        <w:tc>
          <w:tcPr>
            <w:tcW w:w="652" w:type="pct"/>
            <w:vAlign w:val="center"/>
          </w:tcPr>
          <w:p>
            <w:pPr>
              <w:jc w:val="center"/>
              <w:rPr>
                <w:b/>
                <w:color w:val="000000"/>
              </w:rPr>
            </w:pPr>
            <w:bookmarkStart w:id="723" w:name="_Toc81415652"/>
            <w:bookmarkStart w:id="724" w:name="_Toc85037253"/>
            <w:bookmarkStart w:id="725" w:name="_Toc85036919"/>
            <w:bookmarkStart w:id="726" w:name="_Toc96935441"/>
            <w:bookmarkStart w:id="727" w:name="_Toc96031404"/>
            <w:bookmarkStart w:id="728" w:name="_Toc95464695"/>
            <w:bookmarkStart w:id="729" w:name="_Toc109472646"/>
            <w:bookmarkStart w:id="730" w:name="_Toc96031321"/>
            <w:bookmarkStart w:id="731" w:name="_Toc91493293"/>
            <w:bookmarkStart w:id="732" w:name="_Toc88558556"/>
            <w:bookmarkStart w:id="733" w:name="_Toc81308180"/>
            <w:bookmarkStart w:id="734" w:name="_Toc97290611"/>
            <w:bookmarkStart w:id="735" w:name="_Toc91532200"/>
            <w:bookmarkStart w:id="736" w:name="_Toc23138"/>
            <w:r>
              <w:rPr>
                <w:b/>
                <w:color w:val="000000"/>
              </w:rPr>
              <w:t>验收要求</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5" w:type="pct"/>
            <w:vAlign w:val="center"/>
          </w:tcPr>
          <w:p>
            <w:pPr>
              <w:jc w:val="center"/>
              <w:rPr>
                <w:b/>
                <w:color w:val="000000"/>
              </w:rPr>
            </w:pPr>
            <w:r>
              <w:rPr>
                <w:b/>
                <w:color w:val="000000"/>
              </w:rPr>
              <w:t>陆生生态</w:t>
            </w:r>
          </w:p>
        </w:tc>
        <w:tc>
          <w:tcPr>
            <w:tcW w:w="1798" w:type="pct"/>
            <w:vAlign w:val="center"/>
          </w:tcPr>
          <w:p>
            <w:r>
              <w:t>（1）土地占用保护</w:t>
            </w:r>
            <w:r>
              <w:rPr>
                <w:rFonts w:hint="eastAsia"/>
              </w:rPr>
              <w:t>措施</w:t>
            </w:r>
          </w:p>
          <w:p>
            <w:r>
              <w:rPr>
                <w:rFonts w:hint="eastAsia"/>
              </w:rPr>
              <w:t>1）变电站工程土地占用保护措施</w:t>
            </w:r>
          </w:p>
          <w:p>
            <w:r>
              <w:fldChar w:fldCharType="begin"/>
            </w:r>
            <w:r>
              <w:instrText xml:space="preserve"> </w:instrText>
            </w:r>
            <w:r>
              <w:rPr>
                <w:rFonts w:hint="eastAsia"/>
              </w:rPr>
              <w:instrText xml:space="preserve">= 1 \* GB3</w:instrText>
            </w:r>
            <w:r>
              <w:instrText xml:space="preserve"> </w:instrText>
            </w:r>
            <w:r>
              <w:fldChar w:fldCharType="separate"/>
            </w:r>
            <w:r>
              <w:rPr>
                <w:rFonts w:hint="eastAsia"/>
              </w:rPr>
              <w:t>①</w:t>
            </w:r>
            <w:r>
              <w:fldChar w:fldCharType="end"/>
            </w:r>
            <w:r>
              <w:rPr>
                <w:rFonts w:hint="eastAsia"/>
              </w:rPr>
              <w:t>站区</w:t>
            </w:r>
          </w:p>
          <w:p>
            <w:r>
              <w:rPr>
                <w:rFonts w:hint="eastAsia"/>
              </w:rPr>
              <w:t>站区施工前进行表土剥离，剥离的表土临时堆放在施工生产生活区进行防护，施工过程中对临时堆土采取彩条布铺垫、密目网苫盖、编织袋装土压脚，沿临时堆土场及施工场地布设临时土质排水沟，排水沟末端设置临时沉沙池。</w:t>
            </w:r>
          </w:p>
          <w:p>
            <w:r>
              <w:fldChar w:fldCharType="begin"/>
            </w:r>
            <w:r>
              <w:instrText xml:space="preserve"> </w:instrText>
            </w:r>
            <w:r>
              <w:rPr>
                <w:rFonts w:hint="eastAsia"/>
              </w:rPr>
              <w:instrText xml:space="preserve">= 2 \* GB3</w:instrText>
            </w:r>
            <w:r>
              <w:instrText xml:space="preserve"> </w:instrText>
            </w:r>
            <w:r>
              <w:fldChar w:fldCharType="separate"/>
            </w:r>
            <w:r>
              <w:rPr>
                <w:rFonts w:hint="eastAsia"/>
              </w:rPr>
              <w:t>②</w:t>
            </w:r>
            <w:r>
              <w:fldChar w:fldCharType="end"/>
            </w:r>
            <w:r>
              <w:rPr>
                <w:rFonts w:hint="eastAsia"/>
              </w:rPr>
              <w:t>进站道路区</w:t>
            </w:r>
          </w:p>
          <w:p>
            <w:r>
              <w:rPr>
                <w:rFonts w:hint="eastAsia"/>
              </w:rPr>
              <w:t>进站道路区施工前进行表土剥离，剥离表土临时堆放在施工生产生活区进行防护，沿道路侧布设临时排水沟、临时沉沙池。</w:t>
            </w:r>
          </w:p>
          <w:p>
            <w:r>
              <w:rPr>
                <w:rFonts w:hint="eastAsia"/>
              </w:rPr>
              <w:t>③施工生产生活区</w:t>
            </w:r>
          </w:p>
          <w:p>
            <w:r>
              <w:rPr>
                <w:rFonts w:hint="eastAsia"/>
              </w:rPr>
              <w:t>施工生产生活区施工前对扰动区域剥离表土，剥离的表土临时堆放在施工生产生活区临时堆土场，施工过程中对临时堆土采取密目网苫盖、编织袋装土压脚等临时防护措施，沿临时堆土场布设临时土质排水沟，排水沟末端设置临时沉沙池。施工结束后对施工生产生活区进行拆除，清理施工场地，进行土地整治、回覆表土。</w:t>
            </w:r>
          </w:p>
          <w:p>
            <w:r>
              <w:rPr>
                <w:rFonts w:hint="eastAsia"/>
              </w:rPr>
              <w:t>2）输电线路工程土地占用保护措施</w:t>
            </w:r>
          </w:p>
          <w:p>
            <w:r>
              <w:fldChar w:fldCharType="begin"/>
            </w:r>
            <w:r>
              <w:instrText xml:space="preserve"> </w:instrText>
            </w:r>
            <w:r>
              <w:rPr>
                <w:rFonts w:hint="eastAsia"/>
              </w:rPr>
              <w:instrText xml:space="preserve">= 1 \* GB3</w:instrText>
            </w:r>
            <w:r>
              <w:instrText xml:space="preserve"> </w:instrText>
            </w:r>
            <w:r>
              <w:fldChar w:fldCharType="separate"/>
            </w:r>
            <w:r>
              <w:rPr>
                <w:rFonts w:hint="eastAsia"/>
              </w:rPr>
              <w:t>①</w:t>
            </w:r>
            <w:r>
              <w:fldChar w:fldCharType="end"/>
            </w:r>
            <w:r>
              <w:rPr>
                <w:rFonts w:hint="eastAsia"/>
              </w:rPr>
              <w:t>塔基区</w:t>
            </w:r>
          </w:p>
          <w:p>
            <w:r>
              <w:rPr>
                <w:rFonts w:hint="eastAsia"/>
              </w:rPr>
              <w:t>塔基区施工前开挖扰动区域进行表土剥离，剥离的表土临时堆放在塔基临时施工场地进行防护，施工过程中对临时堆土采取彩条布铺垫、密目网苫盖、编织袋拦挡、彩条旗围护等措施。施工结束后将基础余土在塔基区征地范围内平整压实，并及时采取表土回覆、土地整治措施，以利于后期植被恢复。</w:t>
            </w:r>
          </w:p>
          <w:p>
            <w:r>
              <w:fldChar w:fldCharType="begin"/>
            </w:r>
            <w:r>
              <w:instrText xml:space="preserve"> </w:instrText>
            </w:r>
            <w:r>
              <w:rPr>
                <w:rFonts w:hint="eastAsia"/>
              </w:rPr>
              <w:instrText xml:space="preserve">= 2 \* GB3</w:instrText>
            </w:r>
            <w:r>
              <w:instrText xml:space="preserve"> </w:instrText>
            </w:r>
            <w:r>
              <w:fldChar w:fldCharType="separate"/>
            </w:r>
            <w:r>
              <w:rPr>
                <w:rFonts w:hint="eastAsia"/>
              </w:rPr>
              <w:t>②</w:t>
            </w:r>
            <w:r>
              <w:fldChar w:fldCharType="end"/>
            </w:r>
            <w:r>
              <w:rPr>
                <w:rFonts w:hint="eastAsia"/>
              </w:rPr>
              <w:t>牵张场地区</w:t>
            </w:r>
          </w:p>
          <w:p>
            <w:r>
              <w:rPr>
                <w:rFonts w:hint="eastAsia"/>
              </w:rPr>
              <w:t>施工前在牵张场地内采取彩条旗围护等临时防护措施。施工完成后，压占场地进行土地整治。</w:t>
            </w:r>
          </w:p>
          <w:p>
            <w:r>
              <w:fldChar w:fldCharType="begin"/>
            </w:r>
            <w:r>
              <w:instrText xml:space="preserve"> </w:instrText>
            </w:r>
            <w:r>
              <w:rPr>
                <w:rFonts w:hint="eastAsia"/>
              </w:rPr>
              <w:instrText xml:space="preserve">= 3 \* GB3</w:instrText>
            </w:r>
            <w:r>
              <w:instrText xml:space="preserve"> </w:instrText>
            </w:r>
            <w:r>
              <w:fldChar w:fldCharType="separate"/>
            </w:r>
            <w:r>
              <w:rPr>
                <w:rFonts w:hint="eastAsia"/>
              </w:rPr>
              <w:t>③</w:t>
            </w:r>
            <w:r>
              <w:fldChar w:fldCharType="end"/>
            </w:r>
            <w:r>
              <w:rPr>
                <w:rFonts w:hint="eastAsia"/>
              </w:rPr>
              <w:t>施工道路区</w:t>
            </w:r>
          </w:p>
          <w:p>
            <w:r>
              <w:rPr>
                <w:rFonts w:hint="eastAsia"/>
              </w:rPr>
              <w:t>施工道路区施工过程中对占压扰动区域采取彩条旗围护等措施。施工结束后及时进行土地整治，以利于后期植被恢复。</w:t>
            </w:r>
          </w:p>
          <w:p>
            <w:r>
              <w:rPr>
                <w:rFonts w:hint="eastAsia"/>
              </w:rPr>
              <w:t>3）土地占用临时防护措施</w:t>
            </w:r>
          </w:p>
          <w:p>
            <w:r>
              <w:fldChar w:fldCharType="begin"/>
            </w:r>
            <w:r>
              <w:instrText xml:space="preserve"> </w:instrText>
            </w:r>
            <w:r>
              <w:rPr>
                <w:rFonts w:hint="eastAsia"/>
              </w:rPr>
              <w:instrText xml:space="preserve">= 1 \* GB3</w:instrText>
            </w:r>
            <w:r>
              <w:instrText xml:space="preserve"> </w:instrText>
            </w:r>
            <w:r>
              <w:fldChar w:fldCharType="separate"/>
            </w:r>
            <w:r>
              <w:rPr>
                <w:rFonts w:hint="eastAsia"/>
              </w:rPr>
              <w:t>①</w:t>
            </w:r>
            <w:r>
              <w:fldChar w:fldCharType="end"/>
            </w:r>
            <w:r>
              <w:rPr>
                <w:rFonts w:hint="eastAsia"/>
              </w:rPr>
              <w:t>针对各个施工场地临时堆土、表土保护及裸露场地等重点区域提前布设各项临时防护措施，包括临时覆盖、临时拦挡措施等，以形成完备的防治体系；</w:t>
            </w:r>
          </w:p>
          <w:p>
            <w:r>
              <w:fldChar w:fldCharType="begin"/>
            </w:r>
            <w:r>
              <w:instrText xml:space="preserve"> </w:instrText>
            </w:r>
            <w:r>
              <w:rPr>
                <w:rFonts w:hint="eastAsia"/>
              </w:rPr>
              <w:instrText xml:space="preserve">= 2 \* GB3</w:instrText>
            </w:r>
            <w:r>
              <w:instrText xml:space="preserve"> </w:instrText>
            </w:r>
            <w:r>
              <w:fldChar w:fldCharType="separate"/>
            </w:r>
            <w:r>
              <w:rPr>
                <w:rFonts w:hint="eastAsia"/>
              </w:rPr>
              <w:t>②</w:t>
            </w:r>
            <w:r>
              <w:fldChar w:fldCharType="end"/>
            </w:r>
            <w:r>
              <w:rPr>
                <w:rFonts w:hint="eastAsia"/>
              </w:rPr>
              <w:t>临时措施布设应依据安全、有效、经济、合理的原则进行设计；</w:t>
            </w:r>
          </w:p>
          <w:p>
            <w:r>
              <w:fldChar w:fldCharType="begin"/>
            </w:r>
            <w:r>
              <w:instrText xml:space="preserve"> </w:instrText>
            </w:r>
            <w:r>
              <w:rPr>
                <w:rFonts w:hint="eastAsia"/>
              </w:rPr>
              <w:instrText xml:space="preserve">= 3 \* GB3</w:instrText>
            </w:r>
            <w:r>
              <w:instrText xml:space="preserve"> </w:instrText>
            </w:r>
            <w:r>
              <w:fldChar w:fldCharType="separate"/>
            </w:r>
            <w:r>
              <w:rPr>
                <w:rFonts w:hint="eastAsia"/>
              </w:rPr>
              <w:t>③</w:t>
            </w:r>
            <w:r>
              <w:fldChar w:fldCharType="end"/>
            </w:r>
            <w:r>
              <w:rPr>
                <w:rFonts w:hint="eastAsia"/>
              </w:rPr>
              <w:t>临时措施布设应易于拆除、恢复。施工完成后，项目建设区土地占用保护以工程措施及植物措施为主。</w:t>
            </w:r>
          </w:p>
          <w:p>
            <w:r>
              <w:t>（2）</w:t>
            </w:r>
            <w:r>
              <w:rPr>
                <w:rFonts w:hint="eastAsia"/>
              </w:rPr>
              <w:t>植物</w:t>
            </w:r>
            <w:r>
              <w:t>保护</w:t>
            </w:r>
            <w:r>
              <w:rPr>
                <w:rFonts w:hint="eastAsia"/>
              </w:rPr>
              <w:t>措施</w:t>
            </w:r>
          </w:p>
          <w:p>
            <w:r>
              <w:rPr>
                <w:rFonts w:hint="eastAsia"/>
              </w:rPr>
              <w:t>①合理规划、设计施工便道及场地，要求各种机械和车辆固定行车路线，不能随意下道行驶或另开辟便道，禁止对施工区以外地区进行碾压和破坏，以保证周围地表和植被不受破坏。</w:t>
            </w:r>
          </w:p>
          <w:p>
            <w:r>
              <w:rPr>
                <w:rFonts w:hint="eastAsia"/>
              </w:rPr>
              <w:t>②材料运输过程中对施工道路及人抬道路进行合理的选择，尽量避免过多扰动原地貌，避免在植被完好的地段进行道路修筑工作。对运至塔位的塔材，选择合适的位置进行堆放，减少场地的占用。</w:t>
            </w:r>
          </w:p>
          <w:p>
            <w:r>
              <w:rPr>
                <w:rFonts w:hint="eastAsia"/>
              </w:rPr>
              <w:t>③施工时应在工期安排上合理有序，先设置围栏措施，后进行工程建设尽量减少对地表和植被的破坏，除施工必须不得不铲除或碾压植被外，不允许以其他任何理由铲除植被，以减少对生态环境的破坏。</w:t>
            </w:r>
          </w:p>
          <w:p>
            <w:r>
              <w:rPr>
                <w:rFonts w:hint="eastAsia"/>
              </w:rPr>
              <w:t>④塔基开挖时要将表层熟土分装在编织袋内，堆放在临时堆土场的周围用于施工结束后基坑回填，临时堆土采取四周拦挡、上铺下盖的措施，回填后及时整平。施工中要严格控制临时占地，减少破坏原地貌、植被的面积。</w:t>
            </w:r>
          </w:p>
          <w:p>
            <w:r>
              <w:rPr>
                <w:rFonts w:hint="eastAsia"/>
              </w:rPr>
              <w:t>⑤基坑开挖尽量保持坑壁成型完好，并做好临时堆土的挡护及苫盖，基础坑开挖好后应尽快浇筑混凝土。</w:t>
            </w:r>
          </w:p>
          <w:p>
            <w:r>
              <w:rPr>
                <w:rFonts w:hint="eastAsia"/>
              </w:rPr>
              <w:t>⑥严格控制施工范围，应尽量控制作业面，施工后期对各类施工临时占地予以土地整治。</w:t>
            </w:r>
          </w:p>
          <w:p>
            <w:r>
              <w:rPr>
                <w:rFonts w:hint="eastAsia"/>
              </w:rPr>
              <w:t>⑦在塔基基础及杆塔等施工完毕后，应按设计要求立即对塔基基础周边开挖部分进行覆土，并进行平整夯实，以减少水土流失；对作业区、牵张场等施工扰动区地表进行平整。</w:t>
            </w:r>
          </w:p>
          <w:p>
            <w:r>
              <w:rPr>
                <w:rFonts w:hint="eastAsia"/>
              </w:rPr>
              <w:t>（</w:t>
            </w:r>
            <w:r>
              <w:t>3</w:t>
            </w:r>
            <w:r>
              <w:rPr>
                <w:rFonts w:hint="eastAsia"/>
              </w:rPr>
              <w:t>）动物保护措施</w:t>
            </w:r>
          </w:p>
          <w:p>
            <w:r>
              <w:rPr>
                <w:rFonts w:hint="eastAsia"/>
              </w:rPr>
              <w:t>①</w:t>
            </w:r>
            <w:r>
              <w:t>加强施工人员的环境保护教育，提高施工人员和相关管理人员的环保意识，严禁出现随意捕杀野生动物的行为。</w:t>
            </w:r>
          </w:p>
          <w:p>
            <w:r>
              <w:rPr>
                <w:rFonts w:hint="eastAsia"/>
              </w:rPr>
              <w:t>②</w:t>
            </w:r>
            <w:r>
              <w:t>采用低噪声的机械等施工设备，禁止随意大声喧哗等高噪声的活动，减少施工活动噪声对野生动物的驱赶效应。</w:t>
            </w:r>
          </w:p>
          <w:p>
            <w:r>
              <w:rPr>
                <w:rFonts w:hint="eastAsia"/>
              </w:rPr>
              <w:t>③</w:t>
            </w:r>
            <w:r>
              <w:t>利用原有田间道路、机耕路等现有道路作为施工道路，减小施工道路开辟对野生动物生活环境的破坏范围和强度。</w:t>
            </w:r>
          </w:p>
          <w:p>
            <w:r>
              <w:rPr>
                <w:rFonts w:hint="eastAsia"/>
              </w:rPr>
              <w:t>④</w:t>
            </w:r>
            <w:r>
              <w:t>施工结束后，对施工扰动区域及临时占地区域进行原生态恢复，恢复野生动物生境。</w:t>
            </w:r>
          </w:p>
          <w:p>
            <w:r>
              <w:rPr>
                <w:rFonts w:hint="eastAsia"/>
              </w:rPr>
              <w:t>（4）线路经过不同生态单元施工期的主要环保措施</w:t>
            </w:r>
          </w:p>
          <w:p>
            <w:r>
              <w:rPr>
                <w:rFonts w:hint="eastAsia"/>
              </w:rPr>
              <w:t>1）耕地区域</w:t>
            </w:r>
          </w:p>
          <w:p>
            <w:r>
              <w:rPr>
                <w:rFonts w:hint="eastAsia"/>
              </w:rPr>
              <w:t>施工单位应优化施工方案，采用布条或钢板进行隔离，减小对农田、耕地的影响。基础开挖时，分层堆放熟土和生土，回填按生土、熟土顺序进行；施工结束后，及时清理现场，运走余土和废弃物，进行土地复垦，恢复原状地貌。</w:t>
            </w:r>
          </w:p>
          <w:p>
            <w:r>
              <w:rPr>
                <w:rFonts w:hint="eastAsia"/>
              </w:rPr>
              <w:t>2）裸地区域</w:t>
            </w:r>
          </w:p>
          <w:p>
            <w:r>
              <w:rPr>
                <w:rFonts w:hint="eastAsia"/>
              </w:rPr>
              <w:t>施工前对裸地进行表土剥离，将剥离的表土分类存放，以便后期回填利用。施工期间对裸露地面进行覆盖，使用防尘布或防尘网，减少扬尘污染。施工完成后对临时占地进行土地整治，恢复原地貌。同时合理规划施工区域，减少对裸地的扰动，尽量利用现有道路和场地，减少新开辟的施工区域。</w:t>
            </w:r>
          </w:p>
          <w:p>
            <w:r>
              <w:rPr>
                <w:rFonts w:hint="eastAsia"/>
              </w:rPr>
              <w:t>3）林地区域</w:t>
            </w:r>
          </w:p>
          <w:p>
            <w:r>
              <w:rPr>
                <w:rFonts w:hint="eastAsia"/>
              </w:rPr>
              <w:t>本工程占用的林地区域不涉及国家级、省级保护的珍稀濒危野生植物集中分布区，不涉及古树名木的生长区域，也不涉及国家一级公益林，林地占用区域的植被种类主要为区域内常见种类。施工时，严格控制施工范围，尽量减少地表扰动和植被损坏范围，杆塔定位选择在林区边缘地带，避免对林区造成大面积损坏，严格规范车辆行驶路线，合理设置临时占地，施工临时占地尽量利用植被少的空旷地。</w:t>
            </w:r>
          </w:p>
          <w:p>
            <w:r>
              <w:rPr>
                <w:rFonts w:hint="eastAsia"/>
              </w:rPr>
              <w:t>在施工结束后通过对临时占地区和施工扰动区裸露地表采取植被恢复措施，工程区被破坏的植被可得到一定程度的恢复，对土地占用影响很小。</w:t>
            </w:r>
          </w:p>
        </w:tc>
        <w:tc>
          <w:tcPr>
            <w:tcW w:w="1470" w:type="pct"/>
            <w:vAlign w:val="center"/>
          </w:tcPr>
          <w:p>
            <w:pPr>
              <w:rPr>
                <w:color w:val="000000"/>
              </w:rPr>
            </w:pPr>
            <w:r>
              <w:rPr>
                <w:color w:val="000000"/>
              </w:rPr>
              <w:t>（1）土地占用保护措施</w:t>
            </w:r>
          </w:p>
          <w:p>
            <w:pPr>
              <w:rPr>
                <w:color w:val="000000"/>
              </w:rPr>
            </w:pPr>
            <w:r>
              <w:rPr>
                <w:rFonts w:hint="eastAsia"/>
                <w:color w:val="000000"/>
              </w:rPr>
              <w:t>1）变电站工程土地占用保护措施</w:t>
            </w:r>
          </w:p>
          <w:p>
            <w:pPr>
              <w:rPr>
                <w:color w:val="000000"/>
              </w:rPr>
            </w:pPr>
            <w:r>
              <w:rPr>
                <w:color w:val="000000"/>
              </w:rPr>
              <w:fldChar w:fldCharType="begin"/>
            </w:r>
            <w:r>
              <w:rPr>
                <w:color w:val="000000"/>
              </w:rPr>
              <w:instrText xml:space="preserve"> </w:instrText>
            </w:r>
            <w:r>
              <w:rPr>
                <w:rFonts w:hint="eastAsia"/>
                <w:color w:val="000000"/>
              </w:rPr>
              <w:instrText xml:space="preserve">= 1 \* GB3</w:instrText>
            </w:r>
            <w:r>
              <w:rPr>
                <w:color w:val="000000"/>
              </w:rPr>
              <w:instrText xml:space="preserve"> </w:instrText>
            </w:r>
            <w:r>
              <w:rPr>
                <w:color w:val="000000"/>
              </w:rPr>
              <w:fldChar w:fldCharType="separate"/>
            </w:r>
            <w:r>
              <w:rPr>
                <w:rFonts w:hint="eastAsia"/>
                <w:color w:val="000000"/>
              </w:rPr>
              <w:t>①</w:t>
            </w:r>
            <w:r>
              <w:rPr>
                <w:color w:val="000000"/>
              </w:rPr>
              <w:fldChar w:fldCharType="end"/>
            </w:r>
            <w:r>
              <w:rPr>
                <w:rFonts w:hint="eastAsia"/>
                <w:color w:val="000000"/>
              </w:rPr>
              <w:t>站区</w:t>
            </w:r>
          </w:p>
          <w:p>
            <w:pPr>
              <w:rPr>
                <w:color w:val="000000"/>
              </w:rPr>
            </w:pPr>
            <w:r>
              <w:rPr>
                <w:rFonts w:hint="eastAsia"/>
                <w:color w:val="000000"/>
              </w:rPr>
              <w:t>站区施工前进行表土剥离，剥离的表土临时堆放在施工生产生活区进行防护，施工过程中对临时堆土采取彩条布铺垫、密目网苫盖、编织袋装土压脚，沿临时堆土场及施工场地布设临时土质排水沟，排水沟末端设置临时沉沙池。施工完成后对站区采取碎石覆盖和地面硬化，站外扰动区域进行土地整治。</w:t>
            </w:r>
          </w:p>
          <w:p>
            <w:pPr>
              <w:rPr>
                <w:color w:val="000000"/>
              </w:rPr>
            </w:pPr>
            <w:r>
              <w:rPr>
                <w:color w:val="000000"/>
              </w:rPr>
              <w:fldChar w:fldCharType="begin"/>
            </w:r>
            <w:r>
              <w:rPr>
                <w:color w:val="000000"/>
              </w:rPr>
              <w:instrText xml:space="preserve"> </w:instrText>
            </w:r>
            <w:r>
              <w:rPr>
                <w:rFonts w:hint="eastAsia"/>
                <w:color w:val="000000"/>
              </w:rPr>
              <w:instrText xml:space="preserve">= 2 \* GB3</w:instrText>
            </w:r>
            <w:r>
              <w:rPr>
                <w:color w:val="000000"/>
              </w:rPr>
              <w:instrText xml:space="preserve"> </w:instrText>
            </w:r>
            <w:r>
              <w:rPr>
                <w:color w:val="000000"/>
              </w:rPr>
              <w:fldChar w:fldCharType="separate"/>
            </w:r>
            <w:r>
              <w:rPr>
                <w:rFonts w:hint="eastAsia"/>
                <w:color w:val="000000"/>
              </w:rPr>
              <w:t>②</w:t>
            </w:r>
            <w:r>
              <w:rPr>
                <w:color w:val="000000"/>
              </w:rPr>
              <w:fldChar w:fldCharType="end"/>
            </w:r>
            <w:r>
              <w:rPr>
                <w:rFonts w:hint="eastAsia"/>
                <w:color w:val="000000"/>
              </w:rPr>
              <w:t>进站道路区</w:t>
            </w:r>
          </w:p>
          <w:p>
            <w:pPr>
              <w:rPr>
                <w:color w:val="000000"/>
              </w:rPr>
            </w:pPr>
            <w:r>
              <w:rPr>
                <w:rFonts w:hint="eastAsia"/>
                <w:color w:val="000000"/>
              </w:rPr>
              <w:t>进站道路区施工前进行表土剥离，剥离表土临时堆放在施工生产生活区进行防护，沿道路侧布设临时排水沟、临时沉沙池。</w:t>
            </w:r>
          </w:p>
          <w:p>
            <w:pPr>
              <w:rPr>
                <w:color w:val="000000"/>
              </w:rPr>
            </w:pPr>
            <w:r>
              <w:rPr>
                <w:rFonts w:hint="eastAsia" w:ascii="宋体" w:hAnsi="宋体" w:cs="宋体"/>
                <w:color w:val="000000"/>
              </w:rPr>
              <w:t>③</w:t>
            </w:r>
            <w:r>
              <w:rPr>
                <w:rFonts w:hint="eastAsia"/>
                <w:color w:val="000000"/>
              </w:rPr>
              <w:t>施工生产生活区</w:t>
            </w:r>
          </w:p>
          <w:p>
            <w:pPr>
              <w:rPr>
                <w:color w:val="000000"/>
              </w:rPr>
            </w:pPr>
            <w:r>
              <w:rPr>
                <w:rFonts w:hint="eastAsia"/>
                <w:color w:val="000000"/>
              </w:rPr>
              <w:t>施工生产生活区施工前对扰动区域剥离表土，剥离的表土临时堆放在施工生产生活区临时堆土场，施工过程中对临时堆土采取密目网苫盖、编织袋装土压脚等临时防护措施，沿临时堆土场布设临时土质排水沟，排水沟末端设置临时沉沙池。施工结束后对施工生产生活区进行拆除，清理施工场地，进行土地整治、回覆表土。</w:t>
            </w:r>
          </w:p>
          <w:p>
            <w:pPr>
              <w:rPr>
                <w:color w:val="000000"/>
              </w:rPr>
            </w:pPr>
            <w:r>
              <w:rPr>
                <w:rFonts w:hint="eastAsia"/>
                <w:color w:val="000000"/>
              </w:rPr>
              <w:t>2）输电线路工程土地占用保护措施</w:t>
            </w:r>
          </w:p>
          <w:p>
            <w:pPr>
              <w:rPr>
                <w:color w:val="000000"/>
              </w:rPr>
            </w:pPr>
            <w:r>
              <w:rPr>
                <w:color w:val="000000"/>
              </w:rPr>
              <w:fldChar w:fldCharType="begin"/>
            </w:r>
            <w:r>
              <w:rPr>
                <w:color w:val="000000"/>
              </w:rPr>
              <w:instrText xml:space="preserve"> </w:instrText>
            </w:r>
            <w:r>
              <w:rPr>
                <w:rFonts w:hint="eastAsia"/>
                <w:color w:val="000000"/>
              </w:rPr>
              <w:instrText xml:space="preserve">= 1 \* GB3</w:instrText>
            </w:r>
            <w:r>
              <w:rPr>
                <w:color w:val="000000"/>
              </w:rPr>
              <w:instrText xml:space="preserve"> </w:instrText>
            </w:r>
            <w:r>
              <w:rPr>
                <w:color w:val="000000"/>
              </w:rPr>
              <w:fldChar w:fldCharType="separate"/>
            </w:r>
            <w:r>
              <w:rPr>
                <w:rFonts w:hint="eastAsia"/>
                <w:color w:val="000000"/>
              </w:rPr>
              <w:t>①</w:t>
            </w:r>
            <w:r>
              <w:rPr>
                <w:color w:val="000000"/>
              </w:rPr>
              <w:fldChar w:fldCharType="end"/>
            </w:r>
            <w:r>
              <w:rPr>
                <w:rFonts w:hint="eastAsia"/>
                <w:color w:val="000000"/>
              </w:rPr>
              <w:t>塔基区</w:t>
            </w:r>
          </w:p>
          <w:p>
            <w:pPr>
              <w:rPr>
                <w:color w:val="000000"/>
              </w:rPr>
            </w:pPr>
            <w:r>
              <w:rPr>
                <w:rFonts w:hint="eastAsia"/>
                <w:color w:val="000000"/>
              </w:rPr>
              <w:t>塔基区施工前开挖扰动区域进行表土剥离，剥离的表土临时堆放在塔基临时施工场地进行防护，施工过程中对临时堆土采取彩条布铺垫、密目网苫盖、编织袋拦挡、彩条旗围护等措施。施工结束后将基础余土在塔基区征地范围内平整压实，并及时采取表土回覆、土地整治措施。</w:t>
            </w:r>
          </w:p>
          <w:p>
            <w:pPr>
              <w:rPr>
                <w:color w:val="000000"/>
              </w:rPr>
            </w:pPr>
            <w:r>
              <w:rPr>
                <w:color w:val="000000"/>
              </w:rPr>
              <w:fldChar w:fldCharType="begin"/>
            </w:r>
            <w:r>
              <w:rPr>
                <w:color w:val="000000"/>
              </w:rPr>
              <w:instrText xml:space="preserve"> </w:instrText>
            </w:r>
            <w:r>
              <w:rPr>
                <w:rFonts w:hint="eastAsia"/>
                <w:color w:val="000000"/>
              </w:rPr>
              <w:instrText xml:space="preserve">= 2 \* GB3</w:instrText>
            </w:r>
            <w:r>
              <w:rPr>
                <w:color w:val="000000"/>
              </w:rPr>
              <w:instrText xml:space="preserve"> </w:instrText>
            </w:r>
            <w:r>
              <w:rPr>
                <w:color w:val="000000"/>
              </w:rPr>
              <w:fldChar w:fldCharType="separate"/>
            </w:r>
            <w:r>
              <w:rPr>
                <w:rFonts w:hint="eastAsia"/>
                <w:color w:val="000000"/>
              </w:rPr>
              <w:t>②</w:t>
            </w:r>
            <w:r>
              <w:rPr>
                <w:color w:val="000000"/>
              </w:rPr>
              <w:fldChar w:fldCharType="end"/>
            </w:r>
            <w:r>
              <w:rPr>
                <w:rFonts w:hint="eastAsia"/>
                <w:color w:val="000000"/>
              </w:rPr>
              <w:t>牵张场地区</w:t>
            </w:r>
          </w:p>
          <w:p>
            <w:pPr>
              <w:rPr>
                <w:color w:val="000000"/>
              </w:rPr>
            </w:pPr>
            <w:r>
              <w:rPr>
                <w:rFonts w:hint="eastAsia"/>
                <w:color w:val="000000"/>
              </w:rPr>
              <w:t>施工前在牵张场地内采取草棕垫铺垫、彩条旗围护等临时防护措施。施工完成后，压占场地进行土地整治。</w:t>
            </w:r>
          </w:p>
          <w:p>
            <w:pPr>
              <w:rPr>
                <w:color w:val="000000"/>
              </w:rPr>
            </w:pPr>
            <w:r>
              <w:rPr>
                <w:color w:val="000000"/>
              </w:rPr>
              <w:fldChar w:fldCharType="begin"/>
            </w:r>
            <w:r>
              <w:rPr>
                <w:color w:val="000000"/>
              </w:rPr>
              <w:instrText xml:space="preserve"> </w:instrText>
            </w:r>
            <w:r>
              <w:rPr>
                <w:rFonts w:hint="eastAsia"/>
                <w:color w:val="000000"/>
              </w:rPr>
              <w:instrText xml:space="preserve">= 3 \* GB3</w:instrText>
            </w:r>
            <w:r>
              <w:rPr>
                <w:color w:val="000000"/>
              </w:rPr>
              <w:instrText xml:space="preserve"> </w:instrText>
            </w:r>
            <w:r>
              <w:rPr>
                <w:color w:val="000000"/>
              </w:rPr>
              <w:fldChar w:fldCharType="separate"/>
            </w:r>
            <w:r>
              <w:rPr>
                <w:rFonts w:hint="eastAsia"/>
                <w:color w:val="000000"/>
              </w:rPr>
              <w:t>③</w:t>
            </w:r>
            <w:r>
              <w:rPr>
                <w:color w:val="000000"/>
              </w:rPr>
              <w:fldChar w:fldCharType="end"/>
            </w:r>
            <w:r>
              <w:rPr>
                <w:rFonts w:hint="eastAsia"/>
                <w:color w:val="000000"/>
              </w:rPr>
              <w:t>施工道路区</w:t>
            </w:r>
          </w:p>
          <w:p>
            <w:pPr>
              <w:rPr>
                <w:color w:val="000000"/>
              </w:rPr>
            </w:pPr>
            <w:r>
              <w:rPr>
                <w:rFonts w:hint="eastAsia"/>
                <w:color w:val="000000"/>
              </w:rPr>
              <w:t>施工道路区施工过程中对占压扰动区域采取彩条旗围护等措施。施工结束后及时进行土地整治，通过撒播草籽的方式进行植被恢复。</w:t>
            </w:r>
          </w:p>
          <w:p>
            <w:pPr>
              <w:rPr>
                <w:color w:val="000000"/>
              </w:rPr>
            </w:pPr>
            <w:r>
              <w:rPr>
                <w:rFonts w:hint="eastAsia"/>
                <w:color w:val="000000"/>
              </w:rPr>
              <w:t>3）土地占用临时防护措施</w:t>
            </w:r>
          </w:p>
          <w:p>
            <w:pPr>
              <w:rPr>
                <w:color w:val="000000"/>
              </w:rPr>
            </w:pPr>
            <w:r>
              <w:rPr>
                <w:color w:val="000000"/>
              </w:rPr>
              <w:fldChar w:fldCharType="begin"/>
            </w:r>
            <w:r>
              <w:rPr>
                <w:color w:val="000000"/>
              </w:rPr>
              <w:instrText xml:space="preserve"> </w:instrText>
            </w:r>
            <w:r>
              <w:rPr>
                <w:rFonts w:hint="eastAsia"/>
                <w:color w:val="000000"/>
              </w:rPr>
              <w:instrText xml:space="preserve">= 1 \* GB3</w:instrText>
            </w:r>
            <w:r>
              <w:rPr>
                <w:color w:val="000000"/>
              </w:rPr>
              <w:instrText xml:space="preserve"> </w:instrText>
            </w:r>
            <w:r>
              <w:rPr>
                <w:color w:val="000000"/>
              </w:rPr>
              <w:fldChar w:fldCharType="separate"/>
            </w:r>
            <w:r>
              <w:rPr>
                <w:rFonts w:hint="eastAsia"/>
                <w:color w:val="000000"/>
              </w:rPr>
              <w:t>①</w:t>
            </w:r>
            <w:r>
              <w:rPr>
                <w:color w:val="000000"/>
              </w:rPr>
              <w:fldChar w:fldCharType="end"/>
            </w:r>
            <w:r>
              <w:rPr>
                <w:rFonts w:hint="eastAsia"/>
                <w:color w:val="000000"/>
              </w:rPr>
              <w:t>施工场地临时堆土、表土保护及裸露场地等重点区域采取临时覆盖、临时拦挡措施等防治措施；</w:t>
            </w:r>
          </w:p>
          <w:p>
            <w:pPr>
              <w:rPr>
                <w:color w:val="000000"/>
              </w:rPr>
            </w:pPr>
            <w:r>
              <w:rPr>
                <w:color w:val="000000"/>
              </w:rPr>
              <w:fldChar w:fldCharType="begin"/>
            </w:r>
            <w:r>
              <w:rPr>
                <w:color w:val="000000"/>
              </w:rPr>
              <w:instrText xml:space="preserve"> </w:instrText>
            </w:r>
            <w:r>
              <w:rPr>
                <w:rFonts w:hint="eastAsia"/>
                <w:color w:val="000000"/>
              </w:rPr>
              <w:instrText xml:space="preserve">= 2 \* GB3</w:instrText>
            </w:r>
            <w:r>
              <w:rPr>
                <w:color w:val="000000"/>
              </w:rPr>
              <w:instrText xml:space="preserve"> </w:instrText>
            </w:r>
            <w:r>
              <w:rPr>
                <w:color w:val="000000"/>
              </w:rPr>
              <w:fldChar w:fldCharType="separate"/>
            </w:r>
            <w:r>
              <w:rPr>
                <w:rFonts w:hint="eastAsia"/>
                <w:color w:val="000000"/>
              </w:rPr>
              <w:t>②</w:t>
            </w:r>
            <w:r>
              <w:rPr>
                <w:color w:val="000000"/>
              </w:rPr>
              <w:fldChar w:fldCharType="end"/>
            </w:r>
            <w:r>
              <w:rPr>
                <w:rFonts w:hint="eastAsia"/>
                <w:color w:val="000000"/>
              </w:rPr>
              <w:t>临时措施采取安全、有效、经济、合理的方式进行布设；</w:t>
            </w:r>
          </w:p>
          <w:p>
            <w:pPr>
              <w:rPr>
                <w:color w:val="000000"/>
              </w:rPr>
            </w:pPr>
            <w:r>
              <w:rPr>
                <w:color w:val="000000"/>
              </w:rPr>
              <w:fldChar w:fldCharType="begin"/>
            </w:r>
            <w:r>
              <w:rPr>
                <w:color w:val="000000"/>
              </w:rPr>
              <w:instrText xml:space="preserve"> </w:instrText>
            </w:r>
            <w:r>
              <w:rPr>
                <w:rFonts w:hint="eastAsia"/>
                <w:color w:val="000000"/>
              </w:rPr>
              <w:instrText xml:space="preserve">= 3 \* GB3</w:instrText>
            </w:r>
            <w:r>
              <w:rPr>
                <w:color w:val="000000"/>
              </w:rPr>
              <w:instrText xml:space="preserve"> </w:instrText>
            </w:r>
            <w:r>
              <w:rPr>
                <w:color w:val="000000"/>
              </w:rPr>
              <w:fldChar w:fldCharType="separate"/>
            </w:r>
            <w:r>
              <w:rPr>
                <w:rFonts w:hint="eastAsia"/>
                <w:color w:val="000000"/>
              </w:rPr>
              <w:t>③</w:t>
            </w:r>
            <w:r>
              <w:rPr>
                <w:color w:val="000000"/>
              </w:rPr>
              <w:fldChar w:fldCharType="end"/>
            </w:r>
            <w:r>
              <w:rPr>
                <w:rFonts w:hint="eastAsia"/>
                <w:color w:val="000000"/>
              </w:rPr>
              <w:t>临时措施布设易于拆除、恢复。施工完成后，项目建设区土地占用采取工程措施及植物措施进行生态恢复。</w:t>
            </w:r>
          </w:p>
          <w:p>
            <w:pPr>
              <w:rPr>
                <w:color w:val="000000"/>
              </w:rPr>
            </w:pPr>
            <w:r>
              <w:rPr>
                <w:color w:val="000000"/>
              </w:rPr>
              <w:t>（2）</w:t>
            </w:r>
            <w:r>
              <w:rPr>
                <w:rFonts w:hint="eastAsia"/>
                <w:color w:val="000000"/>
              </w:rPr>
              <w:t>植物</w:t>
            </w:r>
            <w:r>
              <w:rPr>
                <w:color w:val="000000"/>
              </w:rPr>
              <w:t>保护</w:t>
            </w:r>
            <w:r>
              <w:rPr>
                <w:rFonts w:hint="eastAsia"/>
                <w:color w:val="000000"/>
              </w:rPr>
              <w:t>措施</w:t>
            </w:r>
          </w:p>
          <w:p>
            <w:pPr>
              <w:rPr>
                <w:color w:val="000000"/>
              </w:rPr>
            </w:pPr>
            <w:r>
              <w:rPr>
                <w:rFonts w:hint="eastAsia"/>
                <w:color w:val="000000"/>
              </w:rPr>
              <w:t>施工完成后应及时对临时占用草地区域进行植草恢复。</w:t>
            </w:r>
          </w:p>
          <w:p>
            <w:pPr>
              <w:rPr>
                <w:color w:val="000000"/>
              </w:rPr>
            </w:pPr>
            <w:r>
              <w:rPr>
                <w:rFonts w:hint="eastAsia"/>
                <w:color w:val="000000"/>
              </w:rPr>
              <w:t>（</w:t>
            </w:r>
            <w:r>
              <w:rPr>
                <w:color w:val="000000"/>
              </w:rPr>
              <w:t>3</w:t>
            </w:r>
            <w:r>
              <w:rPr>
                <w:rFonts w:hint="eastAsia"/>
                <w:color w:val="000000"/>
              </w:rPr>
              <w:t>）动物保护措施</w:t>
            </w:r>
          </w:p>
          <w:p>
            <w:pPr>
              <w:rPr>
                <w:color w:val="000000"/>
              </w:rPr>
            </w:pPr>
            <w:r>
              <w:rPr>
                <w:rFonts w:hint="eastAsia"/>
                <w:color w:val="000000"/>
              </w:rPr>
              <w:t>①</w:t>
            </w:r>
            <w:r>
              <w:rPr>
                <w:color w:val="000000"/>
              </w:rPr>
              <w:t>加强施工期环保管理工作</w:t>
            </w:r>
            <w:r>
              <w:rPr>
                <w:rFonts w:hint="eastAsia"/>
                <w:color w:val="000000"/>
              </w:rPr>
              <w:t>，</w:t>
            </w:r>
            <w:r>
              <w:rPr>
                <w:color w:val="000000"/>
              </w:rPr>
              <w:t>确保无捕杀野生动物的行为。</w:t>
            </w:r>
          </w:p>
          <w:p>
            <w:pPr>
              <w:rPr>
                <w:color w:val="000000"/>
              </w:rPr>
            </w:pPr>
            <w:r>
              <w:rPr>
                <w:rFonts w:hint="eastAsia"/>
                <w:color w:val="000000"/>
              </w:rPr>
              <w:t>②</w:t>
            </w:r>
            <w:r>
              <w:rPr>
                <w:color w:val="000000"/>
              </w:rPr>
              <w:t>采用</w:t>
            </w:r>
            <w:r>
              <w:rPr>
                <w:rFonts w:hint="eastAsia"/>
                <w:color w:val="000000"/>
              </w:rPr>
              <w:t>噪声水平满足国家相应标准的施工机械设备</w:t>
            </w:r>
            <w:r>
              <w:rPr>
                <w:color w:val="000000"/>
              </w:rPr>
              <w:t>，禁止高噪声等不文明施工活动。</w:t>
            </w:r>
          </w:p>
          <w:p>
            <w:pPr>
              <w:rPr>
                <w:color w:val="000000"/>
              </w:rPr>
            </w:pPr>
            <w:r>
              <w:rPr>
                <w:rFonts w:hint="eastAsia"/>
                <w:color w:val="000000"/>
              </w:rPr>
              <w:t>③充分利用已有道路</w:t>
            </w:r>
            <w:r>
              <w:rPr>
                <w:color w:val="000000"/>
              </w:rPr>
              <w:t>作为施工道路，减小新开辟临时施工道路。</w:t>
            </w:r>
          </w:p>
          <w:p>
            <w:pPr>
              <w:rPr>
                <w:color w:val="000000"/>
              </w:rPr>
            </w:pPr>
            <w:r>
              <w:rPr>
                <w:rFonts w:hint="eastAsia"/>
                <w:color w:val="000000"/>
              </w:rPr>
              <w:t>④</w:t>
            </w:r>
            <w:r>
              <w:rPr>
                <w:color w:val="000000"/>
              </w:rPr>
              <w:t>施工结束后，对施工扰动区域及临时占地区域进行</w:t>
            </w:r>
            <w:r>
              <w:rPr>
                <w:rFonts w:hint="eastAsia"/>
                <w:color w:val="000000"/>
              </w:rPr>
              <w:t>土地功能</w:t>
            </w:r>
            <w:r>
              <w:rPr>
                <w:color w:val="000000"/>
              </w:rPr>
              <w:t>和生态功能恢复。</w:t>
            </w:r>
          </w:p>
          <w:p>
            <w:pPr>
              <w:rPr>
                <w:color w:val="000000"/>
              </w:rPr>
            </w:pPr>
            <w:r>
              <w:rPr>
                <w:rFonts w:hint="eastAsia"/>
                <w:color w:val="000000"/>
              </w:rPr>
              <w:t>（4）线路经过不同生态单元施工期的主要环保措施</w:t>
            </w:r>
          </w:p>
          <w:p>
            <w:r>
              <w:rPr>
                <w:rFonts w:hint="eastAsia"/>
              </w:rPr>
              <w:t>1）耕地区域</w:t>
            </w:r>
          </w:p>
          <w:p>
            <w:r>
              <w:rPr>
                <w:rFonts w:hint="eastAsia"/>
              </w:rPr>
              <w:t>施工单位应优化施工方案，采用布条或钢板进行隔离，减小对农田、耕地的影响。在基础开挖阶段，在耕地中作业时，应将耕地的熟土和生土分别堆放，回填时按照生土、熟土的顺序进行。施工过程结束时，及时清理现场，尽可能恢复原状地貌，将余土和施工废弃物运出现场，做到“工完、料尽、场清、整洁”，进行土地复垦。</w:t>
            </w:r>
          </w:p>
          <w:p>
            <w:r>
              <w:rPr>
                <w:rFonts w:hint="eastAsia"/>
              </w:rPr>
              <w:t>2）裸地区域</w:t>
            </w:r>
          </w:p>
          <w:p>
            <w:r>
              <w:rPr>
                <w:rFonts w:hint="eastAsia"/>
              </w:rPr>
              <w:t>输电线路经过裸地时，在施工完成后对临时占地进行土地整治，恢复原地貌。</w:t>
            </w:r>
          </w:p>
          <w:p>
            <w:r>
              <w:rPr>
                <w:rFonts w:hint="eastAsia"/>
              </w:rPr>
              <w:t>3）林地区域</w:t>
            </w:r>
          </w:p>
          <w:p>
            <w:r>
              <w:rPr>
                <w:rFonts w:hint="eastAsia"/>
              </w:rPr>
              <w:t>本工程占用的林地区域不涉及国家级、省级保护的珍稀濒危野生植物集中分布区，不涉及古树名木的生长区域，也不涉及国家一级公益林，林地占用区域的植被种类主要为区域内常见种类。施工时，严格控制施工范围，尽量减少地表扰动和植被损坏范围，杆塔定位选择在林区边缘地带，避免对林区造成大面积损坏，严格规范车辆行驶路线，合理设置临时占地，施工临时占地尽量利用植被少的空旷地。</w:t>
            </w:r>
          </w:p>
          <w:p>
            <w:pPr>
              <w:rPr>
                <w:color w:val="000000"/>
              </w:rPr>
            </w:pPr>
            <w:r>
              <w:rPr>
                <w:rFonts w:hint="eastAsia"/>
              </w:rPr>
              <w:t>在施工结束后通过对临时占地区和施工扰动区裸露地表采取植被恢复措施，工程区被破坏的植被可得到一定程度的恢复，对土地占用影响很小。</w:t>
            </w:r>
          </w:p>
        </w:tc>
        <w:tc>
          <w:tcPr>
            <w:tcW w:w="652" w:type="pct"/>
            <w:vAlign w:val="center"/>
          </w:tcPr>
          <w:p>
            <w:pPr>
              <w:jc w:val="center"/>
              <w:rPr>
                <w:color w:val="000000"/>
              </w:rPr>
            </w:pPr>
            <w:r>
              <w:rPr>
                <w:rFonts w:hint="eastAsia"/>
                <w:color w:val="000000"/>
              </w:rPr>
              <w:t>/</w:t>
            </w:r>
          </w:p>
        </w:tc>
        <w:tc>
          <w:tcPr>
            <w:tcW w:w="652" w:type="pct"/>
            <w:vAlign w:val="center"/>
          </w:tcPr>
          <w:p>
            <w:pPr>
              <w:jc w:val="center"/>
              <w:rPr>
                <w:color w:val="000000"/>
              </w:rPr>
            </w:pPr>
            <w:r>
              <w:rPr>
                <w:rFonts w:hint="eastAsia"/>
                <w:color w:val="000000"/>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425" w:type="pct"/>
            <w:vAlign w:val="center"/>
          </w:tcPr>
          <w:p>
            <w:pPr>
              <w:jc w:val="center"/>
              <w:rPr>
                <w:b/>
                <w:color w:val="000000"/>
              </w:rPr>
            </w:pPr>
            <w:r>
              <w:rPr>
                <w:b/>
                <w:color w:val="000000"/>
              </w:rPr>
              <w:t>水生生态</w:t>
            </w:r>
          </w:p>
        </w:tc>
        <w:tc>
          <w:tcPr>
            <w:tcW w:w="1798" w:type="pct"/>
            <w:vAlign w:val="center"/>
          </w:tcPr>
          <w:p>
            <w:pPr>
              <w:jc w:val="center"/>
              <w:rPr>
                <w:color w:val="000000"/>
              </w:rPr>
            </w:pPr>
            <w:r>
              <w:rPr>
                <w:color w:val="000000"/>
              </w:rPr>
              <w:t>/</w:t>
            </w:r>
          </w:p>
        </w:tc>
        <w:tc>
          <w:tcPr>
            <w:tcW w:w="1470" w:type="pct"/>
            <w:vAlign w:val="center"/>
          </w:tcPr>
          <w:p>
            <w:pPr>
              <w:jc w:val="center"/>
              <w:rPr>
                <w:color w:val="000000"/>
              </w:rPr>
            </w:pPr>
            <w:r>
              <w:rPr>
                <w:color w:val="000000"/>
              </w:rPr>
              <w:t>/</w:t>
            </w:r>
          </w:p>
        </w:tc>
        <w:tc>
          <w:tcPr>
            <w:tcW w:w="652" w:type="pct"/>
            <w:vAlign w:val="center"/>
          </w:tcPr>
          <w:p>
            <w:pPr>
              <w:jc w:val="center"/>
              <w:rPr>
                <w:color w:val="000000"/>
              </w:rPr>
            </w:pPr>
            <w:r>
              <w:rPr>
                <w:color w:val="000000"/>
              </w:rPr>
              <w:t>/</w:t>
            </w:r>
          </w:p>
        </w:tc>
        <w:tc>
          <w:tcPr>
            <w:tcW w:w="652" w:type="pct"/>
            <w:vAlign w:val="center"/>
          </w:tcPr>
          <w:p>
            <w:pPr>
              <w:jc w:val="center"/>
              <w:rPr>
                <w:color w:val="000000"/>
              </w:rPr>
            </w:pPr>
            <w:r>
              <w:rPr>
                <w:color w:val="000000"/>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425" w:type="pct"/>
            <w:vAlign w:val="center"/>
          </w:tcPr>
          <w:p>
            <w:pPr>
              <w:jc w:val="center"/>
              <w:rPr>
                <w:b/>
                <w:color w:val="000000"/>
              </w:rPr>
            </w:pPr>
            <w:r>
              <w:rPr>
                <w:b/>
                <w:color w:val="000000"/>
              </w:rPr>
              <w:t>地表水环境</w:t>
            </w:r>
          </w:p>
        </w:tc>
        <w:tc>
          <w:tcPr>
            <w:tcW w:w="1798" w:type="pct"/>
            <w:vAlign w:val="center"/>
          </w:tcPr>
          <w:p>
            <w:pPr>
              <w:rPr>
                <w:color w:val="000000"/>
              </w:rPr>
            </w:pPr>
            <w:r>
              <w:rPr>
                <w:rFonts w:hint="eastAsia"/>
                <w:color w:val="000000"/>
              </w:rPr>
              <w:t>①</w:t>
            </w:r>
            <w:r>
              <w:rPr>
                <w:color w:val="000000"/>
              </w:rPr>
              <w:t>变电站施工时应及时修建临时旱厕对生活污水进行处理，施工完成后对旱厕进行拆除并</w:t>
            </w:r>
            <w:r>
              <w:rPr>
                <w:rFonts w:hint="eastAsia"/>
                <w:color w:val="000000"/>
              </w:rPr>
              <w:t>恢复</w:t>
            </w:r>
            <w:r>
              <w:rPr>
                <w:color w:val="000000"/>
              </w:rPr>
              <w:t>原有植被。</w:t>
            </w:r>
          </w:p>
          <w:p>
            <w:pPr>
              <w:rPr>
                <w:color w:val="000000"/>
              </w:rPr>
            </w:pPr>
            <w:r>
              <w:rPr>
                <w:rFonts w:hint="eastAsia"/>
                <w:color w:val="000000"/>
              </w:rPr>
              <w:t>②</w:t>
            </w:r>
            <w:r>
              <w:rPr>
                <w:color w:val="000000"/>
              </w:rPr>
              <w:t>对于输电线路，在施工区域设置简易排水系统，并设置简易沉砂池，使产生的施工废水经沉淀处理后用于施工场地洒水抑尘。</w:t>
            </w:r>
          </w:p>
          <w:p>
            <w:pPr>
              <w:rPr>
                <w:color w:val="000000"/>
              </w:rPr>
            </w:pPr>
            <w:r>
              <w:rPr>
                <w:rFonts w:hint="eastAsia"/>
                <w:color w:val="000000"/>
              </w:rPr>
              <w:t>③</w:t>
            </w:r>
            <w:r>
              <w:rPr>
                <w:color w:val="000000"/>
              </w:rPr>
              <w:t>输电线路施工人员临时租用附近村庄民房或工屋，不设置施工营地。</w:t>
            </w:r>
            <w:r>
              <w:rPr>
                <w:rFonts w:hint="eastAsia"/>
                <w:color w:val="000000"/>
              </w:rPr>
              <w:t>施工现场可设置移动式环保厕所，用于收集处理施工现场的生活污水。</w:t>
            </w:r>
          </w:p>
          <w:p>
            <w:pPr>
              <w:rPr>
                <w:color w:val="000000"/>
              </w:rPr>
            </w:pPr>
            <w:r>
              <w:rPr>
                <w:rFonts w:hint="eastAsia"/>
                <w:color w:val="000000"/>
              </w:rPr>
              <w:t>④对线路运行维护人员进行水环境相关知识的培训，提高他们的环境保护意识，将工程运行维护过程中产生的生活垃圾等废物妥善处置，及时消除由此带来的环境影响。</w:t>
            </w:r>
          </w:p>
        </w:tc>
        <w:tc>
          <w:tcPr>
            <w:tcW w:w="1470" w:type="pct"/>
            <w:vAlign w:val="center"/>
          </w:tcPr>
          <w:p>
            <w:pPr>
              <w:rPr>
                <w:color w:val="000000"/>
              </w:rPr>
            </w:pPr>
            <w:r>
              <w:rPr>
                <w:rFonts w:hint="eastAsia"/>
                <w:color w:val="000000"/>
              </w:rPr>
              <w:t>①</w:t>
            </w:r>
            <w:r>
              <w:rPr>
                <w:color w:val="000000"/>
              </w:rPr>
              <w:t>新建变电站需建设生活污水处理设施，并按要求处理</w:t>
            </w:r>
            <w:r>
              <w:rPr>
                <w:rFonts w:hint="eastAsia"/>
                <w:color w:val="000000"/>
              </w:rPr>
              <w:t>污</w:t>
            </w:r>
            <w:r>
              <w:rPr>
                <w:color w:val="000000"/>
              </w:rPr>
              <w:t>水。</w:t>
            </w:r>
          </w:p>
          <w:p>
            <w:pPr>
              <w:rPr>
                <w:color w:val="000000"/>
              </w:rPr>
            </w:pPr>
            <w:r>
              <w:rPr>
                <w:rFonts w:hint="eastAsia"/>
                <w:color w:val="000000"/>
              </w:rPr>
              <w:t>②线路</w:t>
            </w:r>
            <w:r>
              <w:rPr>
                <w:color w:val="000000"/>
              </w:rPr>
              <w:t>施工过程中，施工区域设置简易沉砂池，施工废水经沉淀后用于施工场地洒水抑尘。</w:t>
            </w:r>
          </w:p>
          <w:p>
            <w:pPr>
              <w:rPr>
                <w:color w:val="000000"/>
              </w:rPr>
            </w:pPr>
            <w:r>
              <w:rPr>
                <w:rFonts w:hint="eastAsia"/>
                <w:color w:val="000000"/>
              </w:rPr>
              <w:t>③线路</w:t>
            </w:r>
            <w:r>
              <w:rPr>
                <w:color w:val="000000"/>
              </w:rPr>
              <w:t>施工过程中</w:t>
            </w:r>
            <w:r>
              <w:rPr>
                <w:rFonts w:hint="eastAsia"/>
                <w:color w:val="000000"/>
              </w:rPr>
              <w:t>不设置施工营地</w:t>
            </w:r>
            <w:r>
              <w:rPr>
                <w:color w:val="000000"/>
              </w:rPr>
              <w:t>。</w:t>
            </w:r>
          </w:p>
          <w:p>
            <w:pPr>
              <w:rPr>
                <w:color w:val="000000"/>
              </w:rPr>
            </w:pPr>
            <w:r>
              <w:rPr>
                <w:rFonts w:hint="eastAsia"/>
                <w:color w:val="000000"/>
              </w:rPr>
              <w:t>④对线路运行维护人员进行水环境相关知识的培训，提高他们的环境保护意识，将工程运行维护过程中产生的生活垃圾等废物妥善处置，及时消除由此带来的环境影响。</w:t>
            </w:r>
          </w:p>
        </w:tc>
        <w:tc>
          <w:tcPr>
            <w:tcW w:w="652" w:type="pct"/>
            <w:vAlign w:val="center"/>
          </w:tcPr>
          <w:p>
            <w:pPr>
              <w:rPr>
                <w:color w:val="000000"/>
              </w:rPr>
            </w:pPr>
            <w:r>
              <w:rPr>
                <w:rFonts w:hint="eastAsia"/>
                <w:color w:val="000000"/>
              </w:rPr>
              <w:t>伊拉湖220千伏变电站生活污水经地埋式污水处理设施处理后定期清理，不外排。</w:t>
            </w:r>
          </w:p>
        </w:tc>
        <w:tc>
          <w:tcPr>
            <w:tcW w:w="652" w:type="pct"/>
            <w:vAlign w:val="center"/>
          </w:tcPr>
          <w:p>
            <w:pPr>
              <w:rPr>
                <w:color w:val="000000"/>
              </w:rPr>
            </w:pPr>
            <w:r>
              <w:rPr>
                <w:rFonts w:hint="eastAsia"/>
                <w:color w:val="000000"/>
              </w:rPr>
              <w:t>伊拉湖220千伏变电站生活污水经地埋式污水处理设施处理后定期清理，不外排。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25" w:type="pct"/>
            <w:vAlign w:val="center"/>
          </w:tcPr>
          <w:p>
            <w:pPr>
              <w:jc w:val="center"/>
              <w:rPr>
                <w:b/>
                <w:color w:val="000000"/>
              </w:rPr>
            </w:pPr>
            <w:r>
              <w:rPr>
                <w:b/>
                <w:color w:val="000000"/>
              </w:rPr>
              <w:t>地下水及土壤环境</w:t>
            </w:r>
          </w:p>
        </w:tc>
        <w:tc>
          <w:tcPr>
            <w:tcW w:w="1798" w:type="pct"/>
            <w:vAlign w:val="center"/>
          </w:tcPr>
          <w:p>
            <w:pPr>
              <w:jc w:val="center"/>
              <w:rPr>
                <w:color w:val="000000"/>
              </w:rPr>
            </w:pPr>
            <w:r>
              <w:rPr>
                <w:rFonts w:hint="eastAsia"/>
                <w:color w:val="000000"/>
              </w:rPr>
              <w:t>/</w:t>
            </w:r>
          </w:p>
        </w:tc>
        <w:tc>
          <w:tcPr>
            <w:tcW w:w="1470" w:type="pct"/>
            <w:vAlign w:val="center"/>
          </w:tcPr>
          <w:p>
            <w:pPr>
              <w:jc w:val="center"/>
              <w:rPr>
                <w:color w:val="000000"/>
              </w:rPr>
            </w:pPr>
            <w:r>
              <w:rPr>
                <w:rFonts w:hint="eastAsia"/>
                <w:color w:val="000000"/>
              </w:rPr>
              <w:t>/</w:t>
            </w:r>
          </w:p>
        </w:tc>
        <w:tc>
          <w:tcPr>
            <w:tcW w:w="652" w:type="pct"/>
            <w:vAlign w:val="center"/>
          </w:tcPr>
          <w:p>
            <w:pPr>
              <w:jc w:val="center"/>
              <w:rPr>
                <w:color w:val="000000"/>
              </w:rPr>
            </w:pPr>
            <w:r>
              <w:rPr>
                <w:color w:val="000000"/>
              </w:rPr>
              <w:t>/</w:t>
            </w:r>
          </w:p>
        </w:tc>
        <w:tc>
          <w:tcPr>
            <w:tcW w:w="652" w:type="pct"/>
            <w:vAlign w:val="center"/>
          </w:tcPr>
          <w:p>
            <w:pPr>
              <w:jc w:val="center"/>
              <w:rPr>
                <w:color w:val="000000"/>
              </w:rPr>
            </w:pPr>
            <w:r>
              <w:rPr>
                <w:color w:val="000000"/>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425" w:type="pct"/>
            <w:vAlign w:val="center"/>
          </w:tcPr>
          <w:p>
            <w:pPr>
              <w:jc w:val="center"/>
              <w:rPr>
                <w:b/>
                <w:color w:val="000000"/>
              </w:rPr>
            </w:pPr>
            <w:r>
              <w:rPr>
                <w:b/>
                <w:color w:val="000000"/>
              </w:rPr>
              <w:t>声环境</w:t>
            </w:r>
          </w:p>
        </w:tc>
        <w:tc>
          <w:tcPr>
            <w:tcW w:w="1798" w:type="pct"/>
            <w:vAlign w:val="center"/>
          </w:tcPr>
          <w:p>
            <w:pPr>
              <w:rPr>
                <w:color w:val="000000"/>
              </w:rPr>
            </w:pPr>
            <w:r>
              <w:rPr>
                <w:rFonts w:hint="eastAsia"/>
                <w:color w:val="000000"/>
              </w:rPr>
              <w:t>①要求施工单位文明施工，加强施工期的环境管理和环境监控工作，并接受生态环境主管部门的监督管理。</w:t>
            </w:r>
          </w:p>
          <w:p>
            <w:pPr>
              <w:rPr>
                <w:color w:val="000000"/>
              </w:rPr>
            </w:pPr>
            <w:r>
              <w:rPr>
                <w:rFonts w:hint="eastAsia"/>
                <w:color w:val="000000"/>
              </w:rPr>
              <w:t>②按《中华人民共和国噪声污染防治法》的规定，在噪声敏感建筑物集中区域施工作业，应当优先使用低噪声施工工艺和设备。本环评要求在噪声敏感建筑物集中区域的施工作业应按《低噪声施工设备指导名录2024年版）》，优先选用低噪声施工设备进行施工。</w:t>
            </w:r>
          </w:p>
          <w:p>
            <w:pPr>
              <w:rPr>
                <w:color w:val="000000"/>
              </w:rPr>
            </w:pPr>
            <w:r>
              <w:rPr>
                <w:rFonts w:hint="eastAsia"/>
                <w:color w:val="000000"/>
              </w:rPr>
              <w:t>③优化施工方案，合理安排工期，依法限制夜间施工。</w:t>
            </w:r>
            <w:r>
              <w:rPr>
                <w:rFonts w:hint="eastAsia"/>
                <w:color w:val="000000"/>
                <w:lang w:eastAsia="zh-CN"/>
              </w:rPr>
              <w:t>按照《中华人民共和国</w:t>
            </w:r>
            <w:r>
              <w:rPr>
                <w:rFonts w:hint="eastAsia"/>
                <w:color w:val="000000"/>
              </w:rPr>
              <w:t>噪声污染防治法》的规定，在噪声敏感建筑物集中区域，禁止夜间进行产生噪声的建筑施工作业，但抢修、抢险施工作业，因生产工艺要求或者其他特殊需要必须连续施工作业的除外。因特殊需要必须连续施工作业的，应当取得地方人民政府住房和城乡建设、生态环境主管部门或者地方人民政府指定的部门的证明，并在施工现场显著位置公示或者以其他方式公告附近居民。</w:t>
            </w:r>
          </w:p>
          <w:p>
            <w:pPr>
              <w:rPr>
                <w:color w:val="000000"/>
              </w:rPr>
            </w:pPr>
            <w:r>
              <w:rPr>
                <w:rFonts w:hint="eastAsia"/>
                <w:color w:val="000000"/>
              </w:rPr>
              <w:t>④加强施工车辆在施工区附近的交通管理，当车辆途经附近居民点时，限速行驶、不高音鸣笛，以减少施工车辆行驶对沿途居民点的噪声影响。</w:t>
            </w:r>
          </w:p>
        </w:tc>
        <w:tc>
          <w:tcPr>
            <w:tcW w:w="1470" w:type="pct"/>
            <w:vAlign w:val="center"/>
          </w:tcPr>
          <w:p>
            <w:pPr>
              <w:rPr>
                <w:color w:val="000000"/>
              </w:rPr>
            </w:pPr>
            <w:r>
              <w:rPr>
                <w:rFonts w:hint="eastAsia"/>
                <w:color w:val="000000"/>
              </w:rPr>
              <w:t>①施工单位文明施工，加强施工期的环境管理和环境监控工作，并主动接受生态环境主管部门的监督管理。</w:t>
            </w:r>
          </w:p>
          <w:p>
            <w:pPr>
              <w:rPr>
                <w:color w:val="000000"/>
              </w:rPr>
            </w:pPr>
            <w:r>
              <w:rPr>
                <w:rFonts w:hint="eastAsia"/>
                <w:color w:val="000000"/>
              </w:rPr>
              <w:t>②施工</w:t>
            </w:r>
            <w:r>
              <w:rPr>
                <w:color w:val="000000"/>
              </w:rPr>
              <w:t>单位采用噪声水平满足国家相应标准的施工机械设备，并在施工场周围设置围挡设施，施工场界噪声满足</w:t>
            </w:r>
            <w:r>
              <w:rPr>
                <w:rFonts w:hint="eastAsia"/>
                <w:color w:val="000000"/>
              </w:rPr>
              <w:t>《建筑施工噪声排放标准》（GB12523-2025）</w:t>
            </w:r>
            <w:r>
              <w:rPr>
                <w:color w:val="000000"/>
              </w:rPr>
              <w:t>要求。</w:t>
            </w:r>
          </w:p>
          <w:p>
            <w:pPr>
              <w:rPr>
                <w:color w:val="000000"/>
              </w:rPr>
            </w:pPr>
            <w:r>
              <w:rPr>
                <w:rFonts w:hint="eastAsia"/>
                <w:color w:val="000000"/>
              </w:rPr>
              <w:t>③施工过程中，避免夜间施工，若确需夜间施工，应禁止高噪声施工作业</w:t>
            </w:r>
            <w:r>
              <w:rPr>
                <w:color w:val="000000"/>
              </w:rPr>
              <w:t>。</w:t>
            </w:r>
          </w:p>
          <w:p>
            <w:pPr>
              <w:rPr>
                <w:color w:val="000000"/>
              </w:rPr>
            </w:pPr>
            <w:r>
              <w:rPr>
                <w:rFonts w:hint="eastAsia"/>
                <w:color w:val="000000"/>
              </w:rPr>
              <w:t>④加强施工噪声管理工作，避免施工扰民</w:t>
            </w:r>
            <w:r>
              <w:rPr>
                <w:color w:val="000000"/>
              </w:rPr>
              <w:t>。</w:t>
            </w:r>
          </w:p>
        </w:tc>
        <w:tc>
          <w:tcPr>
            <w:tcW w:w="652" w:type="pct"/>
            <w:vAlign w:val="center"/>
          </w:tcPr>
          <w:p>
            <w:pPr>
              <w:rPr>
                <w:color w:val="000000"/>
              </w:rPr>
            </w:pPr>
            <w:r>
              <w:rPr>
                <w:rFonts w:hint="eastAsia"/>
                <w:color w:val="000000"/>
              </w:rPr>
              <w:t>运行期做好设施的维护和运行管理，定期开展环境监测，变电站运行期间厂界噪声均满足《工业企业厂界环境噪声排放标准》（GB12348-2008）相应标准限值要求，输电线路沿线的声环境保护目标处的声环境均满足《声环境质量标准》（GB3096-2008）相应功能区标准限值要求。</w:t>
            </w:r>
          </w:p>
        </w:tc>
        <w:tc>
          <w:tcPr>
            <w:tcW w:w="652" w:type="pct"/>
            <w:vAlign w:val="center"/>
          </w:tcPr>
          <w:p>
            <w:pPr>
              <w:wordWrap w:val="0"/>
              <w:rPr>
                <w:color w:val="000000"/>
              </w:rPr>
            </w:pPr>
            <w:r>
              <w:rPr>
                <w:color w:val="000000"/>
              </w:rPr>
              <w:t>变电站运行期间厂界噪声满足《工业企业厂界环境噪声排放标准》（GB12348-2008）</w:t>
            </w:r>
            <w:r>
              <w:rPr>
                <w:rFonts w:hint="eastAsia"/>
                <w:color w:val="000000"/>
              </w:rPr>
              <w:t>相应标准限值要求。输电线路沿线</w:t>
            </w:r>
            <w:r>
              <w:rPr>
                <w:color w:val="000000"/>
              </w:rPr>
              <w:t>声环境</w:t>
            </w:r>
            <w:r>
              <w:rPr>
                <w:rFonts w:hint="eastAsia"/>
                <w:color w:val="000000"/>
              </w:rPr>
              <w:t>保护</w:t>
            </w:r>
            <w:r>
              <w:rPr>
                <w:color w:val="000000"/>
              </w:rPr>
              <w:t>目标</w:t>
            </w:r>
            <w:r>
              <w:rPr>
                <w:rFonts w:hint="eastAsia"/>
                <w:color w:val="000000"/>
              </w:rPr>
              <w:t>噪声</w:t>
            </w:r>
            <w:r>
              <w:rPr>
                <w:color w:val="000000"/>
              </w:rPr>
              <w:t>满足《声环境质量标准》（GB3096-2008）相应功能区标准限值要求。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425" w:type="pct"/>
            <w:vAlign w:val="center"/>
          </w:tcPr>
          <w:p>
            <w:pPr>
              <w:jc w:val="center"/>
              <w:rPr>
                <w:b/>
                <w:color w:val="000000"/>
              </w:rPr>
            </w:pPr>
            <w:r>
              <w:rPr>
                <w:b/>
                <w:color w:val="000000"/>
              </w:rPr>
              <w:t>振动</w:t>
            </w:r>
          </w:p>
        </w:tc>
        <w:tc>
          <w:tcPr>
            <w:tcW w:w="1798" w:type="pct"/>
            <w:vAlign w:val="center"/>
          </w:tcPr>
          <w:p>
            <w:pPr>
              <w:jc w:val="center"/>
              <w:rPr>
                <w:color w:val="000000"/>
              </w:rPr>
            </w:pPr>
            <w:r>
              <w:rPr>
                <w:color w:val="000000"/>
              </w:rPr>
              <w:t>/</w:t>
            </w:r>
          </w:p>
        </w:tc>
        <w:tc>
          <w:tcPr>
            <w:tcW w:w="1470" w:type="pct"/>
            <w:vAlign w:val="center"/>
          </w:tcPr>
          <w:p>
            <w:pPr>
              <w:jc w:val="center"/>
              <w:rPr>
                <w:color w:val="000000"/>
              </w:rPr>
            </w:pPr>
            <w:r>
              <w:rPr>
                <w:color w:val="000000"/>
              </w:rPr>
              <w:t>/</w:t>
            </w:r>
          </w:p>
        </w:tc>
        <w:tc>
          <w:tcPr>
            <w:tcW w:w="652" w:type="pct"/>
            <w:vAlign w:val="center"/>
          </w:tcPr>
          <w:p>
            <w:pPr>
              <w:jc w:val="center"/>
              <w:rPr>
                <w:color w:val="000000"/>
              </w:rPr>
            </w:pPr>
            <w:r>
              <w:rPr>
                <w:color w:val="000000"/>
              </w:rPr>
              <w:t>/</w:t>
            </w:r>
          </w:p>
        </w:tc>
        <w:tc>
          <w:tcPr>
            <w:tcW w:w="652" w:type="pct"/>
            <w:vAlign w:val="center"/>
          </w:tcPr>
          <w:p>
            <w:pPr>
              <w:jc w:val="center"/>
              <w:rPr>
                <w:color w:val="000000"/>
              </w:rPr>
            </w:pPr>
            <w:r>
              <w:rPr>
                <w:color w:val="000000"/>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425" w:type="pct"/>
            <w:vAlign w:val="center"/>
          </w:tcPr>
          <w:p>
            <w:pPr>
              <w:jc w:val="center"/>
              <w:rPr>
                <w:b/>
                <w:color w:val="000000"/>
              </w:rPr>
            </w:pPr>
            <w:r>
              <w:rPr>
                <w:b/>
                <w:color w:val="000000"/>
              </w:rPr>
              <w:t>大气环境</w:t>
            </w:r>
          </w:p>
        </w:tc>
        <w:tc>
          <w:tcPr>
            <w:tcW w:w="1798" w:type="pct"/>
            <w:vAlign w:val="center"/>
          </w:tcPr>
          <w:p>
            <w:pPr>
              <w:rPr>
                <w:color w:val="000000"/>
              </w:rPr>
            </w:pPr>
            <w:r>
              <w:rPr>
                <w:rFonts w:hint="eastAsia"/>
                <w:color w:val="000000"/>
              </w:rPr>
              <w:t>①</w:t>
            </w:r>
            <w:r>
              <w:rPr>
                <w:color w:val="000000"/>
              </w:rPr>
              <w:t>施工单位应文明施工，加强施工期的环境管理和环境监控工作。</w:t>
            </w:r>
          </w:p>
          <w:p>
            <w:pPr>
              <w:rPr>
                <w:color w:val="000000"/>
              </w:rPr>
            </w:pPr>
            <w:r>
              <w:rPr>
                <w:rFonts w:hint="eastAsia"/>
                <w:color w:val="000000"/>
              </w:rPr>
              <w:t>②</w:t>
            </w:r>
            <w:r>
              <w:rPr>
                <w:color w:val="000000"/>
              </w:rPr>
              <w:t>施工产生的建筑垃圾等要合理堆放，应定期清运。</w:t>
            </w:r>
          </w:p>
          <w:p>
            <w:pPr>
              <w:rPr>
                <w:color w:val="000000"/>
              </w:rPr>
            </w:pPr>
            <w:r>
              <w:rPr>
                <w:rFonts w:hint="eastAsia"/>
                <w:color w:val="000000"/>
              </w:rPr>
              <w:t>③</w:t>
            </w:r>
            <w:r>
              <w:rPr>
                <w:color w:val="000000"/>
              </w:rPr>
              <w:t>车辆运输土方</w:t>
            </w:r>
            <w:r>
              <w:rPr>
                <w:rFonts w:hint="eastAsia"/>
                <w:color w:val="000000"/>
              </w:rPr>
              <w:t>或散体材料</w:t>
            </w:r>
            <w:r>
              <w:rPr>
                <w:color w:val="000000"/>
              </w:rPr>
              <w:t>时，必须密闭、包扎、覆盖，避免沿途漏撒，并且在规定的时间内按指定路段行驶，控制扬尘污染。</w:t>
            </w:r>
          </w:p>
          <w:p>
            <w:pPr>
              <w:rPr>
                <w:color w:val="000000"/>
              </w:rPr>
            </w:pPr>
            <w:r>
              <w:rPr>
                <w:rFonts w:hint="eastAsia"/>
                <w:color w:val="000000"/>
              </w:rPr>
              <w:t>④</w:t>
            </w:r>
            <w:r>
              <w:rPr>
                <w:color w:val="000000"/>
              </w:rPr>
              <w:t>加强材料转运与使用的管理，合理装卸，规范操作。</w:t>
            </w:r>
          </w:p>
          <w:p>
            <w:pPr>
              <w:rPr>
                <w:color w:val="000000"/>
              </w:rPr>
            </w:pPr>
            <w:r>
              <w:rPr>
                <w:rFonts w:hint="eastAsia"/>
                <w:color w:val="000000"/>
              </w:rPr>
              <w:t>⑤</w:t>
            </w:r>
            <w:r>
              <w:rPr>
                <w:color w:val="000000"/>
              </w:rPr>
              <w:t>变电站及输电线路附近的道路在车辆进出时洒水，保持湿润，减少或避免产生扬尘。</w:t>
            </w:r>
          </w:p>
        </w:tc>
        <w:tc>
          <w:tcPr>
            <w:tcW w:w="1470" w:type="pct"/>
            <w:vAlign w:val="center"/>
          </w:tcPr>
          <w:p>
            <w:pPr>
              <w:rPr>
                <w:color w:val="000000"/>
              </w:rPr>
            </w:pPr>
            <w:r>
              <w:rPr>
                <w:rFonts w:hint="eastAsia"/>
                <w:color w:val="000000"/>
              </w:rPr>
              <w:t>①</w:t>
            </w:r>
            <w:r>
              <w:rPr>
                <w:color w:val="000000"/>
              </w:rPr>
              <w:t>施工单位严格落实文明施工，并加强施工期的环境管理。</w:t>
            </w:r>
          </w:p>
          <w:p>
            <w:pPr>
              <w:rPr>
                <w:color w:val="000000"/>
              </w:rPr>
            </w:pPr>
            <w:r>
              <w:rPr>
                <w:rFonts w:hint="eastAsia"/>
                <w:color w:val="000000"/>
              </w:rPr>
              <w:t>②</w:t>
            </w:r>
            <w:r>
              <w:rPr>
                <w:color w:val="000000"/>
              </w:rPr>
              <w:t>施工垃圾及时清运。</w:t>
            </w:r>
          </w:p>
          <w:p>
            <w:pPr>
              <w:rPr>
                <w:color w:val="000000"/>
              </w:rPr>
            </w:pPr>
            <w:r>
              <w:rPr>
                <w:rFonts w:hint="eastAsia"/>
                <w:color w:val="000000"/>
              </w:rPr>
              <w:t>③</w:t>
            </w:r>
            <w:r>
              <w:rPr>
                <w:color w:val="000000"/>
              </w:rPr>
              <w:t>运输土石方或散体材料时采取</w:t>
            </w:r>
            <w:r>
              <w:rPr>
                <w:rFonts w:hint="eastAsia"/>
                <w:color w:val="000000"/>
              </w:rPr>
              <w:t>密闭、包扎、覆盖措施，避免沿途漏撒</w:t>
            </w:r>
            <w:r>
              <w:rPr>
                <w:color w:val="000000"/>
              </w:rPr>
              <w:t>。</w:t>
            </w:r>
          </w:p>
          <w:p>
            <w:pPr>
              <w:rPr>
                <w:color w:val="000000"/>
              </w:rPr>
            </w:pPr>
            <w:r>
              <w:rPr>
                <w:rFonts w:hint="eastAsia"/>
                <w:color w:val="000000"/>
              </w:rPr>
              <w:t>④</w:t>
            </w:r>
            <w:r>
              <w:rPr>
                <w:color w:val="000000"/>
              </w:rPr>
              <w:t>严格规范材料转运、装卸过程中的操作。</w:t>
            </w:r>
          </w:p>
          <w:p>
            <w:pPr>
              <w:rPr>
                <w:color w:val="000000"/>
              </w:rPr>
            </w:pPr>
            <w:r>
              <w:rPr>
                <w:rFonts w:hint="eastAsia"/>
                <w:color w:val="000000"/>
              </w:rPr>
              <w:t>⑤</w:t>
            </w:r>
            <w:r>
              <w:rPr>
                <w:color w:val="000000"/>
              </w:rPr>
              <w:t>车辆进出施工区域时，需进行洒水降尘，避免扬尘对周围环境造成影响。</w:t>
            </w:r>
          </w:p>
        </w:tc>
        <w:tc>
          <w:tcPr>
            <w:tcW w:w="652" w:type="pct"/>
            <w:vAlign w:val="center"/>
          </w:tcPr>
          <w:p>
            <w:pPr>
              <w:jc w:val="center"/>
              <w:rPr>
                <w:color w:val="000000"/>
              </w:rPr>
            </w:pPr>
            <w:r>
              <w:rPr>
                <w:color w:val="000000"/>
              </w:rPr>
              <w:t>/</w:t>
            </w:r>
          </w:p>
        </w:tc>
        <w:tc>
          <w:tcPr>
            <w:tcW w:w="652" w:type="pct"/>
            <w:vAlign w:val="center"/>
          </w:tcPr>
          <w:p>
            <w:pPr>
              <w:jc w:val="center"/>
              <w:rPr>
                <w:color w:val="000000"/>
              </w:rPr>
            </w:pPr>
            <w:r>
              <w:rPr>
                <w:color w:val="000000"/>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32" w:hRule="atLeast"/>
          <w:jc w:val="center"/>
        </w:trPr>
        <w:tc>
          <w:tcPr>
            <w:tcW w:w="425" w:type="pct"/>
            <w:vAlign w:val="center"/>
          </w:tcPr>
          <w:p>
            <w:pPr>
              <w:jc w:val="center"/>
              <w:rPr>
                <w:b/>
                <w:color w:val="000000"/>
              </w:rPr>
            </w:pPr>
            <w:r>
              <w:rPr>
                <w:b/>
                <w:color w:val="000000"/>
              </w:rPr>
              <w:t>固体废物</w:t>
            </w:r>
          </w:p>
        </w:tc>
        <w:tc>
          <w:tcPr>
            <w:tcW w:w="1798" w:type="pct"/>
            <w:vAlign w:val="center"/>
          </w:tcPr>
          <w:p>
            <w:r>
              <w:rPr>
                <w:rFonts w:hint="eastAsia"/>
              </w:rPr>
              <w:t>①</w:t>
            </w:r>
            <w:r>
              <w:t>明确要求施工过程中的建筑垃圾及生活垃圾应分别收集存放，及时清运。生活垃圾实行袋装化，封闭贮存；建筑垃圾分类堆存，并采取必要的防护措施（防雨、防扬尘等）。</w:t>
            </w:r>
          </w:p>
          <w:p>
            <w:r>
              <w:rPr>
                <w:rFonts w:hint="eastAsia"/>
              </w:rPr>
              <w:t>②</w:t>
            </w:r>
            <w:r>
              <w:t>本工程变电站四通一平工作产生的表层耕植土应集中收集堆放，结合附近区域的绿化工程或土地改造工程综合利用。主变等建构筑物基础开挖余土应结合场地平整综合利用，严禁边挖边弃。</w:t>
            </w:r>
          </w:p>
          <w:p>
            <w:r>
              <w:rPr>
                <w:rFonts w:hint="eastAsia"/>
              </w:rPr>
              <w:t>③</w:t>
            </w:r>
            <w:r>
              <w:t>新建输电线路塔基开挖多余土方应在塔基征地范围内进行平整，同时在表面进行绿化恢复。</w:t>
            </w:r>
          </w:p>
          <w:p>
            <w:r>
              <w:rPr>
                <w:rFonts w:hint="eastAsia"/>
              </w:rPr>
              <w:t>④施工结束后对施工区域再次进行清理，做到“工完、料尽、场地清”。</w:t>
            </w:r>
          </w:p>
        </w:tc>
        <w:tc>
          <w:tcPr>
            <w:tcW w:w="1470" w:type="pct"/>
            <w:vAlign w:val="center"/>
          </w:tcPr>
          <w:p>
            <w:r>
              <w:rPr>
                <w:rFonts w:hint="eastAsia"/>
              </w:rPr>
              <w:t>①施工期的建筑垃圾、生活垃圾分类收集，妥善处理</w:t>
            </w:r>
            <w:r>
              <w:t>。</w:t>
            </w:r>
          </w:p>
          <w:p>
            <w:r>
              <w:rPr>
                <w:rFonts w:hint="eastAsia"/>
              </w:rPr>
              <w:t>②</w:t>
            </w:r>
            <w:r>
              <w:t>变电站施工过程中控制挖填平衡，严禁边挖边弃。</w:t>
            </w:r>
          </w:p>
          <w:p>
            <w:r>
              <w:rPr>
                <w:rFonts w:hint="eastAsia"/>
              </w:rPr>
              <w:t>③</w:t>
            </w:r>
            <w:r>
              <w:t>禁止将输电线路塔基开挖多余土方</w:t>
            </w:r>
            <w:r>
              <w:rPr>
                <w:rFonts w:hint="eastAsia"/>
              </w:rPr>
              <w:t>随意</w:t>
            </w:r>
            <w:r>
              <w:t>弃置，施工结束后需进行植被恢复。</w:t>
            </w:r>
          </w:p>
          <w:p>
            <w:r>
              <w:rPr>
                <w:rFonts w:hint="eastAsia"/>
              </w:rPr>
              <w:t>④施工结束后对施工区域进行清理，避免残留施工建筑垃圾和生活垃圾。</w:t>
            </w:r>
          </w:p>
        </w:tc>
        <w:tc>
          <w:tcPr>
            <w:tcW w:w="652" w:type="pct"/>
            <w:vAlign w:val="center"/>
          </w:tcPr>
          <w:p>
            <w:pPr>
              <w:rPr>
                <w:color w:val="000000"/>
              </w:rPr>
            </w:pPr>
            <w:r>
              <w:rPr>
                <w:rFonts w:hint="eastAsia"/>
                <w:color w:val="000000"/>
              </w:rPr>
              <w:t>①变电站产生的生活垃圾经站内生活垃圾收集设施收集后定期清运至当地环卫部门指定的垃圾收集点，随当地生活垃圾一起处理，不得随意丢弃。</w:t>
            </w:r>
          </w:p>
          <w:p>
            <w:pPr>
              <w:rPr>
                <w:color w:val="000000"/>
              </w:rPr>
            </w:pPr>
            <w:r>
              <w:rPr>
                <w:rFonts w:hint="eastAsia"/>
                <w:color w:val="000000"/>
              </w:rPr>
              <w:t>②变电站内铅酸蓄电池达到使用寿命或需要更换时交由有危废处理资质单位处置，严禁随意丢弃，不在站内储存</w:t>
            </w:r>
            <w:r>
              <w:rPr>
                <w:color w:val="000000"/>
              </w:rPr>
              <w:t>。</w:t>
            </w:r>
          </w:p>
        </w:tc>
        <w:tc>
          <w:tcPr>
            <w:tcW w:w="652" w:type="pct"/>
            <w:vAlign w:val="center"/>
          </w:tcPr>
          <w:p>
            <w:pPr>
              <w:rPr>
                <w:color w:val="000000"/>
              </w:rPr>
            </w:pPr>
            <w:r>
              <w:rPr>
                <w:rFonts w:hint="eastAsia"/>
                <w:color w:val="000000"/>
              </w:rPr>
              <w:t>①</w:t>
            </w:r>
            <w:r>
              <w:rPr>
                <w:color w:val="000000"/>
              </w:rPr>
              <w:t>定期巡检人员产生的少量生活垃圾，应收集集中后运至当地镇区的生活垃圾转运点，交由环卫部门妥善处理。</w:t>
            </w:r>
          </w:p>
          <w:p>
            <w:pPr>
              <w:rPr>
                <w:color w:val="000000"/>
              </w:rPr>
            </w:pPr>
            <w:r>
              <w:rPr>
                <w:rFonts w:hint="eastAsia"/>
                <w:color w:val="000000"/>
              </w:rPr>
              <w:t>②</w:t>
            </w:r>
            <w:r>
              <w:rPr>
                <w:color w:val="000000"/>
              </w:rPr>
              <w:t>变电站运行产生的废旧的铅酸蓄电池按照国家危废转移、处置有关规定进行转移、处置。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5" w:type="pct"/>
            <w:vAlign w:val="center"/>
          </w:tcPr>
          <w:p>
            <w:pPr>
              <w:jc w:val="center"/>
              <w:rPr>
                <w:b/>
                <w:color w:val="000000"/>
              </w:rPr>
            </w:pPr>
            <w:r>
              <w:rPr>
                <w:b/>
                <w:color w:val="000000"/>
              </w:rPr>
              <w:t>电磁环境</w:t>
            </w:r>
          </w:p>
        </w:tc>
        <w:tc>
          <w:tcPr>
            <w:tcW w:w="1798" w:type="pct"/>
            <w:vAlign w:val="center"/>
          </w:tcPr>
          <w:p>
            <w:pPr>
              <w:rPr>
                <w:color w:val="000000"/>
              </w:rPr>
            </w:pPr>
            <w:r>
              <w:rPr>
                <w:rFonts w:hint="eastAsia"/>
                <w:color w:val="000000"/>
              </w:rPr>
              <w:t>①</w:t>
            </w:r>
            <w:r>
              <w:rPr>
                <w:color w:val="000000"/>
              </w:rPr>
              <w:t>对于变电站，严格按照技术规程选择电气设备，对高压一次设备采用均压措施；控制导体和电气设备安全距离；控制配电构架高度、对地和相间距离，控制设备间连线离地面的最低高度，确保变电站围墙外附近居住等场所的电磁环境符合相应标准。</w:t>
            </w:r>
          </w:p>
          <w:p>
            <w:pPr>
              <w:rPr>
                <w:color w:val="000000"/>
              </w:rPr>
            </w:pPr>
            <w:r>
              <w:rPr>
                <w:rFonts w:hint="eastAsia"/>
                <w:color w:val="000000"/>
              </w:rPr>
              <w:t>②</w:t>
            </w:r>
            <w:r>
              <w:rPr>
                <w:color w:val="000000"/>
              </w:rPr>
              <w:t>对于输电线路，严格按照《110</w:t>
            </w:r>
            <w:r>
              <w:rPr>
                <w:rFonts w:hint="eastAsia"/>
                <w:color w:val="000000"/>
              </w:rPr>
              <w:t>-</w:t>
            </w:r>
            <w:r>
              <w:rPr>
                <w:color w:val="000000"/>
              </w:rPr>
              <w:t>750kV架空输电线路设计技术规范》（GB50545-2010）选择相导线排列形式，导线、金具及绝缘子等电气设备、设施，提高加工工艺，防止尖端放电和起电晕；此外，输电线路经过不同地区时亦严格按照上述规定设计导线对地距离、交叉跨越距离。</w:t>
            </w:r>
          </w:p>
          <w:p>
            <w:pPr>
              <w:rPr>
                <w:color w:val="000000"/>
              </w:rPr>
            </w:pPr>
            <w:r>
              <w:rPr>
                <w:rFonts w:hint="eastAsia"/>
                <w:color w:val="000000"/>
              </w:rPr>
              <w:t>③本项目</w:t>
            </w:r>
            <w:r>
              <w:rPr>
                <w:color w:val="000000"/>
              </w:rPr>
              <w:t>拟建</w:t>
            </w:r>
            <w:r>
              <w:rPr>
                <w:rFonts w:hint="eastAsia"/>
                <w:color w:val="000000"/>
              </w:rPr>
              <w:t>单回</w:t>
            </w:r>
            <w:r>
              <w:rPr>
                <w:color w:val="000000"/>
              </w:rPr>
              <w:t>线路经过</w:t>
            </w:r>
            <w:r>
              <w:rPr>
                <w:rFonts w:hint="eastAsia"/>
                <w:color w:val="000000"/>
              </w:rPr>
              <w:t>非</w:t>
            </w:r>
            <w:r>
              <w:rPr>
                <w:color w:val="000000"/>
              </w:rPr>
              <w:t>居民区时，导线最小对地高度不低于</w:t>
            </w:r>
            <w:r>
              <w:rPr>
                <w:rFonts w:hint="eastAsia"/>
                <w:color w:val="000000"/>
              </w:rPr>
              <w:t>6.5</w:t>
            </w:r>
            <w:r>
              <w:rPr>
                <w:color w:val="000000"/>
              </w:rPr>
              <w:t>m</w:t>
            </w:r>
            <w:r>
              <w:rPr>
                <w:rFonts w:hint="eastAsia"/>
                <w:color w:val="000000"/>
              </w:rPr>
              <w:t>，拟建单回线路经过居民区时，导线最小对地高度不低于11.5m。</w:t>
            </w:r>
          </w:p>
          <w:p>
            <w:pPr>
              <w:rPr>
                <w:color w:val="000000"/>
              </w:rPr>
            </w:pPr>
            <w:r>
              <w:rPr>
                <w:rFonts w:hint="eastAsia"/>
                <w:color w:val="000000"/>
              </w:rPr>
              <w:t>④本项目</w:t>
            </w:r>
            <w:r>
              <w:rPr>
                <w:color w:val="000000"/>
              </w:rPr>
              <w:t>拟建</w:t>
            </w:r>
            <w:r>
              <w:rPr>
                <w:rFonts w:hint="eastAsia"/>
                <w:color w:val="000000"/>
              </w:rPr>
              <w:t>单回</w:t>
            </w:r>
            <w:r>
              <w:rPr>
                <w:color w:val="000000"/>
              </w:rPr>
              <w:t>线路经过</w:t>
            </w:r>
            <w:r>
              <w:rPr>
                <w:rFonts w:hint="eastAsia"/>
                <w:color w:val="000000"/>
              </w:rPr>
              <w:t>非</w:t>
            </w:r>
            <w:r>
              <w:rPr>
                <w:color w:val="000000"/>
              </w:rPr>
              <w:t>居民区时，导线最小对地高度不低于</w:t>
            </w:r>
            <w:r>
              <w:rPr>
                <w:rFonts w:hint="eastAsia"/>
                <w:color w:val="000000"/>
              </w:rPr>
              <w:t>6.5</w:t>
            </w:r>
            <w:r>
              <w:rPr>
                <w:color w:val="000000"/>
              </w:rPr>
              <w:t>m</w:t>
            </w:r>
            <w:r>
              <w:rPr>
                <w:rFonts w:hint="eastAsia"/>
                <w:color w:val="000000"/>
              </w:rPr>
              <w:t>，拟建单回线路经过居民区时，导线最小对地高度不低于14.5m</w:t>
            </w:r>
            <w:r>
              <w:rPr>
                <w:color w:val="000000"/>
              </w:rPr>
              <w:t>。</w:t>
            </w:r>
          </w:p>
        </w:tc>
        <w:tc>
          <w:tcPr>
            <w:tcW w:w="1470" w:type="pct"/>
            <w:vAlign w:val="center"/>
          </w:tcPr>
          <w:p>
            <w:pPr>
              <w:rPr>
                <w:color w:val="000000"/>
              </w:rPr>
            </w:pPr>
            <w:r>
              <w:rPr>
                <w:rFonts w:hint="eastAsia"/>
                <w:color w:val="000000"/>
              </w:rPr>
              <w:t>①</w:t>
            </w:r>
            <w:r>
              <w:rPr>
                <w:color w:val="000000"/>
              </w:rPr>
              <w:t>变电站严格按照技术规程选择电气设备，采取电磁环境影响控制措施，确保变电站厂界及电磁环境敏感目标的电磁环境影响满足《电磁环境控制限值》（GB8702-2014）</w:t>
            </w:r>
            <w:r>
              <w:rPr>
                <w:rFonts w:hint="eastAsia"/>
                <w:color w:val="000000"/>
              </w:rPr>
              <w:t>相应标准限值要求</w:t>
            </w:r>
            <w:r>
              <w:rPr>
                <w:color w:val="000000"/>
              </w:rPr>
              <w:t>。</w:t>
            </w:r>
          </w:p>
          <w:p>
            <w:pPr>
              <w:rPr>
                <w:color w:val="000000"/>
              </w:rPr>
            </w:pPr>
            <w:r>
              <w:rPr>
                <w:rFonts w:hint="eastAsia"/>
                <w:color w:val="000000"/>
              </w:rPr>
              <w:t>②</w:t>
            </w:r>
            <w:r>
              <w:rPr>
                <w:color w:val="000000"/>
              </w:rPr>
              <w:t>输电线路经过不同地区时导线对地距离、交叉跨越距离符合《110kV</w:t>
            </w:r>
            <w:r>
              <w:rPr>
                <w:rFonts w:hint="eastAsia"/>
                <w:color w:val="000000"/>
              </w:rPr>
              <w:t>-</w:t>
            </w:r>
            <w:r>
              <w:rPr>
                <w:color w:val="000000"/>
              </w:rPr>
              <w:t>750kV架空</w:t>
            </w:r>
            <w:r>
              <w:rPr>
                <w:rFonts w:hint="eastAsia"/>
                <w:color w:val="000000"/>
              </w:rPr>
              <w:t>输电</w:t>
            </w:r>
            <w:r>
              <w:rPr>
                <w:color w:val="000000"/>
              </w:rPr>
              <w:t>线路设计</w:t>
            </w:r>
            <w:r>
              <w:rPr>
                <w:rFonts w:hint="eastAsia"/>
                <w:color w:val="000000"/>
              </w:rPr>
              <w:t>规范</w:t>
            </w:r>
            <w:r>
              <w:rPr>
                <w:color w:val="000000"/>
              </w:rPr>
              <w:t>》（GB50545-2010）要求。</w:t>
            </w:r>
          </w:p>
          <w:p>
            <w:pPr>
              <w:rPr>
                <w:color w:val="000000"/>
              </w:rPr>
            </w:pPr>
            <w:r>
              <w:rPr>
                <w:rFonts w:hint="eastAsia"/>
                <w:color w:val="000000"/>
              </w:rPr>
              <w:t>③本项目</w:t>
            </w:r>
            <w:r>
              <w:rPr>
                <w:color w:val="000000"/>
              </w:rPr>
              <w:t>拟建</w:t>
            </w:r>
            <w:r>
              <w:rPr>
                <w:rFonts w:hint="eastAsia"/>
                <w:color w:val="000000"/>
              </w:rPr>
              <w:t>单回</w:t>
            </w:r>
            <w:r>
              <w:rPr>
                <w:color w:val="000000"/>
              </w:rPr>
              <w:t>线路经过</w:t>
            </w:r>
            <w:r>
              <w:rPr>
                <w:rFonts w:hint="eastAsia"/>
                <w:color w:val="000000"/>
              </w:rPr>
              <w:t>非</w:t>
            </w:r>
            <w:r>
              <w:rPr>
                <w:color w:val="000000"/>
              </w:rPr>
              <w:t>居民区时，导线最小对地高度不低于</w:t>
            </w:r>
            <w:r>
              <w:rPr>
                <w:rFonts w:hint="eastAsia"/>
                <w:color w:val="000000"/>
              </w:rPr>
              <w:t>6.5</w:t>
            </w:r>
            <w:r>
              <w:rPr>
                <w:color w:val="000000"/>
              </w:rPr>
              <w:t>m</w:t>
            </w:r>
            <w:r>
              <w:rPr>
                <w:rFonts w:hint="eastAsia"/>
                <w:color w:val="000000"/>
              </w:rPr>
              <w:t>，拟建单回线路经过居民区时，导线最小对地高度不低于11.5m。</w:t>
            </w:r>
          </w:p>
          <w:p>
            <w:pPr>
              <w:rPr>
                <w:color w:val="000000"/>
              </w:rPr>
            </w:pPr>
            <w:r>
              <w:rPr>
                <w:rFonts w:hint="eastAsia"/>
                <w:color w:val="000000"/>
              </w:rPr>
              <w:t>④本项目</w:t>
            </w:r>
            <w:r>
              <w:rPr>
                <w:color w:val="000000"/>
              </w:rPr>
              <w:t>拟建</w:t>
            </w:r>
            <w:r>
              <w:rPr>
                <w:rFonts w:hint="eastAsia"/>
                <w:color w:val="000000"/>
              </w:rPr>
              <w:t>单回</w:t>
            </w:r>
            <w:r>
              <w:rPr>
                <w:color w:val="000000"/>
              </w:rPr>
              <w:t>线路经过</w:t>
            </w:r>
            <w:r>
              <w:rPr>
                <w:rFonts w:hint="eastAsia"/>
                <w:color w:val="000000"/>
              </w:rPr>
              <w:t>非</w:t>
            </w:r>
            <w:r>
              <w:rPr>
                <w:color w:val="000000"/>
              </w:rPr>
              <w:t>居民区时，导线最小对地高度不低于</w:t>
            </w:r>
            <w:r>
              <w:rPr>
                <w:rFonts w:hint="eastAsia"/>
                <w:color w:val="000000"/>
              </w:rPr>
              <w:t>6.5</w:t>
            </w:r>
            <w:r>
              <w:rPr>
                <w:color w:val="000000"/>
              </w:rPr>
              <w:t>m</w:t>
            </w:r>
            <w:r>
              <w:rPr>
                <w:rFonts w:hint="eastAsia"/>
                <w:color w:val="000000"/>
              </w:rPr>
              <w:t>，拟建单回线路经过居民区时，导线最小对地高度不低于14.5m</w:t>
            </w:r>
            <w:r>
              <w:rPr>
                <w:color w:val="000000"/>
              </w:rPr>
              <w:t>。</w:t>
            </w:r>
          </w:p>
        </w:tc>
        <w:tc>
          <w:tcPr>
            <w:tcW w:w="652" w:type="pct"/>
            <w:vAlign w:val="center"/>
          </w:tcPr>
          <w:p>
            <w:pPr>
              <w:rPr>
                <w:color w:val="000000"/>
              </w:rPr>
            </w:pPr>
            <w:r>
              <w:rPr>
                <w:color w:val="000000"/>
              </w:rPr>
              <w:t>运行期做好设施的维护和运行管理，定期开展环境监测</w:t>
            </w:r>
          </w:p>
        </w:tc>
        <w:tc>
          <w:tcPr>
            <w:tcW w:w="652" w:type="pct"/>
            <w:vAlign w:val="center"/>
          </w:tcPr>
          <w:p>
            <w:pPr>
              <w:wordWrap w:val="0"/>
            </w:pPr>
            <w:r>
              <w:rPr>
                <w:rFonts w:hint="eastAsia"/>
              </w:rPr>
              <w:t>①</w:t>
            </w:r>
            <w:r>
              <w:t>本工程变电站运行期间厂界工频电场强度、磁感应强度均分别满足4000V/m、100μT的标准限值要求。</w:t>
            </w:r>
          </w:p>
          <w:p>
            <w:pPr>
              <w:wordWrap w:val="0"/>
            </w:pPr>
            <w:r>
              <w:rPr>
                <w:rFonts w:hint="eastAsia"/>
              </w:rPr>
              <w:t>②</w:t>
            </w:r>
            <w:r>
              <w:t>变电站及输电线路沿线的电磁环境敏感目标处的工频电场强度、磁感应强度均分别满足4000V/m、100μT的标准限值要求。</w:t>
            </w:r>
          </w:p>
          <w:p>
            <w:pPr>
              <w:pStyle w:val="46"/>
              <w:wordWrap w:val="0"/>
              <w:jc w:val="both"/>
            </w:pPr>
            <w:r>
              <w:rPr>
                <w:rFonts w:hint="eastAsia"/>
                <w:sz w:val="21"/>
                <w:szCs w:val="21"/>
              </w:rPr>
              <w:t>③输电线路经过耕地、园地、畜禽饲养地、养殖水面、道路等场所，</w:t>
            </w:r>
            <w:r>
              <w:rPr>
                <w:sz w:val="21"/>
                <w:szCs w:val="21"/>
              </w:rPr>
              <w:t>导线下方地面1.5m处工频电场小于10kV/m</w:t>
            </w:r>
            <w:r>
              <w:rPr>
                <w:rFonts w:hint="eastAsia"/>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425" w:type="pct"/>
            <w:vAlign w:val="center"/>
          </w:tcPr>
          <w:p>
            <w:pPr>
              <w:jc w:val="center"/>
              <w:rPr>
                <w:b/>
                <w:color w:val="000000"/>
              </w:rPr>
            </w:pPr>
            <w:r>
              <w:rPr>
                <w:b/>
                <w:color w:val="000000"/>
              </w:rPr>
              <w:t>环境风险</w:t>
            </w:r>
          </w:p>
        </w:tc>
        <w:tc>
          <w:tcPr>
            <w:tcW w:w="1798" w:type="pct"/>
            <w:vAlign w:val="center"/>
          </w:tcPr>
          <w:p>
            <w:pPr>
              <w:rPr>
                <w:color w:val="000000"/>
              </w:rPr>
            </w:pPr>
            <w:r>
              <w:rPr>
                <w:rFonts w:hint="eastAsia"/>
                <w:color w:val="000000"/>
              </w:rPr>
              <w:t>伊拉湖220千伏变电站</w:t>
            </w:r>
            <w:r>
              <w:rPr>
                <w:color w:val="000000"/>
              </w:rPr>
              <w:t>设置</w:t>
            </w:r>
            <w:r>
              <w:rPr>
                <w:rFonts w:hint="eastAsia"/>
                <w:color w:val="000000"/>
              </w:rPr>
              <w:t>1</w:t>
            </w:r>
            <w:r>
              <w:rPr>
                <w:color w:val="000000"/>
              </w:rPr>
              <w:t>座</w:t>
            </w:r>
            <w:r>
              <w:rPr>
                <w:rFonts w:hint="eastAsia"/>
                <w:color w:val="000000"/>
              </w:rPr>
              <w:t>有效容积约90</w:t>
            </w:r>
            <w:r>
              <w:rPr>
                <w:color w:val="000000"/>
              </w:rPr>
              <w:t>m³</w:t>
            </w:r>
            <w:r>
              <w:rPr>
                <w:rFonts w:hint="eastAsia"/>
                <w:color w:val="000000"/>
              </w:rPr>
              <w:t>的主变</w:t>
            </w:r>
            <w:r>
              <w:rPr>
                <w:color w:val="000000"/>
              </w:rPr>
              <w:t>事故油池，有效容积能够满足最大一台主变压器100%油量容纳的容积要求。事故油池和贮油坑</w:t>
            </w:r>
            <w:r>
              <w:rPr>
                <w:rFonts w:hint="eastAsia"/>
                <w:color w:val="000000"/>
              </w:rPr>
              <w:t>防渗效果需满足《危险废物贮存污染控制标准》（GB18597-2023）的相关要求。</w:t>
            </w:r>
          </w:p>
        </w:tc>
        <w:tc>
          <w:tcPr>
            <w:tcW w:w="1470" w:type="pct"/>
            <w:vAlign w:val="center"/>
          </w:tcPr>
          <w:p>
            <w:pPr>
              <w:rPr>
                <w:color w:val="000000"/>
              </w:rPr>
            </w:pPr>
            <w:r>
              <w:rPr>
                <w:rFonts w:hint="eastAsia"/>
                <w:color w:val="000000"/>
              </w:rPr>
              <w:t>伊拉湖220千伏变电站</w:t>
            </w:r>
            <w:r>
              <w:rPr>
                <w:color w:val="000000"/>
              </w:rPr>
              <w:t>设置</w:t>
            </w:r>
            <w:r>
              <w:rPr>
                <w:rFonts w:hint="eastAsia"/>
                <w:color w:val="000000"/>
              </w:rPr>
              <w:t>1</w:t>
            </w:r>
            <w:r>
              <w:rPr>
                <w:color w:val="000000"/>
              </w:rPr>
              <w:t>座</w:t>
            </w:r>
            <w:r>
              <w:rPr>
                <w:rFonts w:hint="eastAsia"/>
                <w:color w:val="000000"/>
              </w:rPr>
              <w:t>主变</w:t>
            </w:r>
            <w:r>
              <w:rPr>
                <w:color w:val="000000"/>
              </w:rPr>
              <w:t>事故油池，有效容积能够满足最大一台主变压器100%油量容纳的容积要求。事故油池和贮油坑采取防渗措施</w:t>
            </w:r>
            <w:r>
              <w:rPr>
                <w:rFonts w:hint="eastAsia"/>
                <w:color w:val="000000"/>
              </w:rPr>
              <w:t>，</w:t>
            </w:r>
            <w:r>
              <w:rPr>
                <w:color w:val="000000"/>
              </w:rPr>
              <w:t>防渗效果满足</w:t>
            </w:r>
            <w:r>
              <w:rPr>
                <w:rFonts w:hint="eastAsia"/>
                <w:color w:val="000000"/>
              </w:rPr>
              <w:t>《危险废物贮存污染控制标准》（GB18597-2023）</w:t>
            </w:r>
            <w:r>
              <w:rPr>
                <w:color w:val="000000"/>
              </w:rPr>
              <w:t>的相关要求。</w:t>
            </w:r>
          </w:p>
        </w:tc>
        <w:tc>
          <w:tcPr>
            <w:tcW w:w="652" w:type="pct"/>
            <w:vAlign w:val="center"/>
          </w:tcPr>
          <w:p>
            <w:pPr>
              <w:rPr>
                <w:color w:val="000000"/>
              </w:rPr>
            </w:pPr>
            <w:r>
              <w:rPr>
                <w:color w:val="000000"/>
              </w:rPr>
              <w:t>加强对事故油池及其排导系统的巡查和维护，做好运行期间的管理工作；对于产生的事故油及含油废水不得随意处置，必须由具有危险废物处理资格的机构妥善处理。</w:t>
            </w:r>
          </w:p>
        </w:tc>
        <w:tc>
          <w:tcPr>
            <w:tcW w:w="652" w:type="pct"/>
            <w:vAlign w:val="center"/>
          </w:tcPr>
          <w:p>
            <w:pPr>
              <w:rPr>
                <w:color w:val="000000"/>
              </w:rPr>
            </w:pPr>
            <w:r>
              <w:rPr>
                <w:color w:val="000000"/>
              </w:rPr>
              <w:t>定期巡查和维护。对于产生的事故油及含油废水不得随意处置，必须由具有危险废物处理资格的机构妥善处理。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425" w:type="pct"/>
            <w:vAlign w:val="center"/>
          </w:tcPr>
          <w:p>
            <w:pPr>
              <w:jc w:val="center"/>
              <w:rPr>
                <w:b/>
                <w:color w:val="000000"/>
              </w:rPr>
            </w:pPr>
            <w:r>
              <w:rPr>
                <w:b/>
                <w:color w:val="000000"/>
              </w:rPr>
              <w:t>环境监测</w:t>
            </w:r>
          </w:p>
        </w:tc>
        <w:tc>
          <w:tcPr>
            <w:tcW w:w="1798" w:type="pct"/>
            <w:vAlign w:val="center"/>
          </w:tcPr>
          <w:p>
            <w:pPr>
              <w:rPr>
                <w:color w:val="000000"/>
              </w:rPr>
            </w:pPr>
            <w:r>
              <w:rPr>
                <w:color w:val="000000"/>
              </w:rPr>
              <w:t>制定监测计划，监测工程施工期环境要素及评价因子的变化。</w:t>
            </w:r>
          </w:p>
        </w:tc>
        <w:tc>
          <w:tcPr>
            <w:tcW w:w="1470" w:type="pct"/>
            <w:vAlign w:val="center"/>
          </w:tcPr>
          <w:p>
            <w:pPr>
              <w:rPr>
                <w:color w:val="000000"/>
              </w:rPr>
            </w:pPr>
            <w:r>
              <w:rPr>
                <w:color w:val="000000"/>
              </w:rPr>
              <w:t>监测结果满足相应的法律法规要求。</w:t>
            </w:r>
          </w:p>
        </w:tc>
        <w:tc>
          <w:tcPr>
            <w:tcW w:w="652" w:type="pct"/>
            <w:vAlign w:val="center"/>
          </w:tcPr>
          <w:p>
            <w:pPr>
              <w:rPr>
                <w:color w:val="000000"/>
              </w:rPr>
            </w:pPr>
            <w:r>
              <w:rPr>
                <w:rFonts w:hint="eastAsia"/>
                <w:color w:val="000000"/>
              </w:rPr>
              <w:t>①调试运行结合竣工环境保护验收监测一次。</w:t>
            </w:r>
          </w:p>
          <w:p>
            <w:pPr>
              <w:rPr>
                <w:color w:val="000000"/>
              </w:rPr>
            </w:pPr>
            <w:r>
              <w:rPr>
                <w:rFonts w:hint="eastAsia"/>
                <w:color w:val="000000"/>
              </w:rPr>
              <w:t>②运行期间存在投诉或纠纷时进行监测。</w:t>
            </w:r>
          </w:p>
          <w:p>
            <w:pPr>
              <w:rPr>
                <w:color w:val="000000"/>
              </w:rPr>
            </w:pPr>
            <w:r>
              <w:rPr>
                <w:rFonts w:hint="eastAsia"/>
                <w:color w:val="000000"/>
              </w:rPr>
              <w:t>③例行环境监测计划或生态环境主管部门要求时进行监测。</w:t>
            </w:r>
          </w:p>
        </w:tc>
        <w:tc>
          <w:tcPr>
            <w:tcW w:w="652" w:type="pct"/>
            <w:vAlign w:val="center"/>
          </w:tcPr>
          <w:p>
            <w:pPr>
              <w:rPr>
                <w:color w:val="000000"/>
              </w:rPr>
            </w:pPr>
            <w:r>
              <w:rPr>
                <w:rFonts w:hint="eastAsia"/>
                <w:color w:val="000000"/>
              </w:rPr>
              <w:t>按</w:t>
            </w:r>
            <w:r>
              <w:rPr>
                <w:color w:val="000000"/>
              </w:rPr>
              <w:t>环境监测计划开展环境监测</w:t>
            </w:r>
            <w:r>
              <w:rPr>
                <w:rFonts w:hint="eastAsia"/>
                <w:color w:val="000000"/>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425" w:type="pct"/>
            <w:vAlign w:val="center"/>
          </w:tcPr>
          <w:p>
            <w:pPr>
              <w:jc w:val="center"/>
              <w:rPr>
                <w:b/>
                <w:color w:val="000000"/>
              </w:rPr>
            </w:pPr>
            <w:r>
              <w:rPr>
                <w:b/>
                <w:color w:val="000000"/>
              </w:rPr>
              <w:t>其他</w:t>
            </w:r>
          </w:p>
        </w:tc>
        <w:tc>
          <w:tcPr>
            <w:tcW w:w="1798" w:type="pct"/>
            <w:vAlign w:val="center"/>
          </w:tcPr>
          <w:p>
            <w:pPr>
              <w:jc w:val="center"/>
              <w:rPr>
                <w:color w:val="000000"/>
              </w:rPr>
            </w:pPr>
            <w:r>
              <w:rPr>
                <w:rFonts w:hint="eastAsia"/>
                <w:color w:val="000000"/>
              </w:rPr>
              <w:t>/</w:t>
            </w:r>
          </w:p>
        </w:tc>
        <w:tc>
          <w:tcPr>
            <w:tcW w:w="1470" w:type="pct"/>
            <w:vAlign w:val="center"/>
          </w:tcPr>
          <w:p>
            <w:pPr>
              <w:jc w:val="center"/>
              <w:rPr>
                <w:color w:val="000000"/>
              </w:rPr>
            </w:pPr>
            <w:r>
              <w:rPr>
                <w:rFonts w:hint="eastAsia"/>
                <w:color w:val="000000"/>
              </w:rPr>
              <w:t>/</w:t>
            </w:r>
          </w:p>
        </w:tc>
        <w:tc>
          <w:tcPr>
            <w:tcW w:w="652" w:type="pct"/>
            <w:vAlign w:val="center"/>
          </w:tcPr>
          <w:p>
            <w:pPr>
              <w:jc w:val="center"/>
              <w:rPr>
                <w:color w:val="000000"/>
              </w:rPr>
            </w:pPr>
            <w:r>
              <w:rPr>
                <w:rFonts w:hint="eastAsia"/>
                <w:color w:val="000000"/>
              </w:rPr>
              <w:t>/</w:t>
            </w:r>
          </w:p>
        </w:tc>
        <w:tc>
          <w:tcPr>
            <w:tcW w:w="652" w:type="pct"/>
            <w:vAlign w:val="center"/>
          </w:tcPr>
          <w:p>
            <w:pPr>
              <w:jc w:val="center"/>
              <w:rPr>
                <w:color w:val="000000"/>
              </w:rPr>
            </w:pPr>
            <w:r>
              <w:rPr>
                <w:rFonts w:hint="eastAsia"/>
                <w:color w:val="000000"/>
              </w:rPr>
              <w:t>/</w:t>
            </w:r>
          </w:p>
        </w:tc>
      </w:tr>
    </w:tbl>
    <w:p>
      <w:pPr>
        <w:pStyle w:val="33"/>
        <w:spacing w:before="0" w:beforeAutospacing="0" w:line="14" w:lineRule="auto"/>
        <w:jc w:val="both"/>
        <w:outlineLvl w:val="0"/>
        <w:rPr>
          <w:rFonts w:ascii="Times New Roman" w:hAnsi="Times New Roman"/>
          <w:snapToGrid w:val="0"/>
          <w:color w:val="000000"/>
          <w:sz w:val="30"/>
          <w:szCs w:val="30"/>
          <w:highlight w:val="yellow"/>
        </w:rPr>
        <w:sectPr>
          <w:pgSz w:w="16838" w:h="11906" w:orient="landscape"/>
          <w:pgMar w:top="1440" w:right="1080" w:bottom="1440" w:left="1080" w:header="851" w:footer="1077" w:gutter="0"/>
          <w:cols w:space="720" w:num="1"/>
          <w:docGrid w:linePitch="312" w:charSpace="0"/>
        </w:sectPr>
      </w:pPr>
    </w:p>
    <w:p>
      <w:pPr>
        <w:pStyle w:val="33"/>
        <w:spacing w:before="0" w:beforeAutospacing="0" w:after="0" w:afterAutospacing="0"/>
        <w:jc w:val="center"/>
        <w:outlineLvl w:val="0"/>
        <w:rPr>
          <w:rFonts w:ascii="Times New Roman" w:hAnsi="Times New Roman"/>
          <w:b/>
          <w:bCs/>
          <w:snapToGrid w:val="0"/>
          <w:color w:val="000000"/>
          <w:sz w:val="32"/>
          <w:szCs w:val="32"/>
        </w:rPr>
      </w:pPr>
      <w:bookmarkStart w:id="737" w:name="_Toc26701"/>
      <w:bookmarkStart w:id="738" w:name="_Toc16790"/>
      <w:bookmarkStart w:id="739" w:name="_Toc111564330"/>
      <w:r>
        <w:rPr>
          <w:rFonts w:ascii="Times New Roman" w:hAnsi="Times New Roman"/>
          <w:b/>
          <w:bCs/>
          <w:snapToGrid w:val="0"/>
          <w:color w:val="000000"/>
          <w:sz w:val="32"/>
          <w:szCs w:val="32"/>
        </w:rPr>
        <w:t>七、结论</w:t>
      </w:r>
      <w:bookmarkEnd w:id="737"/>
      <w:bookmarkEnd w:id="738"/>
      <w:bookmarkEnd w:id="739"/>
    </w:p>
    <w:tbl>
      <w:tblPr>
        <w:tblStyle w:val="37"/>
        <w:tblW w:w="928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8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349" w:hRule="atLeast"/>
          <w:jc w:val="center"/>
        </w:trPr>
        <w:tc>
          <w:tcPr>
            <w:tcW w:w="9289" w:type="dxa"/>
          </w:tcPr>
          <w:p>
            <w:pPr>
              <w:pStyle w:val="5"/>
              <w:spacing w:before="50" w:after="50"/>
              <w:rPr>
                <w:color w:val="000000"/>
              </w:rPr>
            </w:pPr>
            <w:r>
              <w:rPr>
                <w:rFonts w:hint="eastAsia"/>
                <w:color w:val="000000"/>
              </w:rPr>
              <w:t>吐鲁番伊拉湖220千伏输变电工程</w:t>
            </w:r>
            <w:r>
              <w:rPr>
                <w:color w:val="000000"/>
              </w:rPr>
              <w:t>的建设符合当地生态环境规划。在设计、施工和运行阶段均采取了一系列的环境保护措施，在严格执行本环境影响报告表中规定的各项污染防治措施和生态保护措施后，从环境保护的角度而言，本工程是可行的。</w:t>
            </w:r>
          </w:p>
        </w:tc>
      </w:tr>
    </w:tbl>
    <w:p>
      <w:pPr>
        <w:keepNext/>
        <w:keepLines/>
        <w:spacing w:line="416" w:lineRule="auto"/>
        <w:sectPr>
          <w:footerReference r:id="rId6" w:type="default"/>
          <w:pgSz w:w="11907" w:h="16840"/>
          <w:pgMar w:top="1440" w:right="1080" w:bottom="1440" w:left="1080" w:header="851" w:footer="992" w:gutter="0"/>
          <w:cols w:space="720" w:num="1"/>
          <w:docGrid w:type="linesAndChars" w:linePitch="312" w:charSpace="0"/>
        </w:sectPr>
      </w:pPr>
    </w:p>
    <w:p>
      <w:pPr>
        <w:pStyle w:val="97"/>
        <w:rPr>
          <w:color w:val="000000" w:themeColor="text1"/>
          <w:highlight w:val="yellow"/>
          <w14:textFill>
            <w14:solidFill>
              <w14:schemeClr w14:val="tx1"/>
            </w14:solidFill>
          </w14:textFill>
        </w:rPr>
      </w:pPr>
    </w:p>
    <w:p>
      <w:pPr>
        <w:pStyle w:val="83"/>
        <w:rPr>
          <w:color w:val="000000" w:themeColor="text1"/>
          <w:highlight w:val="yellow"/>
          <w14:textFill>
            <w14:solidFill>
              <w14:schemeClr w14:val="tx1"/>
            </w14:solidFill>
          </w14:textFill>
        </w:rPr>
      </w:pPr>
    </w:p>
    <w:p>
      <w:pPr>
        <w:pStyle w:val="83"/>
        <w:rPr>
          <w:color w:val="000000" w:themeColor="text1"/>
          <w:highlight w:val="yellow"/>
          <w14:textFill>
            <w14:solidFill>
              <w14:schemeClr w14:val="tx1"/>
            </w14:solidFill>
          </w14:textFill>
        </w:rPr>
      </w:pPr>
    </w:p>
    <w:p>
      <w:pPr>
        <w:pStyle w:val="83"/>
        <w:rPr>
          <w:color w:val="000000" w:themeColor="text1"/>
          <w:highlight w:val="yellow"/>
          <w14:textFill>
            <w14:solidFill>
              <w14:schemeClr w14:val="tx1"/>
            </w14:solidFill>
          </w14:textFill>
        </w:rPr>
      </w:pPr>
    </w:p>
    <w:p>
      <w:pPr>
        <w:jc w:val="center"/>
        <w:rPr>
          <w:rStyle w:val="116"/>
          <w:rFonts w:eastAsia="楷体"/>
          <w:b/>
          <w:bCs/>
          <w:color w:val="000000" w:themeColor="text1"/>
          <w:sz w:val="52"/>
          <w14:textFill>
            <w14:solidFill>
              <w14:schemeClr w14:val="tx1"/>
            </w14:solidFill>
          </w14:textFill>
        </w:rPr>
      </w:pPr>
      <w:r>
        <w:rPr>
          <w:rStyle w:val="116"/>
          <w:rFonts w:hint="eastAsia" w:eastAsia="楷体"/>
          <w:b/>
          <w:bCs/>
          <w:color w:val="000000" w:themeColor="text1"/>
          <w:sz w:val="52"/>
          <w14:textFill>
            <w14:solidFill>
              <w14:schemeClr w14:val="tx1"/>
            </w14:solidFill>
          </w14:textFill>
        </w:rPr>
        <w:t>吐鲁番伊拉湖220千伏输变电工程</w:t>
      </w:r>
    </w:p>
    <w:p>
      <w:pPr>
        <w:jc w:val="center"/>
        <w:rPr>
          <w:rStyle w:val="116"/>
          <w:rFonts w:eastAsia="楷体"/>
          <w:b/>
          <w:bCs/>
          <w:color w:val="000000" w:themeColor="text1"/>
          <w:sz w:val="52"/>
          <w14:textFill>
            <w14:solidFill>
              <w14:schemeClr w14:val="tx1"/>
            </w14:solidFill>
          </w14:textFill>
        </w:rPr>
      </w:pPr>
      <w:r>
        <w:rPr>
          <w:rStyle w:val="116"/>
          <w:rFonts w:hint="eastAsia" w:eastAsia="楷体"/>
          <w:b/>
          <w:bCs/>
          <w:color w:val="000000" w:themeColor="text1"/>
          <w:sz w:val="52"/>
          <w14:textFill>
            <w14:solidFill>
              <w14:schemeClr w14:val="tx1"/>
            </w14:solidFill>
          </w14:textFill>
        </w:rPr>
        <w:t>环境影响报告表</w:t>
      </w:r>
    </w:p>
    <w:p>
      <w:pPr>
        <w:pStyle w:val="83"/>
        <w:rPr>
          <w:color w:val="000000" w:themeColor="text1"/>
          <w14:textFill>
            <w14:solidFill>
              <w14:schemeClr w14:val="tx1"/>
            </w14:solidFill>
          </w14:textFill>
        </w:rPr>
      </w:pPr>
    </w:p>
    <w:p>
      <w:pPr>
        <w:pStyle w:val="117"/>
        <w:outlineLvl w:val="0"/>
        <w:rPr>
          <w:color w:val="000000" w:themeColor="text1"/>
          <w14:textFill>
            <w14:solidFill>
              <w14:schemeClr w14:val="tx1"/>
            </w14:solidFill>
          </w14:textFill>
        </w:rPr>
      </w:pPr>
      <w:bookmarkStart w:id="740" w:name="_Toc26906"/>
      <w:r>
        <w:rPr>
          <w:rFonts w:hint="eastAsia"/>
          <w:color w:val="000000" w:themeColor="text1"/>
          <w14:textFill>
            <w14:solidFill>
              <w14:schemeClr w14:val="tx1"/>
            </w14:solidFill>
          </w14:textFill>
        </w:rPr>
        <w:t>电磁环境影响专题评价</w:t>
      </w:r>
      <w:bookmarkEnd w:id="740"/>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83"/>
        <w:rPr>
          <w:color w:val="000000" w:themeColor="text1"/>
          <w14:textFill>
            <w14:solidFill>
              <w14:schemeClr w14:val="tx1"/>
            </w14:solidFill>
          </w14:textFill>
        </w:rPr>
      </w:pPr>
    </w:p>
    <w:p>
      <w:pPr>
        <w:pStyle w:val="110"/>
        <w:rPr>
          <w:color w:val="000000" w:themeColor="text1"/>
          <w14:textFill>
            <w14:solidFill>
              <w14:schemeClr w14:val="tx1"/>
            </w14:solidFill>
          </w14:textFill>
        </w:rPr>
      </w:pPr>
      <w:r>
        <w:rPr>
          <w:rFonts w:hint="eastAsia"/>
          <w:color w:val="000000" w:themeColor="text1"/>
          <w14:textFill>
            <w14:solidFill>
              <w14:schemeClr w14:val="tx1"/>
            </w14:solidFill>
          </w14:textFill>
        </w:rPr>
        <w:t>编制单位：中国电力工程顾问集团中南电力设计院有限公司</w:t>
      </w:r>
    </w:p>
    <w:p>
      <w:pPr>
        <w:pStyle w:val="110"/>
        <w:rPr>
          <w:color w:val="000000" w:themeColor="text1"/>
          <w14:textFill>
            <w14:solidFill>
              <w14:schemeClr w14:val="tx1"/>
            </w14:solidFill>
          </w14:textFill>
        </w:rPr>
      </w:pPr>
      <w:r>
        <w:rPr>
          <w:rFonts w:hint="eastAsia"/>
          <w:color w:val="000000" w:themeColor="text1"/>
          <w14:textFill>
            <w14:solidFill>
              <w14:schemeClr w14:val="tx1"/>
            </w14:solidFill>
          </w14:textFill>
        </w:rPr>
        <w:t>编制日期：二〇二六年</w:t>
      </w:r>
      <w:r>
        <w:rPr>
          <w:rFonts w:hint="eastAsia"/>
          <w:color w:val="000000" w:themeColor="text1"/>
          <w:lang w:val="en-US" w:eastAsia="zh-CN"/>
          <w14:textFill>
            <w14:solidFill>
              <w14:schemeClr w14:val="tx1"/>
            </w14:solidFill>
          </w14:textFill>
        </w:rPr>
        <w:t>五</w:t>
      </w:r>
      <w:r>
        <w:rPr>
          <w:rFonts w:hint="eastAsia"/>
          <w:color w:val="000000" w:themeColor="text1"/>
          <w14:textFill>
            <w14:solidFill>
              <w14:schemeClr w14:val="tx1"/>
            </w14:solidFill>
          </w14:textFill>
        </w:rPr>
        <w:t>月</w:t>
      </w:r>
    </w:p>
    <w:p>
      <w:pPr>
        <w:pStyle w:val="110"/>
        <w:rPr>
          <w:color w:val="000000" w:themeColor="text1"/>
          <w14:textFill>
            <w14:solidFill>
              <w14:schemeClr w14:val="tx1"/>
            </w14:solidFill>
          </w14:textFill>
        </w:rPr>
      </w:pPr>
    </w:p>
    <w:p>
      <w:pPr>
        <w:pStyle w:val="5"/>
        <w:rPr>
          <w:color w:val="000000" w:themeColor="text1"/>
          <w:highlight w:val="yellow"/>
          <w14:textFill>
            <w14:solidFill>
              <w14:schemeClr w14:val="tx1"/>
            </w14:solidFill>
          </w14:textFill>
        </w:rPr>
        <w:sectPr>
          <w:headerReference r:id="rId9" w:type="first"/>
          <w:footerReference r:id="rId12" w:type="first"/>
          <w:headerReference r:id="rId7" w:type="default"/>
          <w:footerReference r:id="rId10" w:type="default"/>
          <w:headerReference r:id="rId8" w:type="even"/>
          <w:footerReference r:id="rId11" w:type="even"/>
          <w:pgSz w:w="11906" w:h="16838"/>
          <w:pgMar w:top="1440" w:right="1247" w:bottom="1440" w:left="1247" w:header="851" w:footer="992" w:gutter="0"/>
          <w:pgNumType w:start="1"/>
          <w:cols w:space="720" w:num="1"/>
          <w:docGrid w:type="lines" w:linePitch="312" w:charSpace="0"/>
        </w:sectPr>
      </w:pPr>
    </w:p>
    <w:p>
      <w:pPr>
        <w:pStyle w:val="103"/>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目</w:t>
      </w:r>
      <w:r>
        <w:rPr>
          <w:rFonts w:hint="eastAsia" w:ascii="Times New Roman" w:hAnsi="Times New Roman"/>
          <w:color w:val="000000" w:themeColor="text1"/>
          <w14:textFill>
            <w14:solidFill>
              <w14:schemeClr w14:val="tx1"/>
            </w14:solidFill>
          </w14:textFill>
        </w:rPr>
        <w:t>录</w:t>
      </w:r>
    </w:p>
    <w:sdt>
      <w:sdtPr>
        <w:rPr>
          <w:color w:val="000000" w:themeColor="text1"/>
          <w:lang w:val="zh-CN"/>
          <w14:textFill>
            <w14:solidFill>
              <w14:schemeClr w14:val="tx1"/>
            </w14:solidFill>
          </w14:textFill>
        </w:rPr>
        <w:id w:val="-940682693"/>
        <w:docPartObj>
          <w:docPartGallery w:val="Table of Contents"/>
          <w:docPartUnique/>
        </w:docPartObj>
      </w:sdtPr>
      <w:sdtEndPr>
        <w:rPr>
          <w:b w:val="0"/>
          <w:bCs w:val="0"/>
          <w:color w:val="000000" w:themeColor="text1"/>
          <w:highlight w:val="yellow"/>
          <w:lang w:val="zh-CN"/>
          <w14:textFill>
            <w14:solidFill>
              <w14:schemeClr w14:val="tx1"/>
            </w14:solidFill>
          </w14:textFill>
        </w:rPr>
      </w:sdtEndPr>
      <w:sdtContent>
        <w:p>
          <w:pPr>
            <w:pStyle w:val="26"/>
            <w:tabs>
              <w:tab w:val="right" w:leader="dot" w:pos="8504"/>
            </w:tabs>
          </w:pPr>
          <w:r>
            <w:rPr>
              <w:color w:val="000000" w:themeColor="text1"/>
              <w:sz w:val="40"/>
              <w:szCs w:val="28"/>
              <w14:textFill>
                <w14:solidFill>
                  <w14:schemeClr w14:val="tx1"/>
                </w14:solidFill>
              </w14:textFill>
            </w:rPr>
            <w:fldChar w:fldCharType="begin"/>
          </w:r>
          <w:r>
            <w:rPr>
              <w:color w:val="000000" w:themeColor="text1"/>
              <w:sz w:val="40"/>
              <w:szCs w:val="28"/>
              <w14:textFill>
                <w14:solidFill>
                  <w14:schemeClr w14:val="tx1"/>
                </w14:solidFill>
              </w14:textFill>
            </w:rPr>
            <w:instrText xml:space="preserve"> TOC \o "1-2" \h \z \u </w:instrText>
          </w:r>
          <w:r>
            <w:rPr>
              <w:color w:val="000000" w:themeColor="text1"/>
              <w:sz w:val="40"/>
              <w:szCs w:val="28"/>
              <w14:textFill>
                <w14:solidFill>
                  <w14:schemeClr w14:val="tx1"/>
                </w14:solidFill>
              </w14:textFill>
            </w:rPr>
            <w:fldChar w:fldCharType="separate"/>
          </w:r>
        </w:p>
        <w:p>
          <w:pPr>
            <w:pStyle w:val="26"/>
            <w:tabs>
              <w:tab w:val="right" w:leader="dot" w:pos="8504"/>
            </w:tabs>
          </w:pPr>
          <w:r>
            <w:fldChar w:fldCharType="begin"/>
          </w:r>
          <w:r>
            <w:instrText xml:space="preserve"> HYPERLINK \l "_Toc27601" </w:instrText>
          </w:r>
          <w:r>
            <w:fldChar w:fldCharType="separate"/>
          </w:r>
          <w:r>
            <w:rPr>
              <w:rFonts w:cs="宋体"/>
            </w:rPr>
            <w:t>1</w:t>
          </w:r>
          <w:r>
            <w:rPr>
              <w:rFonts w:hint="eastAsia"/>
            </w:rPr>
            <w:t>总则</w:t>
          </w:r>
          <w:r>
            <w:tab/>
          </w:r>
          <w:r>
            <w:fldChar w:fldCharType="begin"/>
          </w:r>
          <w:r>
            <w:instrText xml:space="preserve"> PAGEREF _Toc27601 \h </w:instrText>
          </w:r>
          <w:r>
            <w:fldChar w:fldCharType="separate"/>
          </w:r>
          <w:r>
            <w:t>3</w:t>
          </w:r>
          <w:r>
            <w:fldChar w:fldCharType="end"/>
          </w:r>
          <w:r>
            <w:fldChar w:fldCharType="end"/>
          </w:r>
        </w:p>
        <w:p>
          <w:pPr>
            <w:pStyle w:val="30"/>
            <w:tabs>
              <w:tab w:val="right" w:leader="dot" w:pos="8504"/>
            </w:tabs>
          </w:pPr>
          <w:r>
            <w:fldChar w:fldCharType="begin"/>
          </w:r>
          <w:r>
            <w:instrText xml:space="preserve"> HYPERLINK \l "_Toc23383" </w:instrText>
          </w:r>
          <w:r>
            <w:fldChar w:fldCharType="separate"/>
          </w:r>
          <w:r>
            <w:rPr>
              <w:rFonts w:ascii="Times New Roman" w:hAnsi="Times New Roman"/>
              <w:bCs/>
            </w:rPr>
            <w:t>1.1.</w:t>
          </w:r>
          <w:r>
            <w:rPr>
              <w:rFonts w:hint="eastAsia" w:ascii="Times New Roman" w:hAnsi="Times New Roman"/>
              <w:bCs/>
            </w:rPr>
            <w:t>工程概况</w:t>
          </w:r>
          <w:r>
            <w:tab/>
          </w:r>
          <w:r>
            <w:fldChar w:fldCharType="begin"/>
          </w:r>
          <w:r>
            <w:instrText xml:space="preserve"> PAGEREF _Toc23383 \h </w:instrText>
          </w:r>
          <w:r>
            <w:fldChar w:fldCharType="separate"/>
          </w:r>
          <w:r>
            <w:t>3</w:t>
          </w:r>
          <w:r>
            <w:fldChar w:fldCharType="end"/>
          </w:r>
          <w:r>
            <w:fldChar w:fldCharType="end"/>
          </w:r>
        </w:p>
        <w:p>
          <w:pPr>
            <w:pStyle w:val="30"/>
            <w:tabs>
              <w:tab w:val="right" w:leader="dot" w:pos="8504"/>
            </w:tabs>
          </w:pPr>
          <w:r>
            <w:fldChar w:fldCharType="begin"/>
          </w:r>
          <w:r>
            <w:instrText xml:space="preserve"> HYPERLINK \l "_Toc15224" </w:instrText>
          </w:r>
          <w:r>
            <w:fldChar w:fldCharType="separate"/>
          </w:r>
          <w:r>
            <w:rPr>
              <w:rFonts w:ascii="Times New Roman" w:hAnsi="Times New Roman"/>
              <w:bCs/>
            </w:rPr>
            <w:t>1.2.</w:t>
          </w:r>
          <w:r>
            <w:rPr>
              <w:rFonts w:hint="eastAsia" w:ascii="Times New Roman" w:hAnsi="Times New Roman"/>
              <w:bCs/>
            </w:rPr>
            <w:t>评价因子</w:t>
          </w:r>
          <w:r>
            <w:tab/>
          </w:r>
          <w:r>
            <w:fldChar w:fldCharType="begin"/>
          </w:r>
          <w:r>
            <w:instrText xml:space="preserve"> PAGEREF _Toc15224 \h </w:instrText>
          </w:r>
          <w:r>
            <w:fldChar w:fldCharType="separate"/>
          </w:r>
          <w:r>
            <w:t>4</w:t>
          </w:r>
          <w:r>
            <w:fldChar w:fldCharType="end"/>
          </w:r>
          <w:r>
            <w:fldChar w:fldCharType="end"/>
          </w:r>
        </w:p>
        <w:p>
          <w:pPr>
            <w:pStyle w:val="30"/>
            <w:tabs>
              <w:tab w:val="right" w:leader="dot" w:pos="8504"/>
            </w:tabs>
          </w:pPr>
          <w:r>
            <w:fldChar w:fldCharType="begin"/>
          </w:r>
          <w:r>
            <w:instrText xml:space="preserve"> HYPERLINK \l "_Toc3562" </w:instrText>
          </w:r>
          <w:r>
            <w:fldChar w:fldCharType="separate"/>
          </w:r>
          <w:r>
            <w:rPr>
              <w:rFonts w:ascii="Times New Roman" w:hAnsi="Times New Roman"/>
              <w:bCs/>
            </w:rPr>
            <w:t>1.3.</w:t>
          </w:r>
          <w:r>
            <w:rPr>
              <w:rFonts w:hint="eastAsia" w:ascii="Times New Roman" w:hAnsi="Times New Roman"/>
              <w:bCs/>
            </w:rPr>
            <w:t>评价等级</w:t>
          </w:r>
          <w:r>
            <w:tab/>
          </w:r>
          <w:r>
            <w:fldChar w:fldCharType="begin"/>
          </w:r>
          <w:r>
            <w:instrText xml:space="preserve"> PAGEREF _Toc3562 \h </w:instrText>
          </w:r>
          <w:r>
            <w:fldChar w:fldCharType="separate"/>
          </w:r>
          <w:r>
            <w:t>4</w:t>
          </w:r>
          <w:r>
            <w:fldChar w:fldCharType="end"/>
          </w:r>
          <w:r>
            <w:fldChar w:fldCharType="end"/>
          </w:r>
        </w:p>
        <w:p>
          <w:pPr>
            <w:pStyle w:val="30"/>
            <w:tabs>
              <w:tab w:val="right" w:leader="dot" w:pos="8504"/>
            </w:tabs>
          </w:pPr>
          <w:r>
            <w:fldChar w:fldCharType="begin"/>
          </w:r>
          <w:r>
            <w:instrText xml:space="preserve"> HYPERLINK \l "_Toc320" </w:instrText>
          </w:r>
          <w:r>
            <w:fldChar w:fldCharType="separate"/>
          </w:r>
          <w:r>
            <w:rPr>
              <w:rFonts w:ascii="Times New Roman" w:hAnsi="Times New Roman"/>
              <w:bCs/>
            </w:rPr>
            <w:t>1.4.</w:t>
          </w:r>
          <w:r>
            <w:rPr>
              <w:rFonts w:hint="eastAsia" w:ascii="Times New Roman" w:hAnsi="Times New Roman"/>
              <w:bCs/>
            </w:rPr>
            <w:t>评价范围</w:t>
          </w:r>
          <w:r>
            <w:tab/>
          </w:r>
          <w:r>
            <w:fldChar w:fldCharType="begin"/>
          </w:r>
          <w:r>
            <w:instrText xml:space="preserve"> PAGEREF _Toc320 \h </w:instrText>
          </w:r>
          <w:r>
            <w:fldChar w:fldCharType="separate"/>
          </w:r>
          <w:r>
            <w:t>4</w:t>
          </w:r>
          <w:r>
            <w:fldChar w:fldCharType="end"/>
          </w:r>
          <w:r>
            <w:fldChar w:fldCharType="end"/>
          </w:r>
        </w:p>
        <w:p>
          <w:pPr>
            <w:pStyle w:val="30"/>
            <w:tabs>
              <w:tab w:val="right" w:leader="dot" w:pos="8504"/>
            </w:tabs>
          </w:pPr>
          <w:r>
            <w:fldChar w:fldCharType="begin"/>
          </w:r>
          <w:r>
            <w:instrText xml:space="preserve"> HYPERLINK \l "_Toc23981" </w:instrText>
          </w:r>
          <w:r>
            <w:fldChar w:fldCharType="separate"/>
          </w:r>
          <w:r>
            <w:rPr>
              <w:rFonts w:ascii="Times New Roman" w:hAnsi="Times New Roman"/>
              <w:bCs/>
            </w:rPr>
            <w:t>1.5.</w:t>
          </w:r>
          <w:r>
            <w:rPr>
              <w:rFonts w:hint="eastAsia" w:ascii="Times New Roman" w:hAnsi="Times New Roman"/>
              <w:bCs/>
            </w:rPr>
            <w:t>评价标准</w:t>
          </w:r>
          <w:r>
            <w:tab/>
          </w:r>
          <w:r>
            <w:fldChar w:fldCharType="begin"/>
          </w:r>
          <w:r>
            <w:instrText xml:space="preserve"> PAGEREF _Toc23981 \h </w:instrText>
          </w:r>
          <w:r>
            <w:fldChar w:fldCharType="separate"/>
          </w:r>
          <w:r>
            <w:t>4</w:t>
          </w:r>
          <w:r>
            <w:fldChar w:fldCharType="end"/>
          </w:r>
          <w:r>
            <w:fldChar w:fldCharType="end"/>
          </w:r>
        </w:p>
        <w:p>
          <w:pPr>
            <w:pStyle w:val="30"/>
            <w:tabs>
              <w:tab w:val="right" w:leader="dot" w:pos="8504"/>
            </w:tabs>
          </w:pPr>
          <w:r>
            <w:fldChar w:fldCharType="begin"/>
          </w:r>
          <w:r>
            <w:instrText xml:space="preserve"> HYPERLINK \l "_Toc456" </w:instrText>
          </w:r>
          <w:r>
            <w:fldChar w:fldCharType="separate"/>
          </w:r>
          <w:r>
            <w:rPr>
              <w:rFonts w:ascii="Times New Roman" w:hAnsi="Times New Roman"/>
              <w:bCs/>
            </w:rPr>
            <w:t>1.6.</w:t>
          </w:r>
          <w:r>
            <w:rPr>
              <w:rFonts w:hint="eastAsia" w:ascii="Times New Roman" w:hAnsi="Times New Roman"/>
              <w:bCs/>
            </w:rPr>
            <w:t>电磁环境敏感目标</w:t>
          </w:r>
          <w:r>
            <w:tab/>
          </w:r>
          <w:r>
            <w:fldChar w:fldCharType="begin"/>
          </w:r>
          <w:r>
            <w:instrText xml:space="preserve"> PAGEREF _Toc456 \h </w:instrText>
          </w:r>
          <w:r>
            <w:fldChar w:fldCharType="separate"/>
          </w:r>
          <w:r>
            <w:t>5</w:t>
          </w:r>
          <w:r>
            <w:fldChar w:fldCharType="end"/>
          </w:r>
          <w:r>
            <w:fldChar w:fldCharType="end"/>
          </w:r>
        </w:p>
        <w:p>
          <w:pPr>
            <w:pStyle w:val="26"/>
            <w:tabs>
              <w:tab w:val="right" w:leader="dot" w:pos="8504"/>
            </w:tabs>
          </w:pPr>
          <w:r>
            <w:fldChar w:fldCharType="begin"/>
          </w:r>
          <w:r>
            <w:instrText xml:space="preserve"> HYPERLINK \l "_Toc4931" </w:instrText>
          </w:r>
          <w:r>
            <w:fldChar w:fldCharType="separate"/>
          </w:r>
          <w:r>
            <w:rPr>
              <w:rFonts w:cs="宋体"/>
            </w:rPr>
            <w:t>2</w:t>
          </w:r>
          <w:r>
            <w:rPr>
              <w:rFonts w:hint="eastAsia"/>
            </w:rPr>
            <w:t>电磁环境质量现状监测与评价</w:t>
          </w:r>
          <w:r>
            <w:tab/>
          </w:r>
          <w:r>
            <w:fldChar w:fldCharType="begin"/>
          </w:r>
          <w:r>
            <w:instrText xml:space="preserve"> PAGEREF _Toc4931 \h </w:instrText>
          </w:r>
          <w:r>
            <w:fldChar w:fldCharType="separate"/>
          </w:r>
          <w:r>
            <w:t>6</w:t>
          </w:r>
          <w:r>
            <w:fldChar w:fldCharType="end"/>
          </w:r>
          <w:r>
            <w:fldChar w:fldCharType="end"/>
          </w:r>
        </w:p>
        <w:p>
          <w:pPr>
            <w:pStyle w:val="30"/>
            <w:tabs>
              <w:tab w:val="right" w:leader="dot" w:pos="8504"/>
            </w:tabs>
          </w:pPr>
          <w:r>
            <w:fldChar w:fldCharType="begin"/>
          </w:r>
          <w:r>
            <w:instrText xml:space="preserve"> HYPERLINK \l "_Toc10145" </w:instrText>
          </w:r>
          <w:r>
            <w:fldChar w:fldCharType="separate"/>
          </w:r>
          <w:r>
            <w:rPr>
              <w:rFonts w:hint="eastAsia" w:ascii="Times New Roman" w:hAnsi="Times New Roman"/>
              <w:bCs/>
              <w:szCs w:val="28"/>
            </w:rPr>
            <w:t>2.1</w:t>
          </w:r>
          <w:r>
            <w:rPr>
              <w:rFonts w:hint="eastAsia" w:ascii="Times New Roman" w:hAnsi="Times New Roman"/>
              <w:szCs w:val="28"/>
            </w:rPr>
            <w:t>监测布点原则</w:t>
          </w:r>
          <w:r>
            <w:tab/>
          </w:r>
          <w:r>
            <w:fldChar w:fldCharType="begin"/>
          </w:r>
          <w:r>
            <w:instrText xml:space="preserve"> PAGEREF _Toc10145 \h </w:instrText>
          </w:r>
          <w:r>
            <w:fldChar w:fldCharType="separate"/>
          </w:r>
          <w:r>
            <w:t>6</w:t>
          </w:r>
          <w:r>
            <w:fldChar w:fldCharType="end"/>
          </w:r>
          <w:r>
            <w:fldChar w:fldCharType="end"/>
          </w:r>
        </w:p>
        <w:p>
          <w:pPr>
            <w:pStyle w:val="30"/>
            <w:tabs>
              <w:tab w:val="right" w:leader="dot" w:pos="8504"/>
            </w:tabs>
          </w:pPr>
          <w:r>
            <w:fldChar w:fldCharType="begin"/>
          </w:r>
          <w:r>
            <w:instrText xml:space="preserve"> HYPERLINK \l "_Toc2441" </w:instrText>
          </w:r>
          <w:r>
            <w:fldChar w:fldCharType="separate"/>
          </w:r>
          <w:r>
            <w:rPr>
              <w:rFonts w:hint="eastAsia" w:ascii="Times New Roman" w:hAnsi="Times New Roman"/>
              <w:bCs/>
              <w:szCs w:val="28"/>
            </w:rPr>
            <w:t>2.2</w:t>
          </w:r>
          <w:r>
            <w:rPr>
              <w:rFonts w:hint="eastAsia" w:ascii="Times New Roman" w:hAnsi="Times New Roman"/>
              <w:szCs w:val="28"/>
            </w:rPr>
            <w:t>监测布点</w:t>
          </w:r>
          <w:r>
            <w:tab/>
          </w:r>
          <w:r>
            <w:fldChar w:fldCharType="begin"/>
          </w:r>
          <w:r>
            <w:instrText xml:space="preserve"> PAGEREF _Toc2441 \h </w:instrText>
          </w:r>
          <w:r>
            <w:fldChar w:fldCharType="separate"/>
          </w:r>
          <w:r>
            <w:t>6</w:t>
          </w:r>
          <w:r>
            <w:fldChar w:fldCharType="end"/>
          </w:r>
          <w:r>
            <w:fldChar w:fldCharType="end"/>
          </w:r>
        </w:p>
        <w:p>
          <w:pPr>
            <w:pStyle w:val="30"/>
            <w:tabs>
              <w:tab w:val="right" w:leader="dot" w:pos="8504"/>
            </w:tabs>
          </w:pPr>
          <w:r>
            <w:fldChar w:fldCharType="begin"/>
          </w:r>
          <w:r>
            <w:instrText xml:space="preserve"> HYPERLINK \l "_Toc23164" </w:instrText>
          </w:r>
          <w:r>
            <w:fldChar w:fldCharType="separate"/>
          </w:r>
          <w:r>
            <w:rPr>
              <w:rFonts w:hint="eastAsia" w:ascii="Times New Roman" w:hAnsi="Times New Roman"/>
              <w:bCs/>
              <w:szCs w:val="28"/>
            </w:rPr>
            <w:t>2.3</w:t>
          </w:r>
          <w:r>
            <w:rPr>
              <w:rFonts w:hint="eastAsia" w:ascii="Times New Roman" w:hAnsi="Times New Roman"/>
              <w:szCs w:val="28"/>
            </w:rPr>
            <w:t>监测项目</w:t>
          </w:r>
          <w:r>
            <w:tab/>
          </w:r>
          <w:r>
            <w:fldChar w:fldCharType="begin"/>
          </w:r>
          <w:r>
            <w:instrText xml:space="preserve"> PAGEREF _Toc23164 \h </w:instrText>
          </w:r>
          <w:r>
            <w:fldChar w:fldCharType="separate"/>
          </w:r>
          <w:r>
            <w:t>6</w:t>
          </w:r>
          <w:r>
            <w:fldChar w:fldCharType="end"/>
          </w:r>
          <w:r>
            <w:fldChar w:fldCharType="end"/>
          </w:r>
        </w:p>
        <w:p>
          <w:pPr>
            <w:pStyle w:val="30"/>
            <w:tabs>
              <w:tab w:val="right" w:leader="dot" w:pos="8504"/>
            </w:tabs>
          </w:pPr>
          <w:r>
            <w:fldChar w:fldCharType="begin"/>
          </w:r>
          <w:r>
            <w:instrText xml:space="preserve"> HYPERLINK \l "_Toc18573" </w:instrText>
          </w:r>
          <w:r>
            <w:fldChar w:fldCharType="separate"/>
          </w:r>
          <w:r>
            <w:rPr>
              <w:rFonts w:hint="eastAsia" w:ascii="Times New Roman" w:hAnsi="Times New Roman"/>
              <w:bCs/>
              <w:szCs w:val="28"/>
            </w:rPr>
            <w:t>2.4</w:t>
          </w:r>
          <w:r>
            <w:rPr>
              <w:rFonts w:hint="eastAsia" w:ascii="Times New Roman" w:hAnsi="Times New Roman"/>
              <w:szCs w:val="28"/>
            </w:rPr>
            <w:t>监测时间、监测频次、监测单位</w:t>
          </w:r>
          <w:r>
            <w:tab/>
          </w:r>
          <w:r>
            <w:fldChar w:fldCharType="begin"/>
          </w:r>
          <w:r>
            <w:instrText xml:space="preserve"> PAGEREF _Toc18573 \h </w:instrText>
          </w:r>
          <w:r>
            <w:fldChar w:fldCharType="separate"/>
          </w:r>
          <w:r>
            <w:t>7</w:t>
          </w:r>
          <w:r>
            <w:fldChar w:fldCharType="end"/>
          </w:r>
          <w:r>
            <w:fldChar w:fldCharType="end"/>
          </w:r>
        </w:p>
        <w:p>
          <w:pPr>
            <w:pStyle w:val="30"/>
            <w:tabs>
              <w:tab w:val="right" w:leader="dot" w:pos="8504"/>
            </w:tabs>
          </w:pPr>
          <w:r>
            <w:fldChar w:fldCharType="begin"/>
          </w:r>
          <w:r>
            <w:instrText xml:space="preserve"> HYPERLINK \l "_Toc19659" </w:instrText>
          </w:r>
          <w:r>
            <w:fldChar w:fldCharType="separate"/>
          </w:r>
          <w:r>
            <w:rPr>
              <w:rFonts w:hint="eastAsia" w:ascii="Times New Roman" w:hAnsi="Times New Roman"/>
              <w:bCs/>
              <w:szCs w:val="28"/>
            </w:rPr>
            <w:t>2.5监测环境</w:t>
          </w:r>
          <w:r>
            <w:tab/>
          </w:r>
          <w:r>
            <w:fldChar w:fldCharType="begin"/>
          </w:r>
          <w:r>
            <w:instrText xml:space="preserve"> PAGEREF _Toc19659 \h </w:instrText>
          </w:r>
          <w:r>
            <w:fldChar w:fldCharType="separate"/>
          </w:r>
          <w:r>
            <w:t>7</w:t>
          </w:r>
          <w:r>
            <w:fldChar w:fldCharType="end"/>
          </w:r>
          <w:r>
            <w:fldChar w:fldCharType="end"/>
          </w:r>
        </w:p>
        <w:p>
          <w:pPr>
            <w:pStyle w:val="30"/>
            <w:tabs>
              <w:tab w:val="right" w:leader="dot" w:pos="8504"/>
            </w:tabs>
          </w:pPr>
          <w:r>
            <w:fldChar w:fldCharType="begin"/>
          </w:r>
          <w:r>
            <w:instrText xml:space="preserve"> HYPERLINK \l "_Toc16688" </w:instrText>
          </w:r>
          <w:r>
            <w:fldChar w:fldCharType="separate"/>
          </w:r>
          <w:r>
            <w:rPr>
              <w:rFonts w:hint="eastAsia" w:ascii="Times New Roman" w:hAnsi="Times New Roman"/>
              <w:bCs/>
              <w:szCs w:val="28"/>
            </w:rPr>
            <w:t>2.6监测方法</w:t>
          </w:r>
          <w:r>
            <w:tab/>
          </w:r>
          <w:r>
            <w:fldChar w:fldCharType="begin"/>
          </w:r>
          <w:r>
            <w:instrText xml:space="preserve"> PAGEREF _Toc16688 \h </w:instrText>
          </w:r>
          <w:r>
            <w:fldChar w:fldCharType="separate"/>
          </w:r>
          <w:r>
            <w:t>7</w:t>
          </w:r>
          <w:r>
            <w:fldChar w:fldCharType="end"/>
          </w:r>
          <w:r>
            <w:fldChar w:fldCharType="end"/>
          </w:r>
        </w:p>
        <w:p>
          <w:pPr>
            <w:pStyle w:val="30"/>
            <w:tabs>
              <w:tab w:val="right" w:leader="dot" w:pos="8504"/>
            </w:tabs>
          </w:pPr>
          <w:r>
            <w:fldChar w:fldCharType="begin"/>
          </w:r>
          <w:r>
            <w:instrText xml:space="preserve"> HYPERLINK \l "_Toc23380" </w:instrText>
          </w:r>
          <w:r>
            <w:fldChar w:fldCharType="separate"/>
          </w:r>
          <w:r>
            <w:rPr>
              <w:rFonts w:hint="eastAsia" w:ascii="Times New Roman" w:hAnsi="Times New Roman"/>
              <w:bCs/>
              <w:szCs w:val="28"/>
            </w:rPr>
            <w:t>2.7监测仪器</w:t>
          </w:r>
          <w:r>
            <w:tab/>
          </w:r>
          <w:r>
            <w:fldChar w:fldCharType="begin"/>
          </w:r>
          <w:r>
            <w:instrText xml:space="preserve"> PAGEREF _Toc23380 \h </w:instrText>
          </w:r>
          <w:r>
            <w:fldChar w:fldCharType="separate"/>
          </w:r>
          <w:r>
            <w:t>10</w:t>
          </w:r>
          <w:r>
            <w:fldChar w:fldCharType="end"/>
          </w:r>
          <w:r>
            <w:fldChar w:fldCharType="end"/>
          </w:r>
        </w:p>
        <w:p>
          <w:pPr>
            <w:pStyle w:val="30"/>
            <w:tabs>
              <w:tab w:val="right" w:leader="dot" w:pos="8504"/>
            </w:tabs>
          </w:pPr>
          <w:r>
            <w:fldChar w:fldCharType="begin"/>
          </w:r>
          <w:r>
            <w:instrText xml:space="preserve"> HYPERLINK \l "_Toc30429" </w:instrText>
          </w:r>
          <w:r>
            <w:fldChar w:fldCharType="separate"/>
          </w:r>
          <w:r>
            <w:rPr>
              <w:rFonts w:hint="eastAsia" w:ascii="Times New Roman" w:hAnsi="Times New Roman"/>
              <w:bCs/>
              <w:szCs w:val="28"/>
            </w:rPr>
            <w:t>2.8监测结果与分析</w:t>
          </w:r>
          <w:r>
            <w:tab/>
          </w:r>
          <w:r>
            <w:fldChar w:fldCharType="begin"/>
          </w:r>
          <w:r>
            <w:instrText xml:space="preserve"> PAGEREF _Toc30429 \h </w:instrText>
          </w:r>
          <w:r>
            <w:fldChar w:fldCharType="separate"/>
          </w:r>
          <w:r>
            <w:t>10</w:t>
          </w:r>
          <w:r>
            <w:fldChar w:fldCharType="end"/>
          </w:r>
          <w:r>
            <w:fldChar w:fldCharType="end"/>
          </w:r>
        </w:p>
        <w:p>
          <w:pPr>
            <w:pStyle w:val="26"/>
            <w:tabs>
              <w:tab w:val="right" w:leader="dot" w:pos="8504"/>
            </w:tabs>
          </w:pPr>
          <w:r>
            <w:fldChar w:fldCharType="begin"/>
          </w:r>
          <w:r>
            <w:instrText xml:space="preserve"> HYPERLINK \l "_Toc13968" </w:instrText>
          </w:r>
          <w:r>
            <w:fldChar w:fldCharType="separate"/>
          </w:r>
          <w:r>
            <w:rPr>
              <w:rFonts w:cs="宋体"/>
            </w:rPr>
            <w:t>3</w:t>
          </w:r>
          <w:r>
            <w:rPr>
              <w:rFonts w:hint="eastAsia"/>
            </w:rPr>
            <w:t>电磁环境影响预测与评价</w:t>
          </w:r>
          <w:r>
            <w:tab/>
          </w:r>
          <w:r>
            <w:fldChar w:fldCharType="begin"/>
          </w:r>
          <w:r>
            <w:instrText xml:space="preserve"> PAGEREF _Toc13968 \h </w:instrText>
          </w:r>
          <w:r>
            <w:fldChar w:fldCharType="separate"/>
          </w:r>
          <w:r>
            <w:t>12</w:t>
          </w:r>
          <w:r>
            <w:fldChar w:fldCharType="end"/>
          </w:r>
          <w:r>
            <w:fldChar w:fldCharType="end"/>
          </w:r>
        </w:p>
        <w:p>
          <w:pPr>
            <w:pStyle w:val="30"/>
            <w:tabs>
              <w:tab w:val="right" w:leader="dot" w:pos="8504"/>
            </w:tabs>
          </w:pPr>
          <w:r>
            <w:fldChar w:fldCharType="begin"/>
          </w:r>
          <w:r>
            <w:instrText xml:space="preserve"> HYPERLINK \l "_Toc4095" </w:instrText>
          </w:r>
          <w:r>
            <w:fldChar w:fldCharType="separate"/>
          </w:r>
          <w:r>
            <w:rPr>
              <w:rFonts w:hint="eastAsia" w:ascii="Times New Roman" w:hAnsi="Times New Roman"/>
              <w:bCs/>
              <w:szCs w:val="28"/>
            </w:rPr>
            <w:t>3.1伊拉湖220千伏变电站新建工程电磁环境影响预测与评价</w:t>
          </w:r>
          <w:r>
            <w:tab/>
          </w:r>
          <w:r>
            <w:fldChar w:fldCharType="begin"/>
          </w:r>
          <w:r>
            <w:instrText xml:space="preserve"> PAGEREF _Toc4095 \h </w:instrText>
          </w:r>
          <w:r>
            <w:fldChar w:fldCharType="separate"/>
          </w:r>
          <w:r>
            <w:t>12</w:t>
          </w:r>
          <w:r>
            <w:fldChar w:fldCharType="end"/>
          </w:r>
          <w:r>
            <w:fldChar w:fldCharType="end"/>
          </w:r>
        </w:p>
        <w:p>
          <w:pPr>
            <w:pStyle w:val="30"/>
            <w:tabs>
              <w:tab w:val="right" w:leader="dot" w:pos="8504"/>
            </w:tabs>
          </w:pPr>
          <w:r>
            <w:fldChar w:fldCharType="begin"/>
          </w:r>
          <w:r>
            <w:instrText xml:space="preserve"> HYPERLINK \l "_Toc19225" </w:instrText>
          </w:r>
          <w:r>
            <w:fldChar w:fldCharType="separate"/>
          </w:r>
          <w:r>
            <w:rPr>
              <w:rFonts w:hint="eastAsia" w:ascii="Times New Roman" w:hAnsi="Times New Roman"/>
            </w:rPr>
            <w:t>3.3输电线路电磁环境影响预测与评价</w:t>
          </w:r>
          <w:r>
            <w:tab/>
          </w:r>
          <w:r>
            <w:fldChar w:fldCharType="begin"/>
          </w:r>
          <w:r>
            <w:instrText xml:space="preserve"> PAGEREF _Toc19225 \h </w:instrText>
          </w:r>
          <w:r>
            <w:fldChar w:fldCharType="separate"/>
          </w:r>
          <w:r>
            <w:t>19</w:t>
          </w:r>
          <w:r>
            <w:fldChar w:fldCharType="end"/>
          </w:r>
          <w:r>
            <w:fldChar w:fldCharType="end"/>
          </w:r>
        </w:p>
        <w:p>
          <w:pPr>
            <w:pStyle w:val="30"/>
            <w:tabs>
              <w:tab w:val="right" w:leader="dot" w:pos="8504"/>
            </w:tabs>
          </w:pPr>
          <w:r>
            <w:fldChar w:fldCharType="begin"/>
          </w:r>
          <w:r>
            <w:instrText xml:space="preserve"> HYPERLINK \l "_Toc21582" </w:instrText>
          </w:r>
          <w:r>
            <w:fldChar w:fldCharType="separate"/>
          </w:r>
          <w:r>
            <w:rPr>
              <w:rFonts w:hint="eastAsia"/>
              <w:bCs/>
              <w:szCs w:val="28"/>
            </w:rPr>
            <w:t>3</w:t>
          </w:r>
          <w:r>
            <w:rPr>
              <w:rFonts w:ascii="Times New Roman" w:hAnsi="Times New Roman"/>
              <w:bCs/>
              <w:szCs w:val="28"/>
            </w:rPr>
            <w:t>.4电磁环境敏感目标环境影响预测与评价</w:t>
          </w:r>
          <w:r>
            <w:tab/>
          </w:r>
          <w:r>
            <w:fldChar w:fldCharType="begin"/>
          </w:r>
          <w:r>
            <w:instrText xml:space="preserve"> PAGEREF _Toc21582 \h </w:instrText>
          </w:r>
          <w:r>
            <w:fldChar w:fldCharType="separate"/>
          </w:r>
          <w:r>
            <w:t>42</w:t>
          </w:r>
          <w:r>
            <w:fldChar w:fldCharType="end"/>
          </w:r>
          <w:r>
            <w:fldChar w:fldCharType="end"/>
          </w:r>
        </w:p>
        <w:p>
          <w:pPr>
            <w:pStyle w:val="26"/>
            <w:tabs>
              <w:tab w:val="right" w:leader="dot" w:pos="8504"/>
            </w:tabs>
          </w:pPr>
          <w:r>
            <w:fldChar w:fldCharType="begin"/>
          </w:r>
          <w:r>
            <w:instrText xml:space="preserve"> HYPERLINK \l "_Toc1455" </w:instrText>
          </w:r>
          <w:r>
            <w:fldChar w:fldCharType="separate"/>
          </w:r>
          <w:r>
            <w:rPr>
              <w:rFonts w:cs="宋体"/>
            </w:rPr>
            <w:t>4</w:t>
          </w:r>
          <w:r>
            <w:rPr>
              <w:rFonts w:hint="eastAsia"/>
            </w:rPr>
            <w:t>电磁环境影响评价综合结论</w:t>
          </w:r>
          <w:r>
            <w:tab/>
          </w:r>
          <w:r>
            <w:fldChar w:fldCharType="begin"/>
          </w:r>
          <w:r>
            <w:instrText xml:space="preserve"> PAGEREF _Toc1455 \h </w:instrText>
          </w:r>
          <w:r>
            <w:fldChar w:fldCharType="separate"/>
          </w:r>
          <w:r>
            <w:t>43</w:t>
          </w:r>
          <w:r>
            <w:fldChar w:fldCharType="end"/>
          </w:r>
          <w:r>
            <w:fldChar w:fldCharType="end"/>
          </w:r>
        </w:p>
        <w:p>
          <w:pPr>
            <w:pStyle w:val="30"/>
            <w:tabs>
              <w:tab w:val="right" w:leader="dot" w:pos="8504"/>
            </w:tabs>
          </w:pPr>
          <w:r>
            <w:fldChar w:fldCharType="begin"/>
          </w:r>
          <w:r>
            <w:instrText xml:space="preserve"> HYPERLINK \l "_Toc25409" </w:instrText>
          </w:r>
          <w:r>
            <w:fldChar w:fldCharType="separate"/>
          </w:r>
          <w:r>
            <w:rPr>
              <w:rFonts w:hint="eastAsia" w:ascii="Times New Roman" w:hAnsi="Times New Roman"/>
            </w:rPr>
            <w:t>4.1伊拉湖220千伏变电站新建工程电磁环境影响结论</w:t>
          </w:r>
          <w:r>
            <w:tab/>
          </w:r>
          <w:r>
            <w:fldChar w:fldCharType="begin"/>
          </w:r>
          <w:r>
            <w:instrText xml:space="preserve"> PAGEREF _Toc25409 \h </w:instrText>
          </w:r>
          <w:r>
            <w:fldChar w:fldCharType="separate"/>
          </w:r>
          <w:r>
            <w:t>43</w:t>
          </w:r>
          <w:r>
            <w:fldChar w:fldCharType="end"/>
          </w:r>
          <w:r>
            <w:fldChar w:fldCharType="end"/>
          </w:r>
        </w:p>
        <w:p>
          <w:pPr>
            <w:pStyle w:val="30"/>
            <w:tabs>
              <w:tab w:val="right" w:leader="dot" w:pos="8504"/>
            </w:tabs>
          </w:pPr>
          <w:r>
            <w:fldChar w:fldCharType="begin"/>
          </w:r>
          <w:r>
            <w:instrText xml:space="preserve"> HYPERLINK \l "_Toc20161" </w:instrText>
          </w:r>
          <w:r>
            <w:fldChar w:fldCharType="separate"/>
          </w:r>
          <w:r>
            <w:rPr>
              <w:rFonts w:hint="eastAsia" w:ascii="Times New Roman" w:hAnsi="Times New Roman"/>
            </w:rPr>
            <w:t>4.3输电线路电磁环境影响结论</w:t>
          </w:r>
          <w:r>
            <w:tab/>
          </w:r>
          <w:r>
            <w:fldChar w:fldCharType="begin"/>
          </w:r>
          <w:r>
            <w:instrText xml:space="preserve"> PAGEREF _Toc20161 \h </w:instrText>
          </w:r>
          <w:r>
            <w:fldChar w:fldCharType="separate"/>
          </w:r>
          <w:r>
            <w:t>43</w:t>
          </w:r>
          <w:r>
            <w:fldChar w:fldCharType="end"/>
          </w:r>
          <w:r>
            <w:fldChar w:fldCharType="end"/>
          </w:r>
        </w:p>
        <w:p>
          <w:pPr>
            <w:pStyle w:val="26"/>
            <w:tabs>
              <w:tab w:val="left" w:pos="560"/>
              <w:tab w:val="right" w:leader="dot" w:pos="9402"/>
            </w:tabs>
            <w:rPr>
              <w:color w:val="000000" w:themeColor="text1"/>
              <w:highlight w:val="yellow"/>
              <w14:textFill>
                <w14:solidFill>
                  <w14:schemeClr w14:val="tx1"/>
                </w14:solidFill>
              </w14:textFill>
            </w:rPr>
          </w:pPr>
          <w:r>
            <w:rPr>
              <w:color w:val="000000" w:themeColor="text1"/>
              <w:sz w:val="40"/>
              <w:szCs w:val="28"/>
              <w14:textFill>
                <w14:solidFill>
                  <w14:schemeClr w14:val="tx1"/>
                </w14:solidFill>
              </w14:textFill>
            </w:rPr>
            <w:fldChar w:fldCharType="end"/>
          </w:r>
        </w:p>
      </w:sdtContent>
    </w:sdt>
    <w:p>
      <w:pPr>
        <w:pStyle w:val="2"/>
        <w:ind w:left="0" w:firstLine="0"/>
        <w:rPr>
          <w:color w:val="000000" w:themeColor="text1"/>
          <w14:textFill>
            <w14:solidFill>
              <w14:schemeClr w14:val="tx1"/>
            </w14:solidFill>
          </w14:textFill>
        </w:rPr>
        <w:sectPr>
          <w:footerReference r:id="rId13" w:type="default"/>
          <w:pgSz w:w="11906" w:h="16838"/>
          <w:pgMar w:top="1440" w:right="1701" w:bottom="1440" w:left="1701" w:header="851" w:footer="992" w:gutter="0"/>
          <w:cols w:space="720" w:num="1"/>
          <w:docGrid w:type="lines" w:linePitch="326" w:charSpace="0"/>
        </w:sectPr>
      </w:pPr>
    </w:p>
    <w:p>
      <w:pPr>
        <w:pStyle w:val="2"/>
        <w:numPr>
          <w:ilvl w:val="0"/>
          <w:numId w:val="21"/>
        </w:numPr>
        <w:spacing w:before="0" w:after="0" w:line="360" w:lineRule="auto"/>
        <w:rPr>
          <w:color w:val="000000" w:themeColor="text1"/>
          <w14:textFill>
            <w14:solidFill>
              <w14:schemeClr w14:val="tx1"/>
            </w14:solidFill>
          </w14:textFill>
        </w:rPr>
      </w:pPr>
      <w:bookmarkStart w:id="741" w:name="_Toc27601"/>
      <w:r>
        <w:rPr>
          <w:rFonts w:hint="eastAsia"/>
          <w:color w:val="000000" w:themeColor="text1"/>
          <w14:textFill>
            <w14:solidFill>
              <w14:schemeClr w14:val="tx1"/>
            </w14:solidFill>
          </w14:textFill>
        </w:rPr>
        <w:t>总则</w:t>
      </w:r>
      <w:bookmarkEnd w:id="741"/>
    </w:p>
    <w:p>
      <w:pPr>
        <w:pStyle w:val="3"/>
        <w:numPr>
          <w:ilvl w:val="1"/>
          <w:numId w:val="22"/>
        </w:numPr>
        <w:spacing w:before="0" w:after="0" w:line="360" w:lineRule="auto"/>
        <w:rPr>
          <w:rFonts w:ascii="Times New Roman" w:hAnsi="Times New Roman"/>
          <w:color w:val="000000" w:themeColor="text1"/>
          <w14:textFill>
            <w14:solidFill>
              <w14:schemeClr w14:val="tx1"/>
            </w14:solidFill>
          </w14:textFill>
        </w:rPr>
      </w:pPr>
      <w:bookmarkStart w:id="742" w:name="_Toc23383"/>
      <w:bookmarkStart w:id="743" w:name="_Toc24647685"/>
      <w:r>
        <w:rPr>
          <w:rFonts w:hint="eastAsia" w:ascii="Times New Roman" w:hAnsi="Times New Roman"/>
          <w:color w:val="000000" w:themeColor="text1"/>
          <w14:textFill>
            <w14:solidFill>
              <w14:schemeClr w14:val="tx1"/>
            </w14:solidFill>
          </w14:textFill>
        </w:rPr>
        <w:t>工程概况</w:t>
      </w:r>
      <w:bookmarkEnd w:id="742"/>
    </w:p>
    <w:p>
      <w:pPr>
        <w:pStyle w:val="5"/>
        <w:rPr>
          <w:color w:val="000000"/>
        </w:rPr>
      </w:pPr>
      <w:r>
        <w:rPr>
          <w:rFonts w:hint="eastAsia"/>
          <w:color w:val="000000"/>
        </w:rPr>
        <w:t>吐鲁番伊拉湖220千伏输变电工程项目组成包括：</w:t>
      </w:r>
    </w:p>
    <w:p>
      <w:pPr>
        <w:pStyle w:val="5"/>
        <w:rPr>
          <w:color w:val="000000"/>
        </w:rPr>
      </w:pPr>
      <w:r>
        <w:rPr>
          <w:rFonts w:hint="eastAsia"/>
          <w:color w:val="000000"/>
        </w:rPr>
        <w:t>（1）伊拉湖220千伏变电站新建工程：变电站采用户内GIS布置，本期新建主变2×240MVA，220kV出线6回（至阿拉沟变2回、至托克逊220千伏变2回、备用至嘉信变2回），110kV出线8回（至亿航变2回、至欧普变1回、至泰醇变1回、备用至信诺变2回、备用至众兴变2回）。每台主变低压侧装设3组15MVar并联电容器。</w:t>
      </w:r>
    </w:p>
    <w:p>
      <w:pPr>
        <w:pStyle w:val="5"/>
        <w:rPr>
          <w:color w:val="000000"/>
        </w:rPr>
      </w:pPr>
      <w:r>
        <w:rPr>
          <w:rFonts w:hint="eastAsia"/>
          <w:color w:val="000000"/>
        </w:rPr>
        <w:t>（2）吐鲁番电厂-阿拉沟变Ⅰ、Ⅱ回π入伊拉湖变220千伏线路工程：路径全长约4.67km，分为两部分：</w:t>
      </w:r>
    </w:p>
    <w:p>
      <w:pPr>
        <w:pStyle w:val="5"/>
        <w:rPr>
          <w:color w:val="000000"/>
        </w:rPr>
      </w:pPr>
      <w:r>
        <w:rPr>
          <w:rFonts w:hint="eastAsia"/>
          <w:color w:val="000000"/>
        </w:rPr>
        <w:t>线路部分：</w:t>
      </w:r>
    </w:p>
    <w:p>
      <w:pPr>
        <w:pStyle w:val="5"/>
        <w:rPr>
          <w:color w:val="000000"/>
        </w:rPr>
      </w:pPr>
      <w:r>
        <w:rPr>
          <w:rFonts w:hint="eastAsia"/>
          <w:color w:val="000000"/>
        </w:rPr>
        <w:t>①吐鲁番电厂-阿拉沟变Ⅰ、Ⅱ回π入伊拉湖变220千伏线路工程（阿拉沟变侧）：新建2×1.1km单回架空线路，导线采用2×JL3/G1A-630/45型钢芯高导电率铝绞线。全线架设双地线，一根采用JLB35-120型铝包钢绞线，一根采用OPGW复合光缆。</w:t>
      </w:r>
    </w:p>
    <w:p>
      <w:pPr>
        <w:pStyle w:val="5"/>
        <w:rPr>
          <w:color w:val="000000"/>
        </w:rPr>
      </w:pPr>
      <w:r>
        <w:rPr>
          <w:rFonts w:hint="eastAsia"/>
          <w:color w:val="000000"/>
        </w:rPr>
        <w:t>②吐鲁番电厂-阿拉沟变Ⅰ、Ⅱ回π入伊拉湖变220千伏线路工程（托克逊变侧）：新建2×1.2km单回架空线路，导线采用2×JL3/G1A-400/35型钢芯高导电率铝绞线。全线架设双地线，一根采用JLB35-120型铝包钢绞线，一根采用OPGW复合光缆。</w:t>
      </w:r>
    </w:p>
    <w:p>
      <w:pPr>
        <w:pStyle w:val="5"/>
        <w:rPr>
          <w:color w:val="000000"/>
        </w:rPr>
      </w:pPr>
      <w:r>
        <w:rPr>
          <w:rFonts w:hint="eastAsia"/>
          <w:color w:val="000000"/>
        </w:rPr>
        <w:t>电缆部分：新建电缆线路长约0.07km，双回路敷设（本期敷设一回电缆，预留一回通道）。电缆采用ZC-YJLW03-127/220-1×1600型电力电缆，采用电缆沟敷设方式。</w:t>
      </w:r>
    </w:p>
    <w:p>
      <w:pPr>
        <w:pStyle w:val="5"/>
        <w:rPr>
          <w:color w:val="000000"/>
        </w:rPr>
      </w:pPr>
      <w:r>
        <w:rPr>
          <w:rFonts w:hint="eastAsia"/>
          <w:color w:val="000000"/>
        </w:rPr>
        <w:t>本期需拆除原220千伏鲁拉Ⅰ、Ⅱ线杆塔6基。</w:t>
      </w:r>
    </w:p>
    <w:p>
      <w:pPr>
        <w:pStyle w:val="5"/>
        <w:rPr>
          <w:color w:val="000000"/>
        </w:rPr>
      </w:pPr>
      <w:r>
        <w:rPr>
          <w:rFonts w:hint="eastAsia"/>
          <w:color w:val="000000"/>
        </w:rPr>
        <w:t>（3）吐鲁番电厂-阿拉沟变Ⅰ、Ⅱ回改接入托克逊变220千伏线路工程：路径全长约9.0km，单回路架设。分为三部分：</w:t>
      </w:r>
    </w:p>
    <w:p>
      <w:pPr>
        <w:pStyle w:val="5"/>
        <w:rPr>
          <w:color w:val="000000"/>
        </w:rPr>
      </w:pPr>
      <w:r>
        <w:rPr>
          <w:rFonts w:hint="eastAsia"/>
          <w:color w:val="000000"/>
        </w:rPr>
        <w:t>①吐鲁番电厂-阿拉沟变Ⅰ、Ⅱ回改接入托克逊变电站220千伏线路工程（阿拉沟变侧）：新建8.3km单回架空线路，导线采用2×JL3/G1A-400/35型钢芯高导电率铝绞线。全线架设双地线，一根采用OPGW复合光缆，一根采用JLB35-120型铝包钢绞线。</w:t>
      </w:r>
    </w:p>
    <w:p>
      <w:pPr>
        <w:pStyle w:val="5"/>
        <w:rPr>
          <w:color w:val="000000"/>
        </w:rPr>
      </w:pPr>
      <w:r>
        <w:rPr>
          <w:rFonts w:hint="eastAsia"/>
          <w:color w:val="000000"/>
        </w:rPr>
        <w:t>②鲁拉一线-鲁拉二线短接线路工程：新建0.3km单回架空线路，导线采用2×JL3/G1A-400/35型钢芯高导电率铝绞线。全线架设双地线，一根采用OPGW复合光缆，一根采用JLB35-120型铝包钢绞线。</w:t>
      </w:r>
    </w:p>
    <w:p>
      <w:pPr>
        <w:pStyle w:val="5"/>
        <w:rPr>
          <w:color w:val="000000"/>
        </w:rPr>
      </w:pPr>
      <w:r>
        <w:rPr>
          <w:rFonts w:hint="eastAsia"/>
          <w:color w:val="000000"/>
        </w:rPr>
        <w:t>③鲁托二线-鲁拉二线短接线路工程：新建0.4km单回架空线路，导线采用2×JL3/G1A-400/35型钢芯高导电率铝绞线。全线架设双地线，一根采用OPGW复合光缆，一根采用JLB35-120型铝包钢绞线。</w:t>
      </w:r>
    </w:p>
    <w:p>
      <w:pPr>
        <w:pStyle w:val="5"/>
      </w:pPr>
      <w:r>
        <w:rPr>
          <w:rFonts w:hint="eastAsia"/>
          <w:color w:val="000000"/>
        </w:rPr>
        <w:t>本期需拆除原220千伏鲁拉Ⅱ线杆塔4基，拆除原220千伏鲁托Ⅰ、Ⅱ线杆塔合计38基。拆除鲁托一线更换导线部分的铁塔及导线、通信线。</w:t>
      </w:r>
    </w:p>
    <w:p>
      <w:pPr>
        <w:pStyle w:val="3"/>
        <w:numPr>
          <w:ilvl w:val="1"/>
          <w:numId w:val="22"/>
        </w:numPr>
        <w:spacing w:before="0" w:after="0" w:line="360" w:lineRule="auto"/>
        <w:rPr>
          <w:rFonts w:ascii="Times New Roman" w:hAnsi="Times New Roman"/>
          <w:color w:val="000000" w:themeColor="text1"/>
          <w14:textFill>
            <w14:solidFill>
              <w14:schemeClr w14:val="tx1"/>
            </w14:solidFill>
          </w14:textFill>
        </w:rPr>
      </w:pPr>
      <w:bookmarkStart w:id="744" w:name="_Toc15224"/>
      <w:r>
        <w:rPr>
          <w:rFonts w:hint="eastAsia" w:ascii="Times New Roman" w:hAnsi="Times New Roman"/>
          <w:color w:val="000000" w:themeColor="text1"/>
          <w14:textFill>
            <w14:solidFill>
              <w14:schemeClr w14:val="tx1"/>
            </w14:solidFill>
          </w14:textFill>
        </w:rPr>
        <w:t>评价因子</w:t>
      </w:r>
      <w:bookmarkEnd w:id="743"/>
      <w:bookmarkEnd w:id="744"/>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根据《环境影响评价技术导则 输变电》（</w:t>
      </w:r>
      <w:r>
        <w:rPr>
          <w:color w:val="000000" w:themeColor="text1"/>
          <w14:textFill>
            <w14:solidFill>
              <w14:schemeClr w14:val="tx1"/>
            </w14:solidFill>
          </w14:textFill>
        </w:rPr>
        <w:t>HJ24-2020</w:t>
      </w:r>
      <w:r>
        <w:rPr>
          <w:rFonts w:hint="eastAsia"/>
          <w:color w:val="000000" w:themeColor="text1"/>
          <w14:textFill>
            <w14:solidFill>
              <w14:schemeClr w14:val="tx1"/>
            </w14:solidFill>
          </w14:textFill>
        </w:rPr>
        <w:t>），电磁环境影响评价因子为工频电场、工频磁场。</w:t>
      </w:r>
    </w:p>
    <w:p>
      <w:pPr>
        <w:pStyle w:val="3"/>
        <w:numPr>
          <w:ilvl w:val="1"/>
          <w:numId w:val="22"/>
        </w:numPr>
        <w:spacing w:before="0" w:after="0" w:line="360" w:lineRule="auto"/>
        <w:rPr>
          <w:rFonts w:ascii="Times New Roman" w:hAnsi="Times New Roman"/>
          <w:color w:val="000000" w:themeColor="text1"/>
          <w14:textFill>
            <w14:solidFill>
              <w14:schemeClr w14:val="tx1"/>
            </w14:solidFill>
          </w14:textFill>
        </w:rPr>
      </w:pPr>
      <w:bookmarkStart w:id="745" w:name="_Toc413055175"/>
      <w:bookmarkStart w:id="746" w:name="_Toc3562"/>
      <w:bookmarkStart w:id="747" w:name="_Toc24647686"/>
      <w:r>
        <w:rPr>
          <w:rFonts w:hint="eastAsia" w:ascii="Times New Roman" w:hAnsi="Times New Roman"/>
          <w:color w:val="000000" w:themeColor="text1"/>
          <w14:textFill>
            <w14:solidFill>
              <w14:schemeClr w14:val="tx1"/>
            </w14:solidFill>
          </w14:textFill>
        </w:rPr>
        <w:t>评价等级</w:t>
      </w:r>
      <w:bookmarkEnd w:id="745"/>
      <w:bookmarkEnd w:id="746"/>
      <w:bookmarkEnd w:id="747"/>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根据《环境影响评价技术导则 输变电》（</w:t>
      </w:r>
      <w:r>
        <w:rPr>
          <w:color w:val="000000" w:themeColor="text1"/>
          <w14:textFill>
            <w14:solidFill>
              <w14:schemeClr w14:val="tx1"/>
            </w14:solidFill>
          </w14:textFill>
        </w:rPr>
        <w:t>HJ24-2020</w:t>
      </w:r>
      <w:r>
        <w:rPr>
          <w:rFonts w:hint="eastAsia"/>
          <w:color w:val="000000" w:themeColor="text1"/>
          <w14:textFill>
            <w14:solidFill>
              <w14:schemeClr w14:val="tx1"/>
            </w14:solidFill>
          </w14:textFill>
        </w:rPr>
        <w:t>）确定本工程的电磁环境影响评价工作等级：</w:t>
      </w:r>
    </w:p>
    <w:p>
      <w:pPr>
        <w:pStyle w:val="5"/>
        <w:tabs>
          <w:tab w:val="left" w:pos="461"/>
        </w:tabs>
        <w:rPr>
          <w:color w:val="000000" w:themeColor="text1"/>
          <w14:textFill>
            <w14:solidFill>
              <w14:schemeClr w14:val="tx1"/>
            </w14:solidFill>
          </w14:textFill>
        </w:rPr>
      </w:pPr>
      <w:r>
        <w:rPr>
          <w:rFonts w:hint="eastAsia"/>
          <w:color w:val="000000" w:themeColor="text1"/>
          <w14:textFill>
            <w14:solidFill>
              <w14:schemeClr w14:val="tx1"/>
            </w14:solidFill>
          </w14:textFill>
        </w:rPr>
        <w:t>变电站：本工程拟建伊拉湖220kV变电站为户内式变电站，电磁环境影响评价工作等级应为二级。</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输电线路：架空线路边导线地面投影外两侧各</w:t>
      </w:r>
      <w:r>
        <w:rPr>
          <w:color w:val="000000" w:themeColor="text1"/>
          <w14:textFill>
            <w14:solidFill>
              <w14:schemeClr w14:val="tx1"/>
            </w14:solidFill>
          </w14:textFill>
        </w:rPr>
        <w:t>15m</w:t>
      </w:r>
      <w:r>
        <w:rPr>
          <w:rFonts w:hint="eastAsia"/>
          <w:color w:val="000000" w:themeColor="text1"/>
          <w14:textFill>
            <w14:solidFill>
              <w14:schemeClr w14:val="tx1"/>
            </w14:solidFill>
          </w14:textFill>
        </w:rPr>
        <w:t>范围内有电磁环境敏感目标，架空线路电磁环境影响评价工作等级确定为二级。</w:t>
      </w:r>
    </w:p>
    <w:p>
      <w:pPr>
        <w:pStyle w:val="3"/>
        <w:numPr>
          <w:ilvl w:val="1"/>
          <w:numId w:val="22"/>
        </w:numPr>
        <w:spacing w:before="0" w:after="0" w:line="360" w:lineRule="auto"/>
        <w:rPr>
          <w:rFonts w:ascii="Times New Roman" w:hAnsi="Times New Roman"/>
          <w:color w:val="000000" w:themeColor="text1"/>
          <w14:textFill>
            <w14:solidFill>
              <w14:schemeClr w14:val="tx1"/>
            </w14:solidFill>
          </w14:textFill>
        </w:rPr>
      </w:pPr>
      <w:bookmarkStart w:id="748" w:name="_Toc24647687"/>
      <w:bookmarkStart w:id="749" w:name="_Toc320"/>
      <w:r>
        <w:rPr>
          <w:rFonts w:hint="eastAsia" w:ascii="Times New Roman" w:hAnsi="Times New Roman"/>
          <w:color w:val="000000" w:themeColor="text1"/>
          <w14:textFill>
            <w14:solidFill>
              <w14:schemeClr w14:val="tx1"/>
            </w14:solidFill>
          </w14:textFill>
        </w:rPr>
        <w:t>评价范围</w:t>
      </w:r>
      <w:bookmarkEnd w:id="748"/>
      <w:bookmarkEnd w:id="749"/>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根据《环境影响评价技术导则 输变电》（</w:t>
      </w:r>
      <w:r>
        <w:rPr>
          <w:color w:val="000000" w:themeColor="text1"/>
          <w14:textFill>
            <w14:solidFill>
              <w14:schemeClr w14:val="tx1"/>
            </w14:solidFill>
          </w14:textFill>
        </w:rPr>
        <w:t>HJ24-2020</w:t>
      </w:r>
      <w:r>
        <w:rPr>
          <w:rFonts w:hint="eastAsia"/>
          <w:color w:val="000000" w:themeColor="text1"/>
          <w14:textFill>
            <w14:solidFill>
              <w14:schemeClr w14:val="tx1"/>
            </w14:solidFill>
          </w14:textFill>
        </w:rPr>
        <w:t>），本工程评价范围如下：</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）变电站：伊拉湖220kV变电站站址外</w:t>
      </w:r>
      <w:r>
        <w:rPr>
          <w:color w:val="000000" w:themeColor="text1"/>
          <w14:textFill>
            <w14:solidFill>
              <w14:schemeClr w14:val="tx1"/>
            </w14:solidFill>
          </w14:textFill>
        </w:rPr>
        <w:t>40m</w:t>
      </w:r>
      <w:r>
        <w:rPr>
          <w:rFonts w:hint="eastAsia"/>
          <w:color w:val="000000" w:themeColor="text1"/>
          <w14:textFill>
            <w14:solidFill>
              <w14:schemeClr w14:val="tx1"/>
            </w14:solidFill>
          </w14:textFill>
        </w:rPr>
        <w:t>范围内。</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）输电线路：</w:t>
      </w:r>
      <w:r>
        <w:rPr>
          <w:color w:val="000000" w:themeColor="text1"/>
          <w14:textFill>
            <w14:solidFill>
              <w14:schemeClr w14:val="tx1"/>
            </w14:solidFill>
          </w14:textFill>
        </w:rPr>
        <w:t>220kV</w:t>
      </w:r>
      <w:r>
        <w:rPr>
          <w:rFonts w:hint="eastAsia"/>
          <w:color w:val="000000" w:themeColor="text1"/>
          <w14:textFill>
            <w14:solidFill>
              <w14:schemeClr w14:val="tx1"/>
            </w14:solidFill>
          </w14:textFill>
        </w:rPr>
        <w:t>架空线路边导线地面投影外两侧</w:t>
      </w:r>
      <w:r>
        <w:rPr>
          <w:color w:val="000000" w:themeColor="text1"/>
          <w14:textFill>
            <w14:solidFill>
              <w14:schemeClr w14:val="tx1"/>
            </w14:solidFill>
          </w14:textFill>
        </w:rPr>
        <w:t>40m</w:t>
      </w:r>
      <w:r>
        <w:rPr>
          <w:rFonts w:hint="eastAsia"/>
          <w:color w:val="000000" w:themeColor="text1"/>
          <w14:textFill>
            <w14:solidFill>
              <w14:schemeClr w14:val="tx1"/>
            </w14:solidFill>
          </w14:textFill>
        </w:rPr>
        <w:t>范围内。</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（3）电缆：管廊两侧5m范围内。</w:t>
      </w:r>
    </w:p>
    <w:p>
      <w:pPr>
        <w:pStyle w:val="3"/>
        <w:numPr>
          <w:ilvl w:val="1"/>
          <w:numId w:val="22"/>
        </w:numPr>
        <w:spacing w:before="0" w:after="0" w:line="360" w:lineRule="auto"/>
        <w:rPr>
          <w:rFonts w:ascii="Times New Roman" w:hAnsi="Times New Roman"/>
          <w:color w:val="000000" w:themeColor="text1"/>
          <w14:textFill>
            <w14:solidFill>
              <w14:schemeClr w14:val="tx1"/>
            </w14:solidFill>
          </w14:textFill>
        </w:rPr>
      </w:pPr>
      <w:bookmarkStart w:id="750" w:name="_Toc413055177"/>
      <w:bookmarkStart w:id="751" w:name="_Toc24647688"/>
      <w:bookmarkStart w:id="752" w:name="_Toc23981"/>
      <w:r>
        <w:rPr>
          <w:rFonts w:hint="eastAsia" w:ascii="Times New Roman" w:hAnsi="Times New Roman"/>
          <w:color w:val="000000" w:themeColor="text1"/>
          <w14:textFill>
            <w14:solidFill>
              <w14:schemeClr w14:val="tx1"/>
            </w14:solidFill>
          </w14:textFill>
        </w:rPr>
        <w:t>评价标准</w:t>
      </w:r>
      <w:bookmarkEnd w:id="750"/>
      <w:bookmarkEnd w:id="751"/>
      <w:bookmarkEnd w:id="752"/>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电磁环境影响评价标准依据《电磁环境控制限值》（GB8702-2014）中控制限值：即频率50Hz的电场强度公众曝露控制限值为4000V/m、磁感应强度为100</w:t>
      </w:r>
      <w:r>
        <w:rPr>
          <w:color w:val="000000" w:themeColor="text1"/>
          <w14:textFill>
            <w14:solidFill>
              <w14:schemeClr w14:val="tx1"/>
            </w14:solidFill>
          </w14:textFill>
        </w:rPr>
        <w:t>μ</w:t>
      </w:r>
      <w:r>
        <w:rPr>
          <w:rFonts w:hint="eastAsia"/>
          <w:color w:val="000000" w:themeColor="text1"/>
          <w14:textFill>
            <w14:solidFill>
              <w14:schemeClr w14:val="tx1"/>
            </w14:solidFill>
          </w14:textFill>
        </w:rPr>
        <w:t>T；架空线路线下耕地、园地、畜禽饲养地、养殖水面、道路等场所，其电场强度控制限值为10kV/m，并应给出警示标志。</w:t>
      </w:r>
    </w:p>
    <w:p>
      <w:pPr>
        <w:pStyle w:val="3"/>
        <w:numPr>
          <w:ilvl w:val="1"/>
          <w:numId w:val="22"/>
        </w:numPr>
        <w:spacing w:before="0" w:after="0" w:line="360" w:lineRule="auto"/>
        <w:rPr>
          <w:rFonts w:ascii="Times New Roman" w:hAnsi="Times New Roman"/>
          <w:color w:val="000000" w:themeColor="text1"/>
          <w14:textFill>
            <w14:solidFill>
              <w14:schemeClr w14:val="tx1"/>
            </w14:solidFill>
          </w14:textFill>
        </w:rPr>
      </w:pPr>
      <w:bookmarkStart w:id="753" w:name="_Toc456"/>
      <w:r>
        <w:rPr>
          <w:rFonts w:hint="eastAsia" w:ascii="Times New Roman" w:hAnsi="Times New Roman"/>
          <w:color w:val="000000" w:themeColor="text1"/>
          <w14:textFill>
            <w14:solidFill>
              <w14:schemeClr w14:val="tx1"/>
            </w14:solidFill>
          </w14:textFill>
        </w:rPr>
        <w:t>电磁环境敏感目标</w:t>
      </w:r>
      <w:bookmarkEnd w:id="753"/>
    </w:p>
    <w:p>
      <w:pPr>
        <w:pStyle w:val="5"/>
        <w:rPr>
          <w:color w:val="000000" w:themeColor="text1"/>
          <w14:textFill>
            <w14:solidFill>
              <w14:schemeClr w14:val="tx1"/>
            </w14:solidFill>
          </w14:textFill>
        </w:rPr>
        <w:sectPr>
          <w:pgSz w:w="11906" w:h="16838"/>
          <w:pgMar w:top="1440" w:right="1701" w:bottom="1440" w:left="1701" w:header="851" w:footer="992" w:gutter="0"/>
          <w:cols w:space="720" w:num="1"/>
          <w:docGrid w:type="lines" w:linePitch="326" w:charSpace="0"/>
        </w:sectPr>
      </w:pPr>
      <w:r>
        <w:rPr>
          <w:rFonts w:hint="eastAsia"/>
          <w:color w:val="000000" w:themeColor="text1"/>
          <w14:textFill>
            <w14:solidFill>
              <w14:schemeClr w14:val="tx1"/>
            </w14:solidFill>
          </w14:textFill>
        </w:rPr>
        <w:t>电磁环境敏感目标主要是变电站及输电线路附近的住宅、学校、医院、办公楼等有公众居住、工作或学习的建筑物。本工程电磁环境敏感目标概况详见</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w:instrText>
      </w:r>
      <w:r>
        <w:rPr>
          <w:rFonts w:hint="eastAsia"/>
          <w:color w:val="000000" w:themeColor="text1"/>
          <w14:textFill>
            <w14:solidFill>
              <w14:schemeClr w14:val="tx1"/>
            </w14:solidFill>
          </w14:textFill>
        </w:rPr>
        <w:instrText xml:space="preserve">REF _Ref157247684 \h</w:instrText>
      </w:r>
      <w:r>
        <w:rPr>
          <w:color w:val="000000" w:themeColor="text1"/>
          <w14:textFill>
            <w14:solidFill>
              <w14:schemeClr w14:val="tx1"/>
            </w14:solidFill>
          </w14:textFill>
        </w:rPr>
        <w:instrText xml:space="preserve">  \* MERGEFORMAT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表38</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w:t>
      </w:r>
    </w:p>
    <w:p>
      <w:pPr>
        <w:pStyle w:val="2"/>
        <w:numPr>
          <w:ilvl w:val="0"/>
          <w:numId w:val="21"/>
        </w:numPr>
        <w:spacing w:before="0" w:after="0" w:line="260" w:lineRule="auto"/>
        <w:rPr>
          <w:rFonts w:eastAsia="宋体"/>
          <w:color w:val="000000" w:themeColor="text1"/>
          <w14:textFill>
            <w14:solidFill>
              <w14:schemeClr w14:val="tx1"/>
            </w14:solidFill>
          </w14:textFill>
        </w:rPr>
      </w:pPr>
      <w:bookmarkStart w:id="754" w:name="_Toc4931"/>
      <w:bookmarkStart w:id="755" w:name="_Toc24647693"/>
      <w:bookmarkStart w:id="756" w:name="_Toc413055182"/>
      <w:r>
        <w:rPr>
          <w:rFonts w:hint="eastAsia" w:eastAsia="宋体"/>
          <w:color w:val="000000" w:themeColor="text1"/>
          <w14:textFill>
            <w14:solidFill>
              <w14:schemeClr w14:val="tx1"/>
            </w14:solidFill>
          </w14:textFill>
        </w:rPr>
        <w:t>电磁环境质量现状监测与评价</w:t>
      </w:r>
      <w:bookmarkEnd w:id="754"/>
    </w:p>
    <w:p>
      <w:pPr>
        <w:pStyle w:val="3"/>
        <w:numPr>
          <w:ilvl w:val="255"/>
          <w:numId w:val="0"/>
        </w:numPr>
        <w:spacing w:before="0" w:after="0" w:line="360" w:lineRule="auto"/>
        <w:rPr>
          <w:rFonts w:ascii="Times New Roman" w:hAnsi="Times New Roman"/>
          <w:color w:val="000000" w:themeColor="text1"/>
          <w:sz w:val="28"/>
          <w:szCs w:val="28"/>
          <w14:textFill>
            <w14:solidFill>
              <w14:schemeClr w14:val="tx1"/>
            </w14:solidFill>
          </w14:textFill>
        </w:rPr>
      </w:pPr>
      <w:bookmarkStart w:id="757" w:name="_Toc157853270"/>
      <w:bookmarkStart w:id="758" w:name="_Toc10145"/>
      <w:r>
        <w:rPr>
          <w:rFonts w:hint="eastAsia" w:ascii="Times New Roman" w:hAnsi="Times New Roman"/>
          <w:color w:val="000000" w:themeColor="text1"/>
          <w:sz w:val="28"/>
          <w:szCs w:val="28"/>
          <w14:textFill>
            <w14:solidFill>
              <w14:schemeClr w14:val="tx1"/>
            </w14:solidFill>
          </w14:textFill>
        </w:rPr>
        <w:t>2.1监测布点原则</w:t>
      </w:r>
      <w:bookmarkEnd w:id="757"/>
      <w:bookmarkEnd w:id="758"/>
    </w:p>
    <w:p>
      <w:p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w:t>
      </w:r>
      <w:r>
        <w:rPr>
          <w:color w:val="000000" w:themeColor="text1"/>
          <w:sz w:val="24"/>
          <w:szCs w:val="32"/>
          <w14:textFill>
            <w14:solidFill>
              <w14:schemeClr w14:val="tx1"/>
            </w14:solidFill>
          </w14:textFill>
        </w:rPr>
        <w:t>1</w:t>
      </w:r>
      <w:r>
        <w:rPr>
          <w:rFonts w:hint="eastAsia"/>
          <w:color w:val="000000" w:themeColor="text1"/>
          <w:sz w:val="24"/>
          <w:szCs w:val="32"/>
          <w14:textFill>
            <w14:solidFill>
              <w14:schemeClr w14:val="tx1"/>
            </w14:solidFill>
          </w14:textFill>
        </w:rPr>
        <w:t>）变电站工程：变电站新建工程对拟建变电站站址中心及站址四侧进行布点监测。</w:t>
      </w:r>
    </w:p>
    <w:p>
      <w:p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（2）线路工程：对线路沿线各电磁环境敏感目标分别布点监测。</w:t>
      </w:r>
    </w:p>
    <w:p>
      <w:pPr>
        <w:pStyle w:val="3"/>
        <w:numPr>
          <w:ilvl w:val="255"/>
          <w:numId w:val="0"/>
        </w:numPr>
        <w:spacing w:before="0" w:after="0" w:line="360" w:lineRule="auto"/>
        <w:rPr>
          <w:rFonts w:ascii="Times New Roman" w:hAnsi="Times New Roman"/>
          <w:color w:val="000000" w:themeColor="text1"/>
          <w:sz w:val="28"/>
          <w:szCs w:val="28"/>
          <w14:textFill>
            <w14:solidFill>
              <w14:schemeClr w14:val="tx1"/>
            </w14:solidFill>
          </w14:textFill>
        </w:rPr>
      </w:pPr>
      <w:bookmarkStart w:id="759" w:name="_Toc2441"/>
      <w:r>
        <w:rPr>
          <w:rFonts w:hint="eastAsia" w:ascii="Times New Roman" w:hAnsi="Times New Roman"/>
          <w:color w:val="000000" w:themeColor="text1"/>
          <w:sz w:val="28"/>
          <w:szCs w:val="28"/>
          <w14:textFill>
            <w14:solidFill>
              <w14:schemeClr w14:val="tx1"/>
            </w14:solidFill>
          </w14:textFill>
        </w:rPr>
        <w:t>2.2监测布点</w:t>
      </w:r>
      <w:bookmarkEnd w:id="759"/>
    </w:p>
    <w:p>
      <w:pPr>
        <w:numPr>
          <w:ilvl w:val="0"/>
          <w:numId w:val="23"/>
        </w:num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变电站新建工程：在变电站拟建站址中心及站址四周各布设1个测点，共布设9个测点，测点为距离地面1.5m高度处。</w:t>
      </w:r>
    </w:p>
    <w:p>
      <w:pPr>
        <w:numPr>
          <w:ilvl w:val="0"/>
          <w:numId w:val="23"/>
        </w:num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线路工程：对线路沿线各电磁环境敏感目标分别布点监测，测点位于建筑物户外1m，距离地面1.5m高度处，共布设19个测点。</w:t>
      </w:r>
    </w:p>
    <w:p>
      <w:pPr>
        <w:numPr>
          <w:ilvl w:val="0"/>
          <w:numId w:val="23"/>
        </w:num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电缆工程：</w:t>
      </w:r>
    </w:p>
    <w:p>
      <w:p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本工程电磁环境监测布点具体见</w:t>
      </w:r>
      <w:r>
        <w:rPr>
          <w:b w:val="0"/>
          <w:bCs w:val="0"/>
          <w:color w:val="000000" w:themeColor="text1"/>
          <w:sz w:val="24"/>
          <w:szCs w:val="24"/>
          <w14:textFill>
            <w14:solidFill>
              <w14:schemeClr w14:val="tx1"/>
            </w14:solidFill>
          </w14:textFill>
        </w:rPr>
        <w:fldChar w:fldCharType="begin"/>
      </w:r>
      <w:r>
        <w:rPr>
          <w:b w:val="0"/>
          <w:bCs w:val="0"/>
        </w:rPr>
        <w:instrText xml:space="preserve"> REF _Ref80622181 \h  \* MERGEFORMAT</w:instrText>
      </w:r>
      <w:r>
        <w:rPr>
          <w:b w:val="0"/>
          <w:bCs w:val="0"/>
          <w:color w:val="000000" w:themeColor="text1"/>
          <w:sz w:val="24"/>
          <w:szCs w:val="24"/>
          <w14:textFill>
            <w14:solidFill>
              <w14:schemeClr w14:val="tx1"/>
            </w14:solidFill>
          </w14:textFill>
        </w:rPr>
        <w:fldChar w:fldCharType="separate"/>
      </w:r>
      <w:r>
        <w:rPr>
          <w:b w:val="0"/>
          <w:bCs w:val="0"/>
          <w:color w:val="000000" w:themeColor="text1"/>
          <w:sz w:val="24"/>
          <w:szCs w:val="24"/>
          <w14:textFill>
            <w14:solidFill>
              <w14:schemeClr w14:val="tx1"/>
            </w14:solidFill>
          </w14:textFill>
        </w:rPr>
        <w:t>表32</w:t>
      </w:r>
      <w:r>
        <w:rPr>
          <w:b w:val="0"/>
          <w:bCs w:val="0"/>
          <w:color w:val="000000" w:themeColor="text1"/>
          <w:sz w:val="24"/>
          <w:szCs w:val="24"/>
          <w14:textFill>
            <w14:solidFill>
              <w14:schemeClr w14:val="tx1"/>
            </w14:solidFill>
          </w14:textFill>
        </w:rPr>
        <w:fldChar w:fldCharType="end"/>
      </w:r>
      <w:r>
        <w:rPr>
          <w:rFonts w:hint="eastAsia"/>
          <w:color w:val="000000" w:themeColor="text1"/>
          <w14:textFill>
            <w14:solidFill>
              <w14:schemeClr w14:val="tx1"/>
            </w14:solidFill>
          </w14:textFill>
        </w:rPr>
        <w:t>。</w:t>
      </w:r>
    </w:p>
    <w:p>
      <w:pPr>
        <w:jc w:val="left"/>
        <w:rPr>
          <w:b/>
          <w:bCs/>
          <w:color w:val="000000" w:themeColor="text1"/>
          <w:sz w:val="24"/>
          <w:szCs w:val="32"/>
          <w14:textFill>
            <w14:solidFill>
              <w14:schemeClr w14:val="tx1"/>
            </w14:solidFill>
          </w14:textFill>
        </w:rPr>
      </w:pPr>
      <w:bookmarkStart w:id="760" w:name="_Ref80622181"/>
      <w:r>
        <w:rPr>
          <w:b/>
          <w:bCs/>
          <w:color w:val="000000" w:themeColor="text1"/>
          <w:szCs w:val="21"/>
          <w14:textFill>
            <w14:solidFill>
              <w14:schemeClr w14:val="tx1"/>
            </w14:solidFill>
          </w14:textFill>
        </w:rPr>
        <w:t>表</w:t>
      </w:r>
      <w:r>
        <w:rPr>
          <w:b/>
          <w:bCs/>
          <w:color w:val="000000" w:themeColor="text1"/>
          <w:szCs w:val="21"/>
          <w14:textFill>
            <w14:solidFill>
              <w14:schemeClr w14:val="tx1"/>
            </w14:solidFill>
          </w14:textFill>
        </w:rPr>
        <w:fldChar w:fldCharType="begin"/>
      </w:r>
      <w:r>
        <w:rPr>
          <w:b/>
          <w:bCs/>
          <w:color w:val="000000" w:themeColor="text1"/>
          <w:szCs w:val="21"/>
          <w14:textFill>
            <w14:solidFill>
              <w14:schemeClr w14:val="tx1"/>
            </w14:solidFill>
          </w14:textFill>
        </w:rPr>
        <w:instrText xml:space="preserve"> SEQ 表 \* ARABIC </w:instrText>
      </w:r>
      <w:r>
        <w:rPr>
          <w:b/>
          <w:bCs/>
          <w:color w:val="000000" w:themeColor="text1"/>
          <w:szCs w:val="21"/>
          <w14:textFill>
            <w14:solidFill>
              <w14:schemeClr w14:val="tx1"/>
            </w14:solidFill>
          </w14:textFill>
        </w:rPr>
        <w:fldChar w:fldCharType="separate"/>
      </w:r>
      <w:r>
        <w:rPr>
          <w:b/>
          <w:bCs/>
          <w:color w:val="000000" w:themeColor="text1"/>
          <w:szCs w:val="21"/>
          <w14:textFill>
            <w14:solidFill>
              <w14:schemeClr w14:val="tx1"/>
            </w14:solidFill>
          </w14:textFill>
        </w:rPr>
        <w:t>32</w:t>
      </w:r>
      <w:r>
        <w:rPr>
          <w:b/>
          <w:bCs/>
          <w:color w:val="000000" w:themeColor="text1"/>
          <w:szCs w:val="21"/>
          <w14:textFill>
            <w14:solidFill>
              <w14:schemeClr w14:val="tx1"/>
            </w14:solidFill>
          </w14:textFill>
        </w:rPr>
        <w:fldChar w:fldCharType="end"/>
      </w:r>
      <w:bookmarkEnd w:id="760"/>
      <w:r>
        <w:rPr>
          <w:b/>
          <w:bCs/>
          <w:color w:val="000000" w:themeColor="text1"/>
          <w:szCs w:val="21"/>
          <w14:textFill>
            <w14:solidFill>
              <w14:schemeClr w14:val="tx1"/>
            </w14:solidFill>
          </w14:textFill>
        </w:rPr>
        <w:t>电磁环境质量现状监测布点一览表</w:t>
      </w:r>
    </w:p>
    <w:tbl>
      <w:tblPr>
        <w:tblStyle w:val="37"/>
        <w:tblW w:w="8259" w:type="dxa"/>
        <w:tblInd w:w="-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3298"/>
        <w:gridCol w:w="4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blHeader/>
        </w:trPr>
        <w:tc>
          <w:tcPr>
            <w:tcW w:w="836" w:type="dxa"/>
            <w:shd w:val="clear" w:color="auto" w:fill="auto"/>
            <w:vAlign w:val="center"/>
          </w:tcPr>
          <w:p>
            <w:pPr>
              <w:widowControl/>
              <w:jc w:val="center"/>
              <w:rPr>
                <w:b/>
                <w:bCs/>
                <w:kern w:val="0"/>
                <w:szCs w:val="21"/>
              </w:rPr>
            </w:pPr>
            <w:bookmarkStart w:id="761" w:name="_Toc23164"/>
            <w:r>
              <w:rPr>
                <w:b/>
                <w:bCs/>
                <w:kern w:val="0"/>
                <w:szCs w:val="21"/>
              </w:rPr>
              <w:t>序号</w:t>
            </w:r>
          </w:p>
        </w:tc>
        <w:tc>
          <w:tcPr>
            <w:tcW w:w="7423" w:type="dxa"/>
            <w:gridSpan w:val="2"/>
            <w:shd w:val="clear" w:color="auto" w:fill="auto"/>
            <w:vAlign w:val="center"/>
          </w:tcPr>
          <w:p>
            <w:pPr>
              <w:widowControl/>
              <w:jc w:val="center"/>
              <w:rPr>
                <w:b/>
                <w:bCs/>
                <w:kern w:val="0"/>
                <w:szCs w:val="21"/>
              </w:rPr>
            </w:pPr>
            <w:r>
              <w:rPr>
                <w:b/>
                <w:bCs/>
                <w:kern w:val="0"/>
                <w:szCs w:val="21"/>
              </w:rPr>
              <w:t>检测点位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8259" w:type="dxa"/>
            <w:gridSpan w:val="3"/>
            <w:shd w:val="clear" w:color="auto" w:fill="auto"/>
            <w:vAlign w:val="center"/>
          </w:tcPr>
          <w:p>
            <w:pPr>
              <w:widowControl/>
              <w:textAlignment w:val="center"/>
              <w:rPr>
                <w:b/>
                <w:bCs/>
                <w:szCs w:val="21"/>
              </w:rPr>
            </w:pPr>
            <w:r>
              <w:rPr>
                <w:b/>
                <w:bCs/>
                <w:szCs w:val="21"/>
              </w:rPr>
              <w:t>一、</w:t>
            </w:r>
            <w:r>
              <w:rPr>
                <w:b/>
                <w:bCs/>
                <w:color w:val="000000"/>
                <w:szCs w:val="21"/>
              </w:rPr>
              <w:t>伊拉湖220kV变电站新建工程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1</w:t>
            </w:r>
          </w:p>
        </w:tc>
        <w:tc>
          <w:tcPr>
            <w:tcW w:w="3298" w:type="dxa"/>
            <w:vMerge w:val="restart"/>
            <w:shd w:val="clear" w:color="auto" w:fill="auto"/>
            <w:vAlign w:val="center"/>
          </w:tcPr>
          <w:p>
            <w:pPr>
              <w:widowControl/>
              <w:jc w:val="center"/>
              <w:textAlignment w:val="center"/>
              <w:rPr>
                <w:color w:val="000000"/>
                <w:szCs w:val="21"/>
              </w:rPr>
            </w:pPr>
            <w:r>
              <w:rPr>
                <w:color w:val="000000"/>
                <w:szCs w:val="21"/>
              </w:rPr>
              <w:t>伊拉湖220kV变电站厂界</w:t>
            </w:r>
          </w:p>
        </w:tc>
        <w:tc>
          <w:tcPr>
            <w:tcW w:w="4125" w:type="dxa"/>
            <w:shd w:val="clear" w:color="auto" w:fill="auto"/>
            <w:vAlign w:val="center"/>
          </w:tcPr>
          <w:p>
            <w:pPr>
              <w:widowControl/>
              <w:jc w:val="center"/>
              <w:rPr>
                <w:color w:val="000000"/>
                <w:szCs w:val="21"/>
              </w:rPr>
            </w:pPr>
            <w:r>
              <w:rPr>
                <w:kern w:val="0"/>
                <w:szCs w:val="21"/>
              </w:rPr>
              <w:t>站址东侧1#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2</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FF0000"/>
                <w:szCs w:val="21"/>
              </w:rPr>
            </w:pPr>
            <w:r>
              <w:rPr>
                <w:kern w:val="0"/>
                <w:szCs w:val="21"/>
              </w:rPr>
              <w:t>站址东侧2#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3</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站址南侧3#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4</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站址南侧4#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5</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站址西侧5#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6</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站址西侧6#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7</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站址北侧7#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8</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站址北侧8#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9</w:t>
            </w:r>
          </w:p>
        </w:tc>
        <w:tc>
          <w:tcPr>
            <w:tcW w:w="3298" w:type="dxa"/>
            <w:vMerge w:val="continue"/>
            <w:shd w:val="clear" w:color="auto" w:fill="auto"/>
            <w:vAlign w:val="center"/>
          </w:tcPr>
          <w:p>
            <w:pPr>
              <w:widowControl/>
              <w:jc w:val="center"/>
              <w:textAlignment w:val="center"/>
              <w:rPr>
                <w:color w:val="000000"/>
                <w:szCs w:val="21"/>
              </w:rPr>
            </w:pPr>
          </w:p>
        </w:tc>
        <w:tc>
          <w:tcPr>
            <w:tcW w:w="4125" w:type="dxa"/>
            <w:shd w:val="clear" w:color="auto" w:fill="auto"/>
            <w:vAlign w:val="center"/>
          </w:tcPr>
          <w:p>
            <w:pPr>
              <w:widowControl/>
              <w:jc w:val="center"/>
              <w:rPr>
                <w:color w:val="000000"/>
                <w:szCs w:val="21"/>
              </w:rPr>
            </w:pPr>
            <w:r>
              <w:rPr>
                <w:kern w:val="0"/>
                <w:szCs w:val="21"/>
              </w:rPr>
              <w:t>站址中心9#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8259" w:type="dxa"/>
            <w:gridSpan w:val="3"/>
            <w:shd w:val="clear" w:color="auto" w:fill="auto"/>
            <w:vAlign w:val="center"/>
          </w:tcPr>
          <w:p>
            <w:pPr>
              <w:widowControl/>
              <w:textAlignment w:val="center"/>
              <w:rPr>
                <w:b/>
                <w:bCs/>
                <w:color w:val="000000"/>
                <w:szCs w:val="21"/>
              </w:rPr>
            </w:pPr>
            <w:r>
              <w:rPr>
                <w:b/>
                <w:bCs/>
                <w:color w:val="000000"/>
                <w:szCs w:val="21"/>
              </w:rPr>
              <w:t>二、</w:t>
            </w:r>
            <w:r>
              <w:rPr>
                <w:b/>
                <w:kern w:val="0"/>
                <w:szCs w:val="21"/>
              </w:rPr>
              <w:t>吐鲁番电厂</w:t>
            </w:r>
            <w:r>
              <w:rPr>
                <w:rFonts w:hint="eastAsia"/>
                <w:b/>
                <w:kern w:val="0"/>
                <w:szCs w:val="21"/>
              </w:rPr>
              <w:t>-</w:t>
            </w:r>
            <w:r>
              <w:rPr>
                <w:b/>
                <w:kern w:val="0"/>
                <w:szCs w:val="21"/>
              </w:rPr>
              <w:t>阿拉沟变Ⅰ、Ⅱ回π入伊拉湖变220千伏线路工程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1</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2</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3</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4</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5</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6</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7</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8</w:t>
            </w:r>
          </w:p>
        </w:tc>
        <w:tc>
          <w:tcPr>
            <w:tcW w:w="7423" w:type="dxa"/>
            <w:gridSpan w:val="2"/>
            <w:shd w:val="clear" w:color="auto" w:fill="auto"/>
            <w:vAlign w:val="center"/>
          </w:tcPr>
          <w:p>
            <w:pPr>
              <w:widowControl/>
              <w:jc w:val="center"/>
              <w:textAlignment w:val="center"/>
              <w:rPr>
                <w:color w:val="000000"/>
                <w:szCs w:val="21"/>
              </w:rPr>
            </w:pPr>
            <w:r>
              <w:rPr>
                <w:kern w:val="0"/>
                <w:szCs w:val="21"/>
              </w:rPr>
              <w:t>线路背景值</w:t>
            </w:r>
            <w:r>
              <w:rPr>
                <w:rFonts w:hint="eastAsia"/>
                <w:kern w:val="0"/>
                <w:szCs w:val="21"/>
              </w:rPr>
              <w:t>测点</w:t>
            </w:r>
            <w:r>
              <w:rPr>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9</w:t>
            </w:r>
          </w:p>
        </w:tc>
        <w:tc>
          <w:tcPr>
            <w:tcW w:w="7423" w:type="dxa"/>
            <w:gridSpan w:val="2"/>
            <w:shd w:val="clear" w:color="auto" w:fill="auto"/>
            <w:vAlign w:val="center"/>
          </w:tcPr>
          <w:p>
            <w:pPr>
              <w:widowControl/>
              <w:jc w:val="center"/>
              <w:textAlignment w:val="center"/>
              <w:rPr>
                <w:color w:val="000000"/>
                <w:szCs w:val="21"/>
              </w:rPr>
            </w:pPr>
            <w:r>
              <w:rPr>
                <w:kern w:val="0"/>
                <w:szCs w:val="21"/>
              </w:rPr>
              <w:t>电缆背景值</w:t>
            </w:r>
            <w:r>
              <w:rPr>
                <w:rFonts w:hint="eastAsia"/>
                <w:kern w:val="0"/>
                <w:szCs w:val="21"/>
              </w:rPr>
              <w:t>测点</w:t>
            </w:r>
            <w:r>
              <w:rPr>
                <w:kern w:val="0"/>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8259" w:type="dxa"/>
            <w:gridSpan w:val="3"/>
            <w:shd w:val="clear" w:color="auto" w:fill="auto"/>
            <w:vAlign w:val="center"/>
          </w:tcPr>
          <w:p>
            <w:pPr>
              <w:widowControl/>
              <w:textAlignment w:val="center"/>
              <w:rPr>
                <w:b/>
                <w:bCs/>
                <w:color w:val="000000"/>
                <w:szCs w:val="21"/>
              </w:rPr>
            </w:pPr>
            <w:r>
              <w:rPr>
                <w:b/>
                <w:bCs/>
                <w:color w:val="000000"/>
                <w:szCs w:val="21"/>
              </w:rPr>
              <w:t>三、吐鲁番电厂</w:t>
            </w:r>
            <w:r>
              <w:rPr>
                <w:rFonts w:hint="eastAsia"/>
                <w:b/>
                <w:bCs/>
                <w:color w:val="000000"/>
                <w:szCs w:val="21"/>
              </w:rPr>
              <w:t>-</w:t>
            </w:r>
            <w:r>
              <w:rPr>
                <w:b/>
                <w:bCs/>
                <w:color w:val="000000"/>
                <w:szCs w:val="21"/>
              </w:rPr>
              <w:t>阿拉沟变Ⅰ、Ⅱ回改接入托克逊变220千伏线路工程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1</w:t>
            </w:r>
          </w:p>
        </w:tc>
        <w:tc>
          <w:tcPr>
            <w:tcW w:w="3298" w:type="dxa"/>
            <w:shd w:val="clear" w:color="auto" w:fill="auto"/>
            <w:vAlign w:val="center"/>
          </w:tcPr>
          <w:p>
            <w:pPr>
              <w:widowControl/>
              <w:jc w:val="center"/>
              <w:textAlignment w:val="center"/>
              <w:rPr>
                <w:color w:val="000000"/>
                <w:szCs w:val="21"/>
              </w:rPr>
            </w:pPr>
            <w:r>
              <w:rPr>
                <w:kern w:val="0"/>
                <w:szCs w:val="21"/>
              </w:rPr>
              <w:t>新疆维吾尔自治区吐鲁番市托克逊县郭勒布依乡河东村六组</w:t>
            </w:r>
          </w:p>
        </w:tc>
        <w:tc>
          <w:tcPr>
            <w:tcW w:w="4125" w:type="dxa"/>
            <w:shd w:val="clear" w:color="auto" w:fill="auto"/>
            <w:vAlign w:val="center"/>
          </w:tcPr>
          <w:p>
            <w:pPr>
              <w:widowControl/>
              <w:jc w:val="center"/>
              <w:textAlignment w:val="center"/>
              <w:rPr>
                <w:kern w:val="0"/>
                <w:szCs w:val="21"/>
              </w:rPr>
            </w:pPr>
            <w:r>
              <w:rPr>
                <w:kern w:val="0"/>
                <w:szCs w:val="21"/>
              </w:rPr>
              <w:t>阿某肯宅北侧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2</w:t>
            </w:r>
          </w:p>
        </w:tc>
        <w:tc>
          <w:tcPr>
            <w:tcW w:w="3298" w:type="dxa"/>
            <w:shd w:val="clear" w:color="auto" w:fill="auto"/>
            <w:vAlign w:val="center"/>
          </w:tcPr>
          <w:p>
            <w:pPr>
              <w:widowControl/>
              <w:jc w:val="center"/>
              <w:textAlignment w:val="center"/>
              <w:rPr>
                <w:kern w:val="0"/>
                <w:szCs w:val="21"/>
              </w:rPr>
            </w:pPr>
            <w:r>
              <w:rPr>
                <w:kern w:val="0"/>
                <w:szCs w:val="21"/>
              </w:rPr>
              <w:t>新疆维吾尔自治区吐鲁番市托克逊县郭勒布依乡巴格万村二组</w:t>
            </w:r>
          </w:p>
        </w:tc>
        <w:tc>
          <w:tcPr>
            <w:tcW w:w="4125" w:type="dxa"/>
            <w:shd w:val="clear" w:color="auto" w:fill="auto"/>
            <w:vAlign w:val="center"/>
          </w:tcPr>
          <w:p>
            <w:pPr>
              <w:widowControl/>
              <w:jc w:val="center"/>
              <w:textAlignment w:val="center"/>
              <w:rPr>
                <w:kern w:val="0"/>
                <w:szCs w:val="21"/>
              </w:rPr>
            </w:pPr>
            <w:r>
              <w:rPr>
                <w:kern w:val="0"/>
                <w:szCs w:val="21"/>
              </w:rPr>
              <w:t>238户北侧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3</w:t>
            </w:r>
          </w:p>
        </w:tc>
        <w:tc>
          <w:tcPr>
            <w:tcW w:w="3298" w:type="dxa"/>
            <w:vMerge w:val="restart"/>
            <w:shd w:val="clear" w:color="auto" w:fill="auto"/>
            <w:vAlign w:val="center"/>
          </w:tcPr>
          <w:p>
            <w:pPr>
              <w:widowControl/>
              <w:jc w:val="center"/>
              <w:textAlignment w:val="center"/>
              <w:rPr>
                <w:kern w:val="0"/>
                <w:szCs w:val="21"/>
              </w:rPr>
            </w:pPr>
            <w:r>
              <w:rPr>
                <w:kern w:val="0"/>
                <w:szCs w:val="21"/>
              </w:rPr>
              <w:t>新疆维吾尔自治区吐鲁番市托克逊县夏镇</w:t>
            </w:r>
          </w:p>
        </w:tc>
        <w:tc>
          <w:tcPr>
            <w:tcW w:w="4125" w:type="dxa"/>
            <w:shd w:val="clear" w:color="auto" w:fill="auto"/>
            <w:vAlign w:val="center"/>
          </w:tcPr>
          <w:p>
            <w:pPr>
              <w:widowControl/>
              <w:jc w:val="center"/>
              <w:textAlignment w:val="center"/>
              <w:rPr>
                <w:kern w:val="0"/>
                <w:szCs w:val="21"/>
              </w:rPr>
            </w:pPr>
            <w:r>
              <w:rPr>
                <w:kern w:val="0"/>
                <w:szCs w:val="21"/>
              </w:rPr>
              <w:t>闲置厂房西侧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4</w:t>
            </w:r>
          </w:p>
        </w:tc>
        <w:tc>
          <w:tcPr>
            <w:tcW w:w="3298" w:type="dxa"/>
            <w:vMerge w:val="continue"/>
            <w:shd w:val="clear" w:color="auto" w:fill="auto"/>
            <w:vAlign w:val="center"/>
          </w:tcPr>
          <w:p>
            <w:pPr>
              <w:widowControl/>
              <w:jc w:val="center"/>
              <w:textAlignment w:val="center"/>
              <w:rPr>
                <w:kern w:val="0"/>
                <w:szCs w:val="21"/>
              </w:rPr>
            </w:pPr>
          </w:p>
        </w:tc>
        <w:tc>
          <w:tcPr>
            <w:tcW w:w="4125" w:type="dxa"/>
            <w:shd w:val="clear" w:color="auto" w:fill="auto"/>
            <w:vAlign w:val="center"/>
          </w:tcPr>
          <w:p>
            <w:pPr>
              <w:widowControl/>
              <w:jc w:val="center"/>
              <w:textAlignment w:val="center"/>
              <w:rPr>
                <w:kern w:val="0"/>
                <w:szCs w:val="21"/>
              </w:rPr>
            </w:pPr>
            <w:r>
              <w:rPr>
                <w:kern w:val="0"/>
                <w:szCs w:val="21"/>
              </w:rPr>
              <w:t>海柱资源有限公司宿舍南侧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5</w:t>
            </w:r>
          </w:p>
        </w:tc>
        <w:tc>
          <w:tcPr>
            <w:tcW w:w="3298" w:type="dxa"/>
            <w:vMerge w:val="continue"/>
            <w:shd w:val="clear" w:color="auto" w:fill="auto"/>
            <w:vAlign w:val="center"/>
          </w:tcPr>
          <w:p>
            <w:pPr>
              <w:widowControl/>
              <w:jc w:val="center"/>
              <w:textAlignment w:val="center"/>
              <w:rPr>
                <w:kern w:val="0"/>
                <w:szCs w:val="21"/>
              </w:rPr>
            </w:pPr>
          </w:p>
        </w:tc>
        <w:tc>
          <w:tcPr>
            <w:tcW w:w="4125" w:type="dxa"/>
            <w:shd w:val="clear" w:color="auto" w:fill="auto"/>
            <w:vAlign w:val="center"/>
          </w:tcPr>
          <w:p>
            <w:pPr>
              <w:widowControl/>
              <w:jc w:val="center"/>
              <w:textAlignment w:val="center"/>
              <w:rPr>
                <w:kern w:val="0"/>
                <w:szCs w:val="21"/>
              </w:rPr>
            </w:pPr>
            <w:r>
              <w:rPr>
                <w:kern w:val="0"/>
                <w:szCs w:val="21"/>
              </w:rPr>
              <w:t>恒氿庄园生活区东侧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6</w:t>
            </w:r>
          </w:p>
        </w:tc>
        <w:tc>
          <w:tcPr>
            <w:tcW w:w="7423" w:type="dxa"/>
            <w:gridSpan w:val="2"/>
            <w:shd w:val="clear" w:color="auto" w:fill="auto"/>
            <w:vAlign w:val="center"/>
          </w:tcPr>
          <w:p>
            <w:pPr>
              <w:widowControl/>
              <w:jc w:val="center"/>
              <w:rPr>
                <w:kern w:val="0"/>
                <w:szCs w:val="21"/>
              </w:rPr>
            </w:pPr>
            <w:r>
              <w:rPr>
                <w:kern w:val="0"/>
                <w:szCs w:val="21"/>
              </w:rPr>
              <w:t>线路背景值</w:t>
            </w:r>
            <w:r>
              <w:rPr>
                <w:rFonts w:hint="eastAsia"/>
                <w:kern w:val="0"/>
                <w:szCs w:val="21"/>
              </w:rPr>
              <w:t>测点</w:t>
            </w:r>
            <w:r>
              <w:rPr>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shd w:val="clear" w:color="auto" w:fill="auto"/>
            <w:vAlign w:val="center"/>
          </w:tcPr>
          <w:p>
            <w:pPr>
              <w:pStyle w:val="107"/>
              <w:widowControl/>
              <w:ind w:firstLine="0" w:firstLineChars="0"/>
              <w:jc w:val="center"/>
              <w:rPr>
                <w:b/>
                <w:bCs/>
                <w:kern w:val="0"/>
                <w:szCs w:val="21"/>
              </w:rPr>
            </w:pPr>
            <w:r>
              <w:rPr>
                <w:rFonts w:hint="eastAsia"/>
                <w:b/>
                <w:bCs/>
                <w:kern w:val="0"/>
                <w:szCs w:val="21"/>
              </w:rPr>
              <w:t>7</w:t>
            </w:r>
          </w:p>
        </w:tc>
        <w:tc>
          <w:tcPr>
            <w:tcW w:w="7423" w:type="dxa"/>
            <w:gridSpan w:val="2"/>
            <w:shd w:val="clear" w:color="auto" w:fill="auto"/>
            <w:vAlign w:val="center"/>
          </w:tcPr>
          <w:p>
            <w:pPr>
              <w:widowControl/>
              <w:jc w:val="center"/>
              <w:rPr>
                <w:kern w:val="0"/>
                <w:szCs w:val="21"/>
              </w:rPr>
            </w:pPr>
            <w:r>
              <w:rPr>
                <w:kern w:val="0"/>
                <w:szCs w:val="21"/>
              </w:rPr>
              <w:t>线路背景值</w:t>
            </w:r>
            <w:r>
              <w:rPr>
                <w:rFonts w:hint="eastAsia"/>
                <w:kern w:val="0"/>
                <w:szCs w:val="21"/>
              </w:rPr>
              <w:t>测点</w:t>
            </w:r>
            <w:r>
              <w:rPr>
                <w:kern w:val="0"/>
                <w:szCs w:val="21"/>
              </w:rPr>
              <w:t>2#</w:t>
            </w:r>
          </w:p>
        </w:tc>
      </w:tr>
    </w:tbl>
    <w:p>
      <w:pPr>
        <w:pStyle w:val="3"/>
        <w:numPr>
          <w:ilvl w:val="255"/>
          <w:numId w:val="0"/>
        </w:numPr>
        <w:spacing w:before="0" w:after="0" w:line="360" w:lineRule="auto"/>
        <w:rPr>
          <w:rFonts w:ascii="Times New Roman" w:hAnsi="Times New Roman"/>
          <w:color w:val="000000" w:themeColor="text1"/>
          <w:sz w:val="28"/>
          <w:szCs w:val="28"/>
          <w14:textFill>
            <w14:solidFill>
              <w14:schemeClr w14:val="tx1"/>
            </w14:solidFill>
          </w14:textFill>
        </w:rPr>
      </w:pPr>
      <w:r>
        <w:rPr>
          <w:rFonts w:hint="eastAsia" w:ascii="Times New Roman" w:hAnsi="Times New Roman"/>
          <w:color w:val="000000" w:themeColor="text1"/>
          <w:sz w:val="28"/>
          <w:szCs w:val="28"/>
          <w14:textFill>
            <w14:solidFill>
              <w14:schemeClr w14:val="tx1"/>
            </w14:solidFill>
          </w14:textFill>
        </w:rPr>
        <w:t>2.3监测项目</w:t>
      </w:r>
      <w:bookmarkEnd w:id="761"/>
    </w:p>
    <w:p>
      <w:p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工频电场、工频磁场</w:t>
      </w:r>
    </w:p>
    <w:p>
      <w:pPr>
        <w:pStyle w:val="3"/>
        <w:numPr>
          <w:ilvl w:val="255"/>
          <w:numId w:val="0"/>
        </w:numPr>
        <w:spacing w:before="0" w:after="0" w:line="360" w:lineRule="auto"/>
        <w:rPr>
          <w:rFonts w:ascii="Times New Roman" w:hAnsi="Times New Roman"/>
          <w:color w:val="000000" w:themeColor="text1"/>
          <w:sz w:val="28"/>
          <w:szCs w:val="28"/>
          <w14:textFill>
            <w14:solidFill>
              <w14:schemeClr w14:val="tx1"/>
            </w14:solidFill>
          </w14:textFill>
        </w:rPr>
      </w:pPr>
      <w:bookmarkStart w:id="762" w:name="_Toc18573"/>
      <w:r>
        <w:rPr>
          <w:rFonts w:hint="eastAsia" w:ascii="Times New Roman" w:hAnsi="Times New Roman"/>
          <w:color w:val="000000" w:themeColor="text1"/>
          <w:sz w:val="28"/>
          <w:szCs w:val="28"/>
          <w14:textFill>
            <w14:solidFill>
              <w14:schemeClr w14:val="tx1"/>
            </w14:solidFill>
          </w14:textFill>
        </w:rPr>
        <w:t>2.4监测时间、监测频次、监测单位</w:t>
      </w:r>
      <w:bookmarkEnd w:id="762"/>
    </w:p>
    <w:p>
      <w:p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监测时间：2025年12月2日~12月3日</w:t>
      </w:r>
    </w:p>
    <w:p>
      <w:p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监测频次：昼间监测一次</w:t>
      </w:r>
    </w:p>
    <w:p>
      <w:p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监测单位：武汉中电工程检测有限公司</w:t>
      </w:r>
    </w:p>
    <w:p>
      <w:pPr>
        <w:spacing w:line="360" w:lineRule="auto"/>
        <w:outlineLvl w:val="1"/>
        <w:rPr>
          <w:color w:val="000000" w:themeColor="text1"/>
          <w:sz w:val="24"/>
          <w:szCs w:val="32"/>
          <w14:textFill>
            <w14:solidFill>
              <w14:schemeClr w14:val="tx1"/>
            </w14:solidFill>
          </w14:textFill>
        </w:rPr>
      </w:pPr>
      <w:bookmarkStart w:id="763" w:name="_Toc19659"/>
      <w:r>
        <w:rPr>
          <w:rFonts w:hint="eastAsia"/>
          <w:b/>
          <w:bCs/>
          <w:color w:val="000000" w:themeColor="text1"/>
          <w:sz w:val="28"/>
          <w:szCs w:val="28"/>
          <w14:textFill>
            <w14:solidFill>
              <w14:schemeClr w14:val="tx1"/>
            </w14:solidFill>
          </w14:textFill>
        </w:rPr>
        <w:t>2.5监测环境</w:t>
      </w:r>
      <w:bookmarkEnd w:id="763"/>
    </w:p>
    <w:p>
      <w:pPr>
        <w:spacing w:line="360" w:lineRule="auto"/>
        <w:ind w:firstLine="480" w:firstLineChars="200"/>
        <w:rPr>
          <w:color w:val="000000" w:themeColor="text1"/>
          <w:sz w:val="24"/>
          <w:szCs w:val="32"/>
          <w14:textFill>
            <w14:solidFill>
              <w14:schemeClr w14:val="tx1"/>
            </w14:solidFill>
          </w14:textFill>
        </w:rPr>
      </w:pPr>
      <w:r>
        <w:rPr>
          <w:rFonts w:hint="eastAsia"/>
          <w:color w:val="000000"/>
          <w:sz w:val="24"/>
          <w:szCs w:val="20"/>
        </w:rPr>
        <w:t>监测时环境条件见</w:t>
      </w:r>
      <w:r>
        <w:rPr>
          <w:b w:val="0"/>
          <w:bCs w:val="0"/>
          <w:color w:val="000000"/>
          <w:sz w:val="24"/>
          <w:szCs w:val="24"/>
        </w:rPr>
        <w:fldChar w:fldCharType="begin"/>
      </w:r>
      <w:r>
        <w:rPr>
          <w:b w:val="0"/>
          <w:bCs w:val="0"/>
        </w:rPr>
        <w:instrText xml:space="preserve"> REF _Ref15959 \h  \* MERGEFORMAT</w:instrText>
      </w:r>
      <w:r>
        <w:rPr>
          <w:b w:val="0"/>
          <w:bCs w:val="0"/>
          <w:color w:val="000000"/>
          <w:sz w:val="24"/>
          <w:szCs w:val="24"/>
        </w:rPr>
        <w:fldChar w:fldCharType="separate"/>
      </w:r>
      <w:r>
        <w:rPr>
          <w:b w:val="0"/>
          <w:bCs w:val="0"/>
          <w:color w:val="000000" w:themeColor="text1"/>
          <w:sz w:val="24"/>
          <w:szCs w:val="24"/>
          <w14:textFill>
            <w14:solidFill>
              <w14:schemeClr w14:val="tx1"/>
            </w14:solidFill>
          </w14:textFill>
        </w:rPr>
        <w:t>表33</w:t>
      </w:r>
      <w:r>
        <w:rPr>
          <w:b w:val="0"/>
          <w:bCs w:val="0"/>
          <w:color w:val="000000"/>
          <w:sz w:val="24"/>
          <w:szCs w:val="24"/>
        </w:rPr>
        <w:fldChar w:fldCharType="end"/>
      </w:r>
      <w:r>
        <w:rPr>
          <w:rFonts w:hint="eastAsia"/>
          <w:color w:val="000000"/>
          <w:sz w:val="24"/>
          <w:szCs w:val="20"/>
        </w:rPr>
        <w:t>。</w:t>
      </w:r>
    </w:p>
    <w:p>
      <w:pPr>
        <w:jc w:val="left"/>
        <w:rPr>
          <w:rFonts w:eastAsia="黑体"/>
          <w:b/>
          <w:bCs/>
        </w:rPr>
      </w:pPr>
      <w:bookmarkStart w:id="764" w:name="_Ref15959"/>
      <w:r>
        <w:rPr>
          <w:b/>
          <w:bCs/>
          <w:color w:val="000000" w:themeColor="text1"/>
          <w:szCs w:val="21"/>
          <w14:textFill>
            <w14:solidFill>
              <w14:schemeClr w14:val="tx1"/>
            </w14:solidFill>
          </w14:textFill>
        </w:rPr>
        <w:t>表</w:t>
      </w:r>
      <w:r>
        <w:rPr>
          <w:b/>
          <w:bCs/>
          <w:color w:val="000000" w:themeColor="text1"/>
          <w:szCs w:val="21"/>
          <w14:textFill>
            <w14:solidFill>
              <w14:schemeClr w14:val="tx1"/>
            </w14:solidFill>
          </w14:textFill>
        </w:rPr>
        <w:fldChar w:fldCharType="begin"/>
      </w:r>
      <w:r>
        <w:rPr>
          <w:b/>
          <w:bCs/>
          <w:color w:val="000000" w:themeColor="text1"/>
          <w:szCs w:val="21"/>
          <w14:textFill>
            <w14:solidFill>
              <w14:schemeClr w14:val="tx1"/>
            </w14:solidFill>
          </w14:textFill>
        </w:rPr>
        <w:instrText xml:space="preserve"> SEQ 表 \* ARABIC </w:instrText>
      </w:r>
      <w:r>
        <w:rPr>
          <w:b/>
          <w:bCs/>
          <w:color w:val="000000" w:themeColor="text1"/>
          <w:szCs w:val="21"/>
          <w14:textFill>
            <w14:solidFill>
              <w14:schemeClr w14:val="tx1"/>
            </w14:solidFill>
          </w14:textFill>
        </w:rPr>
        <w:fldChar w:fldCharType="separate"/>
      </w:r>
      <w:r>
        <w:rPr>
          <w:b/>
          <w:bCs/>
          <w:color w:val="000000" w:themeColor="text1"/>
          <w:szCs w:val="21"/>
          <w14:textFill>
            <w14:solidFill>
              <w14:schemeClr w14:val="tx1"/>
            </w14:solidFill>
          </w14:textFill>
        </w:rPr>
        <w:t>33</w:t>
      </w:r>
      <w:r>
        <w:rPr>
          <w:b/>
          <w:bCs/>
          <w:color w:val="000000" w:themeColor="text1"/>
          <w:szCs w:val="21"/>
          <w14:textFill>
            <w14:solidFill>
              <w14:schemeClr w14:val="tx1"/>
            </w14:solidFill>
          </w14:textFill>
        </w:rPr>
        <w:fldChar w:fldCharType="end"/>
      </w:r>
      <w:bookmarkEnd w:id="764"/>
      <w:r>
        <w:rPr>
          <w:b/>
          <w:bCs/>
        </w:rPr>
        <w:t>电磁环境监测时环境条件一览表</w:t>
      </w:r>
    </w:p>
    <w:tbl>
      <w:tblPr>
        <w:tblStyle w:val="3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
        <w:gridCol w:w="2215"/>
        <w:gridCol w:w="1080"/>
        <w:gridCol w:w="528"/>
        <w:gridCol w:w="1073"/>
        <w:gridCol w:w="672"/>
        <w:gridCol w:w="675"/>
        <w:gridCol w:w="672"/>
        <w:gridCol w:w="670"/>
        <w:gridCol w:w="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71" w:type="pct"/>
            <w:vMerge w:val="restart"/>
            <w:vAlign w:val="center"/>
          </w:tcPr>
          <w:p>
            <w:pPr>
              <w:widowControl/>
              <w:jc w:val="center"/>
              <w:rPr>
                <w:b/>
                <w:kern w:val="0"/>
                <w:szCs w:val="21"/>
              </w:rPr>
            </w:pPr>
            <w:bookmarkStart w:id="765" w:name="_Toc16688"/>
            <w:r>
              <w:rPr>
                <w:b/>
                <w:kern w:val="0"/>
                <w:szCs w:val="21"/>
              </w:rPr>
              <w:t>序号</w:t>
            </w:r>
          </w:p>
        </w:tc>
        <w:tc>
          <w:tcPr>
            <w:tcW w:w="1272" w:type="pct"/>
            <w:vMerge w:val="restart"/>
            <w:vAlign w:val="center"/>
          </w:tcPr>
          <w:p>
            <w:pPr>
              <w:widowControl/>
              <w:jc w:val="center"/>
              <w:rPr>
                <w:b/>
                <w:bCs/>
                <w:kern w:val="0"/>
                <w:szCs w:val="21"/>
              </w:rPr>
            </w:pPr>
            <w:r>
              <w:rPr>
                <w:b/>
                <w:bCs/>
                <w:kern w:val="0"/>
                <w:szCs w:val="21"/>
              </w:rPr>
              <w:t>检测点位</w:t>
            </w:r>
          </w:p>
        </w:tc>
        <w:tc>
          <w:tcPr>
            <w:tcW w:w="620" w:type="pct"/>
            <w:vMerge w:val="restart"/>
            <w:vAlign w:val="center"/>
          </w:tcPr>
          <w:p>
            <w:pPr>
              <w:widowControl/>
              <w:jc w:val="center"/>
              <w:rPr>
                <w:b/>
                <w:bCs/>
                <w:kern w:val="0"/>
                <w:szCs w:val="21"/>
              </w:rPr>
            </w:pPr>
            <w:r>
              <w:rPr>
                <w:b/>
                <w:kern w:val="0"/>
                <w:szCs w:val="21"/>
              </w:rPr>
              <w:t>检测时间</w:t>
            </w:r>
          </w:p>
        </w:tc>
        <w:tc>
          <w:tcPr>
            <w:tcW w:w="303" w:type="pct"/>
            <w:vMerge w:val="restart"/>
            <w:vAlign w:val="center"/>
          </w:tcPr>
          <w:p>
            <w:pPr>
              <w:jc w:val="center"/>
              <w:rPr>
                <w:b/>
                <w:bCs/>
                <w:kern w:val="0"/>
                <w:szCs w:val="21"/>
              </w:rPr>
            </w:pPr>
            <w:r>
              <w:rPr>
                <w:b/>
                <w:bCs/>
                <w:kern w:val="0"/>
                <w:szCs w:val="21"/>
              </w:rPr>
              <w:t>天气</w:t>
            </w:r>
          </w:p>
        </w:tc>
        <w:tc>
          <w:tcPr>
            <w:tcW w:w="2533" w:type="pct"/>
            <w:gridSpan w:val="6"/>
            <w:vAlign w:val="center"/>
          </w:tcPr>
          <w:p>
            <w:pPr>
              <w:widowControl/>
              <w:jc w:val="center"/>
              <w:rPr>
                <w:b/>
                <w:bCs/>
                <w:kern w:val="0"/>
                <w:szCs w:val="21"/>
              </w:rPr>
            </w:pPr>
            <w:r>
              <w:rPr>
                <w:b/>
                <w:bCs/>
                <w:kern w:val="0"/>
                <w:szCs w:val="21"/>
              </w:rPr>
              <w:t>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71" w:type="pct"/>
            <w:vMerge w:val="continue"/>
            <w:vAlign w:val="center"/>
          </w:tcPr>
          <w:p>
            <w:pPr>
              <w:widowControl/>
              <w:jc w:val="center"/>
              <w:rPr>
                <w:b/>
                <w:kern w:val="0"/>
                <w:szCs w:val="21"/>
              </w:rPr>
            </w:pPr>
          </w:p>
        </w:tc>
        <w:tc>
          <w:tcPr>
            <w:tcW w:w="1272" w:type="pct"/>
            <w:vMerge w:val="continue"/>
            <w:vAlign w:val="center"/>
          </w:tcPr>
          <w:p>
            <w:pPr>
              <w:widowControl/>
              <w:jc w:val="center"/>
              <w:rPr>
                <w:b/>
                <w:bCs/>
                <w:kern w:val="0"/>
                <w:szCs w:val="21"/>
              </w:rPr>
            </w:pPr>
          </w:p>
        </w:tc>
        <w:tc>
          <w:tcPr>
            <w:tcW w:w="620" w:type="pct"/>
            <w:vMerge w:val="continue"/>
            <w:vAlign w:val="center"/>
          </w:tcPr>
          <w:p>
            <w:pPr>
              <w:widowControl/>
              <w:jc w:val="center"/>
              <w:rPr>
                <w:b/>
                <w:kern w:val="0"/>
                <w:szCs w:val="21"/>
              </w:rPr>
            </w:pPr>
          </w:p>
        </w:tc>
        <w:tc>
          <w:tcPr>
            <w:tcW w:w="303" w:type="pct"/>
            <w:vMerge w:val="continue"/>
            <w:vAlign w:val="center"/>
          </w:tcPr>
          <w:p>
            <w:pPr>
              <w:widowControl/>
              <w:jc w:val="center"/>
              <w:rPr>
                <w:b/>
                <w:bCs/>
                <w:kern w:val="0"/>
                <w:szCs w:val="21"/>
              </w:rPr>
            </w:pPr>
          </w:p>
        </w:tc>
        <w:tc>
          <w:tcPr>
            <w:tcW w:w="616" w:type="pct"/>
            <w:vMerge w:val="restart"/>
            <w:vAlign w:val="center"/>
          </w:tcPr>
          <w:p>
            <w:pPr>
              <w:jc w:val="center"/>
              <w:rPr>
                <w:b/>
                <w:bCs/>
                <w:kern w:val="0"/>
                <w:szCs w:val="21"/>
              </w:rPr>
            </w:pPr>
            <w:r>
              <w:rPr>
                <w:b/>
                <w:bCs/>
                <w:kern w:val="0"/>
                <w:szCs w:val="21"/>
              </w:rPr>
              <w:t>湿度</w:t>
            </w:r>
            <w:r>
              <w:rPr>
                <w:b/>
                <w:bCs/>
                <w:spacing w:val="-20"/>
                <w:kern w:val="0"/>
                <w:szCs w:val="21"/>
              </w:rPr>
              <w:t>（RH%）</w:t>
            </w:r>
          </w:p>
        </w:tc>
        <w:tc>
          <w:tcPr>
            <w:tcW w:w="773" w:type="pct"/>
            <w:gridSpan w:val="2"/>
            <w:tcBorders>
              <w:right w:val="single" w:color="auto" w:sz="2" w:space="0"/>
            </w:tcBorders>
            <w:vAlign w:val="center"/>
          </w:tcPr>
          <w:p>
            <w:pPr>
              <w:widowControl/>
              <w:jc w:val="center"/>
              <w:rPr>
                <w:b/>
                <w:bCs/>
                <w:kern w:val="0"/>
                <w:szCs w:val="21"/>
              </w:rPr>
            </w:pPr>
            <w:r>
              <w:rPr>
                <w:b/>
                <w:bCs/>
                <w:kern w:val="0"/>
                <w:szCs w:val="21"/>
              </w:rPr>
              <w:t>温度（℃）</w:t>
            </w:r>
          </w:p>
        </w:tc>
        <w:tc>
          <w:tcPr>
            <w:tcW w:w="386" w:type="pct"/>
            <w:vMerge w:val="restart"/>
            <w:tcBorders>
              <w:left w:val="single" w:color="auto" w:sz="2" w:space="0"/>
            </w:tcBorders>
            <w:vAlign w:val="center"/>
          </w:tcPr>
          <w:p>
            <w:pPr>
              <w:widowControl/>
              <w:jc w:val="center"/>
              <w:rPr>
                <w:b/>
                <w:bCs/>
                <w:kern w:val="0"/>
                <w:szCs w:val="21"/>
              </w:rPr>
            </w:pPr>
            <w:r>
              <w:rPr>
                <w:b/>
                <w:bCs/>
                <w:kern w:val="0"/>
                <w:szCs w:val="21"/>
              </w:rPr>
              <w:t>风向</w:t>
            </w:r>
          </w:p>
        </w:tc>
        <w:tc>
          <w:tcPr>
            <w:tcW w:w="755" w:type="pct"/>
            <w:gridSpan w:val="2"/>
            <w:tcBorders>
              <w:left w:val="single" w:color="auto" w:sz="2" w:space="0"/>
            </w:tcBorders>
            <w:vAlign w:val="center"/>
          </w:tcPr>
          <w:p>
            <w:pPr>
              <w:widowControl/>
              <w:rPr>
                <w:b/>
                <w:bCs/>
                <w:kern w:val="0"/>
                <w:szCs w:val="21"/>
              </w:rPr>
            </w:pPr>
            <w:r>
              <w:rPr>
                <w:b/>
                <w:bCs/>
                <w:kern w:val="0"/>
                <w:szCs w:val="21"/>
              </w:rPr>
              <w:t>风速（</w:t>
            </w:r>
            <w:r>
              <w:rPr>
                <w:b/>
                <w:szCs w:val="21"/>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71" w:type="pct"/>
            <w:vMerge w:val="continue"/>
            <w:vAlign w:val="center"/>
          </w:tcPr>
          <w:p>
            <w:pPr>
              <w:widowControl/>
              <w:jc w:val="center"/>
              <w:rPr>
                <w:b/>
                <w:kern w:val="0"/>
                <w:szCs w:val="21"/>
              </w:rPr>
            </w:pPr>
          </w:p>
        </w:tc>
        <w:tc>
          <w:tcPr>
            <w:tcW w:w="1272" w:type="pct"/>
            <w:vMerge w:val="continue"/>
            <w:vAlign w:val="center"/>
          </w:tcPr>
          <w:p>
            <w:pPr>
              <w:widowControl/>
              <w:jc w:val="center"/>
              <w:rPr>
                <w:b/>
                <w:bCs/>
                <w:kern w:val="0"/>
                <w:szCs w:val="21"/>
              </w:rPr>
            </w:pPr>
          </w:p>
        </w:tc>
        <w:tc>
          <w:tcPr>
            <w:tcW w:w="620" w:type="pct"/>
            <w:vMerge w:val="continue"/>
            <w:vAlign w:val="center"/>
          </w:tcPr>
          <w:p>
            <w:pPr>
              <w:widowControl/>
              <w:jc w:val="center"/>
              <w:rPr>
                <w:b/>
                <w:kern w:val="0"/>
                <w:szCs w:val="21"/>
              </w:rPr>
            </w:pPr>
          </w:p>
        </w:tc>
        <w:tc>
          <w:tcPr>
            <w:tcW w:w="303" w:type="pct"/>
            <w:vMerge w:val="continue"/>
            <w:vAlign w:val="center"/>
          </w:tcPr>
          <w:p>
            <w:pPr>
              <w:widowControl/>
              <w:jc w:val="center"/>
              <w:rPr>
                <w:b/>
                <w:bCs/>
                <w:kern w:val="0"/>
                <w:szCs w:val="21"/>
              </w:rPr>
            </w:pPr>
          </w:p>
        </w:tc>
        <w:tc>
          <w:tcPr>
            <w:tcW w:w="616" w:type="pct"/>
            <w:vMerge w:val="continue"/>
            <w:vAlign w:val="center"/>
          </w:tcPr>
          <w:p>
            <w:pPr>
              <w:widowControl/>
              <w:jc w:val="center"/>
              <w:rPr>
                <w:b/>
                <w:bCs/>
                <w:kern w:val="0"/>
                <w:szCs w:val="21"/>
              </w:rPr>
            </w:pPr>
          </w:p>
        </w:tc>
        <w:tc>
          <w:tcPr>
            <w:tcW w:w="386" w:type="pct"/>
            <w:tcBorders>
              <w:right w:val="single" w:color="auto" w:sz="2" w:space="0"/>
            </w:tcBorders>
            <w:vAlign w:val="center"/>
          </w:tcPr>
          <w:p>
            <w:pPr>
              <w:widowControl/>
              <w:jc w:val="center"/>
              <w:rPr>
                <w:b/>
                <w:bCs/>
                <w:kern w:val="0"/>
                <w:szCs w:val="21"/>
              </w:rPr>
            </w:pPr>
            <w:r>
              <w:rPr>
                <w:b/>
                <w:bCs/>
                <w:kern w:val="0"/>
                <w:szCs w:val="21"/>
              </w:rPr>
              <w:t>昼间</w:t>
            </w:r>
          </w:p>
        </w:tc>
        <w:tc>
          <w:tcPr>
            <w:tcW w:w="386" w:type="pct"/>
            <w:tcBorders>
              <w:right w:val="single" w:color="auto" w:sz="2" w:space="0"/>
            </w:tcBorders>
            <w:vAlign w:val="center"/>
          </w:tcPr>
          <w:p>
            <w:pPr>
              <w:widowControl/>
              <w:jc w:val="center"/>
              <w:rPr>
                <w:b/>
                <w:bCs/>
                <w:kern w:val="0"/>
                <w:szCs w:val="21"/>
              </w:rPr>
            </w:pPr>
            <w:r>
              <w:rPr>
                <w:b/>
                <w:bCs/>
                <w:kern w:val="0"/>
                <w:szCs w:val="21"/>
              </w:rPr>
              <w:t>夜间</w:t>
            </w:r>
          </w:p>
        </w:tc>
        <w:tc>
          <w:tcPr>
            <w:tcW w:w="386" w:type="pct"/>
            <w:vMerge w:val="continue"/>
            <w:tcBorders>
              <w:left w:val="single" w:color="auto" w:sz="2" w:space="0"/>
            </w:tcBorders>
            <w:vAlign w:val="center"/>
          </w:tcPr>
          <w:p>
            <w:pPr>
              <w:widowControl/>
              <w:jc w:val="center"/>
              <w:rPr>
                <w:b/>
                <w:bCs/>
                <w:kern w:val="0"/>
                <w:szCs w:val="21"/>
              </w:rPr>
            </w:pPr>
          </w:p>
        </w:tc>
        <w:tc>
          <w:tcPr>
            <w:tcW w:w="385" w:type="pct"/>
            <w:tcBorders>
              <w:left w:val="single" w:color="auto" w:sz="2" w:space="0"/>
            </w:tcBorders>
            <w:vAlign w:val="center"/>
          </w:tcPr>
          <w:p>
            <w:pPr>
              <w:widowControl/>
              <w:jc w:val="center"/>
              <w:rPr>
                <w:b/>
                <w:bCs/>
                <w:kern w:val="0"/>
                <w:szCs w:val="21"/>
              </w:rPr>
            </w:pPr>
            <w:r>
              <w:rPr>
                <w:b/>
                <w:bCs/>
                <w:kern w:val="0"/>
                <w:szCs w:val="21"/>
              </w:rPr>
              <w:t>昼间</w:t>
            </w:r>
          </w:p>
        </w:tc>
        <w:tc>
          <w:tcPr>
            <w:tcW w:w="369" w:type="pct"/>
            <w:tcBorders>
              <w:left w:val="single" w:color="auto" w:sz="2" w:space="0"/>
            </w:tcBorders>
            <w:vAlign w:val="center"/>
          </w:tcPr>
          <w:p>
            <w:pPr>
              <w:widowControl/>
              <w:jc w:val="center"/>
              <w:rPr>
                <w:b/>
                <w:bCs/>
                <w:kern w:val="0"/>
                <w:szCs w:val="21"/>
              </w:rPr>
            </w:pPr>
            <w:r>
              <w:rPr>
                <w:b/>
                <w:bCs/>
                <w:kern w:val="0"/>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10"/>
            <w:vAlign w:val="center"/>
          </w:tcPr>
          <w:p>
            <w:pPr>
              <w:widowControl/>
              <w:rPr>
                <w:kern w:val="0"/>
                <w:szCs w:val="21"/>
                <w:highlight w:val="yellow"/>
              </w:rPr>
            </w:pPr>
            <w:r>
              <w:rPr>
                <w:b/>
                <w:kern w:val="0"/>
                <w:szCs w:val="21"/>
              </w:rPr>
              <w:t>一</w:t>
            </w:r>
            <w:r>
              <w:rPr>
                <w:rFonts w:hint="eastAsia"/>
                <w:b/>
                <w:kern w:val="0"/>
                <w:szCs w:val="21"/>
              </w:rPr>
              <w:t>、</w:t>
            </w:r>
            <w:r>
              <w:rPr>
                <w:b/>
                <w:kern w:val="0"/>
                <w:szCs w:val="21"/>
              </w:rPr>
              <w:t>伊拉湖220千伏变电站新建工程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1</w:t>
            </w:r>
          </w:p>
        </w:tc>
        <w:tc>
          <w:tcPr>
            <w:tcW w:w="1272" w:type="pct"/>
            <w:vMerge w:val="restart"/>
            <w:vAlign w:val="center"/>
          </w:tcPr>
          <w:p>
            <w:pPr>
              <w:widowControl/>
              <w:jc w:val="center"/>
              <w:rPr>
                <w:kern w:val="0"/>
                <w:szCs w:val="21"/>
              </w:rPr>
            </w:pPr>
            <w:r>
              <w:rPr>
                <w:kern w:val="0"/>
                <w:szCs w:val="21"/>
              </w:rPr>
              <w:t>伊拉湖220kV变电站站址东侧1#</w:t>
            </w:r>
          </w:p>
        </w:tc>
        <w:tc>
          <w:tcPr>
            <w:tcW w:w="620" w:type="pct"/>
            <w:vAlign w:val="center"/>
          </w:tcPr>
          <w:p>
            <w:pPr>
              <w:widowControl/>
              <w:jc w:val="center"/>
              <w:rPr>
                <w:kern w:val="0"/>
                <w:szCs w:val="21"/>
              </w:rPr>
            </w:pPr>
            <w:r>
              <w:rPr>
                <w:kern w:val="0"/>
                <w:szCs w:val="21"/>
              </w:rPr>
              <w:t>2025.12.2</w:t>
            </w:r>
          </w:p>
        </w:tc>
        <w:tc>
          <w:tcPr>
            <w:tcW w:w="303" w:type="pct"/>
            <w:vMerge w:val="restart"/>
            <w:vAlign w:val="center"/>
          </w:tcPr>
          <w:p>
            <w:pPr>
              <w:rPr>
                <w:szCs w:val="21"/>
              </w:rPr>
            </w:pPr>
            <w:r>
              <w:rPr>
                <w:kern w:val="0"/>
                <w:szCs w:val="21"/>
              </w:rPr>
              <w:t>晴</w:t>
            </w:r>
          </w:p>
          <w:p>
            <w:pPr>
              <w:widowControl/>
              <w:jc w:val="center"/>
              <w:rPr>
                <w:kern w:val="0"/>
                <w:szCs w:val="21"/>
              </w:rPr>
            </w:pPr>
          </w:p>
        </w:tc>
        <w:tc>
          <w:tcPr>
            <w:tcW w:w="616" w:type="pct"/>
            <w:vAlign w:val="center"/>
          </w:tcPr>
          <w:p>
            <w:pPr>
              <w:widowControl/>
              <w:jc w:val="center"/>
              <w:rPr>
                <w:kern w:val="0"/>
                <w:szCs w:val="21"/>
              </w:rPr>
            </w:pPr>
            <w:r>
              <w:rPr>
                <w:kern w:val="0"/>
                <w:szCs w:val="21"/>
              </w:rPr>
              <w:t>20.3</w:t>
            </w:r>
          </w:p>
        </w:tc>
        <w:tc>
          <w:tcPr>
            <w:tcW w:w="386" w:type="pct"/>
            <w:tcBorders>
              <w:right w:val="single" w:color="auto" w:sz="2" w:space="0"/>
            </w:tcBorders>
            <w:vAlign w:val="center"/>
          </w:tcPr>
          <w:p>
            <w:pPr>
              <w:widowControl/>
              <w:jc w:val="center"/>
              <w:rPr>
                <w:kern w:val="0"/>
                <w:szCs w:val="21"/>
              </w:rPr>
            </w:pPr>
            <w:r>
              <w:rPr>
                <w:kern w:val="0"/>
                <w:szCs w:val="21"/>
              </w:rPr>
              <w:t>3.2</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0"/>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Merge w:val="continue"/>
            <w:vAlign w:val="center"/>
          </w:tcPr>
          <w:p>
            <w:pPr>
              <w:widowControl/>
              <w:jc w:val="center"/>
              <w:rPr>
                <w:kern w:val="0"/>
                <w:szCs w:val="21"/>
              </w:rPr>
            </w:pP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-5.6</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2</w:t>
            </w:r>
          </w:p>
        </w:tc>
        <w:tc>
          <w:tcPr>
            <w:tcW w:w="1272" w:type="pct"/>
            <w:vMerge w:val="restart"/>
            <w:vAlign w:val="center"/>
          </w:tcPr>
          <w:p>
            <w:pPr>
              <w:widowControl/>
              <w:jc w:val="center"/>
              <w:rPr>
                <w:kern w:val="0"/>
                <w:szCs w:val="21"/>
              </w:rPr>
            </w:pPr>
            <w:r>
              <w:rPr>
                <w:kern w:val="0"/>
                <w:szCs w:val="21"/>
              </w:rPr>
              <w:t>伊拉湖220kV变电站站址东侧2#</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20.2</w:t>
            </w:r>
          </w:p>
        </w:tc>
        <w:tc>
          <w:tcPr>
            <w:tcW w:w="386" w:type="pct"/>
            <w:tcBorders>
              <w:right w:val="single" w:color="auto" w:sz="2" w:space="0"/>
            </w:tcBorders>
            <w:vAlign w:val="center"/>
          </w:tcPr>
          <w:p>
            <w:pPr>
              <w:widowControl/>
              <w:jc w:val="center"/>
              <w:rPr>
                <w:kern w:val="0"/>
                <w:szCs w:val="21"/>
              </w:rPr>
            </w:pPr>
            <w:r>
              <w:rPr>
                <w:kern w:val="0"/>
                <w:szCs w:val="21"/>
              </w:rPr>
              <w:t>3.2</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271" w:type="pct"/>
            <w:vMerge w:val="continue"/>
            <w:vAlign w:val="center"/>
          </w:tcPr>
          <w:p>
            <w:pPr>
              <w:pStyle w:val="107"/>
              <w:widowControl/>
              <w:numPr>
                <w:ilvl w:val="0"/>
                <w:numId w:val="10"/>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-5.6</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3</w:t>
            </w:r>
          </w:p>
        </w:tc>
        <w:tc>
          <w:tcPr>
            <w:tcW w:w="1272" w:type="pct"/>
            <w:vMerge w:val="restart"/>
            <w:vAlign w:val="center"/>
          </w:tcPr>
          <w:p>
            <w:pPr>
              <w:widowControl/>
              <w:jc w:val="center"/>
              <w:rPr>
                <w:kern w:val="0"/>
                <w:szCs w:val="21"/>
              </w:rPr>
            </w:pPr>
            <w:r>
              <w:rPr>
                <w:kern w:val="0"/>
                <w:szCs w:val="21"/>
              </w:rPr>
              <w:t>伊拉湖220kV变电站站址南侧3#</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20.4</w:t>
            </w:r>
          </w:p>
        </w:tc>
        <w:tc>
          <w:tcPr>
            <w:tcW w:w="386" w:type="pct"/>
            <w:tcBorders>
              <w:right w:val="single" w:color="auto" w:sz="2" w:space="0"/>
            </w:tcBorders>
            <w:vAlign w:val="center"/>
          </w:tcPr>
          <w:p>
            <w:pPr>
              <w:widowControl/>
              <w:jc w:val="center"/>
              <w:rPr>
                <w:kern w:val="0"/>
                <w:szCs w:val="21"/>
              </w:rPr>
            </w:pPr>
            <w:r>
              <w:rPr>
                <w:kern w:val="0"/>
                <w:szCs w:val="21"/>
              </w:rPr>
              <w:t>3.3</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0"/>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-5.7</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4</w:t>
            </w:r>
          </w:p>
        </w:tc>
        <w:tc>
          <w:tcPr>
            <w:tcW w:w="1272" w:type="pct"/>
            <w:vMerge w:val="restart"/>
            <w:vAlign w:val="center"/>
          </w:tcPr>
          <w:p>
            <w:pPr>
              <w:widowControl/>
              <w:jc w:val="center"/>
              <w:rPr>
                <w:kern w:val="0"/>
                <w:szCs w:val="21"/>
              </w:rPr>
            </w:pPr>
            <w:r>
              <w:rPr>
                <w:kern w:val="0"/>
                <w:szCs w:val="21"/>
              </w:rPr>
              <w:t>伊拉湖220kV变电站站址南侧4#</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20.3</w:t>
            </w:r>
          </w:p>
        </w:tc>
        <w:tc>
          <w:tcPr>
            <w:tcW w:w="386" w:type="pct"/>
            <w:tcBorders>
              <w:right w:val="single" w:color="auto" w:sz="2" w:space="0"/>
            </w:tcBorders>
            <w:vAlign w:val="center"/>
          </w:tcPr>
          <w:p>
            <w:pPr>
              <w:widowControl/>
              <w:jc w:val="center"/>
              <w:rPr>
                <w:kern w:val="0"/>
                <w:szCs w:val="21"/>
              </w:rPr>
            </w:pPr>
            <w:r>
              <w:rPr>
                <w:kern w:val="0"/>
                <w:szCs w:val="21"/>
              </w:rPr>
              <w:t>3.4</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0"/>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-5.6</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5</w:t>
            </w:r>
          </w:p>
        </w:tc>
        <w:tc>
          <w:tcPr>
            <w:tcW w:w="1272" w:type="pct"/>
            <w:vMerge w:val="restart"/>
            <w:vAlign w:val="center"/>
          </w:tcPr>
          <w:p>
            <w:pPr>
              <w:widowControl/>
              <w:jc w:val="center"/>
              <w:rPr>
                <w:kern w:val="0"/>
                <w:szCs w:val="21"/>
              </w:rPr>
            </w:pPr>
            <w:r>
              <w:rPr>
                <w:kern w:val="0"/>
                <w:szCs w:val="21"/>
              </w:rPr>
              <w:t>伊拉湖220kV变电站站址西侧5#</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20.3</w:t>
            </w:r>
          </w:p>
        </w:tc>
        <w:tc>
          <w:tcPr>
            <w:tcW w:w="386" w:type="pct"/>
            <w:tcBorders>
              <w:right w:val="single" w:color="auto" w:sz="2" w:space="0"/>
            </w:tcBorders>
            <w:vAlign w:val="center"/>
          </w:tcPr>
          <w:p>
            <w:pPr>
              <w:widowControl/>
              <w:jc w:val="center"/>
              <w:rPr>
                <w:kern w:val="0"/>
                <w:szCs w:val="21"/>
              </w:rPr>
            </w:pPr>
            <w:r>
              <w:rPr>
                <w:kern w:val="0"/>
                <w:szCs w:val="21"/>
              </w:rPr>
              <w:t>3.6</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0"/>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-5.7</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6</w:t>
            </w:r>
          </w:p>
        </w:tc>
        <w:tc>
          <w:tcPr>
            <w:tcW w:w="1272" w:type="pct"/>
            <w:vMerge w:val="restart"/>
            <w:vAlign w:val="center"/>
          </w:tcPr>
          <w:p>
            <w:pPr>
              <w:widowControl/>
              <w:jc w:val="center"/>
              <w:rPr>
                <w:kern w:val="0"/>
                <w:szCs w:val="21"/>
              </w:rPr>
            </w:pPr>
            <w:r>
              <w:rPr>
                <w:kern w:val="0"/>
                <w:szCs w:val="21"/>
              </w:rPr>
              <w:t>伊拉湖220kV变电站站址西侧6#</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20.1</w:t>
            </w:r>
          </w:p>
        </w:tc>
        <w:tc>
          <w:tcPr>
            <w:tcW w:w="386" w:type="pct"/>
            <w:tcBorders>
              <w:right w:val="single" w:color="auto" w:sz="2" w:space="0"/>
            </w:tcBorders>
            <w:vAlign w:val="center"/>
          </w:tcPr>
          <w:p>
            <w:pPr>
              <w:widowControl/>
              <w:jc w:val="center"/>
              <w:rPr>
                <w:kern w:val="0"/>
                <w:szCs w:val="21"/>
              </w:rPr>
            </w:pPr>
            <w:r>
              <w:rPr>
                <w:kern w:val="0"/>
                <w:szCs w:val="21"/>
              </w:rPr>
              <w:t>3.6</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0"/>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-5.7</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7</w:t>
            </w:r>
          </w:p>
        </w:tc>
        <w:tc>
          <w:tcPr>
            <w:tcW w:w="1272" w:type="pct"/>
            <w:vMerge w:val="restart"/>
            <w:vAlign w:val="center"/>
          </w:tcPr>
          <w:p>
            <w:pPr>
              <w:widowControl/>
              <w:jc w:val="center"/>
              <w:rPr>
                <w:kern w:val="0"/>
                <w:szCs w:val="21"/>
              </w:rPr>
            </w:pPr>
            <w:r>
              <w:rPr>
                <w:kern w:val="0"/>
                <w:szCs w:val="21"/>
              </w:rPr>
              <w:t>伊拉湖220kV变电站站址北侧7#</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20.1</w:t>
            </w:r>
          </w:p>
        </w:tc>
        <w:tc>
          <w:tcPr>
            <w:tcW w:w="386" w:type="pct"/>
            <w:tcBorders>
              <w:right w:val="single" w:color="auto" w:sz="2" w:space="0"/>
            </w:tcBorders>
            <w:vAlign w:val="center"/>
          </w:tcPr>
          <w:p>
            <w:pPr>
              <w:widowControl/>
              <w:jc w:val="center"/>
              <w:rPr>
                <w:kern w:val="0"/>
                <w:szCs w:val="21"/>
              </w:rPr>
            </w:pPr>
            <w:r>
              <w:rPr>
                <w:kern w:val="0"/>
                <w:szCs w:val="21"/>
              </w:rPr>
              <w:t>3.6</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0"/>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-5.8</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8</w:t>
            </w:r>
          </w:p>
        </w:tc>
        <w:tc>
          <w:tcPr>
            <w:tcW w:w="1272" w:type="pct"/>
            <w:vMerge w:val="restart"/>
            <w:vAlign w:val="center"/>
          </w:tcPr>
          <w:p>
            <w:pPr>
              <w:widowControl/>
              <w:jc w:val="center"/>
              <w:rPr>
                <w:kern w:val="0"/>
                <w:szCs w:val="21"/>
              </w:rPr>
            </w:pPr>
            <w:r>
              <w:rPr>
                <w:kern w:val="0"/>
                <w:szCs w:val="21"/>
              </w:rPr>
              <w:t>伊拉湖220kV变电站站址北侧8#</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20.2</w:t>
            </w:r>
          </w:p>
        </w:tc>
        <w:tc>
          <w:tcPr>
            <w:tcW w:w="386" w:type="pct"/>
            <w:tcBorders>
              <w:right w:val="single" w:color="auto" w:sz="2" w:space="0"/>
            </w:tcBorders>
            <w:vAlign w:val="center"/>
          </w:tcPr>
          <w:p>
            <w:pPr>
              <w:widowControl/>
              <w:jc w:val="center"/>
              <w:rPr>
                <w:kern w:val="0"/>
                <w:szCs w:val="21"/>
              </w:rPr>
            </w:pPr>
            <w:r>
              <w:rPr>
                <w:kern w:val="0"/>
                <w:szCs w:val="21"/>
              </w:rPr>
              <w:t>3.7</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0.7</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0"/>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-5.9</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9</w:t>
            </w:r>
          </w:p>
        </w:tc>
        <w:tc>
          <w:tcPr>
            <w:tcW w:w="1272" w:type="pct"/>
            <w:vMerge w:val="restart"/>
            <w:vAlign w:val="center"/>
          </w:tcPr>
          <w:p>
            <w:pPr>
              <w:widowControl/>
              <w:jc w:val="center"/>
              <w:rPr>
                <w:kern w:val="0"/>
                <w:szCs w:val="21"/>
              </w:rPr>
            </w:pPr>
            <w:r>
              <w:rPr>
                <w:kern w:val="0"/>
                <w:szCs w:val="21"/>
              </w:rPr>
              <w:t>伊拉湖220kV变电站站址中心9#</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19.9</w:t>
            </w:r>
          </w:p>
        </w:tc>
        <w:tc>
          <w:tcPr>
            <w:tcW w:w="386" w:type="pct"/>
            <w:tcBorders>
              <w:right w:val="single" w:color="auto" w:sz="2" w:space="0"/>
            </w:tcBorders>
            <w:vAlign w:val="center"/>
          </w:tcPr>
          <w:p>
            <w:pPr>
              <w:widowControl/>
              <w:jc w:val="center"/>
              <w:rPr>
                <w:kern w:val="0"/>
                <w:szCs w:val="21"/>
              </w:rPr>
            </w:pPr>
            <w:r>
              <w:rPr>
                <w:kern w:val="0"/>
                <w:szCs w:val="21"/>
              </w:rPr>
              <w:t>3.9</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0"/>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-5.9</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10"/>
            <w:vAlign w:val="center"/>
          </w:tcPr>
          <w:p>
            <w:pPr>
              <w:widowControl/>
              <w:rPr>
                <w:kern w:val="0"/>
                <w:szCs w:val="21"/>
              </w:rPr>
            </w:pPr>
            <w:r>
              <w:rPr>
                <w:b/>
                <w:kern w:val="0"/>
                <w:szCs w:val="21"/>
              </w:rPr>
              <w:t>二</w:t>
            </w:r>
            <w:r>
              <w:rPr>
                <w:rFonts w:hint="eastAsia"/>
                <w:b/>
                <w:kern w:val="0"/>
                <w:szCs w:val="21"/>
              </w:rPr>
              <w:t>、</w:t>
            </w:r>
            <w:r>
              <w:rPr>
                <w:b/>
                <w:kern w:val="0"/>
                <w:szCs w:val="21"/>
              </w:rPr>
              <w:t>吐鲁番电厂～阿拉沟变Ⅰ、Ⅱ回π入伊拉湖变220千伏线路工程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1</w:t>
            </w:r>
          </w:p>
        </w:tc>
        <w:tc>
          <w:tcPr>
            <w:tcW w:w="1272" w:type="pct"/>
            <w:vMerge w:val="restart"/>
            <w:vAlign w:val="center"/>
          </w:tcPr>
          <w:p>
            <w:pPr>
              <w:widowControl/>
              <w:jc w:val="center"/>
              <w:rPr>
                <w:kern w:val="0"/>
                <w:szCs w:val="21"/>
              </w:rPr>
            </w:pPr>
            <w:r>
              <w:rPr>
                <w:kern w:val="0"/>
                <w:szCs w:val="21"/>
              </w:rPr>
              <w:t>线路背景值测点1#</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19.7</w:t>
            </w:r>
          </w:p>
        </w:tc>
        <w:tc>
          <w:tcPr>
            <w:tcW w:w="386" w:type="pct"/>
            <w:tcBorders>
              <w:right w:val="single" w:color="auto" w:sz="2" w:space="0"/>
            </w:tcBorders>
            <w:vAlign w:val="center"/>
          </w:tcPr>
          <w:p>
            <w:pPr>
              <w:widowControl/>
              <w:jc w:val="center"/>
              <w:rPr>
                <w:kern w:val="0"/>
                <w:szCs w:val="21"/>
              </w:rPr>
            </w:pPr>
            <w:r>
              <w:rPr>
                <w:kern w:val="0"/>
                <w:szCs w:val="21"/>
              </w:rPr>
              <w:t>4.1</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1"/>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-6.2</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2</w:t>
            </w:r>
          </w:p>
        </w:tc>
        <w:tc>
          <w:tcPr>
            <w:tcW w:w="1272" w:type="pct"/>
            <w:vMerge w:val="restart"/>
            <w:vAlign w:val="center"/>
          </w:tcPr>
          <w:p>
            <w:pPr>
              <w:widowControl/>
              <w:jc w:val="center"/>
              <w:rPr>
                <w:kern w:val="0"/>
                <w:szCs w:val="21"/>
              </w:rPr>
            </w:pPr>
            <w:r>
              <w:rPr>
                <w:kern w:val="0"/>
                <w:szCs w:val="21"/>
              </w:rPr>
              <w:t>线路背景值测点2#</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19.8</w:t>
            </w:r>
          </w:p>
        </w:tc>
        <w:tc>
          <w:tcPr>
            <w:tcW w:w="386" w:type="pct"/>
            <w:tcBorders>
              <w:right w:val="single" w:color="auto" w:sz="2" w:space="0"/>
            </w:tcBorders>
            <w:vAlign w:val="center"/>
          </w:tcPr>
          <w:p>
            <w:pPr>
              <w:widowControl/>
              <w:jc w:val="center"/>
              <w:rPr>
                <w:kern w:val="0"/>
                <w:szCs w:val="21"/>
              </w:rPr>
            </w:pPr>
            <w:r>
              <w:rPr>
                <w:kern w:val="0"/>
                <w:szCs w:val="21"/>
              </w:rPr>
              <w:t>4.3</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1"/>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-6.4</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3</w:t>
            </w:r>
          </w:p>
        </w:tc>
        <w:tc>
          <w:tcPr>
            <w:tcW w:w="1272" w:type="pct"/>
            <w:vMerge w:val="restart"/>
            <w:vAlign w:val="center"/>
          </w:tcPr>
          <w:p>
            <w:pPr>
              <w:widowControl/>
              <w:jc w:val="center"/>
              <w:rPr>
                <w:kern w:val="0"/>
                <w:szCs w:val="21"/>
              </w:rPr>
            </w:pPr>
            <w:r>
              <w:rPr>
                <w:kern w:val="0"/>
                <w:szCs w:val="21"/>
              </w:rPr>
              <w:t>线路背景值测点3#</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19.8</w:t>
            </w:r>
          </w:p>
        </w:tc>
        <w:tc>
          <w:tcPr>
            <w:tcW w:w="386" w:type="pct"/>
            <w:tcBorders>
              <w:right w:val="single" w:color="auto" w:sz="2" w:space="0"/>
            </w:tcBorders>
            <w:vAlign w:val="center"/>
          </w:tcPr>
          <w:p>
            <w:pPr>
              <w:widowControl/>
              <w:jc w:val="center"/>
              <w:rPr>
                <w:kern w:val="0"/>
                <w:szCs w:val="21"/>
              </w:rPr>
            </w:pPr>
            <w:r>
              <w:rPr>
                <w:kern w:val="0"/>
                <w:szCs w:val="21"/>
              </w:rPr>
              <w:t>4.3</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1"/>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-6.4</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4</w:t>
            </w:r>
          </w:p>
        </w:tc>
        <w:tc>
          <w:tcPr>
            <w:tcW w:w="1272" w:type="pct"/>
            <w:vMerge w:val="restart"/>
            <w:vAlign w:val="center"/>
          </w:tcPr>
          <w:p>
            <w:pPr>
              <w:widowControl/>
              <w:jc w:val="center"/>
              <w:rPr>
                <w:kern w:val="0"/>
                <w:szCs w:val="21"/>
              </w:rPr>
            </w:pPr>
            <w:r>
              <w:rPr>
                <w:kern w:val="0"/>
                <w:szCs w:val="21"/>
              </w:rPr>
              <w:t>线路背景值测点4#</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19.6</w:t>
            </w:r>
          </w:p>
        </w:tc>
        <w:tc>
          <w:tcPr>
            <w:tcW w:w="386" w:type="pct"/>
            <w:tcBorders>
              <w:right w:val="single" w:color="auto" w:sz="2" w:space="0"/>
            </w:tcBorders>
            <w:vAlign w:val="center"/>
          </w:tcPr>
          <w:p>
            <w:pPr>
              <w:widowControl/>
              <w:jc w:val="center"/>
              <w:rPr>
                <w:kern w:val="0"/>
                <w:szCs w:val="21"/>
              </w:rPr>
            </w:pPr>
            <w:r>
              <w:rPr>
                <w:kern w:val="0"/>
                <w:szCs w:val="21"/>
              </w:rPr>
              <w:t>4.5</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1"/>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-6.5</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5</w:t>
            </w:r>
          </w:p>
        </w:tc>
        <w:tc>
          <w:tcPr>
            <w:tcW w:w="1272" w:type="pct"/>
            <w:vMerge w:val="restart"/>
            <w:vAlign w:val="center"/>
          </w:tcPr>
          <w:p>
            <w:pPr>
              <w:widowControl/>
              <w:jc w:val="center"/>
              <w:rPr>
                <w:kern w:val="0"/>
                <w:szCs w:val="21"/>
              </w:rPr>
            </w:pPr>
            <w:r>
              <w:rPr>
                <w:kern w:val="0"/>
                <w:szCs w:val="21"/>
              </w:rPr>
              <w:t>线路背景值测点5#</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19.5</w:t>
            </w:r>
          </w:p>
        </w:tc>
        <w:tc>
          <w:tcPr>
            <w:tcW w:w="386" w:type="pct"/>
            <w:tcBorders>
              <w:right w:val="single" w:color="auto" w:sz="2" w:space="0"/>
            </w:tcBorders>
            <w:vAlign w:val="center"/>
          </w:tcPr>
          <w:p>
            <w:pPr>
              <w:widowControl/>
              <w:jc w:val="center"/>
              <w:rPr>
                <w:kern w:val="0"/>
                <w:szCs w:val="21"/>
              </w:rPr>
            </w:pPr>
            <w:r>
              <w:rPr>
                <w:kern w:val="0"/>
                <w:szCs w:val="21"/>
              </w:rPr>
              <w:t>4.6</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1"/>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-6.7</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6</w:t>
            </w:r>
          </w:p>
        </w:tc>
        <w:tc>
          <w:tcPr>
            <w:tcW w:w="1272" w:type="pct"/>
            <w:vMerge w:val="restart"/>
            <w:vAlign w:val="center"/>
          </w:tcPr>
          <w:p>
            <w:pPr>
              <w:widowControl/>
              <w:jc w:val="center"/>
              <w:rPr>
                <w:kern w:val="0"/>
                <w:szCs w:val="21"/>
              </w:rPr>
            </w:pPr>
            <w:r>
              <w:rPr>
                <w:kern w:val="0"/>
                <w:szCs w:val="21"/>
              </w:rPr>
              <w:t>线路背景值测点6#</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19.6</w:t>
            </w:r>
          </w:p>
        </w:tc>
        <w:tc>
          <w:tcPr>
            <w:tcW w:w="386" w:type="pct"/>
            <w:tcBorders>
              <w:right w:val="single" w:color="auto" w:sz="2" w:space="0"/>
            </w:tcBorders>
            <w:vAlign w:val="center"/>
          </w:tcPr>
          <w:p>
            <w:pPr>
              <w:widowControl/>
              <w:jc w:val="center"/>
              <w:rPr>
                <w:kern w:val="0"/>
                <w:szCs w:val="21"/>
              </w:rPr>
            </w:pPr>
            <w:r>
              <w:rPr>
                <w:kern w:val="0"/>
                <w:szCs w:val="21"/>
              </w:rPr>
              <w:t>4.8</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1"/>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-6.6</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7</w:t>
            </w:r>
          </w:p>
        </w:tc>
        <w:tc>
          <w:tcPr>
            <w:tcW w:w="1272" w:type="pct"/>
            <w:vMerge w:val="restart"/>
            <w:vAlign w:val="center"/>
          </w:tcPr>
          <w:p>
            <w:pPr>
              <w:widowControl/>
              <w:jc w:val="center"/>
              <w:rPr>
                <w:kern w:val="0"/>
                <w:szCs w:val="21"/>
              </w:rPr>
            </w:pPr>
            <w:r>
              <w:rPr>
                <w:kern w:val="0"/>
                <w:szCs w:val="21"/>
              </w:rPr>
              <w:t>线路背景值测点7#</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19.5</w:t>
            </w:r>
          </w:p>
        </w:tc>
        <w:tc>
          <w:tcPr>
            <w:tcW w:w="386" w:type="pct"/>
            <w:tcBorders>
              <w:right w:val="single" w:color="auto" w:sz="2" w:space="0"/>
            </w:tcBorders>
            <w:vAlign w:val="center"/>
          </w:tcPr>
          <w:p>
            <w:pPr>
              <w:widowControl/>
              <w:jc w:val="center"/>
              <w:rPr>
                <w:kern w:val="0"/>
                <w:szCs w:val="21"/>
              </w:rPr>
            </w:pPr>
            <w:r>
              <w:rPr>
                <w:kern w:val="0"/>
                <w:szCs w:val="21"/>
              </w:rPr>
              <w:t>4.9</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1"/>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-6.7</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8</w:t>
            </w:r>
          </w:p>
        </w:tc>
        <w:tc>
          <w:tcPr>
            <w:tcW w:w="1272" w:type="pct"/>
            <w:vMerge w:val="restart"/>
            <w:vAlign w:val="center"/>
          </w:tcPr>
          <w:p>
            <w:pPr>
              <w:widowControl/>
              <w:jc w:val="center"/>
              <w:rPr>
                <w:kern w:val="0"/>
                <w:szCs w:val="21"/>
              </w:rPr>
            </w:pPr>
            <w:r>
              <w:rPr>
                <w:kern w:val="0"/>
                <w:szCs w:val="21"/>
              </w:rPr>
              <w:t>线路背景值测点8#</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19.4</w:t>
            </w:r>
          </w:p>
        </w:tc>
        <w:tc>
          <w:tcPr>
            <w:tcW w:w="386" w:type="pct"/>
            <w:tcBorders>
              <w:right w:val="single" w:color="auto" w:sz="2" w:space="0"/>
            </w:tcBorders>
            <w:vAlign w:val="center"/>
          </w:tcPr>
          <w:p>
            <w:pPr>
              <w:widowControl/>
              <w:jc w:val="center"/>
              <w:rPr>
                <w:kern w:val="0"/>
                <w:szCs w:val="21"/>
              </w:rPr>
            </w:pPr>
            <w:r>
              <w:rPr>
                <w:kern w:val="0"/>
                <w:szCs w:val="21"/>
              </w:rPr>
              <w:t>4.8</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1"/>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-6.9</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9</w:t>
            </w:r>
          </w:p>
        </w:tc>
        <w:tc>
          <w:tcPr>
            <w:tcW w:w="1272" w:type="pct"/>
            <w:vMerge w:val="restart"/>
            <w:vAlign w:val="center"/>
          </w:tcPr>
          <w:p>
            <w:pPr>
              <w:widowControl/>
              <w:jc w:val="center"/>
              <w:rPr>
                <w:kern w:val="0"/>
                <w:szCs w:val="21"/>
              </w:rPr>
            </w:pPr>
            <w:r>
              <w:rPr>
                <w:kern w:val="0"/>
                <w:szCs w:val="21"/>
              </w:rPr>
              <w:t>电缆段背景值测点9#</w:t>
            </w:r>
          </w:p>
        </w:tc>
        <w:tc>
          <w:tcPr>
            <w:tcW w:w="620" w:type="pct"/>
            <w:vAlign w:val="center"/>
          </w:tcPr>
          <w:p>
            <w:pPr>
              <w:widowControl/>
              <w:jc w:val="center"/>
              <w:rPr>
                <w:kern w:val="0"/>
                <w:szCs w:val="21"/>
              </w:rPr>
            </w:pPr>
            <w:r>
              <w:rPr>
                <w:kern w:val="0"/>
                <w:szCs w:val="21"/>
              </w:rPr>
              <w:t>2025.12.2</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19.4</w:t>
            </w:r>
          </w:p>
        </w:tc>
        <w:tc>
          <w:tcPr>
            <w:tcW w:w="386" w:type="pct"/>
            <w:tcBorders>
              <w:right w:val="single" w:color="auto" w:sz="2" w:space="0"/>
            </w:tcBorders>
            <w:vAlign w:val="center"/>
          </w:tcPr>
          <w:p>
            <w:pPr>
              <w:widowControl/>
              <w:jc w:val="center"/>
              <w:rPr>
                <w:kern w:val="0"/>
                <w:szCs w:val="21"/>
              </w:rPr>
            </w:pPr>
            <w:r>
              <w:rPr>
                <w:kern w:val="0"/>
                <w:szCs w:val="21"/>
              </w:rPr>
              <w:t>4.9</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1"/>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-6.9</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10"/>
            <w:vAlign w:val="center"/>
          </w:tcPr>
          <w:p>
            <w:pPr>
              <w:widowControl/>
              <w:rPr>
                <w:kern w:val="0"/>
                <w:szCs w:val="21"/>
                <w:highlight w:val="yellow"/>
              </w:rPr>
            </w:pPr>
            <w:r>
              <w:rPr>
                <w:b/>
                <w:kern w:val="0"/>
                <w:szCs w:val="21"/>
              </w:rPr>
              <w:t>三</w:t>
            </w:r>
            <w:r>
              <w:rPr>
                <w:rFonts w:hint="eastAsia"/>
                <w:b/>
                <w:kern w:val="0"/>
                <w:szCs w:val="21"/>
              </w:rPr>
              <w:t>、</w:t>
            </w:r>
            <w:r>
              <w:rPr>
                <w:b/>
                <w:kern w:val="0"/>
                <w:szCs w:val="21"/>
              </w:rPr>
              <w:t>吐鲁番电厂～阿拉沟变Ⅰ、Ⅱ回改接入托克逊变220千伏线路工程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1</w:t>
            </w:r>
          </w:p>
        </w:tc>
        <w:tc>
          <w:tcPr>
            <w:tcW w:w="1272" w:type="pct"/>
            <w:vMerge w:val="restart"/>
            <w:vAlign w:val="center"/>
          </w:tcPr>
          <w:p>
            <w:pPr>
              <w:widowControl/>
              <w:jc w:val="center"/>
              <w:rPr>
                <w:kern w:val="0"/>
                <w:szCs w:val="21"/>
              </w:rPr>
            </w:pPr>
            <w:r>
              <w:rPr>
                <w:kern w:val="0"/>
                <w:szCs w:val="21"/>
              </w:rPr>
              <w:t>新疆维吾尔自治区吐鲁番市托克逊县郭勒布依乡河东村六组阿布来克木宅东侧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24.7</w:t>
            </w:r>
          </w:p>
        </w:tc>
        <w:tc>
          <w:tcPr>
            <w:tcW w:w="386" w:type="pct"/>
            <w:tcBorders>
              <w:right w:val="single" w:color="auto" w:sz="2" w:space="0"/>
            </w:tcBorders>
            <w:vAlign w:val="center"/>
          </w:tcPr>
          <w:p>
            <w:pPr>
              <w:widowControl/>
              <w:jc w:val="center"/>
              <w:rPr>
                <w:kern w:val="0"/>
                <w:szCs w:val="21"/>
              </w:rPr>
            </w:pPr>
            <w:r>
              <w:rPr>
                <w:kern w:val="0"/>
                <w:szCs w:val="21"/>
              </w:rPr>
              <w:t>2.6</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2"/>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-6.2</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2</w:t>
            </w:r>
          </w:p>
        </w:tc>
        <w:tc>
          <w:tcPr>
            <w:tcW w:w="1272" w:type="pct"/>
            <w:vMerge w:val="restart"/>
            <w:vAlign w:val="center"/>
          </w:tcPr>
          <w:p>
            <w:pPr>
              <w:widowControl/>
              <w:jc w:val="center"/>
              <w:rPr>
                <w:kern w:val="0"/>
                <w:szCs w:val="21"/>
              </w:rPr>
            </w:pPr>
            <w:r>
              <w:rPr>
                <w:kern w:val="0"/>
                <w:szCs w:val="21"/>
              </w:rPr>
              <w:t>新疆维吾尔自治区吐鲁番市托克逊县郭勒布依乡河东村六组阿布来肯宅北侧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24.6</w:t>
            </w:r>
          </w:p>
        </w:tc>
        <w:tc>
          <w:tcPr>
            <w:tcW w:w="386" w:type="pct"/>
            <w:tcBorders>
              <w:right w:val="single" w:color="auto" w:sz="2" w:space="0"/>
            </w:tcBorders>
            <w:vAlign w:val="center"/>
          </w:tcPr>
          <w:p>
            <w:pPr>
              <w:widowControl/>
              <w:jc w:val="center"/>
              <w:rPr>
                <w:kern w:val="0"/>
                <w:szCs w:val="21"/>
              </w:rPr>
            </w:pPr>
            <w:r>
              <w:rPr>
                <w:kern w:val="0"/>
                <w:szCs w:val="21"/>
              </w:rPr>
              <w:t>2.8</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2"/>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-6.3</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3</w:t>
            </w:r>
          </w:p>
        </w:tc>
        <w:tc>
          <w:tcPr>
            <w:tcW w:w="1272" w:type="pct"/>
            <w:vMerge w:val="restart"/>
            <w:vAlign w:val="center"/>
          </w:tcPr>
          <w:p>
            <w:pPr>
              <w:widowControl/>
              <w:jc w:val="center"/>
              <w:rPr>
                <w:kern w:val="0"/>
                <w:szCs w:val="21"/>
              </w:rPr>
            </w:pPr>
            <w:r>
              <w:rPr>
                <w:kern w:val="0"/>
                <w:szCs w:val="21"/>
              </w:rPr>
              <w:t>新疆维吾尔自治区吐鲁番市托克逊县郭勒布依乡巴格万村二组223户西侧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23.9</w:t>
            </w:r>
          </w:p>
        </w:tc>
        <w:tc>
          <w:tcPr>
            <w:tcW w:w="386" w:type="pct"/>
            <w:tcBorders>
              <w:right w:val="single" w:color="auto" w:sz="2" w:space="0"/>
            </w:tcBorders>
            <w:vAlign w:val="center"/>
          </w:tcPr>
          <w:p>
            <w:pPr>
              <w:widowControl/>
              <w:jc w:val="center"/>
              <w:rPr>
                <w:kern w:val="0"/>
                <w:szCs w:val="21"/>
              </w:rPr>
            </w:pPr>
            <w:r>
              <w:rPr>
                <w:kern w:val="0"/>
                <w:szCs w:val="21"/>
              </w:rPr>
              <w:t>3.7</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2"/>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-6.5</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4</w:t>
            </w:r>
          </w:p>
        </w:tc>
        <w:tc>
          <w:tcPr>
            <w:tcW w:w="1272" w:type="pct"/>
            <w:vMerge w:val="restart"/>
            <w:vAlign w:val="center"/>
          </w:tcPr>
          <w:p>
            <w:pPr>
              <w:widowControl/>
              <w:jc w:val="center"/>
              <w:rPr>
                <w:kern w:val="0"/>
                <w:szCs w:val="21"/>
              </w:rPr>
            </w:pPr>
            <w:r>
              <w:rPr>
                <w:kern w:val="0"/>
                <w:szCs w:val="21"/>
              </w:rPr>
              <w:t>新疆维吾尔自治区吐鲁番市托克逊县郭勒布依乡巴格万村二组238户北侧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24.1</w:t>
            </w:r>
          </w:p>
        </w:tc>
        <w:tc>
          <w:tcPr>
            <w:tcW w:w="386" w:type="pct"/>
            <w:tcBorders>
              <w:right w:val="single" w:color="auto" w:sz="2" w:space="0"/>
            </w:tcBorders>
            <w:vAlign w:val="center"/>
          </w:tcPr>
          <w:p>
            <w:pPr>
              <w:widowControl/>
              <w:jc w:val="center"/>
              <w:rPr>
                <w:kern w:val="0"/>
                <w:szCs w:val="21"/>
              </w:rPr>
            </w:pPr>
            <w:r>
              <w:rPr>
                <w:kern w:val="0"/>
                <w:szCs w:val="21"/>
              </w:rPr>
              <w:t>3.8</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2"/>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-6.5</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5</w:t>
            </w:r>
          </w:p>
        </w:tc>
        <w:tc>
          <w:tcPr>
            <w:tcW w:w="1272" w:type="pct"/>
            <w:vMerge w:val="restart"/>
            <w:vAlign w:val="center"/>
          </w:tcPr>
          <w:p>
            <w:pPr>
              <w:widowControl/>
              <w:jc w:val="center"/>
              <w:rPr>
                <w:kern w:val="0"/>
                <w:szCs w:val="21"/>
              </w:rPr>
            </w:pPr>
            <w:r>
              <w:rPr>
                <w:kern w:val="0"/>
                <w:szCs w:val="21"/>
              </w:rPr>
              <w:t>新疆维吾尔自治区吐鲁番市托克逊县夏镇闲置厂房西侧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23.3</w:t>
            </w:r>
          </w:p>
        </w:tc>
        <w:tc>
          <w:tcPr>
            <w:tcW w:w="386" w:type="pct"/>
            <w:tcBorders>
              <w:right w:val="single" w:color="auto" w:sz="2" w:space="0"/>
            </w:tcBorders>
            <w:vAlign w:val="center"/>
          </w:tcPr>
          <w:p>
            <w:pPr>
              <w:widowControl/>
              <w:jc w:val="center"/>
              <w:rPr>
                <w:kern w:val="0"/>
                <w:szCs w:val="21"/>
              </w:rPr>
            </w:pPr>
            <w:r>
              <w:rPr>
                <w:kern w:val="0"/>
                <w:szCs w:val="21"/>
              </w:rPr>
              <w:t>4.1</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2"/>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-6.5</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6</w:t>
            </w:r>
          </w:p>
        </w:tc>
        <w:tc>
          <w:tcPr>
            <w:tcW w:w="1272" w:type="pct"/>
            <w:vMerge w:val="restart"/>
            <w:vAlign w:val="center"/>
          </w:tcPr>
          <w:p>
            <w:pPr>
              <w:widowControl/>
              <w:jc w:val="center"/>
              <w:rPr>
                <w:kern w:val="0"/>
                <w:szCs w:val="21"/>
              </w:rPr>
            </w:pPr>
            <w:r>
              <w:rPr>
                <w:kern w:val="0"/>
                <w:szCs w:val="21"/>
              </w:rPr>
              <w:t>新疆维吾尔自治区吐鲁番市托克逊县夏镇乐渔垂钓园看护房西侧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22.4</w:t>
            </w:r>
          </w:p>
        </w:tc>
        <w:tc>
          <w:tcPr>
            <w:tcW w:w="386" w:type="pct"/>
            <w:tcBorders>
              <w:right w:val="single" w:color="auto" w:sz="2" w:space="0"/>
            </w:tcBorders>
            <w:vAlign w:val="center"/>
          </w:tcPr>
          <w:p>
            <w:pPr>
              <w:widowControl/>
              <w:jc w:val="center"/>
              <w:rPr>
                <w:kern w:val="0"/>
                <w:szCs w:val="21"/>
              </w:rPr>
            </w:pPr>
            <w:r>
              <w:rPr>
                <w:kern w:val="0"/>
                <w:szCs w:val="21"/>
              </w:rPr>
              <w:t>4.2</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2"/>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-6.7</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7</w:t>
            </w:r>
          </w:p>
        </w:tc>
        <w:tc>
          <w:tcPr>
            <w:tcW w:w="1272" w:type="pct"/>
            <w:vMerge w:val="restart"/>
            <w:vAlign w:val="center"/>
          </w:tcPr>
          <w:p>
            <w:pPr>
              <w:widowControl/>
              <w:jc w:val="center"/>
              <w:rPr>
                <w:kern w:val="0"/>
                <w:szCs w:val="21"/>
              </w:rPr>
            </w:pPr>
            <w:r>
              <w:rPr>
                <w:kern w:val="0"/>
                <w:szCs w:val="21"/>
              </w:rPr>
              <w:t>新疆维吾尔自治区吐鲁番市托克逊县夏镇海柱资源有限公司宿舍南侧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22.2</w:t>
            </w:r>
          </w:p>
        </w:tc>
        <w:tc>
          <w:tcPr>
            <w:tcW w:w="386" w:type="pct"/>
            <w:tcBorders>
              <w:right w:val="single" w:color="auto" w:sz="2" w:space="0"/>
            </w:tcBorders>
            <w:vAlign w:val="center"/>
          </w:tcPr>
          <w:p>
            <w:pPr>
              <w:widowControl/>
              <w:jc w:val="center"/>
              <w:rPr>
                <w:kern w:val="0"/>
                <w:szCs w:val="21"/>
              </w:rPr>
            </w:pPr>
            <w:r>
              <w:rPr>
                <w:kern w:val="0"/>
                <w:szCs w:val="21"/>
              </w:rPr>
              <w:t>4.4</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0.4</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2"/>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-6.6</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8</w:t>
            </w:r>
          </w:p>
        </w:tc>
        <w:tc>
          <w:tcPr>
            <w:tcW w:w="1272" w:type="pct"/>
            <w:vMerge w:val="restart"/>
            <w:vAlign w:val="center"/>
          </w:tcPr>
          <w:p>
            <w:pPr>
              <w:widowControl/>
              <w:jc w:val="center"/>
              <w:rPr>
                <w:kern w:val="0"/>
                <w:szCs w:val="21"/>
              </w:rPr>
            </w:pPr>
            <w:r>
              <w:rPr>
                <w:kern w:val="0"/>
                <w:szCs w:val="21"/>
              </w:rPr>
              <w:t>新疆维吾尔自治区吐鲁番市托克逊县夏镇恒氿庄园生活区东侧</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21.5</w:t>
            </w:r>
          </w:p>
        </w:tc>
        <w:tc>
          <w:tcPr>
            <w:tcW w:w="386" w:type="pct"/>
            <w:tcBorders>
              <w:right w:val="single" w:color="auto" w:sz="2" w:space="0"/>
            </w:tcBorders>
            <w:vAlign w:val="center"/>
          </w:tcPr>
          <w:p>
            <w:pPr>
              <w:widowControl/>
              <w:jc w:val="center"/>
              <w:rPr>
                <w:kern w:val="0"/>
                <w:szCs w:val="21"/>
              </w:rPr>
            </w:pPr>
            <w:r>
              <w:rPr>
                <w:kern w:val="0"/>
                <w:szCs w:val="21"/>
              </w:rPr>
              <w:t>4.7</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0.5</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2"/>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-6.8</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9</w:t>
            </w:r>
          </w:p>
        </w:tc>
        <w:tc>
          <w:tcPr>
            <w:tcW w:w="1272" w:type="pct"/>
            <w:vMerge w:val="restart"/>
            <w:vAlign w:val="center"/>
          </w:tcPr>
          <w:p>
            <w:pPr>
              <w:widowControl/>
              <w:jc w:val="center"/>
              <w:rPr>
                <w:kern w:val="0"/>
                <w:szCs w:val="21"/>
              </w:rPr>
            </w:pPr>
            <w:r>
              <w:rPr>
                <w:kern w:val="0"/>
                <w:szCs w:val="21"/>
              </w:rPr>
              <w:t>线路背景值测点1#</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20.9</w:t>
            </w:r>
          </w:p>
        </w:tc>
        <w:tc>
          <w:tcPr>
            <w:tcW w:w="386" w:type="pct"/>
            <w:tcBorders>
              <w:right w:val="single" w:color="auto" w:sz="2" w:space="0"/>
            </w:tcBorders>
            <w:vAlign w:val="center"/>
          </w:tcPr>
          <w:p>
            <w:pPr>
              <w:widowControl/>
              <w:jc w:val="center"/>
              <w:rPr>
                <w:kern w:val="0"/>
                <w:szCs w:val="21"/>
              </w:rPr>
            </w:pPr>
            <w:r>
              <w:rPr>
                <w:kern w:val="0"/>
                <w:szCs w:val="21"/>
              </w:rPr>
              <w:t>4.8</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0.6</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2"/>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-6.9</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restart"/>
            <w:vAlign w:val="center"/>
          </w:tcPr>
          <w:p>
            <w:pPr>
              <w:pStyle w:val="107"/>
              <w:widowControl/>
              <w:ind w:firstLine="0" w:firstLineChars="0"/>
              <w:jc w:val="center"/>
              <w:rPr>
                <w:kern w:val="0"/>
                <w:szCs w:val="21"/>
              </w:rPr>
            </w:pPr>
            <w:r>
              <w:rPr>
                <w:rFonts w:hint="eastAsia"/>
                <w:kern w:val="0"/>
                <w:szCs w:val="21"/>
              </w:rPr>
              <w:t>10</w:t>
            </w:r>
          </w:p>
        </w:tc>
        <w:tc>
          <w:tcPr>
            <w:tcW w:w="1272" w:type="pct"/>
            <w:vMerge w:val="restart"/>
            <w:vAlign w:val="center"/>
          </w:tcPr>
          <w:p>
            <w:pPr>
              <w:widowControl/>
              <w:jc w:val="center"/>
              <w:rPr>
                <w:kern w:val="0"/>
                <w:szCs w:val="21"/>
              </w:rPr>
            </w:pPr>
            <w:r>
              <w:rPr>
                <w:kern w:val="0"/>
                <w:szCs w:val="21"/>
              </w:rPr>
              <w:t>线路背景值测点2#</w:t>
            </w:r>
          </w:p>
        </w:tc>
        <w:tc>
          <w:tcPr>
            <w:tcW w:w="620" w:type="pct"/>
            <w:vAlign w:val="center"/>
          </w:tcPr>
          <w:p>
            <w:pPr>
              <w:widowControl/>
              <w:jc w:val="center"/>
              <w:rPr>
                <w:kern w:val="0"/>
                <w:szCs w:val="21"/>
              </w:rPr>
            </w:pPr>
            <w:r>
              <w:rPr>
                <w:kern w:val="0"/>
                <w:szCs w:val="21"/>
              </w:rPr>
              <w:t>2025.12.3</w:t>
            </w:r>
          </w:p>
        </w:tc>
        <w:tc>
          <w:tcPr>
            <w:tcW w:w="303" w:type="pct"/>
            <w:vAlign w:val="center"/>
          </w:tcPr>
          <w:p>
            <w:pPr>
              <w:widowControl/>
              <w:jc w:val="center"/>
              <w:rPr>
                <w:kern w:val="0"/>
                <w:szCs w:val="21"/>
              </w:rPr>
            </w:pPr>
            <w:r>
              <w:rPr>
                <w:kern w:val="0"/>
                <w:szCs w:val="21"/>
              </w:rPr>
              <w:t>晴</w:t>
            </w:r>
          </w:p>
        </w:tc>
        <w:tc>
          <w:tcPr>
            <w:tcW w:w="616" w:type="pct"/>
            <w:vAlign w:val="center"/>
          </w:tcPr>
          <w:p>
            <w:pPr>
              <w:widowControl/>
              <w:jc w:val="center"/>
              <w:rPr>
                <w:kern w:val="0"/>
                <w:szCs w:val="21"/>
              </w:rPr>
            </w:pPr>
            <w:r>
              <w:rPr>
                <w:kern w:val="0"/>
                <w:szCs w:val="21"/>
              </w:rPr>
              <w:t>20.3</w:t>
            </w:r>
          </w:p>
        </w:tc>
        <w:tc>
          <w:tcPr>
            <w:tcW w:w="386" w:type="pct"/>
            <w:tcBorders>
              <w:right w:val="single" w:color="auto" w:sz="2" w:space="0"/>
            </w:tcBorders>
            <w:vAlign w:val="center"/>
          </w:tcPr>
          <w:p>
            <w:pPr>
              <w:widowControl/>
              <w:jc w:val="center"/>
              <w:rPr>
                <w:kern w:val="0"/>
                <w:szCs w:val="21"/>
              </w:rPr>
            </w:pPr>
            <w:r>
              <w:rPr>
                <w:kern w:val="0"/>
                <w:szCs w:val="21"/>
              </w:rPr>
              <w:t>5.5</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vMerge w:val="restart"/>
            <w:tcBorders>
              <w:left w:val="single" w:color="auto" w:sz="2" w:space="0"/>
            </w:tcBorders>
            <w:vAlign w:val="center"/>
          </w:tcPr>
          <w:p>
            <w:pPr>
              <w:rPr>
                <w:kern w:val="0"/>
                <w:szCs w:val="21"/>
              </w:rPr>
            </w:pPr>
            <w:r>
              <w:rPr>
                <w:kern w:val="0"/>
                <w:szCs w:val="21"/>
              </w:rPr>
              <w:t>东南</w:t>
            </w:r>
          </w:p>
        </w:tc>
        <w:tc>
          <w:tcPr>
            <w:tcW w:w="385" w:type="pct"/>
            <w:tcBorders>
              <w:left w:val="single" w:color="auto" w:sz="2" w:space="0"/>
            </w:tcBorders>
            <w:vAlign w:val="center"/>
          </w:tcPr>
          <w:p>
            <w:pPr>
              <w:widowControl/>
              <w:jc w:val="center"/>
              <w:rPr>
                <w:kern w:val="0"/>
                <w:szCs w:val="21"/>
              </w:rPr>
            </w:pPr>
            <w:r>
              <w:rPr>
                <w:kern w:val="0"/>
                <w:szCs w:val="21"/>
              </w:rPr>
              <w:t>0.7</w:t>
            </w:r>
          </w:p>
        </w:tc>
        <w:tc>
          <w:tcPr>
            <w:tcW w:w="369" w:type="pct"/>
            <w:tcBorders>
              <w:left w:val="single" w:color="auto" w:sz="2" w:space="0"/>
            </w:tcBorders>
            <w:vAlign w:val="center"/>
          </w:tcPr>
          <w:p>
            <w:pPr>
              <w:widowControl/>
              <w:jc w:val="center"/>
              <w:rPr>
                <w:kern w:val="0"/>
                <w:szCs w:val="21"/>
              </w:rPr>
            </w:pPr>
            <w:r>
              <w:rPr>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vMerge w:val="continue"/>
            <w:vAlign w:val="center"/>
          </w:tcPr>
          <w:p>
            <w:pPr>
              <w:pStyle w:val="107"/>
              <w:widowControl/>
              <w:numPr>
                <w:ilvl w:val="0"/>
                <w:numId w:val="12"/>
              </w:numPr>
              <w:ind w:firstLineChars="0"/>
              <w:jc w:val="center"/>
              <w:rPr>
                <w:kern w:val="0"/>
                <w:szCs w:val="21"/>
              </w:rPr>
            </w:pPr>
          </w:p>
        </w:tc>
        <w:tc>
          <w:tcPr>
            <w:tcW w:w="1272" w:type="pct"/>
            <w:vMerge w:val="continue"/>
            <w:vAlign w:val="center"/>
          </w:tcPr>
          <w:p>
            <w:pPr>
              <w:widowControl/>
              <w:jc w:val="center"/>
              <w:rPr>
                <w:kern w:val="0"/>
                <w:szCs w:val="21"/>
              </w:rPr>
            </w:pPr>
          </w:p>
        </w:tc>
        <w:tc>
          <w:tcPr>
            <w:tcW w:w="620" w:type="pct"/>
            <w:vAlign w:val="center"/>
          </w:tcPr>
          <w:p>
            <w:pPr>
              <w:widowControl/>
              <w:jc w:val="center"/>
              <w:rPr>
                <w:kern w:val="0"/>
                <w:szCs w:val="21"/>
              </w:rPr>
            </w:pPr>
            <w:r>
              <w:rPr>
                <w:kern w:val="0"/>
                <w:szCs w:val="21"/>
              </w:rPr>
              <w:t>2025.12.4</w:t>
            </w:r>
          </w:p>
        </w:tc>
        <w:tc>
          <w:tcPr>
            <w:tcW w:w="303" w:type="pct"/>
            <w:vAlign w:val="center"/>
          </w:tcPr>
          <w:p>
            <w:pPr>
              <w:widowControl/>
              <w:jc w:val="center"/>
              <w:rPr>
                <w:kern w:val="0"/>
                <w:szCs w:val="21"/>
              </w:rPr>
            </w:pPr>
            <w:r>
              <w:rPr>
                <w:kern w:val="0"/>
                <w:szCs w:val="21"/>
              </w:rPr>
              <w:t>/</w:t>
            </w:r>
          </w:p>
        </w:tc>
        <w:tc>
          <w:tcPr>
            <w:tcW w:w="616" w:type="pct"/>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w:t>
            </w:r>
          </w:p>
        </w:tc>
        <w:tc>
          <w:tcPr>
            <w:tcW w:w="386" w:type="pct"/>
            <w:tcBorders>
              <w:right w:val="single" w:color="auto" w:sz="2" w:space="0"/>
            </w:tcBorders>
            <w:vAlign w:val="center"/>
          </w:tcPr>
          <w:p>
            <w:pPr>
              <w:widowControl/>
              <w:jc w:val="center"/>
              <w:rPr>
                <w:kern w:val="0"/>
                <w:szCs w:val="21"/>
              </w:rPr>
            </w:pPr>
            <w:r>
              <w:rPr>
                <w:kern w:val="0"/>
                <w:szCs w:val="21"/>
              </w:rPr>
              <w:t>-7.1</w:t>
            </w:r>
          </w:p>
        </w:tc>
        <w:tc>
          <w:tcPr>
            <w:tcW w:w="386" w:type="pct"/>
            <w:vMerge w:val="continue"/>
            <w:tcBorders>
              <w:left w:val="single" w:color="auto" w:sz="2" w:space="0"/>
            </w:tcBorders>
            <w:vAlign w:val="center"/>
          </w:tcPr>
          <w:p>
            <w:pPr>
              <w:widowControl/>
              <w:jc w:val="center"/>
              <w:rPr>
                <w:kern w:val="0"/>
                <w:szCs w:val="21"/>
              </w:rPr>
            </w:pPr>
          </w:p>
        </w:tc>
        <w:tc>
          <w:tcPr>
            <w:tcW w:w="385" w:type="pct"/>
            <w:tcBorders>
              <w:left w:val="single" w:color="auto" w:sz="2" w:space="0"/>
            </w:tcBorders>
            <w:vAlign w:val="center"/>
          </w:tcPr>
          <w:p>
            <w:pPr>
              <w:widowControl/>
              <w:jc w:val="center"/>
              <w:rPr>
                <w:kern w:val="0"/>
                <w:szCs w:val="21"/>
              </w:rPr>
            </w:pPr>
            <w:r>
              <w:rPr>
                <w:kern w:val="0"/>
                <w:szCs w:val="21"/>
              </w:rPr>
              <w:t>/</w:t>
            </w:r>
          </w:p>
        </w:tc>
        <w:tc>
          <w:tcPr>
            <w:tcW w:w="369" w:type="pct"/>
            <w:tcBorders>
              <w:left w:val="single" w:color="auto" w:sz="2" w:space="0"/>
            </w:tcBorders>
            <w:vAlign w:val="center"/>
          </w:tcPr>
          <w:p>
            <w:pPr>
              <w:widowControl/>
              <w:jc w:val="center"/>
              <w:rPr>
                <w:kern w:val="0"/>
                <w:szCs w:val="21"/>
              </w:rPr>
            </w:pPr>
            <w:r>
              <w:rPr>
                <w:kern w:val="0"/>
                <w:szCs w:val="21"/>
              </w:rPr>
              <w:t>0.5</w:t>
            </w:r>
          </w:p>
        </w:tc>
      </w:tr>
    </w:tbl>
    <w:p>
      <w:pPr>
        <w:spacing w:line="360" w:lineRule="auto"/>
        <w:outlineLvl w:val="1"/>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2.6监测方法</w:t>
      </w:r>
      <w:bookmarkEnd w:id="765"/>
    </w:p>
    <w:p>
      <w:pPr>
        <w:spacing w:line="360" w:lineRule="auto"/>
        <w:ind w:firstLine="480" w:firstLineChars="200"/>
        <w:rPr>
          <w:b/>
          <w:bCs/>
          <w:color w:val="000000" w:themeColor="text1"/>
          <w:sz w:val="36"/>
          <w:szCs w:val="36"/>
          <w14:textFill>
            <w14:solidFill>
              <w14:schemeClr w14:val="tx1"/>
            </w14:solidFill>
          </w14:textFill>
        </w:rPr>
      </w:pPr>
      <w:r>
        <w:rPr>
          <w:rFonts w:hint="eastAsia"/>
          <w:color w:val="000000" w:themeColor="text1"/>
          <w:sz w:val="24"/>
          <w:szCs w:val="32"/>
          <w14:textFill>
            <w14:solidFill>
              <w14:schemeClr w14:val="tx1"/>
            </w14:solidFill>
          </w14:textFill>
        </w:rPr>
        <w:t>按《交流输变电工程电磁环境监测方法（试行）》（</w:t>
      </w:r>
      <w:r>
        <w:rPr>
          <w:color w:val="000000" w:themeColor="text1"/>
          <w:sz w:val="24"/>
          <w:szCs w:val="32"/>
          <w14:textFill>
            <w14:solidFill>
              <w14:schemeClr w14:val="tx1"/>
            </w14:solidFill>
          </w14:textFill>
        </w:rPr>
        <w:t>HJ681-2013</w:t>
      </w:r>
      <w:r>
        <w:rPr>
          <w:rFonts w:hint="eastAsia"/>
          <w:color w:val="000000" w:themeColor="text1"/>
          <w:sz w:val="24"/>
          <w:szCs w:val="32"/>
          <w14:textFill>
            <w14:solidFill>
              <w14:schemeClr w14:val="tx1"/>
            </w14:solidFill>
          </w14:textFill>
        </w:rPr>
        <w:t>）规定的方法执行。</w:t>
      </w:r>
    </w:p>
    <w:p>
      <w:pPr>
        <w:spacing w:line="360" w:lineRule="auto"/>
        <w:outlineLvl w:val="1"/>
        <w:rPr>
          <w:b/>
          <w:bCs/>
          <w:color w:val="000000" w:themeColor="text1"/>
          <w:sz w:val="28"/>
          <w:szCs w:val="28"/>
          <w14:textFill>
            <w14:solidFill>
              <w14:schemeClr w14:val="tx1"/>
            </w14:solidFill>
          </w14:textFill>
        </w:rPr>
      </w:pPr>
      <w:bookmarkStart w:id="766" w:name="_Toc23380"/>
      <w:r>
        <w:rPr>
          <w:rFonts w:hint="eastAsia"/>
          <w:b/>
          <w:bCs/>
          <w:color w:val="000000" w:themeColor="text1"/>
          <w:sz w:val="28"/>
          <w:szCs w:val="28"/>
          <w14:textFill>
            <w14:solidFill>
              <w14:schemeClr w14:val="tx1"/>
            </w14:solidFill>
          </w14:textFill>
        </w:rPr>
        <w:t>2.7监测仪器</w:t>
      </w:r>
      <w:bookmarkEnd w:id="766"/>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电磁环境现状监测仪器见</w:t>
      </w:r>
      <w:r>
        <w:rPr>
          <w:b w:val="0"/>
          <w:bCs w:val="0"/>
          <w:color w:val="000000" w:themeColor="text1"/>
          <w14:textFill>
            <w14:solidFill>
              <w14:schemeClr w14:val="tx1"/>
            </w14:solidFill>
          </w14:textFill>
        </w:rPr>
        <w:fldChar w:fldCharType="begin"/>
      </w:r>
      <w:r>
        <w:rPr>
          <w:b w:val="0"/>
          <w:bCs w:val="0"/>
        </w:rPr>
        <w:instrText xml:space="preserve"> REF _Ref80623318 \h  \* MERGEFORMAT</w:instrText>
      </w:r>
      <w:r>
        <w:rPr>
          <w:b w:val="0"/>
          <w:bCs w:val="0"/>
          <w:color w:val="000000" w:themeColor="text1"/>
          <w14:textFill>
            <w14:solidFill>
              <w14:schemeClr w14:val="tx1"/>
            </w14:solidFill>
          </w14:textFill>
        </w:rPr>
        <w:fldChar w:fldCharType="separate"/>
      </w:r>
      <w:r>
        <w:rPr>
          <w:rFonts w:ascii="Times New Roman" w:hAnsi="Times New Roman" w:eastAsia="宋体"/>
          <w:b w:val="0"/>
          <w:bCs w:val="0"/>
          <w:color w:val="000000" w:themeColor="text1"/>
          <w:szCs w:val="21"/>
          <w14:textFill>
            <w14:solidFill>
              <w14:schemeClr w14:val="tx1"/>
            </w14:solidFill>
          </w14:textFill>
        </w:rPr>
        <w:t>表34</w:t>
      </w:r>
      <w:r>
        <w:rPr>
          <w:b w:val="0"/>
          <w:bCs w:val="0"/>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w:t>
      </w:r>
    </w:p>
    <w:p>
      <w:pPr>
        <w:pStyle w:val="10"/>
        <w:jc w:val="left"/>
        <w:rPr>
          <w:rFonts w:ascii="黑体" w:hAnsi="黑体" w:cstheme="minorEastAsia"/>
          <w:b/>
          <w:bCs/>
          <w:color w:val="000000" w:themeColor="text1"/>
          <w14:textFill>
            <w14:solidFill>
              <w14:schemeClr w14:val="tx1"/>
            </w14:solidFill>
          </w14:textFill>
        </w:rPr>
      </w:pPr>
      <w:bookmarkStart w:id="767" w:name="_Ref80623318"/>
      <w:bookmarkStart w:id="768" w:name="_Toc383540712"/>
      <w:r>
        <w:rPr>
          <w:rFonts w:ascii="Times New Roman" w:hAnsi="Times New Roman" w:eastAsia="宋体"/>
          <w:b/>
          <w:bCs/>
          <w:color w:val="000000" w:themeColor="text1"/>
          <w:szCs w:val="21"/>
          <w14:textFill>
            <w14:solidFill>
              <w14:schemeClr w14:val="tx1"/>
            </w14:solidFill>
          </w14:textFill>
        </w:rPr>
        <w:t>表</w:t>
      </w:r>
      <w:r>
        <w:rPr>
          <w:rFonts w:ascii="Times New Roman" w:hAnsi="Times New Roman" w:eastAsia="宋体"/>
          <w:b/>
          <w:bCs/>
          <w:color w:val="000000" w:themeColor="text1"/>
          <w:szCs w:val="21"/>
          <w14:textFill>
            <w14:solidFill>
              <w14:schemeClr w14:val="tx1"/>
            </w14:solidFill>
          </w14:textFill>
        </w:rPr>
        <w:fldChar w:fldCharType="begin"/>
      </w:r>
      <w:r>
        <w:rPr>
          <w:rFonts w:ascii="Times New Roman" w:hAnsi="Times New Roman" w:eastAsia="宋体"/>
          <w:b/>
          <w:bCs/>
          <w:color w:val="000000" w:themeColor="text1"/>
          <w:szCs w:val="21"/>
          <w14:textFill>
            <w14:solidFill>
              <w14:schemeClr w14:val="tx1"/>
            </w14:solidFill>
          </w14:textFill>
        </w:rPr>
        <w:instrText xml:space="preserve"> SEQ 表 \* ARABIC </w:instrText>
      </w:r>
      <w:r>
        <w:rPr>
          <w:rFonts w:ascii="Times New Roman" w:hAnsi="Times New Roman" w:eastAsia="宋体"/>
          <w:b/>
          <w:bCs/>
          <w:color w:val="000000" w:themeColor="text1"/>
          <w:szCs w:val="21"/>
          <w14:textFill>
            <w14:solidFill>
              <w14:schemeClr w14:val="tx1"/>
            </w14:solidFill>
          </w14:textFill>
        </w:rPr>
        <w:fldChar w:fldCharType="separate"/>
      </w:r>
      <w:r>
        <w:rPr>
          <w:rFonts w:ascii="Times New Roman" w:hAnsi="Times New Roman" w:eastAsia="宋体"/>
          <w:b/>
          <w:bCs/>
          <w:color w:val="000000" w:themeColor="text1"/>
          <w:szCs w:val="21"/>
          <w14:textFill>
            <w14:solidFill>
              <w14:schemeClr w14:val="tx1"/>
            </w14:solidFill>
          </w14:textFill>
        </w:rPr>
        <w:t>34</w:t>
      </w:r>
      <w:r>
        <w:rPr>
          <w:rFonts w:ascii="Times New Roman" w:hAnsi="Times New Roman" w:eastAsia="宋体"/>
          <w:b/>
          <w:bCs/>
          <w:color w:val="000000" w:themeColor="text1"/>
          <w:szCs w:val="21"/>
          <w14:textFill>
            <w14:solidFill>
              <w14:schemeClr w14:val="tx1"/>
            </w14:solidFill>
          </w14:textFill>
        </w:rPr>
        <w:fldChar w:fldCharType="end"/>
      </w:r>
      <w:bookmarkEnd w:id="767"/>
      <w:r>
        <w:rPr>
          <w:rFonts w:ascii="Times New Roman" w:hAnsi="Times New Roman" w:eastAsia="宋体"/>
          <w:b/>
          <w:bCs/>
          <w:color w:val="000000" w:themeColor="text1"/>
          <w14:textFill>
            <w14:solidFill>
              <w14:schemeClr w14:val="tx1"/>
            </w14:solidFill>
          </w14:textFill>
        </w:rPr>
        <w:t>电磁环境现状监测使用仪器信息一览表</w:t>
      </w:r>
    </w:p>
    <w:bookmarkEnd w:id="768"/>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5"/>
        <w:gridCol w:w="2418"/>
        <w:gridCol w:w="3388"/>
        <w:gridCol w:w="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310" w:type="pct"/>
            <w:vAlign w:val="center"/>
          </w:tcPr>
          <w:p>
            <w:pPr>
              <w:wordWrap w:val="0"/>
              <w:snapToGrid w:val="0"/>
              <w:jc w:val="center"/>
              <w:rPr>
                <w:b/>
                <w:snapToGrid w:val="0"/>
                <w:kern w:val="0"/>
                <w:szCs w:val="21"/>
              </w:rPr>
            </w:pPr>
            <w:bookmarkStart w:id="769" w:name="_Toc30429"/>
            <w:r>
              <w:rPr>
                <w:b/>
                <w:snapToGrid w:val="0"/>
                <w:kern w:val="0"/>
                <w:szCs w:val="21"/>
              </w:rPr>
              <w:t>仪器名称型号及出厂编号</w:t>
            </w:r>
          </w:p>
        </w:tc>
        <w:tc>
          <w:tcPr>
            <w:tcW w:w="1386" w:type="pct"/>
            <w:vAlign w:val="center"/>
          </w:tcPr>
          <w:p>
            <w:pPr>
              <w:wordWrap w:val="0"/>
              <w:snapToGrid w:val="0"/>
              <w:jc w:val="center"/>
              <w:rPr>
                <w:b/>
                <w:snapToGrid w:val="0"/>
                <w:kern w:val="0"/>
                <w:szCs w:val="21"/>
              </w:rPr>
            </w:pPr>
            <w:r>
              <w:rPr>
                <w:b/>
                <w:snapToGrid w:val="0"/>
                <w:kern w:val="0"/>
                <w:szCs w:val="21"/>
              </w:rPr>
              <w:t>技术指标</w:t>
            </w:r>
          </w:p>
        </w:tc>
        <w:tc>
          <w:tcPr>
            <w:tcW w:w="1942" w:type="pct"/>
            <w:vAlign w:val="center"/>
          </w:tcPr>
          <w:p>
            <w:pPr>
              <w:wordWrap w:val="0"/>
              <w:snapToGrid w:val="0"/>
              <w:jc w:val="center"/>
              <w:rPr>
                <w:b/>
                <w:snapToGrid w:val="0"/>
                <w:kern w:val="0"/>
                <w:szCs w:val="21"/>
              </w:rPr>
            </w:pPr>
            <w:r>
              <w:rPr>
                <w:b/>
                <w:snapToGrid w:val="0"/>
                <w:kern w:val="0"/>
                <w:szCs w:val="21"/>
              </w:rPr>
              <w:t>校准/检定证书编号及有效期</w:t>
            </w:r>
          </w:p>
        </w:tc>
        <w:tc>
          <w:tcPr>
            <w:tcW w:w="360" w:type="pct"/>
            <w:vAlign w:val="center"/>
          </w:tcPr>
          <w:p>
            <w:pPr>
              <w:wordWrap w:val="0"/>
              <w:snapToGrid w:val="0"/>
              <w:jc w:val="center"/>
              <w:rPr>
                <w:b/>
                <w:snapToGrid w:val="0"/>
                <w:kern w:val="0"/>
                <w:szCs w:val="21"/>
              </w:rPr>
            </w:pPr>
            <w:r>
              <w:rPr>
                <w:b/>
                <w:snapToGrid w:val="0"/>
                <w:kern w:val="0"/>
                <w:szCs w:val="21"/>
              </w:rPr>
              <w:t>仪器状态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0" w:type="pct"/>
            <w:vAlign w:val="center"/>
          </w:tcPr>
          <w:p>
            <w:pPr>
              <w:wordWrap w:val="0"/>
              <w:jc w:val="left"/>
              <w:rPr>
                <w:b/>
                <w:bCs/>
                <w:szCs w:val="21"/>
              </w:rPr>
            </w:pPr>
            <w:r>
              <w:rPr>
                <w:b/>
                <w:bCs/>
                <w:szCs w:val="21"/>
              </w:rPr>
              <w:t>工频电场、工频磁场</w:t>
            </w:r>
          </w:p>
          <w:p>
            <w:pPr>
              <w:wordWrap w:val="0"/>
              <w:jc w:val="left"/>
              <w:rPr>
                <w:szCs w:val="21"/>
              </w:rPr>
            </w:pPr>
            <w:r>
              <w:rPr>
                <w:szCs w:val="21"/>
              </w:rPr>
              <w:t>仪器名称：电磁辐射分析仪</w:t>
            </w:r>
          </w:p>
          <w:p>
            <w:pPr>
              <w:wordWrap w:val="0"/>
              <w:rPr>
                <w:szCs w:val="21"/>
              </w:rPr>
            </w:pPr>
            <w:r>
              <w:rPr>
                <w:szCs w:val="21"/>
              </w:rPr>
              <w:t>仪器型号：SEM-600/LF-01D</w:t>
            </w:r>
          </w:p>
          <w:p>
            <w:pPr>
              <w:wordWrap w:val="0"/>
              <w:jc w:val="left"/>
              <w:rPr>
                <w:szCs w:val="21"/>
              </w:rPr>
            </w:pPr>
            <w:r>
              <w:rPr>
                <w:szCs w:val="21"/>
              </w:rPr>
              <w:t>出厂编号：G-2507/D-2526</w:t>
            </w:r>
          </w:p>
        </w:tc>
        <w:tc>
          <w:tcPr>
            <w:tcW w:w="1386" w:type="pct"/>
            <w:vAlign w:val="center"/>
          </w:tcPr>
          <w:p>
            <w:pPr>
              <w:wordWrap w:val="0"/>
              <w:jc w:val="left"/>
              <w:rPr>
                <w:b/>
                <w:bCs/>
                <w:szCs w:val="21"/>
              </w:rPr>
            </w:pPr>
            <w:r>
              <w:rPr>
                <w:b/>
                <w:bCs/>
                <w:szCs w:val="21"/>
              </w:rPr>
              <w:t>测量范围</w:t>
            </w:r>
          </w:p>
          <w:p>
            <w:pPr>
              <w:wordWrap w:val="0"/>
              <w:rPr>
                <w:szCs w:val="21"/>
              </w:rPr>
            </w:pPr>
            <w:r>
              <w:rPr>
                <w:szCs w:val="21"/>
              </w:rPr>
              <w:t>电场强度：</w:t>
            </w:r>
          </w:p>
          <w:p>
            <w:pPr>
              <w:wordWrap w:val="0"/>
              <w:rPr>
                <w:szCs w:val="21"/>
              </w:rPr>
            </w:pPr>
            <w:r>
              <w:rPr>
                <w:szCs w:val="21"/>
              </w:rPr>
              <w:t>0.01V/m～100kV/m</w:t>
            </w:r>
          </w:p>
          <w:p>
            <w:pPr>
              <w:wordWrap w:val="0"/>
              <w:rPr>
                <w:szCs w:val="21"/>
              </w:rPr>
            </w:pPr>
            <w:r>
              <w:rPr>
                <w:szCs w:val="21"/>
              </w:rPr>
              <w:t>磁感应强度：</w:t>
            </w:r>
          </w:p>
          <w:p>
            <w:pPr>
              <w:wordWrap w:val="0"/>
              <w:jc w:val="left"/>
              <w:rPr>
                <w:szCs w:val="21"/>
              </w:rPr>
            </w:pPr>
            <w:r>
              <w:rPr>
                <w:szCs w:val="21"/>
              </w:rPr>
              <w:t>1nT～10mT</w:t>
            </w:r>
          </w:p>
          <w:p>
            <w:pPr>
              <w:wordWrap w:val="0"/>
              <w:jc w:val="left"/>
              <w:rPr>
                <w:snapToGrid w:val="0"/>
                <w:kern w:val="0"/>
                <w:szCs w:val="21"/>
              </w:rPr>
            </w:pPr>
            <w:r>
              <w:rPr>
                <w:b/>
                <w:color w:val="000000" w:themeColor="text1"/>
                <w:szCs w:val="21"/>
                <w14:textFill>
                  <w14:solidFill>
                    <w14:schemeClr w14:val="tx1"/>
                  </w14:solidFill>
                </w14:textFill>
              </w:rPr>
              <w:t>频率范围</w:t>
            </w:r>
            <w:r>
              <w:rPr>
                <w:color w:val="000000" w:themeColor="text1"/>
                <w:szCs w:val="21"/>
                <w14:textFill>
                  <w14:solidFill>
                    <w14:schemeClr w14:val="tx1"/>
                  </w14:solidFill>
                </w14:textFill>
              </w:rPr>
              <w:t>：1Hz-100kHz</w:t>
            </w:r>
          </w:p>
        </w:tc>
        <w:tc>
          <w:tcPr>
            <w:tcW w:w="1942" w:type="pct"/>
            <w:vAlign w:val="center"/>
          </w:tcPr>
          <w:p>
            <w:pPr>
              <w:wordWrap w:val="0"/>
              <w:snapToGrid w:val="0"/>
              <w:rPr>
                <w:snapToGrid w:val="0"/>
                <w:kern w:val="0"/>
                <w:szCs w:val="21"/>
              </w:rPr>
            </w:pPr>
            <w:r>
              <w:rPr>
                <w:b/>
                <w:bCs/>
                <w:snapToGrid w:val="0"/>
                <w:kern w:val="0"/>
                <w:szCs w:val="21"/>
              </w:rPr>
              <w:t>校准单位：</w:t>
            </w:r>
            <w:r>
              <w:rPr>
                <w:snapToGrid w:val="0"/>
                <w:kern w:val="0"/>
                <w:szCs w:val="21"/>
              </w:rPr>
              <w:t>中国泰尔实验室</w:t>
            </w:r>
          </w:p>
          <w:p>
            <w:pPr>
              <w:wordWrap w:val="0"/>
              <w:snapToGrid w:val="0"/>
              <w:jc w:val="left"/>
              <w:rPr>
                <w:snapToGrid w:val="0"/>
                <w:kern w:val="0"/>
                <w:szCs w:val="21"/>
              </w:rPr>
            </w:pPr>
            <w:r>
              <w:rPr>
                <w:b/>
                <w:bCs/>
                <w:snapToGrid w:val="0"/>
                <w:kern w:val="0"/>
                <w:szCs w:val="21"/>
              </w:rPr>
              <w:t>证书编号：</w:t>
            </w:r>
            <w:r>
              <w:rPr>
                <w:snapToGrid w:val="0"/>
                <w:kern w:val="0"/>
                <w:szCs w:val="21"/>
              </w:rPr>
              <w:t>25J02X006176</w:t>
            </w:r>
          </w:p>
          <w:p>
            <w:pPr>
              <w:wordWrap w:val="0"/>
              <w:snapToGrid w:val="0"/>
              <w:rPr>
                <w:b/>
                <w:bCs/>
                <w:snapToGrid w:val="0"/>
                <w:kern w:val="0"/>
                <w:szCs w:val="21"/>
              </w:rPr>
            </w:pPr>
            <w:r>
              <w:rPr>
                <w:b/>
                <w:bCs/>
                <w:snapToGrid w:val="0"/>
                <w:kern w:val="0"/>
                <w:szCs w:val="21"/>
              </w:rPr>
              <w:t>有效期：</w:t>
            </w:r>
            <w:r>
              <w:rPr>
                <w:snapToGrid w:val="0"/>
                <w:kern w:val="0"/>
                <w:szCs w:val="21"/>
              </w:rPr>
              <w:t>2025.07.09-2026.07.08</w:t>
            </w:r>
          </w:p>
        </w:tc>
        <w:tc>
          <w:tcPr>
            <w:tcW w:w="360" w:type="pct"/>
            <w:vAlign w:val="center"/>
          </w:tcPr>
          <w:p>
            <w:pPr>
              <w:wordWrap w:val="0"/>
              <w:snapToGrid w:val="0"/>
              <w:rPr>
                <w:b/>
                <w:bCs/>
                <w:snapToGrid w:val="0"/>
                <w:kern w:val="0"/>
                <w:szCs w:val="21"/>
              </w:rPr>
            </w:pPr>
            <w:r>
              <w:rPr>
                <w:b/>
                <w:bCs/>
                <w:snapToGrid w:val="0"/>
                <w:kern w:val="0"/>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0" w:type="pct"/>
            <w:vAlign w:val="center"/>
          </w:tcPr>
          <w:p>
            <w:pPr>
              <w:wordWrap w:val="0"/>
              <w:rPr>
                <w:b/>
                <w:szCs w:val="21"/>
              </w:rPr>
            </w:pPr>
            <w:r>
              <w:rPr>
                <w:b/>
                <w:szCs w:val="21"/>
              </w:rPr>
              <w:t>温湿度风速仪</w:t>
            </w:r>
          </w:p>
          <w:p>
            <w:pPr>
              <w:wordWrap w:val="0"/>
              <w:rPr>
                <w:szCs w:val="21"/>
              </w:rPr>
            </w:pPr>
            <w:r>
              <w:rPr>
                <w:szCs w:val="21"/>
              </w:rPr>
              <w:t>仪器名称：多功能风速计</w:t>
            </w:r>
          </w:p>
          <w:p>
            <w:pPr>
              <w:wordWrap w:val="0"/>
              <w:rPr>
                <w:szCs w:val="21"/>
              </w:rPr>
            </w:pPr>
            <w:r>
              <w:rPr>
                <w:szCs w:val="21"/>
              </w:rPr>
              <w:t>仪器型号：Testo410-2</w:t>
            </w:r>
          </w:p>
          <w:p>
            <w:pPr>
              <w:wordWrap w:val="0"/>
              <w:rPr>
                <w:b/>
                <w:szCs w:val="21"/>
              </w:rPr>
            </w:pPr>
            <w:r>
              <w:rPr>
                <w:szCs w:val="21"/>
              </w:rPr>
              <w:t>出厂编号：38580621/909</w:t>
            </w:r>
          </w:p>
        </w:tc>
        <w:tc>
          <w:tcPr>
            <w:tcW w:w="1386" w:type="pct"/>
            <w:vAlign w:val="center"/>
          </w:tcPr>
          <w:p>
            <w:pPr>
              <w:wordWrap w:val="0"/>
              <w:jc w:val="left"/>
              <w:rPr>
                <w:b/>
                <w:szCs w:val="21"/>
              </w:rPr>
            </w:pPr>
            <w:r>
              <w:rPr>
                <w:b/>
                <w:szCs w:val="21"/>
              </w:rPr>
              <w:t>温度</w:t>
            </w:r>
          </w:p>
          <w:p>
            <w:pPr>
              <w:wordWrap w:val="0"/>
              <w:rPr>
                <w:szCs w:val="21"/>
              </w:rPr>
            </w:pPr>
            <w:r>
              <w:rPr>
                <w:szCs w:val="21"/>
              </w:rPr>
              <w:t>测量范围：-10℃~+50℃</w:t>
            </w:r>
          </w:p>
          <w:p>
            <w:pPr>
              <w:wordWrap w:val="0"/>
              <w:jc w:val="left"/>
              <w:rPr>
                <w:b/>
                <w:szCs w:val="21"/>
              </w:rPr>
            </w:pPr>
            <w:r>
              <w:rPr>
                <w:b/>
                <w:szCs w:val="21"/>
              </w:rPr>
              <w:t>湿度</w:t>
            </w:r>
          </w:p>
          <w:p>
            <w:pPr>
              <w:wordWrap w:val="0"/>
              <w:rPr>
                <w:szCs w:val="21"/>
              </w:rPr>
            </w:pPr>
            <w:r>
              <w:rPr>
                <w:szCs w:val="21"/>
              </w:rPr>
              <w:t>测量范围：0% ~100%（无结露）</w:t>
            </w:r>
          </w:p>
          <w:p>
            <w:pPr>
              <w:wordWrap w:val="0"/>
              <w:jc w:val="left"/>
              <w:rPr>
                <w:b/>
                <w:szCs w:val="21"/>
              </w:rPr>
            </w:pPr>
            <w:r>
              <w:rPr>
                <w:b/>
                <w:szCs w:val="21"/>
              </w:rPr>
              <w:t>风速</w:t>
            </w:r>
          </w:p>
          <w:p>
            <w:pPr>
              <w:wordWrap w:val="0"/>
              <w:rPr>
                <w:b/>
                <w:szCs w:val="21"/>
              </w:rPr>
            </w:pPr>
            <w:r>
              <w:rPr>
                <w:szCs w:val="21"/>
              </w:rPr>
              <w:t>测量范围：0.4m/s~20m/s</w:t>
            </w:r>
          </w:p>
        </w:tc>
        <w:tc>
          <w:tcPr>
            <w:tcW w:w="1942" w:type="pct"/>
            <w:vAlign w:val="center"/>
          </w:tcPr>
          <w:p>
            <w:pPr>
              <w:wordWrap w:val="0"/>
              <w:snapToGrid w:val="0"/>
              <w:rPr>
                <w:snapToGrid w:val="0"/>
                <w:kern w:val="0"/>
                <w:szCs w:val="21"/>
              </w:rPr>
            </w:pPr>
            <w:r>
              <w:rPr>
                <w:b/>
                <w:snapToGrid w:val="0"/>
                <w:kern w:val="0"/>
                <w:szCs w:val="21"/>
              </w:rPr>
              <w:t>校准单位：</w:t>
            </w:r>
            <w:r>
              <w:rPr>
                <w:snapToGrid w:val="0"/>
                <w:kern w:val="0"/>
                <w:szCs w:val="21"/>
              </w:rPr>
              <w:t>湖北省计量测试技术研究院</w:t>
            </w:r>
          </w:p>
          <w:p>
            <w:pPr>
              <w:wordWrap w:val="0"/>
              <w:snapToGrid w:val="0"/>
              <w:rPr>
                <w:snapToGrid w:val="0"/>
                <w:kern w:val="0"/>
                <w:szCs w:val="21"/>
              </w:rPr>
            </w:pPr>
            <w:r>
              <w:rPr>
                <w:b/>
                <w:snapToGrid w:val="0"/>
                <w:kern w:val="0"/>
                <w:szCs w:val="21"/>
              </w:rPr>
              <w:t>证书编号：</w:t>
            </w:r>
            <w:r>
              <w:rPr>
                <w:snapToGrid w:val="0"/>
                <w:kern w:val="0"/>
                <w:szCs w:val="21"/>
              </w:rPr>
              <w:t>2025RG011802703</w:t>
            </w:r>
          </w:p>
          <w:p>
            <w:pPr>
              <w:wordWrap w:val="0"/>
              <w:snapToGrid w:val="0"/>
              <w:rPr>
                <w:snapToGrid w:val="0"/>
                <w:kern w:val="0"/>
                <w:szCs w:val="21"/>
              </w:rPr>
            </w:pPr>
            <w:r>
              <w:rPr>
                <w:b/>
                <w:snapToGrid w:val="0"/>
                <w:kern w:val="0"/>
                <w:szCs w:val="21"/>
              </w:rPr>
              <w:t>有效期：</w:t>
            </w:r>
            <w:r>
              <w:rPr>
                <w:snapToGrid w:val="0"/>
                <w:kern w:val="0"/>
                <w:szCs w:val="21"/>
              </w:rPr>
              <w:t>2025.11.20-2026.11.19</w:t>
            </w:r>
          </w:p>
          <w:p>
            <w:pPr>
              <w:wordWrap w:val="0"/>
              <w:snapToGrid w:val="0"/>
              <w:rPr>
                <w:b/>
                <w:snapToGrid w:val="0"/>
                <w:kern w:val="0"/>
                <w:szCs w:val="21"/>
              </w:rPr>
            </w:pPr>
          </w:p>
          <w:p>
            <w:pPr>
              <w:wordWrap w:val="0"/>
              <w:snapToGrid w:val="0"/>
              <w:rPr>
                <w:b/>
                <w:snapToGrid w:val="0"/>
                <w:kern w:val="0"/>
                <w:szCs w:val="21"/>
              </w:rPr>
            </w:pPr>
            <w:r>
              <w:rPr>
                <w:b/>
                <w:snapToGrid w:val="0"/>
                <w:kern w:val="0"/>
                <w:szCs w:val="21"/>
              </w:rPr>
              <w:t>检定单位：</w:t>
            </w:r>
            <w:r>
              <w:rPr>
                <w:snapToGrid w:val="0"/>
                <w:kern w:val="0"/>
                <w:szCs w:val="21"/>
              </w:rPr>
              <w:t>湖北省气象计量检定站</w:t>
            </w:r>
          </w:p>
          <w:p>
            <w:pPr>
              <w:wordWrap w:val="0"/>
              <w:snapToGrid w:val="0"/>
              <w:rPr>
                <w:b/>
                <w:snapToGrid w:val="0"/>
                <w:kern w:val="0"/>
                <w:szCs w:val="21"/>
              </w:rPr>
            </w:pPr>
            <w:r>
              <w:rPr>
                <w:b/>
                <w:snapToGrid w:val="0"/>
                <w:kern w:val="0"/>
                <w:szCs w:val="21"/>
              </w:rPr>
              <w:t>证书编号：</w:t>
            </w:r>
            <w:r>
              <w:rPr>
                <w:snapToGrid w:val="0"/>
                <w:kern w:val="0"/>
                <w:szCs w:val="21"/>
              </w:rPr>
              <w:t>鄂气检42511096</w:t>
            </w:r>
          </w:p>
          <w:p>
            <w:pPr>
              <w:wordWrap w:val="0"/>
              <w:snapToGrid w:val="0"/>
              <w:rPr>
                <w:b/>
                <w:snapToGrid w:val="0"/>
                <w:kern w:val="0"/>
                <w:szCs w:val="21"/>
              </w:rPr>
            </w:pPr>
            <w:r>
              <w:rPr>
                <w:b/>
                <w:snapToGrid w:val="0"/>
                <w:kern w:val="0"/>
                <w:szCs w:val="21"/>
              </w:rPr>
              <w:t>有效期：</w:t>
            </w:r>
            <w:r>
              <w:rPr>
                <w:snapToGrid w:val="0"/>
                <w:kern w:val="0"/>
                <w:szCs w:val="21"/>
              </w:rPr>
              <w:t>2025.11.25-2026.11.24</w:t>
            </w:r>
          </w:p>
        </w:tc>
        <w:tc>
          <w:tcPr>
            <w:tcW w:w="360" w:type="pct"/>
            <w:vAlign w:val="center"/>
          </w:tcPr>
          <w:p>
            <w:pPr>
              <w:wordWrap w:val="0"/>
              <w:snapToGrid w:val="0"/>
              <w:rPr>
                <w:b/>
                <w:snapToGrid w:val="0"/>
                <w:kern w:val="0"/>
                <w:szCs w:val="21"/>
              </w:rPr>
            </w:pPr>
            <w:r>
              <w:rPr>
                <w:b/>
                <w:snapToGrid w:val="0"/>
                <w:kern w:val="0"/>
                <w:szCs w:val="21"/>
              </w:rPr>
              <w:t>合格</w:t>
            </w:r>
          </w:p>
        </w:tc>
      </w:tr>
    </w:tbl>
    <w:p>
      <w:pPr>
        <w:spacing w:line="360" w:lineRule="auto"/>
        <w:outlineLvl w:val="1"/>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2.8监测结果与分析</w:t>
      </w:r>
      <w:bookmarkEnd w:id="769"/>
    </w:p>
    <w:p>
      <w:pPr>
        <w:spacing w:line="360" w:lineRule="auto"/>
        <w:ind w:firstLine="480" w:firstLineChars="200"/>
        <w:rPr>
          <w:sz w:val="24"/>
          <w:szCs w:val="32"/>
        </w:rPr>
      </w:pPr>
      <w:r>
        <w:rPr>
          <w:rFonts w:hint="eastAsia"/>
          <w:sz w:val="24"/>
          <w:szCs w:val="32"/>
        </w:rPr>
        <w:t>（1）监测结果</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本工程电磁环境现状监测结果见</w:t>
      </w:r>
      <w:r>
        <w:rPr>
          <w:b w:val="0"/>
          <w:bCs w:val="0"/>
          <w:color w:val="000000" w:themeColor="text1"/>
          <w14:textFill>
            <w14:solidFill>
              <w14:schemeClr w14:val="tx1"/>
            </w14:solidFill>
          </w14:textFill>
        </w:rPr>
        <w:fldChar w:fldCharType="begin"/>
      </w:r>
      <w:r>
        <w:rPr>
          <w:b w:val="0"/>
          <w:bCs w:val="0"/>
        </w:rPr>
        <w:instrText xml:space="preserve"> REF _Ref157248336 \h  \* MERGEFORMAT</w:instrText>
      </w:r>
      <w:r>
        <w:rPr>
          <w:b w:val="0"/>
          <w:bCs w:val="0"/>
          <w:color w:val="000000" w:themeColor="text1"/>
          <w14:textFill>
            <w14:solidFill>
              <w14:schemeClr w14:val="tx1"/>
            </w14:solidFill>
          </w14:textFill>
        </w:rPr>
        <w:fldChar w:fldCharType="separate"/>
      </w:r>
      <w:r>
        <w:rPr>
          <w:b w:val="0"/>
          <w:bCs w:val="0"/>
        </w:rPr>
        <w:t>表35</w:t>
      </w:r>
      <w:r>
        <w:rPr>
          <w:b w:val="0"/>
          <w:bCs w:val="0"/>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w:t>
      </w:r>
    </w:p>
    <w:p>
      <w:pPr>
        <w:jc w:val="left"/>
        <w:rPr>
          <w:sz w:val="24"/>
          <w:szCs w:val="32"/>
        </w:rPr>
      </w:pPr>
      <w:bookmarkStart w:id="770" w:name="_Ref157248336"/>
      <w:r>
        <w:rPr>
          <w:b/>
        </w:rPr>
        <w:t>表</w:t>
      </w:r>
      <w:r>
        <w:rPr>
          <w:b/>
        </w:rPr>
        <w:fldChar w:fldCharType="begin"/>
      </w:r>
      <w:r>
        <w:rPr>
          <w:b/>
        </w:rPr>
        <w:instrText xml:space="preserve"> SEQ 表 \* ARABIC </w:instrText>
      </w:r>
      <w:r>
        <w:rPr>
          <w:b/>
        </w:rPr>
        <w:fldChar w:fldCharType="separate"/>
      </w:r>
      <w:r>
        <w:rPr>
          <w:b/>
        </w:rPr>
        <w:t>35</w:t>
      </w:r>
      <w:r>
        <w:rPr>
          <w:b/>
        </w:rPr>
        <w:fldChar w:fldCharType="end"/>
      </w:r>
      <w:bookmarkEnd w:id="770"/>
      <w:r>
        <w:rPr>
          <w:b/>
        </w:rPr>
        <w:t>电磁环境现状监测结果表</w:t>
      </w:r>
    </w:p>
    <w:tbl>
      <w:tblPr>
        <w:tblStyle w:val="37"/>
        <w:tblW w:w="49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
        <w:gridCol w:w="2687"/>
        <w:gridCol w:w="1420"/>
        <w:gridCol w:w="1602"/>
        <w:gridCol w:w="2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265" w:type="pct"/>
            <w:vAlign w:val="center"/>
          </w:tcPr>
          <w:p>
            <w:pPr>
              <w:widowControl/>
              <w:wordWrap w:val="0"/>
              <w:jc w:val="center"/>
              <w:rPr>
                <w:b/>
                <w:bCs/>
                <w:kern w:val="0"/>
                <w:szCs w:val="21"/>
              </w:rPr>
            </w:pPr>
            <w:r>
              <w:rPr>
                <w:b/>
                <w:bCs/>
                <w:kern w:val="0"/>
                <w:szCs w:val="21"/>
              </w:rPr>
              <w:t>序号</w:t>
            </w:r>
          </w:p>
        </w:tc>
        <w:tc>
          <w:tcPr>
            <w:tcW w:w="1568" w:type="pct"/>
            <w:vAlign w:val="center"/>
          </w:tcPr>
          <w:p>
            <w:pPr>
              <w:widowControl/>
              <w:wordWrap w:val="0"/>
              <w:jc w:val="center"/>
              <w:rPr>
                <w:b/>
                <w:bCs/>
                <w:kern w:val="0"/>
                <w:szCs w:val="21"/>
              </w:rPr>
            </w:pPr>
            <w:r>
              <w:rPr>
                <w:b/>
                <w:bCs/>
                <w:kern w:val="0"/>
                <w:szCs w:val="21"/>
              </w:rPr>
              <w:t>检测点位</w:t>
            </w:r>
          </w:p>
        </w:tc>
        <w:tc>
          <w:tcPr>
            <w:tcW w:w="829" w:type="pct"/>
            <w:vAlign w:val="center"/>
          </w:tcPr>
          <w:p>
            <w:pPr>
              <w:widowControl/>
              <w:wordWrap w:val="0"/>
              <w:jc w:val="center"/>
              <w:rPr>
                <w:b/>
                <w:bCs/>
                <w:kern w:val="0"/>
                <w:szCs w:val="21"/>
              </w:rPr>
            </w:pPr>
            <w:r>
              <w:rPr>
                <w:b/>
                <w:bCs/>
                <w:kern w:val="0"/>
                <w:szCs w:val="21"/>
              </w:rPr>
              <w:t>电场强度（V/m）</w:t>
            </w:r>
          </w:p>
        </w:tc>
        <w:tc>
          <w:tcPr>
            <w:tcW w:w="935" w:type="pct"/>
            <w:vAlign w:val="center"/>
          </w:tcPr>
          <w:p>
            <w:pPr>
              <w:widowControl/>
              <w:wordWrap w:val="0"/>
              <w:jc w:val="center"/>
              <w:rPr>
                <w:b/>
                <w:bCs/>
                <w:kern w:val="0"/>
                <w:szCs w:val="21"/>
              </w:rPr>
            </w:pPr>
            <w:r>
              <w:rPr>
                <w:b/>
                <w:bCs/>
                <w:kern w:val="0"/>
                <w:szCs w:val="21"/>
              </w:rPr>
              <w:t>磁感应强度（μT）</w:t>
            </w:r>
          </w:p>
        </w:tc>
        <w:tc>
          <w:tcPr>
            <w:tcW w:w="1400" w:type="pct"/>
            <w:vAlign w:val="center"/>
          </w:tcPr>
          <w:p>
            <w:pPr>
              <w:widowControl/>
              <w:wordWrap w:val="0"/>
              <w:jc w:val="center"/>
              <w:rPr>
                <w:b/>
                <w:bCs/>
                <w:kern w:val="0"/>
                <w:szCs w:val="21"/>
              </w:rPr>
            </w:pPr>
            <w:r>
              <w:rPr>
                <w:b/>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5000" w:type="pct"/>
            <w:gridSpan w:val="5"/>
            <w:vAlign w:val="center"/>
          </w:tcPr>
          <w:p>
            <w:pPr>
              <w:widowControl/>
              <w:wordWrap w:val="0"/>
              <w:rPr>
                <w:szCs w:val="21"/>
              </w:rPr>
            </w:pPr>
            <w:r>
              <w:rPr>
                <w:b/>
                <w:kern w:val="0"/>
                <w:szCs w:val="21"/>
              </w:rPr>
              <w:t>一</w:t>
            </w:r>
            <w:r>
              <w:rPr>
                <w:rFonts w:hint="eastAsia"/>
                <w:b/>
                <w:kern w:val="0"/>
                <w:szCs w:val="21"/>
              </w:rPr>
              <w:t>、</w:t>
            </w:r>
            <w:r>
              <w:rPr>
                <w:b/>
                <w:kern w:val="0"/>
                <w:szCs w:val="21"/>
              </w:rPr>
              <w:t>伊拉湖220千伏变电站新建工程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1</w:t>
            </w:r>
          </w:p>
        </w:tc>
        <w:tc>
          <w:tcPr>
            <w:tcW w:w="1568" w:type="pct"/>
            <w:vAlign w:val="center"/>
          </w:tcPr>
          <w:p>
            <w:pPr>
              <w:widowControl/>
              <w:wordWrap w:val="0"/>
              <w:jc w:val="center"/>
              <w:rPr>
                <w:kern w:val="0"/>
                <w:szCs w:val="21"/>
              </w:rPr>
            </w:pPr>
            <w:r>
              <w:rPr>
                <w:kern w:val="0"/>
                <w:szCs w:val="21"/>
              </w:rPr>
              <w:t>伊拉湖220kV变电站站址东侧1#</w:t>
            </w:r>
          </w:p>
        </w:tc>
        <w:tc>
          <w:tcPr>
            <w:tcW w:w="829" w:type="pct"/>
            <w:vAlign w:val="center"/>
          </w:tcPr>
          <w:p>
            <w:pPr>
              <w:widowControl/>
              <w:wordWrap w:val="0"/>
              <w:jc w:val="center"/>
              <w:rPr>
                <w:kern w:val="0"/>
                <w:szCs w:val="21"/>
              </w:rPr>
            </w:pPr>
            <w:r>
              <w:rPr>
                <w:kern w:val="0"/>
                <w:szCs w:val="21"/>
              </w:rPr>
              <w:t>0.08</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2</w:t>
            </w:r>
          </w:p>
        </w:tc>
        <w:tc>
          <w:tcPr>
            <w:tcW w:w="1568" w:type="pct"/>
            <w:vAlign w:val="center"/>
          </w:tcPr>
          <w:p>
            <w:pPr>
              <w:widowControl/>
              <w:wordWrap w:val="0"/>
              <w:jc w:val="center"/>
              <w:rPr>
                <w:kern w:val="0"/>
                <w:szCs w:val="21"/>
              </w:rPr>
            </w:pPr>
            <w:r>
              <w:rPr>
                <w:kern w:val="0"/>
                <w:szCs w:val="21"/>
              </w:rPr>
              <w:t>伊拉湖220kV变电站站址东侧2#</w:t>
            </w:r>
          </w:p>
        </w:tc>
        <w:tc>
          <w:tcPr>
            <w:tcW w:w="829" w:type="pct"/>
            <w:vAlign w:val="center"/>
          </w:tcPr>
          <w:p>
            <w:pPr>
              <w:widowControl/>
              <w:wordWrap w:val="0"/>
              <w:jc w:val="center"/>
              <w:rPr>
                <w:kern w:val="0"/>
                <w:szCs w:val="21"/>
              </w:rPr>
            </w:pPr>
            <w:r>
              <w:rPr>
                <w:kern w:val="0"/>
                <w:szCs w:val="21"/>
              </w:rPr>
              <w:t>0.08</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3</w:t>
            </w:r>
          </w:p>
        </w:tc>
        <w:tc>
          <w:tcPr>
            <w:tcW w:w="1568" w:type="pct"/>
            <w:vAlign w:val="center"/>
          </w:tcPr>
          <w:p>
            <w:pPr>
              <w:widowControl/>
              <w:wordWrap w:val="0"/>
              <w:jc w:val="center"/>
              <w:rPr>
                <w:kern w:val="0"/>
                <w:szCs w:val="21"/>
              </w:rPr>
            </w:pPr>
            <w:r>
              <w:rPr>
                <w:kern w:val="0"/>
                <w:szCs w:val="21"/>
              </w:rPr>
              <w:t>伊拉湖220kV变电站站址南侧3#</w:t>
            </w:r>
          </w:p>
        </w:tc>
        <w:tc>
          <w:tcPr>
            <w:tcW w:w="829" w:type="pct"/>
            <w:vAlign w:val="center"/>
          </w:tcPr>
          <w:p>
            <w:pPr>
              <w:widowControl/>
              <w:wordWrap w:val="0"/>
              <w:jc w:val="center"/>
              <w:rPr>
                <w:kern w:val="0"/>
                <w:szCs w:val="21"/>
              </w:rPr>
            </w:pPr>
            <w:r>
              <w:rPr>
                <w:kern w:val="0"/>
                <w:szCs w:val="21"/>
              </w:rPr>
              <w:t>0.10</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4</w:t>
            </w:r>
          </w:p>
        </w:tc>
        <w:tc>
          <w:tcPr>
            <w:tcW w:w="1568" w:type="pct"/>
            <w:vAlign w:val="center"/>
          </w:tcPr>
          <w:p>
            <w:pPr>
              <w:widowControl/>
              <w:wordWrap w:val="0"/>
              <w:jc w:val="center"/>
              <w:rPr>
                <w:kern w:val="0"/>
                <w:szCs w:val="21"/>
              </w:rPr>
            </w:pPr>
            <w:r>
              <w:rPr>
                <w:kern w:val="0"/>
                <w:szCs w:val="21"/>
              </w:rPr>
              <w:t>伊拉湖220kV变电站站址南侧4#</w:t>
            </w:r>
          </w:p>
        </w:tc>
        <w:tc>
          <w:tcPr>
            <w:tcW w:w="829" w:type="pct"/>
            <w:vAlign w:val="center"/>
          </w:tcPr>
          <w:p>
            <w:pPr>
              <w:widowControl/>
              <w:wordWrap w:val="0"/>
              <w:jc w:val="center"/>
              <w:rPr>
                <w:kern w:val="0"/>
                <w:szCs w:val="21"/>
              </w:rPr>
            </w:pPr>
            <w:r>
              <w:rPr>
                <w:kern w:val="0"/>
                <w:szCs w:val="21"/>
              </w:rPr>
              <w:t>0.14</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5</w:t>
            </w:r>
          </w:p>
        </w:tc>
        <w:tc>
          <w:tcPr>
            <w:tcW w:w="1568" w:type="pct"/>
            <w:vAlign w:val="center"/>
          </w:tcPr>
          <w:p>
            <w:pPr>
              <w:widowControl/>
              <w:wordWrap w:val="0"/>
              <w:jc w:val="center"/>
              <w:rPr>
                <w:kern w:val="0"/>
                <w:szCs w:val="21"/>
              </w:rPr>
            </w:pPr>
            <w:r>
              <w:rPr>
                <w:kern w:val="0"/>
                <w:szCs w:val="21"/>
              </w:rPr>
              <w:t>伊拉湖220kV变电站站址西侧5#</w:t>
            </w:r>
          </w:p>
        </w:tc>
        <w:tc>
          <w:tcPr>
            <w:tcW w:w="829" w:type="pct"/>
            <w:vAlign w:val="center"/>
          </w:tcPr>
          <w:p>
            <w:pPr>
              <w:widowControl/>
              <w:wordWrap w:val="0"/>
              <w:jc w:val="center"/>
              <w:rPr>
                <w:kern w:val="0"/>
                <w:szCs w:val="21"/>
              </w:rPr>
            </w:pPr>
            <w:r>
              <w:rPr>
                <w:kern w:val="0"/>
                <w:szCs w:val="21"/>
              </w:rPr>
              <w:t>0.11</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6</w:t>
            </w:r>
          </w:p>
        </w:tc>
        <w:tc>
          <w:tcPr>
            <w:tcW w:w="1568" w:type="pct"/>
            <w:vAlign w:val="center"/>
          </w:tcPr>
          <w:p>
            <w:pPr>
              <w:widowControl/>
              <w:wordWrap w:val="0"/>
              <w:jc w:val="center"/>
              <w:rPr>
                <w:kern w:val="0"/>
                <w:szCs w:val="21"/>
              </w:rPr>
            </w:pPr>
            <w:r>
              <w:rPr>
                <w:kern w:val="0"/>
                <w:szCs w:val="21"/>
              </w:rPr>
              <w:t>伊拉湖220kV变电站站址西侧6#</w:t>
            </w:r>
          </w:p>
        </w:tc>
        <w:tc>
          <w:tcPr>
            <w:tcW w:w="829" w:type="pct"/>
            <w:vAlign w:val="center"/>
          </w:tcPr>
          <w:p>
            <w:pPr>
              <w:widowControl/>
              <w:wordWrap w:val="0"/>
              <w:jc w:val="center"/>
              <w:rPr>
                <w:kern w:val="0"/>
                <w:szCs w:val="21"/>
              </w:rPr>
            </w:pPr>
            <w:r>
              <w:rPr>
                <w:kern w:val="0"/>
                <w:szCs w:val="21"/>
              </w:rPr>
              <w:t>0.16</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7</w:t>
            </w:r>
          </w:p>
        </w:tc>
        <w:tc>
          <w:tcPr>
            <w:tcW w:w="1568" w:type="pct"/>
            <w:vAlign w:val="center"/>
          </w:tcPr>
          <w:p>
            <w:pPr>
              <w:widowControl/>
              <w:wordWrap w:val="0"/>
              <w:jc w:val="center"/>
              <w:rPr>
                <w:kern w:val="0"/>
                <w:szCs w:val="21"/>
              </w:rPr>
            </w:pPr>
            <w:r>
              <w:rPr>
                <w:kern w:val="0"/>
                <w:szCs w:val="21"/>
              </w:rPr>
              <w:t>伊拉湖220kV变电站站址北侧7#</w:t>
            </w:r>
          </w:p>
        </w:tc>
        <w:tc>
          <w:tcPr>
            <w:tcW w:w="829" w:type="pct"/>
            <w:vAlign w:val="center"/>
          </w:tcPr>
          <w:p>
            <w:pPr>
              <w:widowControl/>
              <w:wordWrap w:val="0"/>
              <w:jc w:val="center"/>
              <w:rPr>
                <w:kern w:val="0"/>
                <w:szCs w:val="21"/>
              </w:rPr>
            </w:pPr>
            <w:r>
              <w:rPr>
                <w:kern w:val="0"/>
                <w:szCs w:val="21"/>
              </w:rPr>
              <w:t>0.07</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8</w:t>
            </w:r>
          </w:p>
        </w:tc>
        <w:tc>
          <w:tcPr>
            <w:tcW w:w="1568" w:type="pct"/>
            <w:vAlign w:val="center"/>
          </w:tcPr>
          <w:p>
            <w:pPr>
              <w:widowControl/>
              <w:wordWrap w:val="0"/>
              <w:jc w:val="center"/>
              <w:rPr>
                <w:kern w:val="0"/>
                <w:szCs w:val="21"/>
              </w:rPr>
            </w:pPr>
            <w:r>
              <w:rPr>
                <w:kern w:val="0"/>
                <w:szCs w:val="21"/>
              </w:rPr>
              <w:t>伊拉湖220kV变电站站址北侧8#</w:t>
            </w:r>
          </w:p>
        </w:tc>
        <w:tc>
          <w:tcPr>
            <w:tcW w:w="829" w:type="pct"/>
            <w:vAlign w:val="center"/>
          </w:tcPr>
          <w:p>
            <w:pPr>
              <w:widowControl/>
              <w:wordWrap w:val="0"/>
              <w:jc w:val="center"/>
              <w:rPr>
                <w:kern w:val="0"/>
                <w:szCs w:val="21"/>
              </w:rPr>
            </w:pPr>
            <w:r>
              <w:rPr>
                <w:kern w:val="0"/>
                <w:szCs w:val="21"/>
              </w:rPr>
              <w:t>0.11</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9</w:t>
            </w:r>
          </w:p>
        </w:tc>
        <w:tc>
          <w:tcPr>
            <w:tcW w:w="1568" w:type="pct"/>
            <w:vAlign w:val="center"/>
          </w:tcPr>
          <w:p>
            <w:pPr>
              <w:widowControl/>
              <w:wordWrap w:val="0"/>
              <w:jc w:val="center"/>
              <w:rPr>
                <w:kern w:val="0"/>
                <w:szCs w:val="21"/>
              </w:rPr>
            </w:pPr>
            <w:r>
              <w:rPr>
                <w:kern w:val="0"/>
                <w:szCs w:val="21"/>
              </w:rPr>
              <w:t>伊拉湖220kV变电站站址中心9#</w:t>
            </w:r>
          </w:p>
        </w:tc>
        <w:tc>
          <w:tcPr>
            <w:tcW w:w="829" w:type="pct"/>
            <w:vAlign w:val="center"/>
          </w:tcPr>
          <w:p>
            <w:pPr>
              <w:widowControl/>
              <w:wordWrap w:val="0"/>
              <w:jc w:val="center"/>
              <w:rPr>
                <w:kern w:val="0"/>
                <w:szCs w:val="21"/>
              </w:rPr>
            </w:pPr>
            <w:r>
              <w:rPr>
                <w:kern w:val="0"/>
                <w:szCs w:val="21"/>
              </w:rPr>
              <w:t>0.12</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5000" w:type="pct"/>
            <w:gridSpan w:val="5"/>
            <w:vAlign w:val="center"/>
          </w:tcPr>
          <w:p>
            <w:pPr>
              <w:widowControl/>
              <w:wordWrap w:val="0"/>
              <w:rPr>
                <w:szCs w:val="21"/>
              </w:rPr>
            </w:pPr>
            <w:r>
              <w:rPr>
                <w:b/>
                <w:kern w:val="0"/>
                <w:szCs w:val="21"/>
              </w:rPr>
              <w:t>二</w:t>
            </w:r>
            <w:r>
              <w:rPr>
                <w:rFonts w:hint="eastAsia"/>
                <w:b/>
                <w:kern w:val="0"/>
                <w:szCs w:val="21"/>
              </w:rPr>
              <w:t>、</w:t>
            </w:r>
            <w:r>
              <w:rPr>
                <w:b/>
                <w:kern w:val="0"/>
                <w:szCs w:val="21"/>
              </w:rPr>
              <w:t>吐鲁番电厂</w:t>
            </w:r>
            <w:r>
              <w:rPr>
                <w:rFonts w:hint="eastAsia"/>
                <w:b/>
                <w:kern w:val="0"/>
                <w:szCs w:val="21"/>
              </w:rPr>
              <w:t>-</w:t>
            </w:r>
            <w:r>
              <w:rPr>
                <w:b/>
                <w:kern w:val="0"/>
                <w:szCs w:val="21"/>
              </w:rPr>
              <w:t>阿拉沟变Ⅰ、Ⅱ回π入伊拉湖变电站220千伏线路工程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1</w:t>
            </w:r>
          </w:p>
        </w:tc>
        <w:tc>
          <w:tcPr>
            <w:tcW w:w="1568" w:type="pct"/>
            <w:vAlign w:val="center"/>
          </w:tcPr>
          <w:p>
            <w:pPr>
              <w:widowControl/>
              <w:wordWrap w:val="0"/>
              <w:jc w:val="center"/>
              <w:rPr>
                <w:kern w:val="0"/>
                <w:szCs w:val="21"/>
              </w:rPr>
            </w:pPr>
            <w:r>
              <w:rPr>
                <w:kern w:val="0"/>
                <w:szCs w:val="21"/>
              </w:rPr>
              <w:t>线路背景值1#</w:t>
            </w:r>
          </w:p>
        </w:tc>
        <w:tc>
          <w:tcPr>
            <w:tcW w:w="829" w:type="pct"/>
            <w:vAlign w:val="center"/>
          </w:tcPr>
          <w:p>
            <w:pPr>
              <w:widowControl/>
              <w:wordWrap w:val="0"/>
              <w:jc w:val="center"/>
              <w:rPr>
                <w:kern w:val="0"/>
                <w:szCs w:val="21"/>
              </w:rPr>
            </w:pPr>
            <w:r>
              <w:rPr>
                <w:kern w:val="0"/>
                <w:szCs w:val="21"/>
              </w:rPr>
              <w:t>0.13</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2</w:t>
            </w:r>
          </w:p>
        </w:tc>
        <w:tc>
          <w:tcPr>
            <w:tcW w:w="1568" w:type="pct"/>
            <w:vAlign w:val="center"/>
          </w:tcPr>
          <w:p>
            <w:pPr>
              <w:widowControl/>
              <w:wordWrap w:val="0"/>
              <w:jc w:val="center"/>
              <w:rPr>
                <w:kern w:val="0"/>
                <w:szCs w:val="21"/>
              </w:rPr>
            </w:pPr>
            <w:r>
              <w:rPr>
                <w:kern w:val="0"/>
                <w:szCs w:val="21"/>
              </w:rPr>
              <w:t>线路背景值2#</w:t>
            </w:r>
          </w:p>
        </w:tc>
        <w:tc>
          <w:tcPr>
            <w:tcW w:w="829" w:type="pct"/>
            <w:vAlign w:val="center"/>
          </w:tcPr>
          <w:p>
            <w:pPr>
              <w:widowControl/>
              <w:wordWrap w:val="0"/>
              <w:jc w:val="center"/>
              <w:rPr>
                <w:kern w:val="0"/>
                <w:szCs w:val="21"/>
              </w:rPr>
            </w:pPr>
            <w:r>
              <w:rPr>
                <w:kern w:val="0"/>
                <w:szCs w:val="21"/>
              </w:rPr>
              <w:t>0.72</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3</w:t>
            </w:r>
          </w:p>
        </w:tc>
        <w:tc>
          <w:tcPr>
            <w:tcW w:w="1568" w:type="pct"/>
            <w:vAlign w:val="center"/>
          </w:tcPr>
          <w:p>
            <w:pPr>
              <w:widowControl/>
              <w:wordWrap w:val="0"/>
              <w:jc w:val="center"/>
              <w:rPr>
                <w:kern w:val="0"/>
                <w:szCs w:val="21"/>
              </w:rPr>
            </w:pPr>
            <w:r>
              <w:rPr>
                <w:kern w:val="0"/>
                <w:szCs w:val="21"/>
              </w:rPr>
              <w:t>线路背景值3#</w:t>
            </w:r>
          </w:p>
        </w:tc>
        <w:tc>
          <w:tcPr>
            <w:tcW w:w="829" w:type="pct"/>
            <w:vAlign w:val="center"/>
          </w:tcPr>
          <w:p>
            <w:pPr>
              <w:widowControl/>
              <w:wordWrap w:val="0"/>
              <w:jc w:val="center"/>
              <w:rPr>
                <w:kern w:val="0"/>
                <w:szCs w:val="21"/>
              </w:rPr>
            </w:pPr>
            <w:r>
              <w:rPr>
                <w:kern w:val="0"/>
                <w:szCs w:val="21"/>
              </w:rPr>
              <w:t>0.68</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4</w:t>
            </w:r>
          </w:p>
        </w:tc>
        <w:tc>
          <w:tcPr>
            <w:tcW w:w="1568" w:type="pct"/>
            <w:vAlign w:val="center"/>
          </w:tcPr>
          <w:p>
            <w:pPr>
              <w:widowControl/>
              <w:wordWrap w:val="0"/>
              <w:jc w:val="center"/>
              <w:rPr>
                <w:kern w:val="0"/>
                <w:szCs w:val="21"/>
              </w:rPr>
            </w:pPr>
            <w:r>
              <w:rPr>
                <w:kern w:val="0"/>
                <w:szCs w:val="21"/>
              </w:rPr>
              <w:t>线路背景值4#</w:t>
            </w:r>
          </w:p>
        </w:tc>
        <w:tc>
          <w:tcPr>
            <w:tcW w:w="829" w:type="pct"/>
            <w:vAlign w:val="center"/>
          </w:tcPr>
          <w:p>
            <w:pPr>
              <w:widowControl/>
              <w:wordWrap w:val="0"/>
              <w:jc w:val="center"/>
              <w:rPr>
                <w:kern w:val="0"/>
                <w:szCs w:val="21"/>
              </w:rPr>
            </w:pPr>
            <w:r>
              <w:rPr>
                <w:kern w:val="0"/>
                <w:szCs w:val="21"/>
              </w:rPr>
              <w:t>0.18</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5</w:t>
            </w:r>
          </w:p>
        </w:tc>
        <w:tc>
          <w:tcPr>
            <w:tcW w:w="1568" w:type="pct"/>
            <w:vAlign w:val="center"/>
          </w:tcPr>
          <w:p>
            <w:pPr>
              <w:widowControl/>
              <w:wordWrap w:val="0"/>
              <w:jc w:val="center"/>
              <w:rPr>
                <w:kern w:val="0"/>
                <w:szCs w:val="21"/>
              </w:rPr>
            </w:pPr>
            <w:r>
              <w:rPr>
                <w:kern w:val="0"/>
                <w:szCs w:val="21"/>
              </w:rPr>
              <w:t>线路背景值5#</w:t>
            </w:r>
          </w:p>
        </w:tc>
        <w:tc>
          <w:tcPr>
            <w:tcW w:w="829" w:type="pct"/>
            <w:vAlign w:val="center"/>
          </w:tcPr>
          <w:p>
            <w:pPr>
              <w:widowControl/>
              <w:wordWrap w:val="0"/>
              <w:jc w:val="center"/>
              <w:rPr>
                <w:kern w:val="0"/>
                <w:szCs w:val="21"/>
              </w:rPr>
            </w:pPr>
            <w:r>
              <w:rPr>
                <w:kern w:val="0"/>
                <w:szCs w:val="21"/>
              </w:rPr>
              <w:t>0.23</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6</w:t>
            </w:r>
          </w:p>
        </w:tc>
        <w:tc>
          <w:tcPr>
            <w:tcW w:w="1568" w:type="pct"/>
            <w:vAlign w:val="center"/>
          </w:tcPr>
          <w:p>
            <w:pPr>
              <w:widowControl/>
              <w:wordWrap w:val="0"/>
              <w:jc w:val="center"/>
              <w:rPr>
                <w:kern w:val="0"/>
                <w:szCs w:val="21"/>
              </w:rPr>
            </w:pPr>
            <w:r>
              <w:rPr>
                <w:kern w:val="0"/>
                <w:szCs w:val="21"/>
              </w:rPr>
              <w:t>线路背景值6#</w:t>
            </w:r>
          </w:p>
        </w:tc>
        <w:tc>
          <w:tcPr>
            <w:tcW w:w="829" w:type="pct"/>
            <w:vAlign w:val="center"/>
          </w:tcPr>
          <w:p>
            <w:pPr>
              <w:widowControl/>
              <w:wordWrap w:val="0"/>
              <w:jc w:val="center"/>
              <w:rPr>
                <w:kern w:val="0"/>
                <w:szCs w:val="21"/>
              </w:rPr>
            </w:pPr>
            <w:r>
              <w:rPr>
                <w:kern w:val="0"/>
                <w:szCs w:val="21"/>
              </w:rPr>
              <w:t>2.48</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7</w:t>
            </w:r>
          </w:p>
        </w:tc>
        <w:tc>
          <w:tcPr>
            <w:tcW w:w="1568" w:type="pct"/>
            <w:vAlign w:val="center"/>
          </w:tcPr>
          <w:p>
            <w:pPr>
              <w:widowControl/>
              <w:wordWrap w:val="0"/>
              <w:jc w:val="center"/>
              <w:rPr>
                <w:kern w:val="0"/>
                <w:szCs w:val="21"/>
              </w:rPr>
            </w:pPr>
            <w:r>
              <w:rPr>
                <w:kern w:val="0"/>
                <w:szCs w:val="21"/>
              </w:rPr>
              <w:t>线路背景值7#</w:t>
            </w:r>
          </w:p>
        </w:tc>
        <w:tc>
          <w:tcPr>
            <w:tcW w:w="829" w:type="pct"/>
            <w:vAlign w:val="center"/>
          </w:tcPr>
          <w:p>
            <w:pPr>
              <w:widowControl/>
              <w:wordWrap w:val="0"/>
              <w:jc w:val="center"/>
              <w:rPr>
                <w:kern w:val="0"/>
                <w:szCs w:val="21"/>
              </w:rPr>
            </w:pPr>
            <w:r>
              <w:rPr>
                <w:kern w:val="0"/>
                <w:szCs w:val="21"/>
              </w:rPr>
              <w:t>1.45</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8</w:t>
            </w:r>
          </w:p>
        </w:tc>
        <w:tc>
          <w:tcPr>
            <w:tcW w:w="1568" w:type="pct"/>
            <w:vAlign w:val="center"/>
          </w:tcPr>
          <w:p>
            <w:pPr>
              <w:widowControl/>
              <w:wordWrap w:val="0"/>
              <w:jc w:val="center"/>
              <w:rPr>
                <w:kern w:val="0"/>
                <w:szCs w:val="21"/>
              </w:rPr>
            </w:pPr>
            <w:r>
              <w:rPr>
                <w:kern w:val="0"/>
                <w:szCs w:val="21"/>
              </w:rPr>
              <w:t>线路背景值8#</w:t>
            </w:r>
          </w:p>
        </w:tc>
        <w:tc>
          <w:tcPr>
            <w:tcW w:w="829" w:type="pct"/>
            <w:vAlign w:val="center"/>
          </w:tcPr>
          <w:p>
            <w:pPr>
              <w:widowControl/>
              <w:wordWrap w:val="0"/>
              <w:jc w:val="center"/>
              <w:rPr>
                <w:kern w:val="0"/>
                <w:szCs w:val="21"/>
              </w:rPr>
            </w:pPr>
            <w:r>
              <w:rPr>
                <w:kern w:val="0"/>
                <w:szCs w:val="21"/>
              </w:rPr>
              <w:t>0.19</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9</w:t>
            </w:r>
          </w:p>
        </w:tc>
        <w:tc>
          <w:tcPr>
            <w:tcW w:w="1568" w:type="pct"/>
            <w:vAlign w:val="center"/>
          </w:tcPr>
          <w:p>
            <w:pPr>
              <w:widowControl/>
              <w:wordWrap w:val="0"/>
              <w:jc w:val="center"/>
              <w:rPr>
                <w:kern w:val="0"/>
                <w:szCs w:val="21"/>
              </w:rPr>
            </w:pPr>
            <w:r>
              <w:rPr>
                <w:kern w:val="0"/>
                <w:szCs w:val="21"/>
              </w:rPr>
              <w:t>电缆背景值9#</w:t>
            </w:r>
          </w:p>
        </w:tc>
        <w:tc>
          <w:tcPr>
            <w:tcW w:w="829" w:type="pct"/>
            <w:vAlign w:val="center"/>
          </w:tcPr>
          <w:p>
            <w:pPr>
              <w:widowControl/>
              <w:wordWrap w:val="0"/>
              <w:jc w:val="center"/>
              <w:rPr>
                <w:kern w:val="0"/>
                <w:szCs w:val="21"/>
              </w:rPr>
            </w:pPr>
            <w:r>
              <w:rPr>
                <w:kern w:val="0"/>
                <w:szCs w:val="21"/>
              </w:rPr>
              <w:t>0.21</w:t>
            </w:r>
          </w:p>
        </w:tc>
        <w:tc>
          <w:tcPr>
            <w:tcW w:w="935" w:type="pct"/>
            <w:vAlign w:val="center"/>
          </w:tcPr>
          <w:p>
            <w:pPr>
              <w:widowControl/>
              <w:wordWrap w:val="0"/>
              <w:jc w:val="center"/>
              <w:rPr>
                <w:kern w:val="0"/>
                <w:szCs w:val="21"/>
              </w:rPr>
            </w:pPr>
            <w:r>
              <w:rPr>
                <w:kern w:val="0"/>
                <w:szCs w:val="21"/>
              </w:rPr>
              <w:t>0.014</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5000" w:type="pct"/>
            <w:gridSpan w:val="5"/>
            <w:vAlign w:val="center"/>
          </w:tcPr>
          <w:p>
            <w:pPr>
              <w:widowControl/>
              <w:wordWrap w:val="0"/>
              <w:rPr>
                <w:kern w:val="0"/>
                <w:szCs w:val="21"/>
              </w:rPr>
            </w:pPr>
            <w:r>
              <w:rPr>
                <w:b/>
                <w:kern w:val="0"/>
                <w:szCs w:val="21"/>
              </w:rPr>
              <w:t>三</w:t>
            </w:r>
            <w:r>
              <w:rPr>
                <w:rFonts w:hint="eastAsia"/>
                <w:b/>
                <w:kern w:val="0"/>
                <w:szCs w:val="21"/>
              </w:rPr>
              <w:t>、</w:t>
            </w:r>
            <w:r>
              <w:rPr>
                <w:b/>
                <w:kern w:val="0"/>
                <w:szCs w:val="21"/>
              </w:rPr>
              <w:t>吐鲁番电厂</w:t>
            </w:r>
            <w:r>
              <w:rPr>
                <w:rFonts w:hint="eastAsia"/>
                <w:b/>
                <w:kern w:val="0"/>
                <w:szCs w:val="21"/>
              </w:rPr>
              <w:t>-</w:t>
            </w:r>
            <w:r>
              <w:rPr>
                <w:b/>
                <w:kern w:val="0"/>
                <w:szCs w:val="21"/>
              </w:rPr>
              <w:t>阿拉沟变Ⅰ、Ⅱ回改接入托克逊变电站220千伏线路工程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1</w:t>
            </w:r>
          </w:p>
        </w:tc>
        <w:tc>
          <w:tcPr>
            <w:tcW w:w="1568" w:type="pct"/>
            <w:vAlign w:val="center"/>
          </w:tcPr>
          <w:p>
            <w:pPr>
              <w:widowControl/>
              <w:wordWrap w:val="0"/>
              <w:jc w:val="center"/>
              <w:rPr>
                <w:kern w:val="0"/>
                <w:szCs w:val="21"/>
              </w:rPr>
            </w:pPr>
            <w:r>
              <w:rPr>
                <w:kern w:val="0"/>
                <w:szCs w:val="21"/>
              </w:rPr>
              <w:t>新疆维吾尔自治区吐鲁番市托克逊县郭勒布依乡河东村六组阿布来肯宅北侧</w:t>
            </w:r>
          </w:p>
        </w:tc>
        <w:tc>
          <w:tcPr>
            <w:tcW w:w="829" w:type="pct"/>
            <w:vAlign w:val="center"/>
          </w:tcPr>
          <w:p>
            <w:pPr>
              <w:widowControl/>
              <w:wordWrap w:val="0"/>
              <w:jc w:val="center"/>
              <w:rPr>
                <w:kern w:val="0"/>
                <w:szCs w:val="21"/>
              </w:rPr>
            </w:pPr>
            <w:r>
              <w:rPr>
                <w:kern w:val="0"/>
                <w:szCs w:val="21"/>
              </w:rPr>
              <w:t>3.56</w:t>
            </w:r>
          </w:p>
        </w:tc>
        <w:tc>
          <w:tcPr>
            <w:tcW w:w="935" w:type="pct"/>
            <w:vAlign w:val="center"/>
          </w:tcPr>
          <w:p>
            <w:pPr>
              <w:widowControl/>
              <w:wordWrap w:val="0"/>
              <w:jc w:val="center"/>
              <w:rPr>
                <w:kern w:val="0"/>
                <w:szCs w:val="21"/>
              </w:rPr>
            </w:pPr>
            <w:r>
              <w:rPr>
                <w:kern w:val="0"/>
                <w:szCs w:val="21"/>
              </w:rPr>
              <w:t>0.026</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2</w:t>
            </w:r>
          </w:p>
        </w:tc>
        <w:tc>
          <w:tcPr>
            <w:tcW w:w="1568" w:type="pct"/>
            <w:vAlign w:val="center"/>
          </w:tcPr>
          <w:p>
            <w:pPr>
              <w:widowControl/>
              <w:wordWrap w:val="0"/>
              <w:jc w:val="center"/>
              <w:rPr>
                <w:kern w:val="0"/>
                <w:szCs w:val="21"/>
              </w:rPr>
            </w:pPr>
            <w:r>
              <w:rPr>
                <w:kern w:val="0"/>
                <w:szCs w:val="21"/>
              </w:rPr>
              <w:t>新疆维吾尔自治区吐鲁番市托克逊县郭勒布依乡巴格万村二组238户北侧</w:t>
            </w:r>
          </w:p>
        </w:tc>
        <w:tc>
          <w:tcPr>
            <w:tcW w:w="829" w:type="pct"/>
            <w:vAlign w:val="center"/>
          </w:tcPr>
          <w:p>
            <w:pPr>
              <w:widowControl/>
              <w:wordWrap w:val="0"/>
              <w:jc w:val="center"/>
              <w:rPr>
                <w:kern w:val="0"/>
                <w:szCs w:val="21"/>
              </w:rPr>
            </w:pPr>
            <w:r>
              <w:rPr>
                <w:kern w:val="0"/>
                <w:szCs w:val="21"/>
              </w:rPr>
              <w:t>0.07</w:t>
            </w:r>
          </w:p>
        </w:tc>
        <w:tc>
          <w:tcPr>
            <w:tcW w:w="935" w:type="pct"/>
            <w:vAlign w:val="center"/>
          </w:tcPr>
          <w:p>
            <w:pPr>
              <w:widowControl/>
              <w:wordWrap w:val="0"/>
              <w:jc w:val="center"/>
              <w:rPr>
                <w:kern w:val="0"/>
                <w:szCs w:val="21"/>
              </w:rPr>
            </w:pPr>
            <w:r>
              <w:rPr>
                <w:kern w:val="0"/>
                <w:szCs w:val="21"/>
              </w:rPr>
              <w:t>0.021</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3</w:t>
            </w:r>
          </w:p>
        </w:tc>
        <w:tc>
          <w:tcPr>
            <w:tcW w:w="1568" w:type="pct"/>
            <w:vAlign w:val="center"/>
          </w:tcPr>
          <w:p>
            <w:pPr>
              <w:widowControl/>
              <w:wordWrap w:val="0"/>
              <w:jc w:val="center"/>
              <w:rPr>
                <w:kern w:val="0"/>
                <w:szCs w:val="21"/>
              </w:rPr>
            </w:pPr>
            <w:r>
              <w:rPr>
                <w:kern w:val="0"/>
                <w:szCs w:val="21"/>
              </w:rPr>
              <w:t>新疆维吾尔自治区吐鲁番市托克逊县夏镇闲置厂房西侧</w:t>
            </w:r>
          </w:p>
        </w:tc>
        <w:tc>
          <w:tcPr>
            <w:tcW w:w="829" w:type="pct"/>
            <w:vAlign w:val="center"/>
          </w:tcPr>
          <w:p>
            <w:pPr>
              <w:widowControl/>
              <w:wordWrap w:val="0"/>
              <w:jc w:val="center"/>
              <w:rPr>
                <w:kern w:val="0"/>
                <w:szCs w:val="21"/>
              </w:rPr>
            </w:pPr>
            <w:r>
              <w:rPr>
                <w:kern w:val="0"/>
                <w:szCs w:val="21"/>
              </w:rPr>
              <w:t>3.53</w:t>
            </w:r>
          </w:p>
        </w:tc>
        <w:tc>
          <w:tcPr>
            <w:tcW w:w="935" w:type="pct"/>
            <w:vAlign w:val="center"/>
          </w:tcPr>
          <w:p>
            <w:pPr>
              <w:widowControl/>
              <w:wordWrap w:val="0"/>
              <w:jc w:val="center"/>
              <w:rPr>
                <w:kern w:val="0"/>
                <w:szCs w:val="21"/>
              </w:rPr>
            </w:pPr>
            <w:r>
              <w:rPr>
                <w:kern w:val="0"/>
                <w:szCs w:val="21"/>
              </w:rPr>
              <w:t>0.041</w:t>
            </w:r>
          </w:p>
        </w:tc>
        <w:tc>
          <w:tcPr>
            <w:tcW w:w="1400" w:type="pct"/>
            <w:vAlign w:val="center"/>
          </w:tcPr>
          <w:p>
            <w:pPr>
              <w:widowControl/>
              <w:wordWrap w:val="0"/>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4</w:t>
            </w:r>
          </w:p>
        </w:tc>
        <w:tc>
          <w:tcPr>
            <w:tcW w:w="1568" w:type="pct"/>
            <w:vAlign w:val="center"/>
          </w:tcPr>
          <w:p>
            <w:pPr>
              <w:widowControl/>
              <w:wordWrap w:val="0"/>
              <w:jc w:val="center"/>
              <w:rPr>
                <w:kern w:val="0"/>
                <w:szCs w:val="21"/>
              </w:rPr>
            </w:pPr>
            <w:r>
              <w:rPr>
                <w:kern w:val="0"/>
                <w:szCs w:val="21"/>
              </w:rPr>
              <w:t>新疆维吾尔自治区吐鲁番市托克逊县夏镇海柱资源有限公司宿舍南侧</w:t>
            </w:r>
          </w:p>
        </w:tc>
        <w:tc>
          <w:tcPr>
            <w:tcW w:w="829" w:type="pct"/>
            <w:vAlign w:val="center"/>
          </w:tcPr>
          <w:p>
            <w:pPr>
              <w:widowControl/>
              <w:wordWrap w:val="0"/>
              <w:jc w:val="center"/>
              <w:rPr>
                <w:kern w:val="0"/>
                <w:szCs w:val="21"/>
              </w:rPr>
            </w:pPr>
            <w:r>
              <w:rPr>
                <w:kern w:val="0"/>
                <w:szCs w:val="21"/>
              </w:rPr>
              <w:t>11.71</w:t>
            </w:r>
          </w:p>
        </w:tc>
        <w:tc>
          <w:tcPr>
            <w:tcW w:w="935" w:type="pct"/>
            <w:vAlign w:val="center"/>
          </w:tcPr>
          <w:p>
            <w:pPr>
              <w:widowControl/>
              <w:wordWrap w:val="0"/>
              <w:jc w:val="center"/>
              <w:rPr>
                <w:kern w:val="0"/>
                <w:szCs w:val="21"/>
              </w:rPr>
            </w:pPr>
            <w:r>
              <w:rPr>
                <w:kern w:val="0"/>
                <w:szCs w:val="21"/>
              </w:rPr>
              <w:t>0.059</w:t>
            </w:r>
          </w:p>
        </w:tc>
        <w:tc>
          <w:tcPr>
            <w:tcW w:w="1400" w:type="pct"/>
            <w:vAlign w:val="center"/>
          </w:tcPr>
          <w:p>
            <w:pPr>
              <w:widowControl/>
              <w:wordWrap w:val="0"/>
              <w:jc w:val="center"/>
              <w:rPr>
                <w:kern w:val="0"/>
                <w:szCs w:val="21"/>
              </w:rPr>
            </w:pPr>
            <w:r>
              <w:rPr>
                <w:kern w:val="0"/>
                <w:szCs w:val="21"/>
              </w:rPr>
              <w:t>家用线影响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5</w:t>
            </w:r>
          </w:p>
        </w:tc>
        <w:tc>
          <w:tcPr>
            <w:tcW w:w="1568" w:type="pct"/>
            <w:vAlign w:val="center"/>
          </w:tcPr>
          <w:p>
            <w:pPr>
              <w:widowControl/>
              <w:wordWrap w:val="0"/>
              <w:jc w:val="center"/>
              <w:rPr>
                <w:kern w:val="0"/>
                <w:szCs w:val="21"/>
              </w:rPr>
            </w:pPr>
            <w:r>
              <w:rPr>
                <w:kern w:val="0"/>
                <w:szCs w:val="21"/>
              </w:rPr>
              <w:t>新疆维吾尔自治区吐鲁番市托克逊县夏镇恒氿庄园生活区东侧</w:t>
            </w:r>
          </w:p>
        </w:tc>
        <w:tc>
          <w:tcPr>
            <w:tcW w:w="829" w:type="pct"/>
            <w:vAlign w:val="center"/>
          </w:tcPr>
          <w:p>
            <w:pPr>
              <w:widowControl/>
              <w:wordWrap w:val="0"/>
              <w:jc w:val="center"/>
              <w:rPr>
                <w:kern w:val="0"/>
                <w:szCs w:val="21"/>
              </w:rPr>
            </w:pPr>
            <w:r>
              <w:rPr>
                <w:kern w:val="0"/>
                <w:szCs w:val="21"/>
              </w:rPr>
              <w:t>12.49</w:t>
            </w:r>
          </w:p>
        </w:tc>
        <w:tc>
          <w:tcPr>
            <w:tcW w:w="935" w:type="pct"/>
            <w:vAlign w:val="center"/>
          </w:tcPr>
          <w:p>
            <w:pPr>
              <w:widowControl/>
              <w:wordWrap w:val="0"/>
              <w:jc w:val="center"/>
              <w:rPr>
                <w:kern w:val="0"/>
                <w:szCs w:val="21"/>
              </w:rPr>
            </w:pPr>
            <w:r>
              <w:rPr>
                <w:kern w:val="0"/>
                <w:szCs w:val="21"/>
              </w:rPr>
              <w:t>0.068</w:t>
            </w:r>
          </w:p>
        </w:tc>
        <w:tc>
          <w:tcPr>
            <w:tcW w:w="1400" w:type="pct"/>
            <w:vAlign w:val="center"/>
          </w:tcPr>
          <w:p>
            <w:pPr>
              <w:widowControl/>
              <w:wordWrap w:val="0"/>
              <w:jc w:val="center"/>
              <w:rPr>
                <w:kern w:val="0"/>
                <w:szCs w:val="21"/>
              </w:rPr>
            </w:pPr>
            <w:r>
              <w:rPr>
                <w:kern w:val="0"/>
                <w:szCs w:val="21"/>
              </w:rPr>
              <w:t>家用线影响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6</w:t>
            </w:r>
          </w:p>
        </w:tc>
        <w:tc>
          <w:tcPr>
            <w:tcW w:w="1568" w:type="pct"/>
            <w:vAlign w:val="center"/>
          </w:tcPr>
          <w:p>
            <w:pPr>
              <w:widowControl/>
              <w:wordWrap w:val="0"/>
              <w:jc w:val="center"/>
              <w:rPr>
                <w:kern w:val="0"/>
                <w:szCs w:val="21"/>
              </w:rPr>
            </w:pPr>
            <w:r>
              <w:rPr>
                <w:kern w:val="0"/>
                <w:szCs w:val="21"/>
              </w:rPr>
              <w:t>线路背景值1#</w:t>
            </w:r>
          </w:p>
        </w:tc>
        <w:tc>
          <w:tcPr>
            <w:tcW w:w="829" w:type="pct"/>
            <w:vAlign w:val="center"/>
          </w:tcPr>
          <w:p>
            <w:pPr>
              <w:widowControl/>
              <w:wordWrap w:val="0"/>
              <w:jc w:val="center"/>
              <w:rPr>
                <w:kern w:val="0"/>
                <w:szCs w:val="21"/>
              </w:rPr>
            </w:pPr>
            <w:r>
              <w:rPr>
                <w:kern w:val="0"/>
                <w:szCs w:val="21"/>
              </w:rPr>
              <w:t>960.60</w:t>
            </w:r>
          </w:p>
        </w:tc>
        <w:tc>
          <w:tcPr>
            <w:tcW w:w="935" w:type="pct"/>
            <w:vAlign w:val="center"/>
          </w:tcPr>
          <w:p>
            <w:pPr>
              <w:widowControl/>
              <w:wordWrap w:val="0"/>
              <w:jc w:val="center"/>
              <w:rPr>
                <w:kern w:val="0"/>
                <w:szCs w:val="21"/>
              </w:rPr>
            </w:pPr>
            <w:r>
              <w:rPr>
                <w:kern w:val="0"/>
                <w:szCs w:val="21"/>
              </w:rPr>
              <w:t>0.999</w:t>
            </w:r>
          </w:p>
        </w:tc>
        <w:tc>
          <w:tcPr>
            <w:tcW w:w="1400" w:type="pct"/>
            <w:vAlign w:val="center"/>
          </w:tcPr>
          <w:p>
            <w:pPr>
              <w:widowControl/>
              <w:wordWrap w:val="0"/>
              <w:rPr>
                <w:kern w:val="0"/>
                <w:szCs w:val="21"/>
              </w:rPr>
            </w:pPr>
            <w:r>
              <w:rPr>
                <w:kern w:val="0"/>
                <w:szCs w:val="21"/>
              </w:rPr>
              <w:t>位于220kV鲁拉二线下，线高17m；距220kV鲁拉一线33m，线高17m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265" w:type="pct"/>
            <w:vAlign w:val="center"/>
          </w:tcPr>
          <w:p>
            <w:pPr>
              <w:pStyle w:val="107"/>
              <w:widowControl/>
              <w:wordWrap w:val="0"/>
              <w:ind w:firstLine="0" w:firstLineChars="0"/>
              <w:jc w:val="center"/>
              <w:rPr>
                <w:kern w:val="0"/>
                <w:szCs w:val="21"/>
              </w:rPr>
            </w:pPr>
            <w:r>
              <w:rPr>
                <w:rFonts w:hint="eastAsia"/>
                <w:kern w:val="0"/>
                <w:szCs w:val="21"/>
              </w:rPr>
              <w:t xml:space="preserve">7  </w:t>
            </w:r>
          </w:p>
        </w:tc>
        <w:tc>
          <w:tcPr>
            <w:tcW w:w="1568" w:type="pct"/>
            <w:vAlign w:val="center"/>
          </w:tcPr>
          <w:p>
            <w:pPr>
              <w:widowControl/>
              <w:wordWrap w:val="0"/>
              <w:jc w:val="center"/>
              <w:rPr>
                <w:kern w:val="0"/>
                <w:szCs w:val="21"/>
              </w:rPr>
            </w:pPr>
            <w:r>
              <w:rPr>
                <w:kern w:val="0"/>
                <w:szCs w:val="21"/>
              </w:rPr>
              <w:t>线路背景值2#</w:t>
            </w:r>
          </w:p>
        </w:tc>
        <w:tc>
          <w:tcPr>
            <w:tcW w:w="829" w:type="pct"/>
            <w:vAlign w:val="center"/>
          </w:tcPr>
          <w:p>
            <w:pPr>
              <w:widowControl/>
              <w:wordWrap w:val="0"/>
              <w:jc w:val="center"/>
              <w:rPr>
                <w:kern w:val="0"/>
                <w:szCs w:val="21"/>
              </w:rPr>
            </w:pPr>
            <w:r>
              <w:rPr>
                <w:kern w:val="0"/>
                <w:szCs w:val="21"/>
              </w:rPr>
              <w:t>17.35</w:t>
            </w:r>
          </w:p>
        </w:tc>
        <w:tc>
          <w:tcPr>
            <w:tcW w:w="935" w:type="pct"/>
            <w:vAlign w:val="center"/>
          </w:tcPr>
          <w:p>
            <w:pPr>
              <w:widowControl/>
              <w:wordWrap w:val="0"/>
              <w:jc w:val="center"/>
              <w:rPr>
                <w:kern w:val="0"/>
                <w:szCs w:val="21"/>
              </w:rPr>
            </w:pPr>
            <w:r>
              <w:rPr>
                <w:kern w:val="0"/>
                <w:szCs w:val="21"/>
              </w:rPr>
              <w:t>0.032</w:t>
            </w:r>
          </w:p>
        </w:tc>
        <w:tc>
          <w:tcPr>
            <w:tcW w:w="1400" w:type="pct"/>
            <w:vAlign w:val="center"/>
          </w:tcPr>
          <w:p>
            <w:pPr>
              <w:widowControl/>
              <w:wordWrap w:val="0"/>
              <w:rPr>
                <w:kern w:val="0"/>
                <w:szCs w:val="21"/>
              </w:rPr>
            </w:pPr>
            <w:r>
              <w:rPr>
                <w:kern w:val="0"/>
                <w:szCs w:val="21"/>
              </w:rPr>
              <w:t>距220kV鲁托二线120m，线高20m</w:t>
            </w:r>
          </w:p>
        </w:tc>
      </w:tr>
    </w:tbl>
    <w:p>
      <w:pPr>
        <w:spacing w:line="360" w:lineRule="auto"/>
        <w:rPr>
          <w:sz w:val="24"/>
          <w:szCs w:val="32"/>
        </w:rPr>
      </w:pPr>
      <w:r>
        <w:rPr>
          <w:rFonts w:hint="eastAsia"/>
          <w:sz w:val="24"/>
          <w:szCs w:val="32"/>
        </w:rPr>
        <w:t>（2）监测结果分析</w:t>
      </w:r>
    </w:p>
    <w:p>
      <w:pPr>
        <w:wordWrap w:val="0"/>
        <w:spacing w:line="360" w:lineRule="auto"/>
        <w:ind w:firstLine="480" w:firstLineChars="200"/>
        <w:rPr>
          <w:color w:val="000000"/>
          <w:sz w:val="24"/>
        </w:rPr>
      </w:pPr>
      <w:r>
        <w:rPr>
          <w:rFonts w:hint="eastAsia"/>
          <w:color w:val="000000"/>
          <w:sz w:val="24"/>
        </w:rPr>
        <w:t>（1）伊拉湖220千伏变电站新建工程</w:t>
      </w:r>
    </w:p>
    <w:p>
      <w:pPr>
        <w:wordWrap w:val="0"/>
        <w:spacing w:line="360" w:lineRule="auto"/>
        <w:ind w:firstLine="480" w:firstLineChars="200"/>
        <w:rPr>
          <w:color w:val="000000"/>
          <w:sz w:val="24"/>
        </w:rPr>
      </w:pPr>
      <w:r>
        <w:rPr>
          <w:rFonts w:hint="eastAsia"/>
          <w:color w:val="000000"/>
          <w:sz w:val="24"/>
        </w:rPr>
        <w:t>拟建伊拉湖220千伏变电站站址中心及站址四周工频电场强度监测值范围为0.07V/m~0.16V/m，工频磁感应强度监测值为0.014μT，工频电场强度、工频磁感应强度分别满足《电磁环境控制限值》（GB8702-2014）中4000V/m、100μT的限值要求。</w:t>
      </w:r>
    </w:p>
    <w:p>
      <w:pPr>
        <w:wordWrap w:val="0"/>
        <w:spacing w:line="360" w:lineRule="auto"/>
        <w:ind w:firstLine="480" w:firstLineChars="200"/>
        <w:rPr>
          <w:color w:val="000000"/>
          <w:sz w:val="24"/>
        </w:rPr>
      </w:pPr>
      <w:r>
        <w:rPr>
          <w:rFonts w:hint="eastAsia"/>
          <w:color w:val="000000"/>
          <w:sz w:val="24"/>
        </w:rPr>
        <w:t>（2）吐鲁番电厂-阿拉沟变Ⅰ、Ⅱ回π入伊拉湖变电站220千伏线路工程</w:t>
      </w:r>
    </w:p>
    <w:p>
      <w:pPr>
        <w:wordWrap w:val="0"/>
        <w:spacing w:line="360" w:lineRule="auto"/>
        <w:ind w:firstLine="480" w:firstLineChars="200"/>
        <w:rPr>
          <w:color w:val="000000"/>
          <w:sz w:val="24"/>
        </w:rPr>
      </w:pPr>
      <w:r>
        <w:rPr>
          <w:rFonts w:hint="eastAsia"/>
          <w:color w:val="000000"/>
          <w:sz w:val="24"/>
        </w:rPr>
        <w:t>拟建输电线路沿线电磁环境现状监测点的电场强度监测值范围为0.13V/m~2.48V/m，工频磁感应强度监测值为0.014μT，电缆背景值监测点处工频电场强度监测值为0.21V/m、工频磁场强度监测值为0.014μT电场强度、磁感应强度均分别满足《电磁环境控制限值》（GB8702-2014）中的4000V/m、100μT的控制限值要求。</w:t>
      </w:r>
    </w:p>
    <w:p>
      <w:pPr>
        <w:wordWrap w:val="0"/>
        <w:spacing w:line="360" w:lineRule="auto"/>
        <w:ind w:firstLine="480" w:firstLineChars="200"/>
        <w:rPr>
          <w:color w:val="000000"/>
          <w:sz w:val="24"/>
        </w:rPr>
      </w:pPr>
      <w:r>
        <w:rPr>
          <w:rFonts w:hint="eastAsia"/>
          <w:color w:val="000000"/>
          <w:sz w:val="24"/>
        </w:rPr>
        <w:t>（3）吐鲁番电厂-阿拉沟变Ⅰ、Ⅱ回改接入托克逊变电站220千伏线路工程</w:t>
      </w:r>
    </w:p>
    <w:p>
      <w:pPr>
        <w:wordWrap w:val="0"/>
        <w:spacing w:line="360" w:lineRule="auto"/>
        <w:ind w:firstLine="480" w:firstLineChars="200"/>
        <w:rPr>
          <w:sz w:val="24"/>
          <w:szCs w:val="32"/>
        </w:rPr>
      </w:pPr>
      <w:r>
        <w:rPr>
          <w:rFonts w:hint="eastAsia"/>
          <w:color w:val="000000"/>
          <w:sz w:val="24"/>
        </w:rPr>
        <w:t>本工程拟建线路沿线各环境敏感保护目标处的工频电场强度监测值为0.07V/m~12.49V/m、工频磁感应强度监测值为0.021μT~0.068μT，工频电场强度、磁感应强度均分别满足4000V/m、100μT的限值要求。拟建线路电磁环境现状监测点的电场强度监测范围值为17.35V/m~960.60V/m，工频磁感应强度监测值范围为0.032µT~0.999µT，电场强度、磁感应强度均分别满足《电磁环境控制限值》（GB8702-2014）中的4000V/m、100μT的控制限值要求。</w:t>
      </w:r>
    </w:p>
    <w:p>
      <w:pPr>
        <w:pStyle w:val="2"/>
        <w:numPr>
          <w:ilvl w:val="0"/>
          <w:numId w:val="21"/>
        </w:numPr>
        <w:spacing w:before="0" w:after="0" w:line="360" w:lineRule="auto"/>
        <w:rPr>
          <w:rFonts w:eastAsia="宋体"/>
          <w:color w:val="000000" w:themeColor="text1"/>
          <w14:textFill>
            <w14:solidFill>
              <w14:schemeClr w14:val="tx1"/>
            </w14:solidFill>
          </w14:textFill>
        </w:rPr>
      </w:pPr>
      <w:bookmarkStart w:id="771" w:name="_Toc13968"/>
      <w:r>
        <w:rPr>
          <w:rFonts w:hint="eastAsia" w:eastAsia="宋体"/>
          <w:color w:val="000000" w:themeColor="text1"/>
          <w14:textFill>
            <w14:solidFill>
              <w14:schemeClr w14:val="tx1"/>
            </w14:solidFill>
          </w14:textFill>
        </w:rPr>
        <w:t>电磁环境影响预测与评价</w:t>
      </w:r>
      <w:bookmarkEnd w:id="755"/>
      <w:bookmarkEnd w:id="771"/>
    </w:p>
    <w:bookmarkEnd w:id="756"/>
    <w:p>
      <w:pPr>
        <w:pStyle w:val="2"/>
        <w:numPr>
          <w:ilvl w:val="1"/>
          <w:numId w:val="21"/>
        </w:numPr>
        <w:spacing w:before="0" w:after="0" w:line="360" w:lineRule="auto"/>
        <w:rPr>
          <w:color w:val="000000" w:themeColor="text1"/>
          <w:sz w:val="28"/>
          <w:szCs w:val="28"/>
          <w14:textFill>
            <w14:solidFill>
              <w14:schemeClr w14:val="tx1"/>
            </w14:solidFill>
          </w14:textFill>
        </w:rPr>
      </w:pPr>
      <w:bookmarkStart w:id="772" w:name="_Toc24647694"/>
      <w:bookmarkStart w:id="773" w:name="_Toc4095"/>
      <w:bookmarkStart w:id="774" w:name="_Toc344398023"/>
      <w:bookmarkStart w:id="775" w:name="_Toc344399759"/>
      <w:r>
        <w:rPr>
          <w:rFonts w:hint="eastAsia" w:ascii="宋体" w:hAnsi="宋体" w:eastAsia="宋体" w:cs="宋体"/>
          <w:color w:val="000000" w:themeColor="text1"/>
          <w:sz w:val="28"/>
          <w:szCs w:val="28"/>
          <w14:textFill>
            <w14:solidFill>
              <w14:schemeClr w14:val="tx1"/>
            </w14:solidFill>
          </w14:textFill>
        </w:rPr>
        <w:t>伊拉湖220kV变电站新建工程电磁环境影响</w:t>
      </w:r>
      <w:bookmarkEnd w:id="772"/>
      <w:r>
        <w:rPr>
          <w:rFonts w:hint="eastAsia" w:ascii="宋体" w:hAnsi="宋体" w:eastAsia="宋体" w:cs="宋体"/>
          <w:color w:val="000000" w:themeColor="text1"/>
          <w:sz w:val="28"/>
          <w:szCs w:val="28"/>
          <w14:textFill>
            <w14:solidFill>
              <w14:schemeClr w14:val="tx1"/>
            </w14:solidFill>
          </w14:textFill>
        </w:rPr>
        <w:t>预测与评价</w:t>
      </w:r>
      <w:bookmarkEnd w:id="773"/>
    </w:p>
    <w:p>
      <w:pPr>
        <w:pStyle w:val="2"/>
        <w:numPr>
          <w:ilvl w:val="2"/>
          <w:numId w:val="21"/>
        </w:numPr>
        <w:spacing w:before="0" w:after="0" w:line="260" w:lineRule="auto"/>
        <w:rPr>
          <w:rFonts w:cs="ˎ̥"/>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评价方法</w:t>
      </w:r>
    </w:p>
    <w:p>
      <w:pPr>
        <w:spacing w:line="360" w:lineRule="auto"/>
        <w:ind w:firstLine="482"/>
        <w:rPr>
          <w:color w:val="000000" w:themeColor="text1"/>
          <w:sz w:val="24"/>
          <w14:textFill>
            <w14:solidFill>
              <w14:schemeClr w14:val="tx1"/>
            </w14:solidFill>
          </w14:textFill>
        </w:rPr>
      </w:pPr>
      <w:bookmarkStart w:id="776" w:name="_Toc413680604"/>
      <w:r>
        <w:rPr>
          <w:rFonts w:hint="eastAsia"/>
          <w:color w:val="000000" w:themeColor="text1"/>
          <w:sz w:val="24"/>
          <w14:textFill>
            <w14:solidFill>
              <w14:schemeClr w14:val="tx1"/>
            </w14:solidFill>
          </w14:textFill>
        </w:rPr>
        <w:t>根据《环境影响评价技术导则输变电》（</w:t>
      </w:r>
      <w:r>
        <w:rPr>
          <w:color w:val="000000" w:themeColor="text1"/>
          <w:sz w:val="24"/>
          <w14:textFill>
            <w14:solidFill>
              <w14:schemeClr w14:val="tx1"/>
            </w14:solidFill>
          </w14:textFill>
        </w:rPr>
        <w:t>HJ24-2020</w:t>
      </w:r>
      <w:r>
        <w:rPr>
          <w:rFonts w:hint="eastAsia"/>
          <w:color w:val="000000" w:themeColor="text1"/>
          <w:sz w:val="24"/>
          <w14:textFill>
            <w14:solidFill>
              <w14:schemeClr w14:val="tx1"/>
            </w14:solidFill>
          </w14:textFill>
        </w:rPr>
        <w:t>），本工程变电站电磁环境影响预测采用类比监测的方式。</w:t>
      </w:r>
    </w:p>
    <w:p>
      <w:pPr>
        <w:pStyle w:val="2"/>
        <w:numPr>
          <w:ilvl w:val="2"/>
          <w:numId w:val="21"/>
        </w:numPr>
        <w:spacing w:before="0" w:after="0" w:line="260" w:lineRule="auto"/>
        <w:rPr>
          <w:rFonts w:cs="ˎ̥"/>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类比对象</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）类比对象选择的原则</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工频电场强度主要取决于电压等级及关心点与源的距离，并与环境湿度、植被及地理地形等屏蔽条件相关；工频磁感应强度主要取决于电流及关心点与源的距离。</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变电站电磁环境类比测量，从严格意义讲，具有相同的变电站型式、完全相同的设备型号（决定了电压等级及额定功率、额定电流等）、布置情况（决定了距离因子）和环境条件是最理想的，即：不仅有相同变电站型式、主变压器数量和容量，而且一次主接线也相同，布置情况及环境条件也相同。但是要满足这样的条件是很困难的，要解决这一实际困难，可以在关键部分相同，而达到进行类比的条件。所谓关键部分，就是主要的工频电场、工频磁感应强度产生源。</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对于变电站围墙外的工频电场，要求最近的高压带电构架布置一致、电压相同，此时就可以认为具有可比性；同样对于变电站围墙外的工频磁感应强度，也要求最近的通流导体的布置和电流相同才具有可比性。实际情况是，工频电场的类比条件相对容易实现，因为变电站主设备和母线电压是基本稳定的，不会随时间和负荷的变化而产生大的变化。但是产生工频磁感应强度的电流却是随负荷变化而有较大的变化。</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根据以往对诸多变电站的类比监测结果，变电站周围的工频磁感应强度场强远小于</w:t>
      </w:r>
      <w:r>
        <w:rPr>
          <w:color w:val="000000" w:themeColor="text1"/>
          <w14:textFill>
            <w14:solidFill>
              <w14:schemeClr w14:val="tx1"/>
            </w14:solidFill>
          </w14:textFill>
        </w:rPr>
        <w:t>100μT</w:t>
      </w:r>
      <w:r>
        <w:rPr>
          <w:rFonts w:hint="eastAsia"/>
          <w:color w:val="000000" w:themeColor="text1"/>
          <w14:textFill>
            <w14:solidFill>
              <w14:schemeClr w14:val="tx1"/>
            </w14:solidFill>
          </w14:textFill>
        </w:rPr>
        <w:t>的限值标准，因此本工程主要针对工频电场选取类比对象。</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）类比对象</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根据上述类比条件、本工程的规模、电压等级、变电容量、环境条件等因素，选择正在运行的水磨沟220kV变电站作为类比监测对象。</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水磨沟220kV变电站有关情况见</w:t>
      </w:r>
      <w:r>
        <w:rPr>
          <w:b w:val="0"/>
          <w:bCs w:val="0"/>
          <w:color w:val="000000" w:themeColor="text1"/>
          <w14:textFill>
            <w14:solidFill>
              <w14:schemeClr w14:val="tx1"/>
            </w14:solidFill>
          </w14:textFill>
        </w:rPr>
        <w:fldChar w:fldCharType="begin"/>
      </w:r>
      <w:r>
        <w:rPr>
          <w:b w:val="0"/>
          <w:bCs w:val="0"/>
        </w:rPr>
        <w:instrText xml:space="preserve"> REF _Ref157248504 \h  \* MERGEFORMAT</w:instrText>
      </w:r>
      <w:r>
        <w:rPr>
          <w:b w:val="0"/>
          <w:bCs w:val="0"/>
          <w:color w:val="000000" w:themeColor="text1"/>
          <w14:textFill>
            <w14:solidFill>
              <w14:schemeClr w14:val="tx1"/>
            </w14:solidFill>
          </w14:textFill>
        </w:rPr>
        <w:fldChar w:fldCharType="separate"/>
      </w:r>
      <w:r>
        <w:rPr>
          <w:rFonts w:ascii="Times New Roman" w:hAnsi="Times New Roman" w:eastAsia="宋体"/>
          <w:b w:val="0"/>
          <w:bCs w:val="0"/>
        </w:rPr>
        <w:t>表36</w:t>
      </w:r>
      <w:r>
        <w:rPr>
          <w:b w:val="0"/>
          <w:bCs w:val="0"/>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w:t>
      </w:r>
    </w:p>
    <w:p>
      <w:pPr>
        <w:pStyle w:val="10"/>
        <w:keepNext/>
        <w:jc w:val="left"/>
        <w:rPr>
          <w:rFonts w:ascii="Times New Roman" w:hAnsi="Times New Roman" w:eastAsia="宋体"/>
          <w:b/>
        </w:rPr>
      </w:pPr>
      <w:bookmarkStart w:id="777" w:name="_Ref157248504"/>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36</w:t>
      </w:r>
      <w:r>
        <w:rPr>
          <w:rFonts w:ascii="Times New Roman" w:hAnsi="Times New Roman" w:eastAsia="宋体"/>
          <w:b/>
        </w:rPr>
        <w:fldChar w:fldCharType="end"/>
      </w:r>
      <w:bookmarkEnd w:id="777"/>
      <w:r>
        <w:rPr>
          <w:rFonts w:ascii="Times New Roman" w:hAnsi="Times New Roman" w:eastAsia="宋体"/>
          <w:b/>
        </w:rPr>
        <w:t>本工程变电站与类比变电站类比条件对照一览表</w:t>
      </w:r>
    </w:p>
    <w:tbl>
      <w:tblPr>
        <w:tblStyle w:val="37"/>
        <w:tblW w:w="502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1845"/>
        <w:gridCol w:w="2817"/>
        <w:gridCol w:w="390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1077" w:type="pct"/>
            <w:tcMar>
              <w:top w:w="15" w:type="dxa"/>
              <w:left w:w="15" w:type="dxa"/>
              <w:bottom w:w="0" w:type="dxa"/>
              <w:right w:w="15" w:type="dxa"/>
            </w:tcMar>
            <w:vAlign w:val="center"/>
          </w:tcPr>
          <w:p>
            <w:pPr>
              <w:pStyle w:val="75"/>
              <w:wordWrap w:val="0"/>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项目</w:t>
            </w:r>
          </w:p>
        </w:tc>
        <w:tc>
          <w:tcPr>
            <w:tcW w:w="1644" w:type="pct"/>
            <w:tcMar>
              <w:top w:w="15" w:type="dxa"/>
              <w:left w:w="15" w:type="dxa"/>
              <w:bottom w:w="0" w:type="dxa"/>
              <w:right w:w="15" w:type="dxa"/>
            </w:tcMar>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伊拉湖220kV变电站（拟建）</w:t>
            </w:r>
          </w:p>
        </w:tc>
        <w:tc>
          <w:tcPr>
            <w:tcW w:w="2278" w:type="pct"/>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水磨沟220kV变电站（类比）</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1077" w:type="pct"/>
            <w:tcMar>
              <w:top w:w="15" w:type="dxa"/>
              <w:left w:w="15" w:type="dxa"/>
              <w:bottom w:w="0" w:type="dxa"/>
              <w:right w:w="15" w:type="dxa"/>
            </w:tcMar>
            <w:vAlign w:val="center"/>
          </w:tcPr>
          <w:p>
            <w:pPr>
              <w:pStyle w:val="75"/>
              <w:wordWrap w:val="0"/>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电压等级</w:t>
            </w:r>
          </w:p>
        </w:tc>
        <w:tc>
          <w:tcPr>
            <w:tcW w:w="1644" w:type="pct"/>
            <w:tcMar>
              <w:top w:w="15" w:type="dxa"/>
              <w:left w:w="15" w:type="dxa"/>
              <w:bottom w:w="0" w:type="dxa"/>
              <w:right w:w="15" w:type="dxa"/>
            </w:tcMar>
            <w:vAlign w:val="center"/>
          </w:tcPr>
          <w:p>
            <w:pPr>
              <w:pStyle w:val="75"/>
              <w:wordWrap w:val="0"/>
              <w:rPr>
                <w:color w:val="000000" w:themeColor="text1"/>
                <w:szCs w:val="21"/>
                <w14:textFill>
                  <w14:solidFill>
                    <w14:schemeClr w14:val="tx1"/>
                  </w14:solidFill>
                </w14:textFill>
              </w:rPr>
            </w:pPr>
            <w:r>
              <w:rPr>
                <w:color w:val="000000" w:themeColor="text1"/>
                <w:szCs w:val="21"/>
                <w14:textFill>
                  <w14:solidFill>
                    <w14:schemeClr w14:val="tx1"/>
                  </w14:solidFill>
                </w14:textFill>
              </w:rPr>
              <w:t>220kV</w:t>
            </w:r>
          </w:p>
        </w:tc>
        <w:tc>
          <w:tcPr>
            <w:tcW w:w="2278" w:type="pct"/>
            <w:vAlign w:val="center"/>
          </w:tcPr>
          <w:p>
            <w:pPr>
              <w:pStyle w:val="75"/>
              <w:wordWrap w:val="0"/>
              <w:rPr>
                <w:color w:val="000000" w:themeColor="text1"/>
                <w:szCs w:val="21"/>
                <w14:textFill>
                  <w14:solidFill>
                    <w14:schemeClr w14:val="tx1"/>
                  </w14:solidFill>
                </w14:textFill>
              </w:rPr>
            </w:pPr>
            <w:r>
              <w:rPr>
                <w:color w:val="000000" w:themeColor="text1"/>
                <w:szCs w:val="21"/>
                <w14:textFill>
                  <w14:solidFill>
                    <w14:schemeClr w14:val="tx1"/>
                  </w14:solidFill>
                </w14:textFill>
              </w:rPr>
              <w:t>220kV</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1077" w:type="pct"/>
            <w:tcMar>
              <w:top w:w="15" w:type="dxa"/>
              <w:left w:w="15" w:type="dxa"/>
              <w:bottom w:w="0" w:type="dxa"/>
              <w:right w:w="15" w:type="dxa"/>
            </w:tcMar>
            <w:vAlign w:val="center"/>
          </w:tcPr>
          <w:p>
            <w:pPr>
              <w:pStyle w:val="75"/>
              <w:wordWrap w:val="0"/>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主变数量及容量</w:t>
            </w:r>
          </w:p>
        </w:tc>
        <w:tc>
          <w:tcPr>
            <w:tcW w:w="1644" w:type="pct"/>
            <w:tcMar>
              <w:top w:w="15" w:type="dxa"/>
              <w:left w:w="15" w:type="dxa"/>
              <w:bottom w:w="0" w:type="dxa"/>
              <w:right w:w="15" w:type="dxa"/>
            </w:tcMar>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24</w:t>
            </w:r>
            <w:r>
              <w:rPr>
                <w:color w:val="000000" w:themeColor="text1"/>
                <w:szCs w:val="21"/>
                <w14:textFill>
                  <w14:solidFill>
                    <w14:schemeClr w14:val="tx1"/>
                  </w14:solidFill>
                </w14:textFill>
              </w:rPr>
              <w:t>0MVA</w:t>
            </w:r>
          </w:p>
        </w:tc>
        <w:tc>
          <w:tcPr>
            <w:tcW w:w="2278" w:type="pct"/>
            <w:vAlign w:val="center"/>
          </w:tcPr>
          <w:p>
            <w:pPr>
              <w:pStyle w:val="75"/>
              <w:wordWrap w:val="0"/>
              <w:rPr>
                <w:color w:val="000000" w:themeColor="text1"/>
                <w:szCs w:val="21"/>
                <w14:textFill>
                  <w14:solidFill>
                    <w14:schemeClr w14:val="tx1"/>
                  </w14:solidFill>
                </w14:textFill>
              </w:rPr>
            </w:pPr>
            <w:bookmarkStart w:id="778" w:name="_Toc344398042"/>
            <w:bookmarkStart w:id="779" w:name="_Toc344399778"/>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24</w:t>
            </w:r>
            <w:r>
              <w:rPr>
                <w:color w:val="000000" w:themeColor="text1"/>
                <w:szCs w:val="21"/>
                <w14:textFill>
                  <w14:solidFill>
                    <w14:schemeClr w14:val="tx1"/>
                  </w14:solidFill>
                </w14:textFill>
              </w:rPr>
              <w:t>0MVA</w:t>
            </w:r>
            <w:bookmarkEnd w:id="778"/>
            <w:bookmarkEnd w:id="779"/>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1077" w:type="pct"/>
            <w:tcMar>
              <w:top w:w="15" w:type="dxa"/>
              <w:left w:w="15" w:type="dxa"/>
              <w:bottom w:w="0" w:type="dxa"/>
              <w:right w:w="15" w:type="dxa"/>
            </w:tcMar>
            <w:vAlign w:val="center"/>
          </w:tcPr>
          <w:p>
            <w:pPr>
              <w:pStyle w:val="75"/>
              <w:wordWrap w:val="0"/>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220kV</w:t>
            </w:r>
            <w:r>
              <w:rPr>
                <w:rFonts w:hint="eastAsia"/>
                <w:b/>
                <w:bCs/>
                <w:color w:val="000000" w:themeColor="text1"/>
                <w:szCs w:val="21"/>
                <w14:textFill>
                  <w14:solidFill>
                    <w14:schemeClr w14:val="tx1"/>
                  </w14:solidFill>
                </w14:textFill>
              </w:rPr>
              <w:t>出线</w:t>
            </w:r>
          </w:p>
        </w:tc>
        <w:tc>
          <w:tcPr>
            <w:tcW w:w="1644" w:type="pct"/>
            <w:tcMar>
              <w:top w:w="15" w:type="dxa"/>
              <w:left w:w="15" w:type="dxa"/>
              <w:bottom w:w="0" w:type="dxa"/>
              <w:right w:w="15" w:type="dxa"/>
            </w:tcMar>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6回</w:t>
            </w:r>
          </w:p>
        </w:tc>
        <w:tc>
          <w:tcPr>
            <w:tcW w:w="2278" w:type="pct"/>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1077" w:type="pct"/>
            <w:tcMar>
              <w:top w:w="15" w:type="dxa"/>
              <w:left w:w="15" w:type="dxa"/>
              <w:bottom w:w="0" w:type="dxa"/>
              <w:right w:w="15" w:type="dxa"/>
            </w:tcMar>
            <w:vAlign w:val="center"/>
          </w:tcPr>
          <w:p>
            <w:pPr>
              <w:pStyle w:val="75"/>
              <w:wordWrap w:val="0"/>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110kV</w:t>
            </w:r>
            <w:r>
              <w:rPr>
                <w:rFonts w:hint="eastAsia"/>
                <w:b/>
                <w:bCs/>
                <w:color w:val="000000" w:themeColor="text1"/>
                <w:szCs w:val="21"/>
                <w14:textFill>
                  <w14:solidFill>
                    <w14:schemeClr w14:val="tx1"/>
                  </w14:solidFill>
                </w14:textFill>
              </w:rPr>
              <w:t>出线</w:t>
            </w:r>
          </w:p>
        </w:tc>
        <w:tc>
          <w:tcPr>
            <w:tcW w:w="1644" w:type="pct"/>
            <w:tcMar>
              <w:top w:w="15" w:type="dxa"/>
              <w:left w:w="15" w:type="dxa"/>
              <w:bottom w:w="0" w:type="dxa"/>
              <w:right w:w="15" w:type="dxa"/>
            </w:tcMar>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8回</w:t>
            </w:r>
          </w:p>
        </w:tc>
        <w:tc>
          <w:tcPr>
            <w:tcW w:w="2278" w:type="pct"/>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10回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1077" w:type="pct"/>
            <w:tcMar>
              <w:top w:w="15" w:type="dxa"/>
              <w:left w:w="15" w:type="dxa"/>
              <w:bottom w:w="0" w:type="dxa"/>
              <w:right w:w="15" w:type="dxa"/>
            </w:tcMar>
            <w:vAlign w:val="center"/>
          </w:tcPr>
          <w:p>
            <w:pPr>
              <w:pStyle w:val="75"/>
              <w:wordWrap w:val="0"/>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变电站布置形式</w:t>
            </w:r>
          </w:p>
        </w:tc>
        <w:tc>
          <w:tcPr>
            <w:tcW w:w="1644" w:type="pct"/>
            <w:tcMar>
              <w:top w:w="15" w:type="dxa"/>
              <w:left w:w="15" w:type="dxa"/>
              <w:bottom w:w="0" w:type="dxa"/>
              <w:right w:w="15" w:type="dxa"/>
            </w:tcMar>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主变压器户内布置</w:t>
            </w:r>
          </w:p>
        </w:tc>
        <w:tc>
          <w:tcPr>
            <w:tcW w:w="2278" w:type="pct"/>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主变压器户内布置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1077" w:type="pct"/>
            <w:tcMar>
              <w:top w:w="15" w:type="dxa"/>
              <w:left w:w="15" w:type="dxa"/>
              <w:bottom w:w="0" w:type="dxa"/>
              <w:right w:w="15" w:type="dxa"/>
            </w:tcMar>
            <w:vAlign w:val="center"/>
          </w:tcPr>
          <w:p>
            <w:pPr>
              <w:pStyle w:val="75"/>
              <w:wordWrap w:val="0"/>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围墙内占地面积</w:t>
            </w:r>
          </w:p>
        </w:tc>
        <w:tc>
          <w:tcPr>
            <w:tcW w:w="1644" w:type="pct"/>
            <w:tcMar>
              <w:top w:w="15" w:type="dxa"/>
              <w:left w:w="15" w:type="dxa"/>
              <w:bottom w:w="0" w:type="dxa"/>
              <w:right w:w="15" w:type="dxa"/>
            </w:tcMar>
            <w:vAlign w:val="center"/>
          </w:tcPr>
          <w:p>
            <w:pPr>
              <w:pStyle w:val="75"/>
              <w:wordWrap w:val="0"/>
              <w:rPr>
                <w:color w:val="000000" w:themeColor="text1"/>
                <w:szCs w:val="21"/>
                <w14:textFill>
                  <w14:solidFill>
                    <w14:schemeClr w14:val="tx1"/>
                  </w14:solidFill>
                </w14:textFill>
              </w:rPr>
            </w:pPr>
            <w:r>
              <w:rPr>
                <w:rFonts w:hint="eastAsia"/>
                <w:color w:val="000000"/>
                <w:szCs w:val="21"/>
              </w:rPr>
              <w:t>0.92hm</w:t>
            </w:r>
            <w:r>
              <w:rPr>
                <w:rFonts w:hint="eastAsia"/>
                <w:color w:val="000000"/>
                <w:szCs w:val="21"/>
                <w:vertAlign w:val="superscript"/>
              </w:rPr>
              <w:t>2</w:t>
            </w:r>
          </w:p>
        </w:tc>
        <w:tc>
          <w:tcPr>
            <w:tcW w:w="2278" w:type="pct"/>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1.35hm</w:t>
            </w:r>
            <w:r>
              <w:rPr>
                <w:rFonts w:hint="eastAsia"/>
                <w:color w:val="000000" w:themeColor="text1"/>
                <w:szCs w:val="21"/>
                <w:vertAlign w:val="superscript"/>
                <w14:textFill>
                  <w14:solidFill>
                    <w14:schemeClr w14:val="tx1"/>
                  </w14:solidFill>
                </w14:textFill>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1077" w:type="pct"/>
            <w:tcMar>
              <w:top w:w="15" w:type="dxa"/>
              <w:left w:w="15" w:type="dxa"/>
              <w:bottom w:w="0" w:type="dxa"/>
              <w:right w:w="15" w:type="dxa"/>
            </w:tcMar>
            <w:vAlign w:val="center"/>
          </w:tcPr>
          <w:p>
            <w:pPr>
              <w:pStyle w:val="75"/>
              <w:wordWrap w:val="0"/>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环境条件</w:t>
            </w:r>
          </w:p>
        </w:tc>
        <w:tc>
          <w:tcPr>
            <w:tcW w:w="1644" w:type="pct"/>
            <w:tcMar>
              <w:top w:w="15" w:type="dxa"/>
              <w:left w:w="15" w:type="dxa"/>
              <w:bottom w:w="0" w:type="dxa"/>
              <w:right w:w="15" w:type="dxa"/>
            </w:tcMar>
            <w:vAlign w:val="center"/>
          </w:tcPr>
          <w:p>
            <w:pPr>
              <w:pStyle w:val="75"/>
              <w:wordWrap w:val="0"/>
              <w:rPr>
                <w:color w:val="000000"/>
                <w:szCs w:val="21"/>
              </w:rPr>
            </w:pPr>
            <w:r>
              <w:rPr>
                <w:rFonts w:hint="eastAsia"/>
                <w:color w:val="000000"/>
                <w:szCs w:val="21"/>
              </w:rPr>
              <w:t>吐鲁番市</w:t>
            </w:r>
          </w:p>
          <w:p>
            <w:pPr>
              <w:pStyle w:val="75"/>
              <w:wordWrap w:val="0"/>
              <w:rPr>
                <w:color w:val="000000"/>
                <w:szCs w:val="21"/>
              </w:rPr>
            </w:pPr>
            <w:r>
              <w:fldChar w:fldCharType="begin"/>
            </w:r>
            <w:r>
              <w:instrText xml:space="preserve"> HYPERLINK "https://baike.sogou.com/lemma/ShowInnerLink.htm?lemmaId=71520276&amp;ss_c=ssc.citiao.link" \t "_blank" </w:instrText>
            </w:r>
            <w:r>
              <w:fldChar w:fldCharType="separate"/>
            </w:r>
            <w:r>
              <w:rPr>
                <w:rFonts w:hint="eastAsia" w:ascii="宋体" w:hAnsi="宋体" w:cs="宋体"/>
                <w:color w:val="000000"/>
                <w:szCs w:val="21"/>
              </w:rPr>
              <w:t>温带大陆性干旱气候</w:t>
            </w:r>
            <w:r>
              <w:rPr>
                <w:rFonts w:hint="eastAsia" w:ascii="宋体" w:hAnsi="宋体" w:cs="宋体"/>
                <w:color w:val="000000"/>
                <w:szCs w:val="21"/>
              </w:rPr>
              <w:fldChar w:fldCharType="end"/>
            </w:r>
          </w:p>
        </w:tc>
        <w:tc>
          <w:tcPr>
            <w:tcW w:w="2278" w:type="pct"/>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乌鲁木齐市，</w:t>
            </w:r>
            <w:r>
              <w:rPr>
                <w:rFonts w:hint="eastAsia"/>
                <w:color w:val="000000"/>
                <w:szCs w:val="21"/>
              </w:rPr>
              <w:t>暖温带大陆性干旱气候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1077" w:type="pct"/>
            <w:tcMar>
              <w:top w:w="15" w:type="dxa"/>
              <w:left w:w="15" w:type="dxa"/>
              <w:bottom w:w="0" w:type="dxa"/>
              <w:right w:w="15" w:type="dxa"/>
            </w:tcMar>
            <w:vAlign w:val="center"/>
          </w:tcPr>
          <w:p>
            <w:pPr>
              <w:pStyle w:val="75"/>
              <w:wordWrap w:val="0"/>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运行工况</w:t>
            </w:r>
          </w:p>
        </w:tc>
        <w:tc>
          <w:tcPr>
            <w:tcW w:w="1644" w:type="pct"/>
            <w:tcMar>
              <w:top w:w="15" w:type="dxa"/>
              <w:left w:w="15" w:type="dxa"/>
              <w:bottom w:w="0" w:type="dxa"/>
              <w:right w:w="15" w:type="dxa"/>
            </w:tcMar>
            <w:vAlign w:val="center"/>
          </w:tcPr>
          <w:p>
            <w:pPr>
              <w:pStyle w:val="75"/>
              <w:wordWrap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p>
        </w:tc>
        <w:tc>
          <w:tcPr>
            <w:tcW w:w="2278" w:type="pct"/>
            <w:vAlign w:val="center"/>
          </w:tcPr>
          <w:p>
            <w:pPr>
              <w:pStyle w:val="75"/>
              <w:wordWrap w:val="0"/>
              <w:jc w:val="both"/>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2#主变：运行电压为234.30kV-234.80kV、运行电流为120.21A-140.56A、有功功率为46.06WM-50.21WM、无功功率为1.14MVar-2.65MVar；</w:t>
            </w:r>
          </w:p>
          <w:p>
            <w:pPr>
              <w:pStyle w:val="75"/>
              <w:wordWrap w:val="0"/>
              <w:jc w:val="both"/>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3#主变：运行电压为234.44kV-234.86kV、运行电流为120.50A-140.70A、有功功率为45.32WM-50.36WM、无功功率为1.08MVa-2.58MVar。</w:t>
            </w:r>
          </w:p>
        </w:tc>
      </w:tr>
    </w:tbl>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）类比对象的可比性分析</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拟建的伊拉湖220kV变电站与已投运的水磨沟220kV变电站电压等级相同，主变压器布置型式一致，环境条件相似。</w:t>
      </w:r>
    </w:p>
    <w:p>
      <w:p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工频电场仅和运行电压及布置形式相关，对于工频电场只要电压等级相同、布设形式一致就具有可比性。本期新建变电站的主变数量及容量与类比对象一致，出线回数小于类比站，因此，采用水磨沟220kV变电站</w:t>
      </w:r>
      <w:r>
        <w:rPr>
          <w:color w:val="000000" w:themeColor="text1"/>
          <w:sz w:val="24"/>
          <w14:textFill>
            <w14:solidFill>
              <w14:schemeClr w14:val="tx1"/>
            </w14:solidFill>
          </w14:textFill>
        </w:rPr>
        <w:t>作为本工程</w:t>
      </w:r>
      <w:r>
        <w:rPr>
          <w:rFonts w:hint="eastAsia"/>
          <w:color w:val="000000" w:themeColor="text1"/>
          <w:sz w:val="24"/>
          <w14:textFill>
            <w14:solidFill>
              <w14:schemeClr w14:val="tx1"/>
            </w14:solidFill>
          </w14:textFill>
        </w:rPr>
        <w:t>伊拉湖220kV变电站</w:t>
      </w:r>
      <w:r>
        <w:rPr>
          <w:color w:val="000000" w:themeColor="text1"/>
          <w:sz w:val="24"/>
          <w14:textFill>
            <w14:solidFill>
              <w14:schemeClr w14:val="tx1"/>
            </w14:solidFill>
          </w14:textFill>
        </w:rPr>
        <w:t>的类比站是可行的，且结果是趋于保守的。</w:t>
      </w:r>
    </w:p>
    <w:p>
      <w:pPr>
        <w:pStyle w:val="2"/>
        <w:numPr>
          <w:ilvl w:val="2"/>
          <w:numId w:val="21"/>
        </w:numPr>
        <w:spacing w:before="0" w:after="0" w:line="260" w:lineRule="auto"/>
        <w:rPr>
          <w:rFonts w:cs="ˎ̥"/>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类比监测</w:t>
      </w:r>
    </w:p>
    <w:p>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（1）监测因子</w:t>
      </w:r>
    </w:p>
    <w:p>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工频电场、工频磁场</w:t>
      </w:r>
    </w:p>
    <w:p>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（2）监测方法及监测布点</w:t>
      </w:r>
    </w:p>
    <w:p>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类比变电站电磁环境现状监测按《交流输变电工程电磁环境监测方法（试行）》（</w:t>
      </w:r>
      <w:r>
        <w:rPr>
          <w:color w:val="000000" w:themeColor="text1"/>
          <w:sz w:val="24"/>
          <w14:textFill>
            <w14:solidFill>
              <w14:schemeClr w14:val="tx1"/>
            </w14:solidFill>
          </w14:textFill>
        </w:rPr>
        <w:t>HJ681-2013</w:t>
      </w:r>
      <w:r>
        <w:rPr>
          <w:rFonts w:hint="eastAsia"/>
          <w:color w:val="000000" w:themeColor="text1"/>
          <w:sz w:val="24"/>
          <w14:textFill>
            <w14:solidFill>
              <w14:schemeClr w14:val="tx1"/>
            </w14:solidFill>
          </w14:textFill>
        </w:rPr>
        <w:t>）中相关规定执行。</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（3）监测单位及监测时间</w:t>
      </w:r>
    </w:p>
    <w:p>
      <w:pPr>
        <w:autoSpaceDE w:val="0"/>
        <w:autoSpaceDN w:val="0"/>
        <w:spacing w:line="360" w:lineRule="auto"/>
        <w:ind w:firstLine="480" w:firstLineChars="200"/>
        <w:rPr>
          <w:rFonts w:ascii="宋体" w:hAnsi="宋体" w:cs="宋体"/>
          <w:color w:val="000000"/>
          <w:sz w:val="24"/>
        </w:rPr>
      </w:pPr>
      <w:r>
        <w:rPr>
          <w:rFonts w:hint="eastAsia" w:ascii="宋体" w:hAnsi="宋体" w:cs="宋体"/>
          <w:color w:val="000000"/>
          <w:sz w:val="24"/>
        </w:rPr>
        <w:t>监测单位：国电南京电力试验研究有限公司</w:t>
      </w:r>
    </w:p>
    <w:p>
      <w:pPr>
        <w:pStyle w:val="5"/>
        <w:rPr>
          <w:color w:val="000000" w:themeColor="text1"/>
          <w14:textFill>
            <w14:solidFill>
              <w14:schemeClr w14:val="tx1"/>
            </w14:solidFill>
          </w14:textFill>
        </w:rPr>
      </w:pPr>
      <w:r>
        <w:rPr>
          <w:rFonts w:hint="eastAsia" w:cs="宋体"/>
          <w:color w:val="000000"/>
        </w:rPr>
        <w:t>监测时间：2020年12月17日</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4</w:t>
      </w:r>
      <w:r>
        <w:rPr>
          <w:rFonts w:hint="eastAsia"/>
          <w:color w:val="000000" w:themeColor="text1"/>
          <w14:textFill>
            <w14:solidFill>
              <w14:schemeClr w14:val="tx1"/>
            </w14:solidFill>
          </w14:textFill>
        </w:rPr>
        <w:t>）监测仪器</w:t>
      </w:r>
    </w:p>
    <w:p>
      <w:pPr>
        <w:pStyle w:val="5"/>
        <w:rPr>
          <w:rFonts w:cs="ˎ̥"/>
          <w:color w:val="000000" w:themeColor="text1"/>
          <w:szCs w:val="22"/>
          <w14:textFill>
            <w14:solidFill>
              <w14:schemeClr w14:val="tx1"/>
            </w14:solidFill>
          </w14:textFill>
        </w:rPr>
      </w:pPr>
      <w:r>
        <w:rPr>
          <w:rFonts w:hint="eastAsia" w:cs="ˎ̥"/>
          <w:color w:val="000000" w:themeColor="text1"/>
          <w:szCs w:val="22"/>
          <w14:textFill>
            <w14:solidFill>
              <w14:schemeClr w14:val="tx1"/>
            </w14:solidFill>
          </w14:textFill>
        </w:rPr>
        <w:t>类比监测所用相关仪器情况见</w:t>
      </w:r>
      <w:r>
        <w:rPr>
          <w:rFonts w:cs="ˎ̥"/>
          <w:b w:val="0"/>
          <w:bCs w:val="0"/>
          <w:color w:val="000000" w:themeColor="text1"/>
          <w:szCs w:val="22"/>
          <w14:textFill>
            <w14:solidFill>
              <w14:schemeClr w14:val="tx1"/>
            </w14:solidFill>
          </w14:textFill>
        </w:rPr>
        <w:fldChar w:fldCharType="begin"/>
      </w:r>
      <w:r>
        <w:rPr>
          <w:b w:val="0"/>
          <w:bCs w:val="0"/>
        </w:rPr>
        <w:instrText xml:space="preserve"> REF _Ref157248800 \h  \* MERGEFORMAT</w:instrText>
      </w:r>
      <w:r>
        <w:rPr>
          <w:rFonts w:cs="ˎ̥"/>
          <w:b w:val="0"/>
          <w:bCs w:val="0"/>
          <w:color w:val="000000" w:themeColor="text1"/>
          <w:szCs w:val="22"/>
          <w14:textFill>
            <w14:solidFill>
              <w14:schemeClr w14:val="tx1"/>
            </w14:solidFill>
          </w14:textFill>
        </w:rPr>
        <w:fldChar w:fldCharType="separate"/>
      </w:r>
      <w:r>
        <w:rPr>
          <w:rFonts w:ascii="Times New Roman" w:hAnsi="Times New Roman" w:eastAsia="宋体"/>
          <w:b w:val="0"/>
          <w:bCs w:val="0"/>
        </w:rPr>
        <w:t>表37</w:t>
      </w:r>
      <w:r>
        <w:rPr>
          <w:rFonts w:cs="ˎ̥"/>
          <w:b w:val="0"/>
          <w:bCs w:val="0"/>
          <w:color w:val="000000" w:themeColor="text1"/>
          <w:szCs w:val="22"/>
          <w14:textFill>
            <w14:solidFill>
              <w14:schemeClr w14:val="tx1"/>
            </w14:solidFill>
          </w14:textFill>
        </w:rPr>
        <w:fldChar w:fldCharType="end"/>
      </w:r>
      <w:r>
        <w:rPr>
          <w:rFonts w:hint="eastAsia" w:cs="ˎ̥"/>
          <w:color w:val="000000" w:themeColor="text1"/>
          <w:szCs w:val="22"/>
          <w14:textFill>
            <w14:solidFill>
              <w14:schemeClr w14:val="tx1"/>
            </w14:solidFill>
          </w14:textFill>
        </w:rPr>
        <w:t>。</w:t>
      </w:r>
    </w:p>
    <w:p>
      <w:pPr>
        <w:pStyle w:val="10"/>
        <w:keepNext/>
        <w:jc w:val="left"/>
        <w:rPr>
          <w:rFonts w:ascii="Times New Roman" w:hAnsi="Times New Roman" w:eastAsia="宋体"/>
          <w:b/>
        </w:rPr>
      </w:pPr>
      <w:bookmarkStart w:id="780" w:name="_Ref157248800"/>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37</w:t>
      </w:r>
      <w:r>
        <w:rPr>
          <w:rFonts w:ascii="Times New Roman" w:hAnsi="Times New Roman" w:eastAsia="宋体"/>
          <w:b/>
        </w:rPr>
        <w:fldChar w:fldCharType="end"/>
      </w:r>
      <w:bookmarkEnd w:id="780"/>
      <w:r>
        <w:rPr>
          <w:rFonts w:ascii="Times New Roman" w:hAnsi="Times New Roman" w:eastAsia="宋体"/>
          <w:b/>
        </w:rPr>
        <w:t>监测所用仪器一览表</w:t>
      </w:r>
    </w:p>
    <w:tbl>
      <w:tblPr>
        <w:tblStyle w:val="37"/>
        <w:tblW w:w="4981" w:type="pct"/>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28" w:type="dxa"/>
          <w:bottom w:w="0" w:type="dxa"/>
          <w:right w:w="28" w:type="dxa"/>
        </w:tblCellMar>
      </w:tblPr>
      <w:tblGrid>
        <w:gridCol w:w="1605"/>
        <w:gridCol w:w="1313"/>
        <w:gridCol w:w="1272"/>
        <w:gridCol w:w="2082"/>
        <w:gridCol w:w="2216"/>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945" w:type="pct"/>
            <w:tcBorders>
              <w:tl2br w:val="nil"/>
              <w:tr2bl w:val="nil"/>
            </w:tcBorders>
            <w:tcMar>
              <w:top w:w="0" w:type="dxa"/>
              <w:left w:w="0" w:type="dxa"/>
              <w:bottom w:w="0" w:type="dxa"/>
              <w:right w:w="0" w:type="dxa"/>
            </w:tcMar>
            <w:vAlign w:val="center"/>
          </w:tcPr>
          <w:p>
            <w:pPr>
              <w:jc w:val="center"/>
              <w:rPr>
                <w:b/>
              </w:rPr>
            </w:pPr>
            <w:r>
              <w:rPr>
                <w:b/>
              </w:rPr>
              <w:t>监测项目</w:t>
            </w:r>
          </w:p>
        </w:tc>
        <w:tc>
          <w:tcPr>
            <w:tcW w:w="773" w:type="pct"/>
            <w:tcBorders>
              <w:tl2br w:val="nil"/>
              <w:tr2bl w:val="nil"/>
            </w:tcBorders>
            <w:tcMar>
              <w:top w:w="0" w:type="dxa"/>
              <w:left w:w="0" w:type="dxa"/>
              <w:bottom w:w="0" w:type="dxa"/>
              <w:right w:w="0" w:type="dxa"/>
            </w:tcMar>
            <w:vAlign w:val="center"/>
          </w:tcPr>
          <w:p>
            <w:pPr>
              <w:jc w:val="center"/>
              <w:rPr>
                <w:b/>
              </w:rPr>
            </w:pPr>
            <w:r>
              <w:rPr>
                <w:b/>
              </w:rPr>
              <w:t>设备名称</w:t>
            </w:r>
          </w:p>
        </w:tc>
        <w:tc>
          <w:tcPr>
            <w:tcW w:w="749" w:type="pct"/>
            <w:tcBorders>
              <w:tl2br w:val="nil"/>
              <w:tr2bl w:val="nil"/>
            </w:tcBorders>
            <w:tcMar>
              <w:top w:w="0" w:type="dxa"/>
              <w:left w:w="0" w:type="dxa"/>
              <w:bottom w:w="0" w:type="dxa"/>
              <w:right w:w="0" w:type="dxa"/>
            </w:tcMar>
            <w:vAlign w:val="center"/>
          </w:tcPr>
          <w:p>
            <w:pPr>
              <w:jc w:val="center"/>
              <w:rPr>
                <w:b/>
              </w:rPr>
            </w:pPr>
            <w:r>
              <w:rPr>
                <w:b/>
              </w:rPr>
              <w:t>设备编号</w:t>
            </w:r>
          </w:p>
        </w:tc>
        <w:tc>
          <w:tcPr>
            <w:tcW w:w="1226" w:type="pct"/>
            <w:tcBorders>
              <w:tl2br w:val="nil"/>
              <w:tr2bl w:val="nil"/>
            </w:tcBorders>
            <w:tcMar>
              <w:top w:w="0" w:type="dxa"/>
              <w:left w:w="0" w:type="dxa"/>
              <w:bottom w:w="0" w:type="dxa"/>
              <w:right w:w="0" w:type="dxa"/>
            </w:tcMar>
            <w:vAlign w:val="center"/>
          </w:tcPr>
          <w:p>
            <w:pPr>
              <w:jc w:val="center"/>
              <w:rPr>
                <w:b/>
              </w:rPr>
            </w:pPr>
            <w:r>
              <w:rPr>
                <w:b/>
              </w:rPr>
              <w:t>检定/校准机构</w:t>
            </w:r>
          </w:p>
        </w:tc>
        <w:tc>
          <w:tcPr>
            <w:tcW w:w="1304" w:type="pct"/>
            <w:tcBorders>
              <w:tl2br w:val="nil"/>
              <w:tr2bl w:val="nil"/>
            </w:tcBorders>
            <w:tcMar>
              <w:top w:w="0" w:type="dxa"/>
              <w:left w:w="0" w:type="dxa"/>
              <w:bottom w:w="0" w:type="dxa"/>
              <w:right w:w="0" w:type="dxa"/>
            </w:tcMar>
            <w:vAlign w:val="center"/>
          </w:tcPr>
          <w:p>
            <w:pPr>
              <w:jc w:val="center"/>
              <w:rPr>
                <w:b/>
              </w:rPr>
            </w:pPr>
            <w:r>
              <w:rPr>
                <w:b/>
              </w:rPr>
              <w:t>有效日期</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28" w:type="dxa"/>
            <w:bottom w:w="0" w:type="dxa"/>
            <w:right w:w="28" w:type="dxa"/>
          </w:tblCellMar>
        </w:tblPrEx>
        <w:trPr>
          <w:trHeight w:val="290" w:hRule="atLeast"/>
          <w:jc w:val="center"/>
        </w:trPr>
        <w:tc>
          <w:tcPr>
            <w:tcW w:w="945" w:type="pct"/>
            <w:tcBorders>
              <w:tl2br w:val="nil"/>
              <w:tr2bl w:val="nil"/>
            </w:tcBorders>
            <w:tcMar>
              <w:top w:w="0" w:type="dxa"/>
              <w:left w:w="0" w:type="dxa"/>
              <w:bottom w:w="0" w:type="dxa"/>
              <w:right w:w="0" w:type="dxa"/>
            </w:tcMar>
            <w:vAlign w:val="center"/>
          </w:tcPr>
          <w:p>
            <w:pPr>
              <w:jc w:val="center"/>
            </w:pPr>
            <w:r>
              <w:t>工频电场强度</w:t>
            </w:r>
            <w:r>
              <w:rPr>
                <w:rFonts w:hint="eastAsia"/>
              </w:rPr>
              <w:t>工频</w:t>
            </w:r>
            <w:r>
              <w:t>磁感应强度</w:t>
            </w:r>
          </w:p>
        </w:tc>
        <w:tc>
          <w:tcPr>
            <w:tcW w:w="773" w:type="pct"/>
            <w:tcBorders>
              <w:tl2br w:val="nil"/>
              <w:tr2bl w:val="nil"/>
            </w:tcBorders>
            <w:tcMar>
              <w:top w:w="0" w:type="dxa"/>
              <w:left w:w="0" w:type="dxa"/>
              <w:bottom w:w="0" w:type="dxa"/>
              <w:right w:w="0" w:type="dxa"/>
            </w:tcMar>
            <w:vAlign w:val="center"/>
          </w:tcPr>
          <w:p>
            <w:pPr>
              <w:jc w:val="center"/>
              <w:rPr>
                <w:rFonts w:cs="宋体"/>
                <w:color w:val="000000"/>
                <w:szCs w:val="21"/>
              </w:rPr>
            </w:pPr>
            <w:r>
              <w:rPr>
                <w:rFonts w:hint="eastAsia" w:cs="宋体"/>
                <w:color w:val="000000"/>
                <w:szCs w:val="21"/>
              </w:rPr>
              <w:t>场强仪</w:t>
            </w:r>
          </w:p>
        </w:tc>
        <w:tc>
          <w:tcPr>
            <w:tcW w:w="749" w:type="pct"/>
            <w:tcBorders>
              <w:tl2br w:val="nil"/>
              <w:tr2bl w:val="nil"/>
            </w:tcBorders>
            <w:tcMar>
              <w:top w:w="0" w:type="dxa"/>
              <w:left w:w="0" w:type="dxa"/>
              <w:bottom w:w="0" w:type="dxa"/>
              <w:right w:w="0" w:type="dxa"/>
            </w:tcMar>
            <w:vAlign w:val="center"/>
          </w:tcPr>
          <w:p>
            <w:pPr>
              <w:jc w:val="center"/>
              <w:rPr>
                <w:rFonts w:cs="宋体"/>
                <w:color w:val="000000"/>
                <w:szCs w:val="21"/>
              </w:rPr>
            </w:pPr>
            <w:r>
              <w:rPr>
                <w:rFonts w:hint="eastAsia" w:cs="宋体"/>
                <w:color w:val="000000"/>
                <w:szCs w:val="21"/>
              </w:rPr>
              <w:t>H-0638</w:t>
            </w:r>
          </w:p>
        </w:tc>
        <w:tc>
          <w:tcPr>
            <w:tcW w:w="1226" w:type="pct"/>
            <w:tcBorders>
              <w:tl2br w:val="nil"/>
              <w:tr2bl w:val="nil"/>
            </w:tcBorders>
            <w:tcMar>
              <w:top w:w="0" w:type="dxa"/>
              <w:left w:w="0" w:type="dxa"/>
              <w:bottom w:w="0" w:type="dxa"/>
              <w:right w:w="0" w:type="dxa"/>
            </w:tcMar>
            <w:vAlign w:val="center"/>
          </w:tcPr>
          <w:p>
            <w:pPr>
              <w:adjustRightInd w:val="0"/>
              <w:snapToGrid w:val="0"/>
              <w:jc w:val="center"/>
              <w:rPr>
                <w:rFonts w:cs="宋体"/>
                <w:color w:val="000000"/>
                <w:szCs w:val="21"/>
              </w:rPr>
            </w:pPr>
            <w:r>
              <w:rPr>
                <w:rFonts w:hint="eastAsia" w:cs="宋体"/>
                <w:color w:val="000000"/>
                <w:szCs w:val="21"/>
              </w:rPr>
              <w:t>江苏省计量科学</w:t>
            </w:r>
          </w:p>
          <w:p>
            <w:pPr>
              <w:adjustRightInd w:val="0"/>
              <w:snapToGrid w:val="0"/>
              <w:jc w:val="center"/>
              <w:rPr>
                <w:rFonts w:cs="宋体"/>
                <w:color w:val="000000"/>
                <w:szCs w:val="21"/>
              </w:rPr>
            </w:pPr>
            <w:r>
              <w:rPr>
                <w:rFonts w:hint="eastAsia" w:cs="宋体"/>
                <w:color w:val="000000"/>
                <w:szCs w:val="21"/>
              </w:rPr>
              <w:t>研究院</w:t>
            </w:r>
          </w:p>
        </w:tc>
        <w:tc>
          <w:tcPr>
            <w:tcW w:w="1304" w:type="pct"/>
            <w:tcBorders>
              <w:tl2br w:val="nil"/>
              <w:tr2bl w:val="nil"/>
            </w:tcBorders>
            <w:tcMar>
              <w:top w:w="0" w:type="dxa"/>
              <w:left w:w="0" w:type="dxa"/>
              <w:bottom w:w="0" w:type="dxa"/>
              <w:right w:w="0" w:type="dxa"/>
            </w:tcMar>
            <w:vAlign w:val="center"/>
          </w:tcPr>
          <w:p>
            <w:pPr>
              <w:jc w:val="center"/>
              <w:rPr>
                <w:rFonts w:cs="宋体"/>
                <w:color w:val="000000"/>
                <w:szCs w:val="21"/>
              </w:rPr>
            </w:pPr>
            <w:r>
              <w:rPr>
                <w:rFonts w:hint="eastAsia" w:cs="宋体"/>
                <w:color w:val="000000"/>
                <w:szCs w:val="21"/>
              </w:rPr>
              <w:t>2019.12.30-2020.12.29</w:t>
            </w:r>
          </w:p>
        </w:tc>
      </w:tr>
    </w:tbl>
    <w:p>
      <w:pPr>
        <w:pStyle w:val="5"/>
        <w:spacing w:before="163" w:beforeLines="50"/>
        <w:rPr>
          <w:color w:val="000000" w:themeColor="text1"/>
          <w14:textFill>
            <w14:solidFill>
              <w14:schemeClr w14:val="tx1"/>
            </w14:solidFill>
          </w14:textFill>
        </w:rPr>
      </w:pPr>
      <w:r>
        <w:rPr>
          <w:color w:val="000000" w:themeColor="text1"/>
          <w14:textFill>
            <w14:solidFill>
              <w14:schemeClr w14:val="tx1"/>
            </w14:solidFill>
          </w14:textFill>
        </w:rPr>
        <w:t>气象条件：</w:t>
      </w:r>
      <w:r>
        <w:t>睛</w:t>
      </w:r>
      <w:r>
        <w:rPr>
          <w:rFonts w:hint="eastAsia"/>
        </w:rPr>
        <w:t>，</w:t>
      </w:r>
      <w:r>
        <w:t>相对湿度4</w:t>
      </w:r>
      <w:r>
        <w:rPr>
          <w:rFonts w:hint="eastAsia"/>
        </w:rPr>
        <w:t>2%-</w:t>
      </w:r>
      <w:r>
        <w:t>6</w:t>
      </w:r>
      <w:r>
        <w:rPr>
          <w:rFonts w:hint="eastAsia"/>
        </w:rPr>
        <w:t>6</w:t>
      </w:r>
      <w:r>
        <w:t>%</w:t>
      </w:r>
      <w:r>
        <w:rPr>
          <w:rFonts w:hint="eastAsia"/>
        </w:rPr>
        <w:t>，</w:t>
      </w:r>
      <w:r>
        <w:t>温度</w:t>
      </w:r>
      <w:r>
        <w:rPr>
          <w:rFonts w:hint="eastAsia"/>
        </w:rPr>
        <w:t>-16</w:t>
      </w:r>
      <w:r>
        <w:t>℃</w:t>
      </w:r>
      <w:r>
        <w:rPr>
          <w:rFonts w:hint="eastAsia"/>
        </w:rPr>
        <w:t>--9</w:t>
      </w:r>
      <w:r>
        <w:t>℃</w:t>
      </w:r>
      <w:r>
        <w:rPr>
          <w:rFonts w:hint="eastAsia"/>
        </w:rPr>
        <w:t>，</w:t>
      </w:r>
      <w:r>
        <w:t>风速1.</w:t>
      </w:r>
      <w:r>
        <w:rPr>
          <w:rFonts w:hint="eastAsia"/>
        </w:rPr>
        <w:t>0</w:t>
      </w:r>
      <w:r>
        <w:t>m/s</w:t>
      </w:r>
      <w:r>
        <w:rPr>
          <w:rFonts w:hint="eastAsia"/>
        </w:rPr>
        <w:t>-1.5</w:t>
      </w:r>
      <w:r>
        <w:t>m/s。</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（5）运行工况</w:t>
      </w:r>
    </w:p>
    <w:p>
      <w:pPr>
        <w:pStyle w:val="5"/>
      </w:pPr>
      <w:r>
        <w:rPr>
          <w:rFonts w:hint="eastAsia"/>
          <w:color w:val="000000" w:themeColor="text1"/>
          <w14:textFill>
            <w14:solidFill>
              <w14:schemeClr w14:val="tx1"/>
            </w14:solidFill>
          </w14:textFill>
        </w:rPr>
        <w:t>监测环</w:t>
      </w:r>
      <w:r>
        <w:rPr>
          <w:rFonts w:hint="eastAsia"/>
        </w:rPr>
        <w:t>境及运行工况参数见</w:t>
      </w:r>
      <w:r>
        <w:rPr>
          <w:b w:val="0"/>
          <w:bCs w:val="0"/>
        </w:rPr>
        <w:fldChar w:fldCharType="begin"/>
      </w:r>
      <w:r>
        <w:rPr>
          <w:b w:val="0"/>
          <w:bCs w:val="0"/>
        </w:rPr>
        <w:instrText xml:space="preserve"> REF _Ref157249138 \h  \* MERGEFORMAT</w:instrText>
      </w:r>
      <w:r>
        <w:rPr>
          <w:b w:val="0"/>
          <w:bCs w:val="0"/>
        </w:rPr>
        <w:fldChar w:fldCharType="separate"/>
      </w:r>
      <w:r>
        <w:rPr>
          <w:rFonts w:ascii="Times New Roman" w:hAnsi="Times New Roman" w:eastAsia="宋体"/>
          <w:b w:val="0"/>
          <w:bCs w:val="0"/>
        </w:rPr>
        <w:t>表38</w:t>
      </w:r>
      <w:r>
        <w:rPr>
          <w:b w:val="0"/>
          <w:bCs w:val="0"/>
        </w:rPr>
        <w:fldChar w:fldCharType="end"/>
      </w:r>
      <w:r>
        <w:rPr>
          <w:rFonts w:hint="eastAsia"/>
        </w:rPr>
        <w:t>。</w:t>
      </w:r>
    </w:p>
    <w:p>
      <w:pPr>
        <w:pStyle w:val="10"/>
        <w:keepNext/>
        <w:jc w:val="left"/>
        <w:rPr>
          <w:rFonts w:ascii="Times New Roman" w:hAnsi="Times New Roman" w:eastAsia="宋体"/>
          <w:b/>
        </w:rPr>
      </w:pPr>
      <w:bookmarkStart w:id="781" w:name="_Ref157249138"/>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38</w:t>
      </w:r>
      <w:r>
        <w:rPr>
          <w:rFonts w:ascii="Times New Roman" w:hAnsi="Times New Roman" w:eastAsia="宋体"/>
          <w:b/>
        </w:rPr>
        <w:fldChar w:fldCharType="end"/>
      </w:r>
      <w:bookmarkEnd w:id="781"/>
      <w:r>
        <w:rPr>
          <w:rFonts w:hint="eastAsia" w:ascii="Times New Roman" w:hAnsi="Times New Roman" w:eastAsia="宋体"/>
          <w:b/>
        </w:rPr>
        <w:t>水磨沟220kV变电站</w:t>
      </w:r>
      <w:r>
        <w:rPr>
          <w:rFonts w:ascii="Times New Roman" w:hAnsi="Times New Roman" w:eastAsia="宋体"/>
          <w:b/>
        </w:rPr>
        <w:t>监测环境及运行工况</w:t>
      </w:r>
    </w:p>
    <w:tbl>
      <w:tblPr>
        <w:tblStyle w:val="3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0"/>
        <w:gridCol w:w="1062"/>
        <w:gridCol w:w="1586"/>
        <w:gridCol w:w="1628"/>
        <w:gridCol w:w="1558"/>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pct"/>
            <w:shd w:val="clear" w:color="auto" w:fill="auto"/>
            <w:vAlign w:val="center"/>
          </w:tcPr>
          <w:p>
            <w:pPr>
              <w:topLinePunct/>
              <w:adjustRightInd w:val="0"/>
              <w:snapToGrid w:val="0"/>
              <w:jc w:val="center"/>
              <w:textAlignment w:val="center"/>
              <w:rPr>
                <w:kern w:val="0"/>
              </w:rPr>
            </w:pPr>
            <w:r>
              <w:rPr>
                <w:kern w:val="0"/>
              </w:rPr>
              <w:t>变电站名称</w:t>
            </w:r>
          </w:p>
        </w:tc>
        <w:tc>
          <w:tcPr>
            <w:tcW w:w="610" w:type="pct"/>
            <w:shd w:val="clear" w:color="auto" w:fill="auto"/>
            <w:vAlign w:val="center"/>
          </w:tcPr>
          <w:p>
            <w:pPr>
              <w:topLinePunct/>
              <w:adjustRightInd w:val="0"/>
              <w:snapToGrid w:val="0"/>
              <w:jc w:val="center"/>
              <w:textAlignment w:val="center"/>
              <w:rPr>
                <w:kern w:val="0"/>
              </w:rPr>
            </w:pPr>
            <w:r>
              <w:rPr>
                <w:kern w:val="0"/>
              </w:rPr>
              <w:t>设备名称</w:t>
            </w:r>
          </w:p>
        </w:tc>
        <w:tc>
          <w:tcPr>
            <w:tcW w:w="911" w:type="pct"/>
            <w:shd w:val="clear" w:color="auto" w:fill="auto"/>
            <w:vAlign w:val="center"/>
          </w:tcPr>
          <w:p>
            <w:pPr>
              <w:topLinePunct/>
              <w:adjustRightInd w:val="0"/>
              <w:snapToGrid w:val="0"/>
              <w:jc w:val="center"/>
              <w:textAlignment w:val="center"/>
              <w:rPr>
                <w:kern w:val="0"/>
              </w:rPr>
            </w:pPr>
            <w:r>
              <w:rPr>
                <w:kern w:val="0"/>
              </w:rPr>
              <w:t>电压（kV）</w:t>
            </w:r>
          </w:p>
        </w:tc>
        <w:tc>
          <w:tcPr>
            <w:tcW w:w="935" w:type="pct"/>
            <w:shd w:val="clear" w:color="auto" w:fill="auto"/>
            <w:vAlign w:val="center"/>
          </w:tcPr>
          <w:p>
            <w:pPr>
              <w:topLinePunct/>
              <w:adjustRightInd w:val="0"/>
              <w:snapToGrid w:val="0"/>
              <w:jc w:val="center"/>
              <w:textAlignment w:val="center"/>
              <w:rPr>
                <w:kern w:val="0"/>
              </w:rPr>
            </w:pPr>
            <w:r>
              <w:rPr>
                <w:kern w:val="0"/>
              </w:rPr>
              <w:t>电流（A）</w:t>
            </w:r>
          </w:p>
        </w:tc>
        <w:tc>
          <w:tcPr>
            <w:tcW w:w="895" w:type="pct"/>
            <w:vAlign w:val="center"/>
          </w:tcPr>
          <w:p>
            <w:pPr>
              <w:topLinePunct/>
              <w:adjustRightInd w:val="0"/>
              <w:snapToGrid w:val="0"/>
              <w:jc w:val="center"/>
              <w:textAlignment w:val="center"/>
              <w:rPr>
                <w:kern w:val="0"/>
              </w:rPr>
            </w:pPr>
            <w:r>
              <w:rPr>
                <w:rFonts w:hint="eastAsia"/>
                <w:kern w:val="0"/>
              </w:rPr>
              <w:t>有功功率（MW）</w:t>
            </w:r>
          </w:p>
        </w:tc>
        <w:tc>
          <w:tcPr>
            <w:tcW w:w="767" w:type="pct"/>
          </w:tcPr>
          <w:p>
            <w:pPr>
              <w:topLinePunct/>
              <w:adjustRightInd w:val="0"/>
              <w:snapToGrid w:val="0"/>
              <w:jc w:val="center"/>
              <w:textAlignment w:val="center"/>
              <w:rPr>
                <w:kern w:val="0"/>
              </w:rPr>
            </w:pPr>
            <w:r>
              <w:rPr>
                <w:rFonts w:hint="eastAsia"/>
                <w:kern w:val="0"/>
              </w:rPr>
              <w:t>无功功率（Mvar）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879" w:type="pct"/>
            <w:vMerge w:val="restart"/>
            <w:shd w:val="clear" w:color="auto" w:fill="auto"/>
            <w:vAlign w:val="center"/>
          </w:tcPr>
          <w:p>
            <w:pPr>
              <w:topLinePunct/>
              <w:adjustRightInd w:val="0"/>
              <w:snapToGrid w:val="0"/>
              <w:jc w:val="center"/>
              <w:textAlignment w:val="center"/>
              <w:rPr>
                <w:kern w:val="0"/>
              </w:rPr>
            </w:pPr>
            <w:r>
              <w:rPr>
                <w:rFonts w:hint="eastAsia"/>
                <w:kern w:val="0"/>
              </w:rPr>
              <w:t>水磨沟220kV变电站</w:t>
            </w:r>
          </w:p>
        </w:tc>
        <w:tc>
          <w:tcPr>
            <w:tcW w:w="610" w:type="pct"/>
            <w:shd w:val="clear" w:color="auto" w:fill="auto"/>
            <w:vAlign w:val="center"/>
          </w:tcPr>
          <w:p>
            <w:pPr>
              <w:topLinePunct/>
              <w:adjustRightInd w:val="0"/>
              <w:snapToGrid w:val="0"/>
              <w:jc w:val="center"/>
              <w:textAlignment w:val="center"/>
              <w:rPr>
                <w:kern w:val="0"/>
              </w:rPr>
            </w:pPr>
            <w:r>
              <w:rPr>
                <w:rFonts w:hint="eastAsia"/>
                <w:kern w:val="0"/>
              </w:rPr>
              <w:t>2</w:t>
            </w:r>
            <w:r>
              <w:rPr>
                <w:kern w:val="0"/>
              </w:rPr>
              <w:t>#主变</w:t>
            </w:r>
          </w:p>
        </w:tc>
        <w:tc>
          <w:tcPr>
            <w:tcW w:w="911" w:type="pct"/>
            <w:shd w:val="clear" w:color="auto" w:fill="auto"/>
            <w:vAlign w:val="center"/>
          </w:tcPr>
          <w:p>
            <w:pPr>
              <w:topLinePunct/>
              <w:adjustRightInd w:val="0"/>
              <w:snapToGrid w:val="0"/>
              <w:jc w:val="center"/>
              <w:textAlignment w:val="center"/>
              <w:rPr>
                <w:kern w:val="0"/>
              </w:rPr>
            </w:pPr>
            <w:r>
              <w:rPr>
                <w:rFonts w:hint="eastAsia"/>
                <w:kern w:val="0"/>
              </w:rPr>
              <w:t>234.30-234.80</w:t>
            </w:r>
          </w:p>
        </w:tc>
        <w:tc>
          <w:tcPr>
            <w:tcW w:w="935" w:type="pct"/>
            <w:shd w:val="clear" w:color="auto" w:fill="auto"/>
            <w:vAlign w:val="center"/>
          </w:tcPr>
          <w:p>
            <w:pPr>
              <w:topLinePunct/>
              <w:adjustRightInd w:val="0"/>
              <w:snapToGrid w:val="0"/>
              <w:jc w:val="center"/>
              <w:textAlignment w:val="center"/>
              <w:rPr>
                <w:kern w:val="0"/>
              </w:rPr>
            </w:pPr>
            <w:r>
              <w:rPr>
                <w:rFonts w:hint="eastAsia"/>
                <w:kern w:val="0"/>
              </w:rPr>
              <w:t>120.21-140.56</w:t>
            </w:r>
          </w:p>
        </w:tc>
        <w:tc>
          <w:tcPr>
            <w:tcW w:w="895" w:type="pct"/>
            <w:vAlign w:val="center"/>
          </w:tcPr>
          <w:p>
            <w:pPr>
              <w:topLinePunct/>
              <w:adjustRightInd w:val="0"/>
              <w:snapToGrid w:val="0"/>
              <w:jc w:val="center"/>
              <w:textAlignment w:val="center"/>
              <w:rPr>
                <w:kern w:val="0"/>
              </w:rPr>
            </w:pPr>
            <w:r>
              <w:rPr>
                <w:rFonts w:hint="eastAsia"/>
                <w:kern w:val="0"/>
              </w:rPr>
              <w:t>46.06-50.21</w:t>
            </w:r>
          </w:p>
        </w:tc>
        <w:tc>
          <w:tcPr>
            <w:tcW w:w="767" w:type="pct"/>
            <w:vAlign w:val="center"/>
          </w:tcPr>
          <w:p>
            <w:pPr>
              <w:topLinePunct/>
              <w:adjustRightInd w:val="0"/>
              <w:snapToGrid w:val="0"/>
              <w:jc w:val="center"/>
              <w:textAlignment w:val="center"/>
              <w:rPr>
                <w:kern w:val="0"/>
              </w:rPr>
            </w:pPr>
            <w:r>
              <w:rPr>
                <w:rFonts w:hint="eastAsia"/>
                <w:kern w:val="0"/>
              </w:rPr>
              <w:t>1.14-2.65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79" w:type="pct"/>
            <w:vMerge w:val="continue"/>
            <w:shd w:val="clear" w:color="auto" w:fill="auto"/>
            <w:vAlign w:val="center"/>
          </w:tcPr>
          <w:p>
            <w:pPr>
              <w:topLinePunct/>
              <w:adjustRightInd w:val="0"/>
              <w:snapToGrid w:val="0"/>
              <w:jc w:val="center"/>
              <w:textAlignment w:val="center"/>
              <w:rPr>
                <w:kern w:val="0"/>
              </w:rPr>
            </w:pPr>
          </w:p>
        </w:tc>
        <w:tc>
          <w:tcPr>
            <w:tcW w:w="610" w:type="pct"/>
            <w:shd w:val="clear" w:color="auto" w:fill="auto"/>
            <w:vAlign w:val="center"/>
          </w:tcPr>
          <w:p>
            <w:pPr>
              <w:topLinePunct/>
              <w:adjustRightInd w:val="0"/>
              <w:snapToGrid w:val="0"/>
              <w:jc w:val="center"/>
              <w:textAlignment w:val="center"/>
              <w:rPr>
                <w:kern w:val="0"/>
              </w:rPr>
            </w:pPr>
            <w:r>
              <w:rPr>
                <w:rFonts w:hint="eastAsia"/>
                <w:kern w:val="0"/>
              </w:rPr>
              <w:t>3</w:t>
            </w:r>
            <w:r>
              <w:rPr>
                <w:kern w:val="0"/>
              </w:rPr>
              <w:t>#主变</w:t>
            </w:r>
          </w:p>
        </w:tc>
        <w:tc>
          <w:tcPr>
            <w:tcW w:w="911" w:type="pct"/>
            <w:shd w:val="clear" w:color="auto" w:fill="auto"/>
            <w:vAlign w:val="center"/>
          </w:tcPr>
          <w:p>
            <w:pPr>
              <w:topLinePunct/>
              <w:adjustRightInd w:val="0"/>
              <w:snapToGrid w:val="0"/>
              <w:jc w:val="center"/>
              <w:textAlignment w:val="center"/>
              <w:rPr>
                <w:kern w:val="0"/>
              </w:rPr>
            </w:pPr>
            <w:r>
              <w:rPr>
                <w:rFonts w:hint="eastAsia"/>
                <w:kern w:val="0"/>
              </w:rPr>
              <w:t>234.44-234.86</w:t>
            </w:r>
          </w:p>
        </w:tc>
        <w:tc>
          <w:tcPr>
            <w:tcW w:w="935" w:type="pct"/>
            <w:shd w:val="clear" w:color="auto" w:fill="auto"/>
            <w:vAlign w:val="center"/>
          </w:tcPr>
          <w:p>
            <w:pPr>
              <w:topLinePunct/>
              <w:adjustRightInd w:val="0"/>
              <w:snapToGrid w:val="0"/>
              <w:jc w:val="center"/>
              <w:textAlignment w:val="center"/>
              <w:rPr>
                <w:kern w:val="0"/>
              </w:rPr>
            </w:pPr>
            <w:r>
              <w:rPr>
                <w:rFonts w:hint="eastAsia"/>
                <w:kern w:val="0"/>
              </w:rPr>
              <w:t>120.50-140.70</w:t>
            </w:r>
          </w:p>
        </w:tc>
        <w:tc>
          <w:tcPr>
            <w:tcW w:w="895" w:type="pct"/>
            <w:vAlign w:val="center"/>
          </w:tcPr>
          <w:p>
            <w:pPr>
              <w:topLinePunct/>
              <w:adjustRightInd w:val="0"/>
              <w:snapToGrid w:val="0"/>
              <w:jc w:val="center"/>
              <w:textAlignment w:val="center"/>
              <w:rPr>
                <w:kern w:val="0"/>
              </w:rPr>
            </w:pPr>
            <w:r>
              <w:rPr>
                <w:rFonts w:hint="eastAsia"/>
                <w:kern w:val="0"/>
              </w:rPr>
              <w:t>45.32-50.36</w:t>
            </w:r>
          </w:p>
        </w:tc>
        <w:tc>
          <w:tcPr>
            <w:tcW w:w="767" w:type="pct"/>
            <w:vAlign w:val="center"/>
          </w:tcPr>
          <w:p>
            <w:pPr>
              <w:topLinePunct/>
              <w:adjustRightInd w:val="0"/>
              <w:snapToGrid w:val="0"/>
              <w:jc w:val="center"/>
              <w:textAlignment w:val="center"/>
              <w:rPr>
                <w:kern w:val="0"/>
              </w:rPr>
            </w:pPr>
            <w:r>
              <w:rPr>
                <w:rFonts w:hint="eastAsia"/>
                <w:kern w:val="0"/>
              </w:rPr>
              <w:t>1.08-2.58</w:t>
            </w:r>
          </w:p>
        </w:tc>
      </w:tr>
    </w:tbl>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（6）监测布点</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水磨沟220kV变电站四周围墙外5m处共布置8个测点，以西偏北围墙外5m处为起点，沿垂直于围墙方向按间隔5m布点,共10个测点。</w:t>
      </w:r>
    </w:p>
    <w:p>
      <w:pPr>
        <w:pStyle w:val="5"/>
        <w:rPr>
          <w:color w:val="000000" w:themeColor="text1"/>
          <w14:textFill>
            <w14:solidFill>
              <w14:schemeClr w14:val="tx1"/>
            </w14:solidFill>
          </w14:textFill>
        </w:rPr>
      </w:pPr>
      <w:bookmarkStart w:id="835" w:name="_GoBack"/>
      <w:bookmarkEnd w:id="835"/>
      <w:r>
        <w:rPr>
          <w:rFonts w:hint="eastAsia"/>
          <w:color w:val="000000" w:themeColor="text1"/>
          <w14:textFill>
            <w14:solidFill>
              <w14:schemeClr w14:val="tx1"/>
            </w14:solidFill>
          </w14:textFill>
        </w:rPr>
        <w:t>（7）监测结果</w:t>
      </w:r>
    </w:p>
    <w:p>
      <w:pPr>
        <w:pStyle w:val="5"/>
        <w:rPr>
          <w:color w:val="000000" w:themeColor="text1"/>
          <w14:textFill>
            <w14:solidFill>
              <w14:schemeClr w14:val="tx1"/>
            </w14:solidFill>
          </w14:textFill>
        </w:rPr>
      </w:pPr>
      <w:r>
        <w:rPr>
          <w:color w:val="000000" w:themeColor="text1"/>
          <w14:textFill>
            <w14:solidFill>
              <w14:schemeClr w14:val="tx1"/>
            </w14:solidFill>
          </w14:textFill>
        </w:rPr>
        <w:t>变电站类比监测结果见</w:t>
      </w:r>
      <w:r>
        <w:rPr>
          <w:b w:val="0"/>
          <w:bCs w:val="0"/>
          <w:color w:val="000000" w:themeColor="text1"/>
          <w14:textFill>
            <w14:solidFill>
              <w14:schemeClr w14:val="tx1"/>
            </w14:solidFill>
          </w14:textFill>
        </w:rPr>
        <w:fldChar w:fldCharType="begin"/>
      </w:r>
      <w:r>
        <w:rPr>
          <w:b w:val="0"/>
          <w:bCs w:val="0"/>
        </w:rPr>
        <w:instrText xml:space="preserve"> REF _Ref157249315 \h  \* MERGEFORMAT</w:instrText>
      </w:r>
      <w:r>
        <w:rPr>
          <w:b w:val="0"/>
          <w:bCs w:val="0"/>
          <w:color w:val="000000" w:themeColor="text1"/>
          <w14:textFill>
            <w14:solidFill>
              <w14:schemeClr w14:val="tx1"/>
            </w14:solidFill>
          </w14:textFill>
        </w:rPr>
        <w:fldChar w:fldCharType="separate"/>
      </w:r>
      <w:r>
        <w:rPr>
          <w:rFonts w:ascii="Times New Roman" w:hAnsi="Times New Roman" w:eastAsia="宋体"/>
          <w:b w:val="0"/>
          <w:bCs w:val="0"/>
        </w:rPr>
        <w:t>表39</w:t>
      </w:r>
      <w:r>
        <w:rPr>
          <w:b w:val="0"/>
          <w:bCs w:val="0"/>
          <w:color w:val="000000" w:themeColor="text1"/>
          <w14:textFill>
            <w14:solidFill>
              <w14:schemeClr w14:val="tx1"/>
            </w14:solidFill>
          </w14:textFill>
        </w:rPr>
        <w:fldChar w:fldCharType="end"/>
      </w:r>
      <w:r>
        <w:rPr>
          <w:color w:val="000000" w:themeColor="text1"/>
          <w14:textFill>
            <w14:solidFill>
              <w14:schemeClr w14:val="tx1"/>
            </w14:solidFill>
          </w14:textFill>
        </w:rPr>
        <w:t>。</w:t>
      </w:r>
    </w:p>
    <w:p>
      <w:pPr>
        <w:pStyle w:val="10"/>
        <w:keepNext/>
        <w:jc w:val="left"/>
        <w:rPr>
          <w:rFonts w:ascii="Times New Roman" w:hAnsi="Times New Roman" w:eastAsia="宋体"/>
          <w:b/>
        </w:rPr>
      </w:pPr>
      <w:bookmarkStart w:id="782" w:name="_Ref157249315"/>
      <w:r>
        <w:rPr>
          <w:rFonts w:ascii="Times New Roman" w:hAnsi="Times New Roman" w:eastAsia="宋体"/>
          <w:b/>
        </w:rPr>
        <w:t>表</w:t>
      </w:r>
      <w:r>
        <w:rPr>
          <w:rFonts w:ascii="Times New Roman" w:hAnsi="Times New Roman" w:eastAsia="宋体"/>
          <w:b/>
        </w:rPr>
        <w:fldChar w:fldCharType="begin"/>
      </w:r>
      <w:r>
        <w:rPr>
          <w:rFonts w:ascii="Times New Roman" w:hAnsi="Times New Roman" w:eastAsia="宋体"/>
          <w:b/>
        </w:rPr>
        <w:instrText xml:space="preserve"> SEQ 表 \* ARABIC </w:instrText>
      </w:r>
      <w:r>
        <w:rPr>
          <w:rFonts w:ascii="Times New Roman" w:hAnsi="Times New Roman" w:eastAsia="宋体"/>
          <w:b/>
        </w:rPr>
        <w:fldChar w:fldCharType="separate"/>
      </w:r>
      <w:r>
        <w:rPr>
          <w:rFonts w:ascii="Times New Roman" w:hAnsi="Times New Roman" w:eastAsia="宋体"/>
          <w:b/>
        </w:rPr>
        <w:t>39</w:t>
      </w:r>
      <w:r>
        <w:rPr>
          <w:rFonts w:ascii="Times New Roman" w:hAnsi="Times New Roman" w:eastAsia="宋体"/>
          <w:b/>
        </w:rPr>
        <w:fldChar w:fldCharType="end"/>
      </w:r>
      <w:bookmarkEnd w:id="782"/>
      <w:r>
        <w:rPr>
          <w:rFonts w:hint="eastAsia" w:ascii="Times New Roman" w:hAnsi="Times New Roman" w:eastAsia="宋体"/>
          <w:b/>
        </w:rPr>
        <w:t>水磨沟220kV变电站</w:t>
      </w:r>
      <w:r>
        <w:rPr>
          <w:rFonts w:ascii="Times New Roman" w:hAnsi="Times New Roman" w:eastAsia="宋体"/>
          <w:b/>
        </w:rPr>
        <w:t>厂界工频电磁场环境监测结果</w:t>
      </w:r>
    </w:p>
    <w:tbl>
      <w:tblPr>
        <w:tblStyle w:val="37"/>
        <w:tblW w:w="4982"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96"/>
        <w:gridCol w:w="3938"/>
        <w:gridCol w:w="1842"/>
        <w:gridCol w:w="211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0" w:hRule="atLeast"/>
          <w:tblHeader/>
          <w:jc w:val="center"/>
        </w:trPr>
        <w:tc>
          <w:tcPr>
            <w:tcW w:w="458" w:type="pct"/>
            <w:tcBorders>
              <w:tl2br w:val="nil"/>
              <w:tr2bl w:val="nil"/>
            </w:tcBorders>
            <w:vAlign w:val="center"/>
          </w:tcPr>
          <w:p>
            <w:pPr>
              <w:adjustRightInd w:val="0"/>
              <w:snapToGrid w:val="0"/>
              <w:jc w:val="center"/>
              <w:rPr>
                <w:b/>
                <w:szCs w:val="21"/>
              </w:rPr>
            </w:pPr>
            <w:r>
              <w:rPr>
                <w:b/>
                <w:szCs w:val="21"/>
              </w:rPr>
              <w:t>序号</w:t>
            </w:r>
          </w:p>
        </w:tc>
        <w:tc>
          <w:tcPr>
            <w:tcW w:w="2266" w:type="pct"/>
            <w:tcBorders>
              <w:tl2br w:val="nil"/>
              <w:tr2bl w:val="nil"/>
            </w:tcBorders>
            <w:vAlign w:val="center"/>
          </w:tcPr>
          <w:p>
            <w:pPr>
              <w:adjustRightInd w:val="0"/>
              <w:snapToGrid w:val="0"/>
              <w:jc w:val="center"/>
              <w:rPr>
                <w:b/>
                <w:szCs w:val="21"/>
              </w:rPr>
            </w:pPr>
            <w:r>
              <w:rPr>
                <w:b/>
                <w:szCs w:val="21"/>
              </w:rPr>
              <w:t>测点位置</w:t>
            </w:r>
          </w:p>
        </w:tc>
        <w:tc>
          <w:tcPr>
            <w:tcW w:w="1060" w:type="pct"/>
            <w:tcBorders>
              <w:tl2br w:val="nil"/>
              <w:tr2bl w:val="nil"/>
            </w:tcBorders>
            <w:vAlign w:val="center"/>
          </w:tcPr>
          <w:p>
            <w:pPr>
              <w:adjustRightInd w:val="0"/>
              <w:snapToGrid w:val="0"/>
              <w:jc w:val="center"/>
              <w:rPr>
                <w:b/>
                <w:szCs w:val="21"/>
              </w:rPr>
            </w:pPr>
            <w:r>
              <w:rPr>
                <w:b/>
                <w:szCs w:val="21"/>
              </w:rPr>
              <w:t>工频电场强度</w:t>
            </w:r>
          </w:p>
          <w:p>
            <w:pPr>
              <w:adjustRightInd w:val="0"/>
              <w:snapToGrid w:val="0"/>
              <w:jc w:val="center"/>
              <w:rPr>
                <w:b/>
                <w:szCs w:val="21"/>
              </w:rPr>
            </w:pPr>
            <w:r>
              <w:rPr>
                <w:b/>
                <w:szCs w:val="21"/>
              </w:rPr>
              <w:t>(</w:t>
            </w:r>
            <w:r>
              <w:rPr>
                <w:rFonts w:hint="eastAsia"/>
                <w:b/>
                <w:szCs w:val="21"/>
              </w:rPr>
              <w:t>k</w:t>
            </w:r>
            <w:r>
              <w:rPr>
                <w:b/>
                <w:szCs w:val="21"/>
              </w:rPr>
              <w:t>V/m)</w:t>
            </w:r>
          </w:p>
        </w:tc>
        <w:tc>
          <w:tcPr>
            <w:tcW w:w="1215" w:type="pct"/>
            <w:tcBorders>
              <w:tl2br w:val="nil"/>
              <w:tr2bl w:val="nil"/>
            </w:tcBorders>
            <w:vAlign w:val="center"/>
          </w:tcPr>
          <w:p>
            <w:pPr>
              <w:adjustRightInd w:val="0"/>
              <w:snapToGrid w:val="0"/>
              <w:jc w:val="center"/>
              <w:rPr>
                <w:b/>
                <w:szCs w:val="21"/>
              </w:rPr>
            </w:pPr>
            <w:r>
              <w:rPr>
                <w:b/>
                <w:szCs w:val="21"/>
              </w:rPr>
              <w:t>工频磁感应强度</w:t>
            </w:r>
          </w:p>
          <w:p>
            <w:pPr>
              <w:adjustRightInd w:val="0"/>
              <w:snapToGrid w:val="0"/>
              <w:jc w:val="center"/>
              <w:rPr>
                <w:b/>
                <w:szCs w:val="21"/>
              </w:rPr>
            </w:pPr>
            <w:r>
              <w:rPr>
                <w:b/>
                <w:szCs w:val="21"/>
              </w:rPr>
              <w:t>(μT)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5000" w:type="pct"/>
            <w:gridSpan w:val="4"/>
            <w:tcBorders>
              <w:tl2br w:val="nil"/>
              <w:tr2bl w:val="nil"/>
            </w:tcBorders>
            <w:vAlign w:val="center"/>
          </w:tcPr>
          <w:p>
            <w:pPr>
              <w:adjustRightInd w:val="0"/>
              <w:snapToGrid w:val="0"/>
              <w:jc w:val="left"/>
              <w:rPr>
                <w:b/>
                <w:szCs w:val="21"/>
              </w:rPr>
            </w:pPr>
            <w:r>
              <w:rPr>
                <w:b/>
                <w:szCs w:val="21"/>
              </w:rPr>
              <w:t>一、变电站厂界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0" w:hRule="atLeast"/>
          <w:jc w:val="center"/>
        </w:trPr>
        <w:tc>
          <w:tcPr>
            <w:tcW w:w="458" w:type="pct"/>
            <w:tcBorders>
              <w:tl2br w:val="nil"/>
              <w:tr2bl w:val="nil"/>
            </w:tcBorders>
            <w:vAlign w:val="center"/>
          </w:tcPr>
          <w:p>
            <w:pPr>
              <w:adjustRightInd w:val="0"/>
              <w:snapToGrid w:val="0"/>
              <w:jc w:val="center"/>
              <w:rPr>
                <w:szCs w:val="21"/>
              </w:rPr>
            </w:pPr>
            <w:r>
              <w:rPr>
                <w:szCs w:val="21"/>
              </w:rPr>
              <w:t>1</w:t>
            </w:r>
          </w:p>
        </w:tc>
        <w:tc>
          <w:tcPr>
            <w:tcW w:w="2266" w:type="pct"/>
            <w:tcBorders>
              <w:tl2br w:val="nil"/>
              <w:tr2bl w:val="nil"/>
            </w:tcBorders>
            <w:vAlign w:val="center"/>
          </w:tcPr>
          <w:p>
            <w:pPr>
              <w:jc w:val="center"/>
              <w:rPr>
                <w:rFonts w:cs="宋体"/>
                <w:color w:val="000000"/>
                <w:szCs w:val="21"/>
              </w:rPr>
            </w:pPr>
            <w:r>
              <w:rPr>
                <w:rFonts w:hint="eastAsia" w:cs="宋体"/>
                <w:color w:val="000000"/>
                <w:szCs w:val="21"/>
              </w:rPr>
              <w:t>变电站东侧围墙外5m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0.009</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0.039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2</w:t>
            </w:r>
          </w:p>
        </w:tc>
        <w:tc>
          <w:tcPr>
            <w:tcW w:w="2266" w:type="pct"/>
            <w:tcBorders>
              <w:tl2br w:val="nil"/>
              <w:tr2bl w:val="nil"/>
            </w:tcBorders>
            <w:vAlign w:val="center"/>
          </w:tcPr>
          <w:p>
            <w:pPr>
              <w:jc w:val="center"/>
              <w:rPr>
                <w:rFonts w:cs="宋体"/>
                <w:color w:val="000000"/>
                <w:szCs w:val="21"/>
              </w:rPr>
            </w:pPr>
            <w:r>
              <w:rPr>
                <w:rFonts w:hint="eastAsia" w:cs="宋体"/>
                <w:color w:val="000000"/>
                <w:szCs w:val="21"/>
              </w:rPr>
              <w:t>变电站南侧围墙外5m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0.003</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0.039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0" w:hRule="atLeast"/>
          <w:jc w:val="center"/>
        </w:trPr>
        <w:tc>
          <w:tcPr>
            <w:tcW w:w="458" w:type="pct"/>
            <w:tcBorders>
              <w:tl2br w:val="nil"/>
              <w:tr2bl w:val="nil"/>
            </w:tcBorders>
            <w:vAlign w:val="center"/>
          </w:tcPr>
          <w:p>
            <w:pPr>
              <w:adjustRightInd w:val="0"/>
              <w:snapToGrid w:val="0"/>
              <w:jc w:val="center"/>
              <w:rPr>
                <w:szCs w:val="21"/>
              </w:rPr>
            </w:pPr>
            <w:r>
              <w:rPr>
                <w:szCs w:val="21"/>
              </w:rPr>
              <w:t>3</w:t>
            </w:r>
          </w:p>
        </w:tc>
        <w:tc>
          <w:tcPr>
            <w:tcW w:w="2266" w:type="pct"/>
            <w:tcBorders>
              <w:tl2br w:val="nil"/>
              <w:tr2bl w:val="nil"/>
            </w:tcBorders>
            <w:vAlign w:val="center"/>
          </w:tcPr>
          <w:p>
            <w:pPr>
              <w:jc w:val="center"/>
              <w:rPr>
                <w:rFonts w:cs="宋体"/>
                <w:color w:val="000000"/>
                <w:szCs w:val="21"/>
              </w:rPr>
            </w:pPr>
            <w:r>
              <w:rPr>
                <w:rFonts w:hint="eastAsia" w:cs="宋体"/>
                <w:color w:val="000000"/>
                <w:szCs w:val="21"/>
              </w:rPr>
              <w:t>变电站南侧围墙外5m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0.003</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0.049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4</w:t>
            </w:r>
          </w:p>
        </w:tc>
        <w:tc>
          <w:tcPr>
            <w:tcW w:w="2266" w:type="pct"/>
            <w:tcBorders>
              <w:tl2br w:val="nil"/>
              <w:tr2bl w:val="nil"/>
            </w:tcBorders>
            <w:vAlign w:val="center"/>
          </w:tcPr>
          <w:p>
            <w:pPr>
              <w:jc w:val="center"/>
              <w:rPr>
                <w:rFonts w:cs="宋体"/>
                <w:color w:val="000000"/>
                <w:szCs w:val="21"/>
              </w:rPr>
            </w:pPr>
            <w:r>
              <w:rPr>
                <w:rFonts w:hint="eastAsia" w:cs="宋体"/>
                <w:color w:val="000000"/>
                <w:szCs w:val="21"/>
              </w:rPr>
              <w:t>变电站西侧围墙外5m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0.150</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0.038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5</w:t>
            </w:r>
          </w:p>
        </w:tc>
        <w:tc>
          <w:tcPr>
            <w:tcW w:w="2266" w:type="pct"/>
            <w:tcBorders>
              <w:tl2br w:val="nil"/>
              <w:tr2bl w:val="nil"/>
            </w:tcBorders>
            <w:vAlign w:val="center"/>
          </w:tcPr>
          <w:p>
            <w:pPr>
              <w:jc w:val="center"/>
              <w:rPr>
                <w:rFonts w:cs="宋体"/>
                <w:color w:val="000000"/>
                <w:szCs w:val="21"/>
              </w:rPr>
            </w:pPr>
            <w:r>
              <w:rPr>
                <w:rFonts w:hint="eastAsia" w:cs="宋体"/>
                <w:color w:val="000000"/>
                <w:szCs w:val="21"/>
              </w:rPr>
              <w:t>变电站西侧围墙外5m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0.137</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0.133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6</w:t>
            </w:r>
          </w:p>
        </w:tc>
        <w:tc>
          <w:tcPr>
            <w:tcW w:w="2266" w:type="pct"/>
            <w:tcBorders>
              <w:tl2br w:val="nil"/>
              <w:tr2bl w:val="nil"/>
            </w:tcBorders>
            <w:vAlign w:val="center"/>
          </w:tcPr>
          <w:p>
            <w:pPr>
              <w:jc w:val="center"/>
              <w:rPr>
                <w:rFonts w:cs="宋体"/>
                <w:color w:val="000000"/>
                <w:szCs w:val="21"/>
              </w:rPr>
            </w:pPr>
            <w:r>
              <w:rPr>
                <w:rFonts w:hint="eastAsia" w:cs="宋体"/>
                <w:color w:val="000000"/>
                <w:szCs w:val="21"/>
              </w:rPr>
              <w:t>变电站北侧围墙外5m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0.935</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1.348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7</w:t>
            </w:r>
          </w:p>
        </w:tc>
        <w:tc>
          <w:tcPr>
            <w:tcW w:w="2266" w:type="pct"/>
            <w:tcBorders>
              <w:tl2br w:val="nil"/>
              <w:tr2bl w:val="nil"/>
            </w:tcBorders>
            <w:vAlign w:val="center"/>
          </w:tcPr>
          <w:p>
            <w:pPr>
              <w:jc w:val="center"/>
              <w:rPr>
                <w:rFonts w:cs="宋体"/>
                <w:color w:val="000000"/>
                <w:szCs w:val="21"/>
              </w:rPr>
            </w:pPr>
            <w:r>
              <w:rPr>
                <w:rFonts w:hint="eastAsia" w:cs="宋体"/>
                <w:color w:val="000000"/>
                <w:szCs w:val="21"/>
              </w:rPr>
              <w:t>变电站北侧围墙外5m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0.231</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1.693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8</w:t>
            </w:r>
          </w:p>
        </w:tc>
        <w:tc>
          <w:tcPr>
            <w:tcW w:w="2266" w:type="pct"/>
            <w:tcBorders>
              <w:tl2br w:val="nil"/>
              <w:tr2bl w:val="nil"/>
            </w:tcBorders>
            <w:vAlign w:val="center"/>
          </w:tcPr>
          <w:p>
            <w:pPr>
              <w:jc w:val="center"/>
              <w:rPr>
                <w:rFonts w:cs="宋体"/>
                <w:color w:val="000000"/>
                <w:szCs w:val="21"/>
              </w:rPr>
            </w:pPr>
            <w:r>
              <w:rPr>
                <w:rFonts w:hint="eastAsia" w:cs="宋体"/>
                <w:color w:val="000000"/>
                <w:szCs w:val="21"/>
              </w:rPr>
              <w:t>变电站东侧围墙外5m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0.085</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0.287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5000" w:type="pct"/>
            <w:gridSpan w:val="4"/>
            <w:tcBorders>
              <w:tl2br w:val="nil"/>
              <w:tr2bl w:val="nil"/>
            </w:tcBorders>
            <w:vAlign w:val="center"/>
          </w:tcPr>
          <w:p>
            <w:pPr>
              <w:adjustRightInd w:val="0"/>
              <w:snapToGrid w:val="0"/>
              <w:jc w:val="left"/>
              <w:rPr>
                <w:szCs w:val="21"/>
              </w:rPr>
            </w:pPr>
            <w:r>
              <w:rPr>
                <w:b/>
                <w:szCs w:val="21"/>
              </w:rPr>
              <w:t>二、变电站西侧厂界断面</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1</w:t>
            </w:r>
          </w:p>
        </w:tc>
        <w:tc>
          <w:tcPr>
            <w:tcW w:w="2266" w:type="pct"/>
            <w:tcBorders>
              <w:tl2br w:val="nil"/>
              <w:tr2bl w:val="nil"/>
            </w:tcBorders>
            <w:vAlign w:val="center"/>
          </w:tcPr>
          <w:p>
            <w:pPr>
              <w:adjustRightInd w:val="0"/>
              <w:snapToGrid w:val="0"/>
              <w:jc w:val="center"/>
              <w:rPr>
                <w:szCs w:val="21"/>
              </w:rPr>
            </w:pPr>
            <w:r>
              <w:rPr>
                <w:szCs w:val="21"/>
              </w:rPr>
              <w:t>距离围墙5m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0.085</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0.287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2</w:t>
            </w:r>
          </w:p>
        </w:tc>
        <w:tc>
          <w:tcPr>
            <w:tcW w:w="2266" w:type="pct"/>
            <w:tcBorders>
              <w:tl2br w:val="nil"/>
              <w:tr2bl w:val="nil"/>
            </w:tcBorders>
            <w:vAlign w:val="center"/>
          </w:tcPr>
          <w:p>
            <w:pPr>
              <w:adjustRightInd w:val="0"/>
              <w:snapToGrid w:val="0"/>
              <w:jc w:val="center"/>
              <w:rPr>
                <w:szCs w:val="21"/>
              </w:rPr>
            </w:pPr>
            <w:r>
              <w:rPr>
                <w:szCs w:val="21"/>
              </w:rPr>
              <w:t>距离围墙10m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0.061</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0.188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3</w:t>
            </w:r>
          </w:p>
        </w:tc>
        <w:tc>
          <w:tcPr>
            <w:tcW w:w="2266" w:type="pct"/>
            <w:tcBorders>
              <w:tl2br w:val="nil"/>
              <w:tr2bl w:val="nil"/>
            </w:tcBorders>
            <w:vAlign w:val="center"/>
          </w:tcPr>
          <w:p>
            <w:pPr>
              <w:adjustRightInd w:val="0"/>
              <w:snapToGrid w:val="0"/>
              <w:jc w:val="center"/>
              <w:rPr>
                <w:szCs w:val="21"/>
              </w:rPr>
            </w:pPr>
            <w:r>
              <w:rPr>
                <w:szCs w:val="21"/>
              </w:rPr>
              <w:t>距离围墙15m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0.042</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0.142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4</w:t>
            </w:r>
          </w:p>
        </w:tc>
        <w:tc>
          <w:tcPr>
            <w:tcW w:w="2266" w:type="pct"/>
            <w:tcBorders>
              <w:tl2br w:val="nil"/>
              <w:tr2bl w:val="nil"/>
            </w:tcBorders>
            <w:vAlign w:val="center"/>
          </w:tcPr>
          <w:p>
            <w:pPr>
              <w:adjustRightInd w:val="0"/>
              <w:snapToGrid w:val="0"/>
              <w:jc w:val="center"/>
              <w:rPr>
                <w:szCs w:val="21"/>
              </w:rPr>
            </w:pPr>
            <w:r>
              <w:rPr>
                <w:szCs w:val="21"/>
              </w:rPr>
              <w:t>距离围墙20m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0.031</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0.119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5</w:t>
            </w:r>
          </w:p>
        </w:tc>
        <w:tc>
          <w:tcPr>
            <w:tcW w:w="2266" w:type="pct"/>
            <w:tcBorders>
              <w:tl2br w:val="nil"/>
              <w:tr2bl w:val="nil"/>
            </w:tcBorders>
            <w:vAlign w:val="center"/>
          </w:tcPr>
          <w:p>
            <w:pPr>
              <w:adjustRightInd w:val="0"/>
              <w:snapToGrid w:val="0"/>
              <w:jc w:val="center"/>
              <w:rPr>
                <w:szCs w:val="21"/>
              </w:rPr>
            </w:pPr>
            <w:r>
              <w:rPr>
                <w:szCs w:val="21"/>
              </w:rPr>
              <w:t>距离围墙25m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0.027</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0.111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6</w:t>
            </w:r>
          </w:p>
        </w:tc>
        <w:tc>
          <w:tcPr>
            <w:tcW w:w="2266" w:type="pct"/>
            <w:tcBorders>
              <w:tl2br w:val="nil"/>
              <w:tr2bl w:val="nil"/>
            </w:tcBorders>
            <w:vAlign w:val="center"/>
          </w:tcPr>
          <w:p>
            <w:pPr>
              <w:adjustRightInd w:val="0"/>
              <w:snapToGrid w:val="0"/>
              <w:jc w:val="center"/>
              <w:rPr>
                <w:szCs w:val="21"/>
              </w:rPr>
            </w:pPr>
            <w:r>
              <w:rPr>
                <w:szCs w:val="21"/>
              </w:rPr>
              <w:t>距离围墙30m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0.024</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0.105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7</w:t>
            </w:r>
          </w:p>
        </w:tc>
        <w:tc>
          <w:tcPr>
            <w:tcW w:w="2266" w:type="pct"/>
            <w:tcBorders>
              <w:tl2br w:val="nil"/>
              <w:tr2bl w:val="nil"/>
            </w:tcBorders>
            <w:vAlign w:val="center"/>
          </w:tcPr>
          <w:p>
            <w:pPr>
              <w:adjustRightInd w:val="0"/>
              <w:snapToGrid w:val="0"/>
              <w:jc w:val="center"/>
              <w:rPr>
                <w:szCs w:val="21"/>
              </w:rPr>
            </w:pPr>
            <w:r>
              <w:rPr>
                <w:szCs w:val="21"/>
              </w:rPr>
              <w:t>距离围墙35m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0.021</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0.099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1" w:hRule="atLeast"/>
          <w:jc w:val="center"/>
        </w:trPr>
        <w:tc>
          <w:tcPr>
            <w:tcW w:w="458" w:type="pct"/>
            <w:tcBorders>
              <w:tl2br w:val="nil"/>
              <w:tr2bl w:val="nil"/>
            </w:tcBorders>
            <w:vAlign w:val="center"/>
          </w:tcPr>
          <w:p>
            <w:pPr>
              <w:adjustRightInd w:val="0"/>
              <w:snapToGrid w:val="0"/>
              <w:jc w:val="center"/>
              <w:rPr>
                <w:szCs w:val="21"/>
              </w:rPr>
            </w:pPr>
            <w:r>
              <w:rPr>
                <w:szCs w:val="21"/>
              </w:rPr>
              <w:t>8</w:t>
            </w:r>
          </w:p>
        </w:tc>
        <w:tc>
          <w:tcPr>
            <w:tcW w:w="2266" w:type="pct"/>
            <w:tcBorders>
              <w:tl2br w:val="nil"/>
              <w:tr2bl w:val="nil"/>
            </w:tcBorders>
            <w:vAlign w:val="center"/>
          </w:tcPr>
          <w:p>
            <w:pPr>
              <w:adjustRightInd w:val="0"/>
              <w:snapToGrid w:val="0"/>
              <w:jc w:val="center"/>
              <w:rPr>
                <w:szCs w:val="21"/>
              </w:rPr>
            </w:pPr>
            <w:r>
              <w:rPr>
                <w:szCs w:val="21"/>
              </w:rPr>
              <w:t>距离围墙40m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0.015</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458" w:type="pct"/>
            <w:tcBorders>
              <w:tl2br w:val="nil"/>
              <w:tr2bl w:val="nil"/>
            </w:tcBorders>
            <w:vAlign w:val="center"/>
          </w:tcPr>
          <w:p>
            <w:pPr>
              <w:adjustRightInd w:val="0"/>
              <w:snapToGrid w:val="0"/>
              <w:jc w:val="center"/>
              <w:rPr>
                <w:szCs w:val="21"/>
              </w:rPr>
            </w:pPr>
            <w:r>
              <w:rPr>
                <w:szCs w:val="21"/>
              </w:rPr>
              <w:t>9</w:t>
            </w:r>
          </w:p>
        </w:tc>
        <w:tc>
          <w:tcPr>
            <w:tcW w:w="2266" w:type="pct"/>
            <w:tcBorders>
              <w:tl2br w:val="nil"/>
              <w:tr2bl w:val="nil"/>
            </w:tcBorders>
            <w:vAlign w:val="center"/>
          </w:tcPr>
          <w:p>
            <w:pPr>
              <w:adjustRightInd w:val="0"/>
              <w:snapToGrid w:val="0"/>
              <w:jc w:val="center"/>
              <w:rPr>
                <w:szCs w:val="21"/>
              </w:rPr>
            </w:pPr>
            <w:r>
              <w:rPr>
                <w:szCs w:val="21"/>
              </w:rPr>
              <w:t>距离围墙45m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0.011</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0.092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458" w:type="pct"/>
            <w:tcBorders>
              <w:tl2br w:val="nil"/>
              <w:tr2bl w:val="nil"/>
            </w:tcBorders>
            <w:vAlign w:val="center"/>
          </w:tcPr>
          <w:p>
            <w:pPr>
              <w:adjustRightInd w:val="0"/>
              <w:snapToGrid w:val="0"/>
              <w:jc w:val="center"/>
              <w:rPr>
                <w:szCs w:val="21"/>
              </w:rPr>
            </w:pPr>
            <w:r>
              <w:rPr>
                <w:rFonts w:hint="eastAsia"/>
                <w:szCs w:val="21"/>
              </w:rPr>
              <w:t>10</w:t>
            </w:r>
          </w:p>
        </w:tc>
        <w:tc>
          <w:tcPr>
            <w:tcW w:w="2266" w:type="pct"/>
            <w:tcBorders>
              <w:tl2br w:val="nil"/>
              <w:tr2bl w:val="nil"/>
            </w:tcBorders>
            <w:vAlign w:val="center"/>
          </w:tcPr>
          <w:p>
            <w:pPr>
              <w:adjustRightInd w:val="0"/>
              <w:snapToGrid w:val="0"/>
              <w:jc w:val="center"/>
              <w:rPr>
                <w:szCs w:val="21"/>
              </w:rPr>
            </w:pPr>
            <w:r>
              <w:rPr>
                <w:szCs w:val="21"/>
              </w:rPr>
              <w:t>距离围墙</w:t>
            </w:r>
            <w:r>
              <w:rPr>
                <w:rFonts w:hint="eastAsia"/>
                <w:szCs w:val="21"/>
              </w:rPr>
              <w:t>50</w:t>
            </w:r>
            <w:r>
              <w:rPr>
                <w:szCs w:val="21"/>
              </w:rPr>
              <w:t>m</w:t>
            </w:r>
          </w:p>
        </w:tc>
        <w:tc>
          <w:tcPr>
            <w:tcW w:w="1060" w:type="pct"/>
            <w:tcBorders>
              <w:tl2br w:val="nil"/>
              <w:tr2bl w:val="nil"/>
            </w:tcBorders>
            <w:vAlign w:val="center"/>
          </w:tcPr>
          <w:p>
            <w:pPr>
              <w:jc w:val="center"/>
              <w:rPr>
                <w:rFonts w:cs="宋体"/>
                <w:color w:val="000000"/>
                <w:szCs w:val="21"/>
              </w:rPr>
            </w:pPr>
            <w:r>
              <w:rPr>
                <w:rFonts w:hint="eastAsia" w:cs="宋体"/>
                <w:color w:val="000000"/>
                <w:szCs w:val="21"/>
              </w:rPr>
              <w:t>0.005</w:t>
            </w:r>
          </w:p>
        </w:tc>
        <w:tc>
          <w:tcPr>
            <w:tcW w:w="1215" w:type="pct"/>
            <w:tcBorders>
              <w:tl2br w:val="nil"/>
              <w:tr2bl w:val="nil"/>
            </w:tcBorders>
            <w:vAlign w:val="center"/>
          </w:tcPr>
          <w:p>
            <w:pPr>
              <w:jc w:val="center"/>
              <w:rPr>
                <w:rFonts w:cs="宋体"/>
                <w:color w:val="000000"/>
                <w:szCs w:val="21"/>
              </w:rPr>
            </w:pPr>
            <w:r>
              <w:rPr>
                <w:rFonts w:hint="eastAsia" w:cs="宋体"/>
                <w:color w:val="000000"/>
                <w:szCs w:val="21"/>
              </w:rPr>
              <w:t>0.089</w:t>
            </w:r>
          </w:p>
        </w:tc>
      </w:tr>
    </w:tbl>
    <w:p>
      <w:pPr>
        <w:pStyle w:val="5"/>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（8）类比监测结果分析</w:t>
      </w:r>
    </w:p>
    <w:p>
      <w:pPr>
        <w:pStyle w:val="118"/>
        <w:wordWrap w:val="0"/>
        <w:spacing w:line="360" w:lineRule="auto"/>
        <w:ind w:firstLine="480" w:firstLineChars="200"/>
        <w:jc w:val="both"/>
        <w:rPr>
          <w:sz w:val="24"/>
          <w:szCs w:val="24"/>
        </w:rPr>
      </w:pPr>
      <w:r>
        <w:rPr>
          <w:sz w:val="24"/>
          <w:szCs w:val="24"/>
        </w:rPr>
        <w:t>根据电磁环境质量监测结果，</w:t>
      </w:r>
      <w:r>
        <w:rPr>
          <w:rFonts w:hint="eastAsia"/>
          <w:sz w:val="24"/>
          <w:szCs w:val="24"/>
        </w:rPr>
        <w:t>水磨沟220kV变电站</w:t>
      </w:r>
      <w:r>
        <w:rPr>
          <w:sz w:val="24"/>
          <w:szCs w:val="24"/>
        </w:rPr>
        <w:t>厂界工频电场强度在0.0</w:t>
      </w:r>
      <w:r>
        <w:rPr>
          <w:rFonts w:hint="eastAsia"/>
          <w:sz w:val="24"/>
          <w:szCs w:val="24"/>
        </w:rPr>
        <w:t>03k</w:t>
      </w:r>
      <w:r>
        <w:rPr>
          <w:sz w:val="24"/>
          <w:szCs w:val="24"/>
        </w:rPr>
        <w:t>V/m</w:t>
      </w:r>
      <w:r>
        <w:rPr>
          <w:rFonts w:hint="eastAsia"/>
          <w:sz w:val="24"/>
          <w:szCs w:val="24"/>
        </w:rPr>
        <w:t>-0.935k</w:t>
      </w:r>
      <w:r>
        <w:rPr>
          <w:sz w:val="24"/>
          <w:szCs w:val="24"/>
        </w:rPr>
        <w:t>V/m之间；工频磁感应强度在0.0</w:t>
      </w:r>
      <w:r>
        <w:rPr>
          <w:rFonts w:hint="eastAsia"/>
          <w:sz w:val="24"/>
          <w:szCs w:val="24"/>
        </w:rPr>
        <w:t>38</w:t>
      </w:r>
      <w:r>
        <w:rPr>
          <w:sz w:val="24"/>
          <w:szCs w:val="24"/>
        </w:rPr>
        <w:t>μT</w:t>
      </w:r>
      <w:r>
        <w:rPr>
          <w:rFonts w:hint="eastAsia"/>
          <w:sz w:val="24"/>
          <w:szCs w:val="24"/>
        </w:rPr>
        <w:t>-1.693</w:t>
      </w:r>
      <w:r>
        <w:rPr>
          <w:sz w:val="24"/>
          <w:szCs w:val="24"/>
        </w:rPr>
        <w:t>μT之间，工频电场及工频磁场强度均分别小于4000V/m、100μT的标准限值。</w:t>
      </w:r>
    </w:p>
    <w:p>
      <w:pPr>
        <w:pStyle w:val="118"/>
        <w:wordWrap w:val="0"/>
        <w:spacing w:line="360" w:lineRule="auto"/>
        <w:ind w:firstLine="480" w:firstLineChars="200"/>
        <w:jc w:val="both"/>
        <w:rPr>
          <w:sz w:val="24"/>
          <w:szCs w:val="24"/>
        </w:rPr>
      </w:pPr>
      <w:r>
        <w:rPr>
          <w:rFonts w:hint="eastAsia"/>
          <w:sz w:val="24"/>
          <w:szCs w:val="24"/>
        </w:rPr>
        <w:t>水磨沟220kV变电站西</w:t>
      </w:r>
      <w:r>
        <w:rPr>
          <w:sz w:val="24"/>
          <w:szCs w:val="24"/>
        </w:rPr>
        <w:t>侧断面的工频电场强度监测值为</w:t>
      </w:r>
      <w:r>
        <w:rPr>
          <w:rFonts w:hint="eastAsia"/>
          <w:sz w:val="24"/>
          <w:szCs w:val="24"/>
        </w:rPr>
        <w:t>0.005k</w:t>
      </w:r>
      <w:r>
        <w:rPr>
          <w:sz w:val="24"/>
          <w:szCs w:val="24"/>
        </w:rPr>
        <w:t>V/m</w:t>
      </w:r>
      <w:r>
        <w:rPr>
          <w:rFonts w:hint="eastAsia"/>
          <w:sz w:val="24"/>
          <w:szCs w:val="24"/>
        </w:rPr>
        <w:t>-0.085k</w:t>
      </w:r>
      <w:r>
        <w:rPr>
          <w:sz w:val="24"/>
          <w:szCs w:val="24"/>
        </w:rPr>
        <w:t>V/m，磁感应强度监测值为0.</w:t>
      </w:r>
      <w:r>
        <w:rPr>
          <w:rFonts w:hint="eastAsia"/>
          <w:sz w:val="24"/>
          <w:szCs w:val="24"/>
        </w:rPr>
        <w:t>089</w:t>
      </w:r>
      <w:r>
        <w:rPr>
          <w:sz w:val="24"/>
          <w:szCs w:val="24"/>
        </w:rPr>
        <w:t>µT</w:t>
      </w:r>
      <w:r>
        <w:rPr>
          <w:rFonts w:hint="eastAsia"/>
          <w:sz w:val="24"/>
          <w:szCs w:val="24"/>
        </w:rPr>
        <w:t>-0.287</w:t>
      </w:r>
      <w:r>
        <w:rPr>
          <w:sz w:val="24"/>
          <w:szCs w:val="24"/>
        </w:rPr>
        <w:t>µT，满足《电磁环境控制限值》（GB8702-2014）4000V/m、1000µT的控制限值。</w:t>
      </w:r>
      <w:r>
        <w:rPr>
          <w:rFonts w:hint="eastAsia"/>
          <w:sz w:val="24"/>
          <w:szCs w:val="24"/>
        </w:rPr>
        <w:t>水磨沟220kV变电站</w:t>
      </w:r>
      <w:r>
        <w:rPr>
          <w:sz w:val="24"/>
          <w:szCs w:val="24"/>
        </w:rPr>
        <w:t>厂界外工频电场强度、工频磁感应强度随着与变电站围墙距离增加而逐渐变小。</w:t>
      </w:r>
    </w:p>
    <w:p>
      <w:pPr>
        <w:pStyle w:val="2"/>
        <w:numPr>
          <w:ilvl w:val="2"/>
          <w:numId w:val="21"/>
        </w:numPr>
        <w:spacing w:before="0" w:after="0" w:line="260" w:lineRule="auto"/>
        <w:rPr>
          <w:rFonts w:cs="ˎ̥"/>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类比分析结论</w:t>
      </w:r>
    </w:p>
    <w:p>
      <w:pPr>
        <w:spacing w:line="360" w:lineRule="auto"/>
        <w:ind w:firstLine="480" w:firstLineChars="200"/>
        <w:rPr>
          <w:snapToGrid w:val="0"/>
          <w:color w:val="000000" w:themeColor="text1"/>
          <w:kern w:val="0"/>
          <w:sz w:val="24"/>
          <w14:textFill>
            <w14:solidFill>
              <w14:schemeClr w14:val="tx1"/>
            </w14:solidFill>
          </w14:textFill>
        </w:rPr>
      </w:pPr>
      <w:r>
        <w:rPr>
          <w:rFonts w:hint="eastAsia"/>
          <w:snapToGrid w:val="0"/>
          <w:color w:val="000000" w:themeColor="text1"/>
          <w:kern w:val="0"/>
          <w:sz w:val="24"/>
          <w14:textFill>
            <w14:solidFill>
              <w14:schemeClr w14:val="tx1"/>
            </w14:solidFill>
          </w14:textFill>
        </w:rPr>
        <w:t>由前述的类比可行性分析可知，水磨沟220kV变电站运行期产生的工频电场、工频磁场水平能够反映本工程伊拉湖220kV变电站本期投运后产生的电磁环境水平。由上述类比监测结果可知，类比对象水磨沟220kV变电站厂界的工频电场、工频磁场能够满足相应环境标准的限值要求。因此可以预测，本工程伊拉湖220kV变电站本期工程投运后产生的工频电场、工频磁场也能够满足4000V/m和100</w:t>
      </w:r>
      <w:r>
        <w:rPr>
          <w:snapToGrid w:val="0"/>
          <w:color w:val="000000" w:themeColor="text1"/>
          <w:kern w:val="0"/>
          <w:sz w:val="24"/>
          <w14:textFill>
            <w14:solidFill>
              <w14:schemeClr w14:val="tx1"/>
            </w14:solidFill>
          </w14:textFill>
        </w:rPr>
        <w:t>μ</w:t>
      </w:r>
      <w:r>
        <w:rPr>
          <w:rFonts w:hint="eastAsia"/>
          <w:snapToGrid w:val="0"/>
          <w:color w:val="000000" w:themeColor="text1"/>
          <w:kern w:val="0"/>
          <w:sz w:val="24"/>
          <w14:textFill>
            <w14:solidFill>
              <w14:schemeClr w14:val="tx1"/>
            </w14:solidFill>
          </w14:textFill>
        </w:rPr>
        <w:t>T的公众曝露限值要求。</w:t>
      </w:r>
    </w:p>
    <w:p>
      <w:pPr>
        <w:pStyle w:val="2"/>
        <w:numPr>
          <w:ilvl w:val="1"/>
          <w:numId w:val="21"/>
        </w:numPr>
        <w:spacing w:before="0" w:after="0" w:line="360" w:lineRule="auto"/>
      </w:pPr>
      <w:r>
        <w:rPr>
          <w:rFonts w:hint="eastAsia" w:ascii="宋体" w:hAnsi="宋体" w:eastAsia="宋体" w:cs="宋体"/>
          <w:sz w:val="28"/>
          <w:szCs w:val="28"/>
        </w:rPr>
        <w:t>新建电缆线路工程电磁环境影响预测与评价</w:t>
      </w:r>
    </w:p>
    <w:p>
      <w:pPr>
        <w:pStyle w:val="2"/>
        <w:numPr>
          <w:ilvl w:val="2"/>
          <w:numId w:val="21"/>
        </w:numPr>
        <w:spacing w:before="0" w:after="0" w:line="360" w:lineRule="auto"/>
      </w:pPr>
      <w:r>
        <w:rPr>
          <w:rFonts w:hint="eastAsia" w:ascii="宋体" w:hAnsi="宋体" w:eastAsia="宋体" w:cs="宋体"/>
          <w:sz w:val="28"/>
          <w:szCs w:val="28"/>
        </w:rPr>
        <w:t>预测与评价方法</w:t>
      </w:r>
    </w:p>
    <w:p>
      <w:pPr>
        <w:spacing w:line="360" w:lineRule="auto"/>
        <w:ind w:firstLine="480" w:firstLineChars="200"/>
        <w:rPr>
          <w:sz w:val="24"/>
        </w:rPr>
      </w:pPr>
      <w:r>
        <w:rPr>
          <w:rFonts w:hint="eastAsia"/>
          <w:sz w:val="24"/>
        </w:rPr>
        <w:t>本工程电缆线路采用类比的方法进行评价。</w:t>
      </w:r>
    </w:p>
    <w:p>
      <w:pPr>
        <w:pStyle w:val="2"/>
        <w:numPr>
          <w:ilvl w:val="2"/>
          <w:numId w:val="21"/>
        </w:numPr>
        <w:spacing w:before="0" w:after="0" w:line="360" w:lineRule="auto"/>
        <w:rPr>
          <w:b w:val="0"/>
          <w:bCs w:val="0"/>
        </w:rPr>
      </w:pPr>
      <w:r>
        <w:rPr>
          <w:rFonts w:hint="eastAsia" w:ascii="宋体" w:hAnsi="宋体" w:eastAsia="宋体" w:cs="宋体"/>
          <w:sz w:val="28"/>
          <w:szCs w:val="28"/>
        </w:rPr>
        <w:t>类比对象</w:t>
      </w:r>
    </w:p>
    <w:p>
      <w:pPr>
        <w:spacing w:line="360" w:lineRule="auto"/>
        <w:ind w:firstLine="480" w:firstLineChars="200"/>
        <w:rPr>
          <w:sz w:val="24"/>
        </w:rPr>
      </w:pPr>
      <w:r>
        <w:rPr>
          <w:rFonts w:hint="eastAsia"/>
          <w:sz w:val="24"/>
        </w:rPr>
        <w:t>本工程新建220kV电缆线路采用郑州220kV洞翰Ⅰ线、洞翰Ⅱ线、洞徐Ⅰ线、洞徐Ⅱ线电缆线路进行类比分析。</w:t>
      </w:r>
    </w:p>
    <w:p>
      <w:pPr>
        <w:spacing w:line="360" w:lineRule="auto"/>
        <w:ind w:firstLine="480" w:firstLineChars="200"/>
        <w:rPr>
          <w:sz w:val="24"/>
        </w:rPr>
      </w:pPr>
      <w:r>
        <w:rPr>
          <w:rFonts w:hint="eastAsia"/>
          <w:sz w:val="24"/>
        </w:rPr>
        <w:t>本工程220kV电缆线路与类比条件对照表见</w:t>
      </w:r>
      <w:r>
        <w:rPr>
          <w:rFonts w:hint="eastAsia"/>
          <w:b w:val="0"/>
          <w:bCs w:val="0"/>
          <w:sz w:val="24"/>
          <w:szCs w:val="24"/>
        </w:rPr>
        <w:fldChar w:fldCharType="begin"/>
      </w:r>
      <w:r>
        <w:rPr>
          <w:b w:val="0"/>
          <w:bCs w:val="0"/>
        </w:rPr>
        <w:instrText xml:space="preserve"> REF _Ref7056 \h  \* MERGEFORMAT</w:instrText>
      </w:r>
      <w:r>
        <w:rPr>
          <w:rFonts w:hint="eastAsia"/>
          <w:b w:val="0"/>
          <w:bCs w:val="0"/>
          <w:sz w:val="24"/>
          <w:szCs w:val="24"/>
        </w:rPr>
        <w:fldChar w:fldCharType="separate"/>
      </w:r>
      <w:r>
        <w:rPr>
          <w:rFonts w:ascii="Times New Roman" w:hAnsi="Times New Roman" w:eastAsia="宋体"/>
          <w:b w:val="0"/>
          <w:bCs w:val="0"/>
          <w:sz w:val="24"/>
          <w:szCs w:val="24"/>
        </w:rPr>
        <w:t>表 40</w:t>
      </w:r>
      <w:r>
        <w:rPr>
          <w:rFonts w:hint="eastAsia"/>
          <w:b w:val="0"/>
          <w:bCs w:val="0"/>
          <w:sz w:val="24"/>
          <w:szCs w:val="24"/>
        </w:rPr>
        <w:fldChar w:fldCharType="end"/>
      </w:r>
      <w:r>
        <w:rPr>
          <w:rFonts w:hint="eastAsia"/>
          <w:sz w:val="24"/>
        </w:rPr>
        <w:t>。</w:t>
      </w:r>
    </w:p>
    <w:p>
      <w:pPr>
        <w:pStyle w:val="10"/>
        <w:rPr>
          <w:rFonts w:eastAsia="宋体"/>
        </w:rPr>
      </w:pPr>
      <w:bookmarkStart w:id="783" w:name="_Ref7056"/>
      <w:bookmarkStart w:id="784" w:name="_Hlk101275356"/>
      <w:r>
        <w:rPr>
          <w:rFonts w:ascii="Times New Roman" w:hAnsi="Times New Roman" w:eastAsia="宋体"/>
          <w:b/>
          <w:bCs/>
        </w:rPr>
        <w:t xml:space="preserve">表 </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40</w:t>
      </w:r>
      <w:r>
        <w:rPr>
          <w:rFonts w:ascii="Times New Roman" w:hAnsi="Times New Roman" w:eastAsia="宋体"/>
          <w:b/>
          <w:bCs/>
        </w:rPr>
        <w:fldChar w:fldCharType="end"/>
      </w:r>
      <w:bookmarkEnd w:id="783"/>
      <w:r>
        <w:rPr>
          <w:rFonts w:ascii="Times New Roman" w:hAnsi="Times New Roman" w:eastAsia="宋体"/>
          <w:b/>
          <w:bCs/>
        </w:rPr>
        <w:t xml:space="preserve"> 本工程220kV电缆线路与类比对象情况对比</w:t>
      </w:r>
    </w:p>
    <w:tbl>
      <w:tblPr>
        <w:tblStyle w:val="37"/>
        <w:tblW w:w="49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2997"/>
        <w:gridCol w:w="2895"/>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679" w:type="pct"/>
            <w:tcBorders>
              <w:top w:val="single" w:color="auto" w:sz="4" w:space="0"/>
              <w:left w:val="single" w:color="auto" w:sz="4" w:space="0"/>
              <w:bottom w:val="single" w:color="auto" w:sz="4" w:space="0"/>
              <w:right w:val="single" w:color="auto" w:sz="4" w:space="0"/>
            </w:tcBorders>
            <w:vAlign w:val="center"/>
          </w:tcPr>
          <w:p>
            <w:pPr>
              <w:wordWrap w:val="0"/>
              <w:jc w:val="center"/>
              <w:rPr>
                <w:szCs w:val="21"/>
              </w:rPr>
            </w:pPr>
            <w:r>
              <w:rPr>
                <w:szCs w:val="21"/>
                <w:lang w:bidi="ar"/>
              </w:rPr>
              <w:t>线路名称</w:t>
            </w:r>
            <w:bookmarkEnd w:id="784"/>
          </w:p>
        </w:tc>
        <w:tc>
          <w:tcPr>
            <w:tcW w:w="1737"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 xml:space="preserve"> 洞翰Ⅰ线、洞翰Ⅱ线、洞徐Ⅰ线、洞徐Ⅱ线220kV电缆线路</w:t>
            </w:r>
          </w:p>
        </w:tc>
        <w:tc>
          <w:tcPr>
            <w:tcW w:w="1678"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本工程220kV电缆线路</w:t>
            </w:r>
          </w:p>
        </w:tc>
        <w:tc>
          <w:tcPr>
            <w:tcW w:w="904"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可比性分析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679" w:type="pct"/>
            <w:tcBorders>
              <w:top w:val="single" w:color="auto" w:sz="4" w:space="0"/>
              <w:left w:val="single" w:color="auto" w:sz="4" w:space="0"/>
              <w:bottom w:val="single" w:color="auto" w:sz="4" w:space="0"/>
              <w:right w:val="single" w:color="auto" w:sz="4" w:space="0"/>
            </w:tcBorders>
            <w:vAlign w:val="center"/>
          </w:tcPr>
          <w:p>
            <w:pPr>
              <w:wordWrap w:val="0"/>
              <w:jc w:val="center"/>
              <w:rPr>
                <w:szCs w:val="21"/>
              </w:rPr>
            </w:pPr>
            <w:r>
              <w:rPr>
                <w:szCs w:val="21"/>
                <w:lang w:bidi="ar"/>
              </w:rPr>
              <w:t>电压等级</w:t>
            </w:r>
          </w:p>
        </w:tc>
        <w:tc>
          <w:tcPr>
            <w:tcW w:w="1737" w:type="pct"/>
            <w:tcBorders>
              <w:top w:val="single" w:color="auto" w:sz="4" w:space="0"/>
              <w:left w:val="single" w:color="auto" w:sz="4" w:space="0"/>
              <w:bottom w:val="single" w:color="auto" w:sz="4" w:space="0"/>
              <w:right w:val="single" w:color="auto" w:sz="4" w:space="0"/>
            </w:tcBorders>
            <w:vAlign w:val="center"/>
          </w:tcPr>
          <w:p>
            <w:pPr>
              <w:wordWrap w:val="0"/>
              <w:jc w:val="center"/>
              <w:rPr>
                <w:szCs w:val="21"/>
              </w:rPr>
            </w:pPr>
            <w:r>
              <w:rPr>
                <w:szCs w:val="21"/>
                <w:lang w:bidi="ar"/>
              </w:rPr>
              <w:t>220kV</w:t>
            </w:r>
          </w:p>
        </w:tc>
        <w:tc>
          <w:tcPr>
            <w:tcW w:w="1678" w:type="pct"/>
            <w:tcBorders>
              <w:top w:val="single" w:color="auto" w:sz="4" w:space="0"/>
              <w:left w:val="single" w:color="auto" w:sz="4" w:space="0"/>
              <w:bottom w:val="single" w:color="auto" w:sz="4" w:space="0"/>
              <w:right w:val="single" w:color="auto" w:sz="4" w:space="0"/>
            </w:tcBorders>
            <w:vAlign w:val="center"/>
          </w:tcPr>
          <w:p>
            <w:pPr>
              <w:wordWrap w:val="0"/>
              <w:jc w:val="center"/>
              <w:rPr>
                <w:szCs w:val="21"/>
              </w:rPr>
            </w:pPr>
            <w:r>
              <w:rPr>
                <w:szCs w:val="21"/>
                <w:lang w:bidi="ar"/>
              </w:rPr>
              <w:t xml:space="preserve"> 220kV</w:t>
            </w:r>
          </w:p>
        </w:tc>
        <w:tc>
          <w:tcPr>
            <w:tcW w:w="904" w:type="pct"/>
            <w:tcBorders>
              <w:top w:val="single" w:color="auto" w:sz="4" w:space="0"/>
              <w:left w:val="single" w:color="auto" w:sz="4" w:space="0"/>
              <w:bottom w:val="single" w:color="auto" w:sz="4" w:space="0"/>
              <w:right w:val="single" w:color="auto" w:sz="4" w:space="0"/>
            </w:tcBorders>
            <w:vAlign w:val="center"/>
          </w:tcPr>
          <w:p>
            <w:pPr>
              <w:wordWrap w:val="0"/>
              <w:jc w:val="center"/>
              <w:rPr>
                <w:szCs w:val="21"/>
              </w:rPr>
            </w:pPr>
            <w:r>
              <w:rPr>
                <w:szCs w:val="21"/>
                <w:lang w:bidi="ar"/>
              </w:rPr>
              <w:t>电压等级相同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679"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敷设方式</w:t>
            </w:r>
          </w:p>
        </w:tc>
        <w:tc>
          <w:tcPr>
            <w:tcW w:w="1737"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四回电缆敷设</w:t>
            </w:r>
          </w:p>
        </w:tc>
        <w:tc>
          <w:tcPr>
            <w:tcW w:w="1678"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双回电缆敷设</w:t>
            </w:r>
          </w:p>
        </w:tc>
        <w:tc>
          <w:tcPr>
            <w:tcW w:w="904"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本工程电缆回数较少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679"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电缆型号</w:t>
            </w:r>
          </w:p>
        </w:tc>
        <w:tc>
          <w:tcPr>
            <w:tcW w:w="1737"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ZC-YJLW03-64/110-1×1000</w:t>
            </w:r>
          </w:p>
        </w:tc>
        <w:tc>
          <w:tcPr>
            <w:tcW w:w="1678"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rPr>
              <w:t>ZC-YJLW03-127/220-1×1600</w:t>
            </w:r>
          </w:p>
        </w:tc>
        <w:tc>
          <w:tcPr>
            <w:tcW w:w="904"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电缆型号相似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679"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环境条件</w:t>
            </w:r>
          </w:p>
        </w:tc>
        <w:tc>
          <w:tcPr>
            <w:tcW w:w="1737"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平地</w:t>
            </w:r>
          </w:p>
        </w:tc>
        <w:tc>
          <w:tcPr>
            <w:tcW w:w="1678"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平地</w:t>
            </w:r>
          </w:p>
        </w:tc>
        <w:tc>
          <w:tcPr>
            <w:tcW w:w="904" w:type="pct"/>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center"/>
              <w:rPr>
                <w:szCs w:val="21"/>
              </w:rPr>
            </w:pPr>
            <w:r>
              <w:rPr>
                <w:szCs w:val="21"/>
                <w:lang w:bidi="ar"/>
              </w:rPr>
              <w:t>环境条件相同</w:t>
            </w:r>
          </w:p>
        </w:tc>
      </w:tr>
    </w:tbl>
    <w:p>
      <w:pPr>
        <w:pStyle w:val="2"/>
        <w:numPr>
          <w:ilvl w:val="2"/>
          <w:numId w:val="21"/>
        </w:numPr>
        <w:spacing w:before="0" w:after="0" w:line="360" w:lineRule="auto"/>
        <w:rPr>
          <w:b w:val="0"/>
          <w:bCs w:val="0"/>
          <w:sz w:val="21"/>
          <w:szCs w:val="21"/>
        </w:rPr>
      </w:pPr>
      <w:r>
        <w:rPr>
          <w:rFonts w:hint="eastAsia" w:ascii="宋体" w:hAnsi="宋体" w:eastAsia="宋体" w:cs="宋体"/>
          <w:sz w:val="28"/>
          <w:szCs w:val="28"/>
        </w:rPr>
        <w:t>类比可行性分析</w:t>
      </w:r>
    </w:p>
    <w:p>
      <w:pPr>
        <w:spacing w:line="360" w:lineRule="auto"/>
        <w:ind w:firstLine="480" w:firstLineChars="200"/>
        <w:rPr>
          <w:sz w:val="24"/>
        </w:rPr>
      </w:pPr>
      <w:r>
        <w:rPr>
          <w:rFonts w:hint="eastAsia"/>
          <w:sz w:val="24"/>
        </w:rPr>
        <w:t>本工程电缆线路与类比</w:t>
      </w:r>
      <w:r>
        <w:rPr>
          <w:rFonts w:hint="eastAsia"/>
          <w:sz w:val="24"/>
          <w:lang w:eastAsia="zh-CN"/>
        </w:rPr>
        <w:t>线路</w:t>
      </w:r>
      <w:r>
        <w:rPr>
          <w:rFonts w:hint="eastAsia"/>
          <w:sz w:val="24"/>
        </w:rPr>
        <w:t>电压等级相同，电缆型号类似，类比线路电缆回数更多，对环境影响更大。因此，选用郑州220kV洞翰Ⅰ线、洞翰Ⅱ线、洞徐Ⅰ线、洞徐Ⅱ线电缆线路进行类比是可行的，且类比结果是保守的。</w:t>
      </w:r>
    </w:p>
    <w:p>
      <w:pPr>
        <w:pStyle w:val="2"/>
        <w:numPr>
          <w:ilvl w:val="2"/>
          <w:numId w:val="21"/>
        </w:numPr>
        <w:spacing w:before="0" w:after="0" w:line="360" w:lineRule="auto"/>
      </w:pPr>
      <w:r>
        <w:rPr>
          <w:rFonts w:hint="eastAsia" w:ascii="宋体" w:hAnsi="宋体" w:eastAsia="宋体" w:cs="宋体"/>
          <w:sz w:val="28"/>
          <w:szCs w:val="28"/>
        </w:rPr>
        <w:t>类比监测</w:t>
      </w:r>
    </w:p>
    <w:p>
      <w:pPr>
        <w:spacing w:line="360" w:lineRule="auto"/>
        <w:ind w:firstLine="480" w:firstLineChars="200"/>
        <w:rPr>
          <w:sz w:val="24"/>
        </w:rPr>
      </w:pPr>
      <w:r>
        <w:rPr>
          <w:rFonts w:hint="eastAsia"/>
          <w:sz w:val="24"/>
        </w:rPr>
        <w:t>（1）监测单位：武汉中电工程检测有限公司。</w:t>
      </w:r>
    </w:p>
    <w:p>
      <w:pPr>
        <w:spacing w:line="360" w:lineRule="auto"/>
        <w:ind w:firstLine="480" w:firstLineChars="200"/>
        <w:rPr>
          <w:sz w:val="24"/>
        </w:rPr>
      </w:pPr>
      <w:r>
        <w:rPr>
          <w:rFonts w:hint="eastAsia"/>
          <w:sz w:val="24"/>
        </w:rPr>
        <w:t>（2）监测因子</w:t>
      </w:r>
    </w:p>
    <w:p>
      <w:pPr>
        <w:spacing w:line="360" w:lineRule="auto"/>
        <w:ind w:firstLine="480" w:firstLineChars="200"/>
        <w:rPr>
          <w:sz w:val="24"/>
        </w:rPr>
      </w:pPr>
      <w:r>
        <w:rPr>
          <w:rFonts w:hint="eastAsia"/>
          <w:sz w:val="24"/>
        </w:rPr>
        <w:t>工频电场、工频磁场。</w:t>
      </w:r>
    </w:p>
    <w:p>
      <w:pPr>
        <w:spacing w:line="360" w:lineRule="auto"/>
        <w:ind w:firstLine="480" w:firstLineChars="200"/>
        <w:rPr>
          <w:sz w:val="24"/>
        </w:rPr>
      </w:pPr>
      <w:r>
        <w:rPr>
          <w:rFonts w:hint="eastAsia"/>
          <w:sz w:val="24"/>
        </w:rPr>
        <w:t>（3）监测布点</w:t>
      </w:r>
    </w:p>
    <w:p>
      <w:pPr>
        <w:spacing w:line="360" w:lineRule="auto"/>
        <w:ind w:firstLine="480" w:firstLineChars="200"/>
        <w:rPr>
          <w:sz w:val="24"/>
        </w:rPr>
      </w:pPr>
      <w:r>
        <w:rPr>
          <w:rFonts w:hint="eastAsia"/>
          <w:sz w:val="24"/>
        </w:rPr>
        <w:t>在电缆线路中心正上方监测一个点位，然后从电缆隧道边缘的地面为起点，沿垂直于线路方向进行监测，每1m布置一个监测点位，测至5m，分别测量距地面1.5m处的工频电场强度、工频磁感应强度。</w:t>
      </w:r>
    </w:p>
    <w:p>
      <w:pPr>
        <w:spacing w:line="360" w:lineRule="auto"/>
        <w:ind w:firstLine="480" w:firstLineChars="200"/>
        <w:rPr>
          <w:sz w:val="24"/>
        </w:rPr>
      </w:pPr>
      <w:r>
        <w:rPr>
          <w:rFonts w:hint="eastAsia"/>
          <w:sz w:val="24"/>
        </w:rPr>
        <w:t>（4）监测方法</w:t>
      </w:r>
    </w:p>
    <w:p>
      <w:pPr>
        <w:spacing w:line="360" w:lineRule="auto"/>
        <w:ind w:firstLine="480" w:firstLineChars="200"/>
        <w:rPr>
          <w:sz w:val="24"/>
        </w:rPr>
      </w:pPr>
      <w:r>
        <w:rPr>
          <w:rFonts w:hint="eastAsia"/>
          <w:sz w:val="24"/>
        </w:rPr>
        <w:t>按《交流输变电工程电磁环境监测方法（试行）》（HJ681-2013）中推荐的方法进行。</w:t>
      </w:r>
    </w:p>
    <w:p>
      <w:pPr>
        <w:spacing w:line="360" w:lineRule="auto"/>
        <w:ind w:firstLine="480" w:firstLineChars="200"/>
        <w:rPr>
          <w:sz w:val="24"/>
        </w:rPr>
      </w:pPr>
      <w:r>
        <w:rPr>
          <w:rFonts w:hint="eastAsia"/>
          <w:sz w:val="24"/>
        </w:rPr>
        <w:t>（5）监测仪器</w:t>
      </w:r>
    </w:p>
    <w:p>
      <w:pPr>
        <w:spacing w:line="360" w:lineRule="auto"/>
        <w:ind w:firstLine="480" w:firstLineChars="200"/>
        <w:rPr>
          <w:sz w:val="24"/>
        </w:rPr>
      </w:pPr>
      <w:r>
        <w:rPr>
          <w:rFonts w:hint="eastAsia"/>
          <w:sz w:val="24"/>
        </w:rPr>
        <w:t>8053B 型场强测量仪。</w:t>
      </w:r>
    </w:p>
    <w:p>
      <w:pPr>
        <w:spacing w:line="360" w:lineRule="auto"/>
        <w:ind w:firstLine="480" w:firstLineChars="200"/>
        <w:rPr>
          <w:sz w:val="24"/>
        </w:rPr>
      </w:pPr>
      <w:r>
        <w:rPr>
          <w:rFonts w:hint="eastAsia"/>
          <w:sz w:val="24"/>
        </w:rPr>
        <w:t>（6）监测时间及气象条件</w:t>
      </w:r>
    </w:p>
    <w:p>
      <w:pPr>
        <w:spacing w:line="360" w:lineRule="auto"/>
        <w:ind w:firstLine="480" w:firstLineChars="200"/>
        <w:rPr>
          <w:sz w:val="24"/>
        </w:rPr>
      </w:pPr>
      <w:r>
        <w:rPr>
          <w:rFonts w:hint="eastAsia"/>
          <w:sz w:val="24"/>
        </w:rPr>
        <w:t>监测时间：2019年9月28日；</w:t>
      </w:r>
    </w:p>
    <w:p>
      <w:pPr>
        <w:spacing w:line="360" w:lineRule="auto"/>
        <w:ind w:firstLine="480" w:firstLineChars="200"/>
        <w:rPr>
          <w:sz w:val="24"/>
        </w:rPr>
      </w:pPr>
      <w:r>
        <w:rPr>
          <w:rFonts w:hint="eastAsia"/>
          <w:sz w:val="24"/>
        </w:rPr>
        <w:t>气象条件：晴，环境温度32.5℃；湿度：60%RH。</w:t>
      </w:r>
    </w:p>
    <w:p>
      <w:pPr>
        <w:spacing w:line="360" w:lineRule="auto"/>
        <w:ind w:firstLine="480" w:firstLineChars="200"/>
        <w:rPr>
          <w:sz w:val="24"/>
        </w:rPr>
      </w:pPr>
      <w:r>
        <w:rPr>
          <w:rFonts w:hint="eastAsia"/>
          <w:sz w:val="24"/>
        </w:rPr>
        <w:t>（7）运行工况</w:t>
      </w:r>
    </w:p>
    <w:p>
      <w:pPr>
        <w:spacing w:line="360" w:lineRule="auto"/>
        <w:ind w:firstLine="480" w:firstLineChars="200"/>
        <w:rPr>
          <w:sz w:val="24"/>
        </w:rPr>
      </w:pPr>
      <w:r>
        <w:rPr>
          <w:rFonts w:hint="eastAsia"/>
          <w:sz w:val="24"/>
        </w:rPr>
        <w:t>见</w:t>
      </w:r>
      <w:r>
        <w:rPr>
          <w:rFonts w:hint="eastAsia"/>
          <w:b w:val="0"/>
          <w:bCs w:val="0"/>
          <w:sz w:val="24"/>
          <w:szCs w:val="24"/>
        </w:rPr>
        <w:fldChar w:fldCharType="begin"/>
      </w:r>
      <w:r>
        <w:rPr>
          <w:b w:val="0"/>
          <w:bCs w:val="0"/>
          <w:sz w:val="24"/>
          <w:szCs w:val="24"/>
        </w:rPr>
        <w:instrText xml:space="preserve"> REF _Ref16717 \h  \* MERGEFORMAT</w:instrText>
      </w:r>
      <w:r>
        <w:rPr>
          <w:rFonts w:hint="eastAsia"/>
          <w:b w:val="0"/>
          <w:bCs w:val="0"/>
          <w:sz w:val="24"/>
          <w:szCs w:val="24"/>
        </w:rPr>
        <w:fldChar w:fldCharType="separate"/>
      </w:r>
      <w:r>
        <w:rPr>
          <w:rFonts w:ascii="Times New Roman" w:hAnsi="Times New Roman" w:eastAsia="宋体"/>
          <w:b w:val="0"/>
          <w:bCs w:val="0"/>
          <w:sz w:val="24"/>
          <w:szCs w:val="24"/>
        </w:rPr>
        <w:t>表 41</w:t>
      </w:r>
      <w:r>
        <w:rPr>
          <w:rFonts w:hint="eastAsia"/>
          <w:b w:val="0"/>
          <w:bCs w:val="0"/>
          <w:sz w:val="24"/>
          <w:szCs w:val="24"/>
        </w:rPr>
        <w:fldChar w:fldCharType="end"/>
      </w:r>
      <w:r>
        <w:rPr>
          <w:rFonts w:hint="eastAsia"/>
          <w:sz w:val="24"/>
        </w:rPr>
        <w:t>。</w:t>
      </w:r>
    </w:p>
    <w:p>
      <w:pPr>
        <w:pStyle w:val="10"/>
        <w:rPr>
          <w:rFonts w:eastAsia="宋体"/>
        </w:rPr>
      </w:pPr>
      <w:bookmarkStart w:id="785" w:name="_Ref16717"/>
      <w:r>
        <w:rPr>
          <w:rFonts w:ascii="Times New Roman" w:hAnsi="Times New Roman" w:eastAsia="宋体"/>
          <w:b/>
          <w:bCs/>
        </w:rPr>
        <w:t xml:space="preserve">表 </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41</w:t>
      </w:r>
      <w:r>
        <w:rPr>
          <w:rFonts w:ascii="Times New Roman" w:hAnsi="Times New Roman" w:eastAsia="宋体"/>
          <w:b/>
          <w:bCs/>
        </w:rPr>
        <w:fldChar w:fldCharType="end"/>
      </w:r>
      <w:bookmarkEnd w:id="785"/>
      <w:r>
        <w:rPr>
          <w:rFonts w:ascii="Times New Roman" w:hAnsi="Times New Roman" w:eastAsia="宋体"/>
          <w:b/>
          <w:bCs/>
        </w:rPr>
        <w:t xml:space="preserve"> 监测时工况</w:t>
      </w:r>
    </w:p>
    <w:tbl>
      <w:tblPr>
        <w:tblStyle w:val="37"/>
        <w:tblW w:w="8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7"/>
        <w:gridCol w:w="1447"/>
        <w:gridCol w:w="1330"/>
        <w:gridCol w:w="2009"/>
        <w:gridCol w:w="2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717"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
                <w:color w:val="000000"/>
                <w:kern w:val="0"/>
                <w:szCs w:val="21"/>
              </w:rPr>
            </w:pPr>
            <w:r>
              <w:rPr>
                <w:b/>
                <w:color w:val="000000"/>
                <w:kern w:val="0"/>
                <w:szCs w:val="21"/>
                <w:lang w:bidi="ar"/>
              </w:rPr>
              <w:t>项目</w:t>
            </w:r>
          </w:p>
        </w:tc>
        <w:tc>
          <w:tcPr>
            <w:tcW w:w="1447"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
                <w:color w:val="000000"/>
                <w:kern w:val="0"/>
                <w:szCs w:val="21"/>
              </w:rPr>
            </w:pPr>
            <w:r>
              <w:rPr>
                <w:b/>
                <w:color w:val="000000"/>
                <w:kern w:val="0"/>
                <w:szCs w:val="21"/>
                <w:lang w:bidi="ar"/>
              </w:rPr>
              <w:t>电压（kV）</w:t>
            </w:r>
          </w:p>
        </w:tc>
        <w:tc>
          <w:tcPr>
            <w:tcW w:w="1330"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
                <w:color w:val="000000"/>
                <w:kern w:val="0"/>
                <w:szCs w:val="21"/>
              </w:rPr>
            </w:pPr>
            <w:r>
              <w:rPr>
                <w:b/>
                <w:color w:val="000000"/>
                <w:kern w:val="0"/>
                <w:szCs w:val="21"/>
                <w:lang w:bidi="ar"/>
              </w:rPr>
              <w:t>电流（A）</w:t>
            </w:r>
          </w:p>
        </w:tc>
        <w:tc>
          <w:tcPr>
            <w:tcW w:w="2009"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
                <w:color w:val="000000"/>
                <w:kern w:val="0"/>
                <w:szCs w:val="21"/>
              </w:rPr>
            </w:pPr>
            <w:r>
              <w:rPr>
                <w:b/>
                <w:color w:val="000000"/>
                <w:kern w:val="0"/>
                <w:szCs w:val="21"/>
                <w:lang w:bidi="ar"/>
              </w:rPr>
              <w:t>有功功率（MW）</w:t>
            </w:r>
          </w:p>
        </w:tc>
        <w:tc>
          <w:tcPr>
            <w:tcW w:w="2102"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
                <w:color w:val="000000"/>
                <w:kern w:val="0"/>
                <w:szCs w:val="21"/>
              </w:rPr>
            </w:pPr>
            <w:r>
              <w:rPr>
                <w:b/>
                <w:color w:val="000000"/>
                <w:kern w:val="0"/>
                <w:szCs w:val="21"/>
                <w:lang w:bidi="ar"/>
              </w:rPr>
              <w:t>无功功率（Mvar）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717"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220kV洞翰Ⅰ线</w:t>
            </w:r>
          </w:p>
        </w:tc>
        <w:tc>
          <w:tcPr>
            <w:tcW w:w="1447"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222.0~224.0</w:t>
            </w:r>
          </w:p>
        </w:tc>
        <w:tc>
          <w:tcPr>
            <w:tcW w:w="1330"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40.3~40.9</w:t>
            </w:r>
          </w:p>
        </w:tc>
        <w:tc>
          <w:tcPr>
            <w:tcW w:w="2009"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4.1~4.7</w:t>
            </w:r>
          </w:p>
        </w:tc>
        <w:tc>
          <w:tcPr>
            <w:tcW w:w="2102"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-13.6~-13.0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717"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220kV洞翰Ⅱ线</w:t>
            </w:r>
          </w:p>
        </w:tc>
        <w:tc>
          <w:tcPr>
            <w:tcW w:w="1447"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221.8~222.3</w:t>
            </w:r>
          </w:p>
        </w:tc>
        <w:tc>
          <w:tcPr>
            <w:tcW w:w="1330"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42.4~42.8</w:t>
            </w:r>
          </w:p>
        </w:tc>
        <w:tc>
          <w:tcPr>
            <w:tcW w:w="2009"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4.3~4.7</w:t>
            </w:r>
          </w:p>
        </w:tc>
        <w:tc>
          <w:tcPr>
            <w:tcW w:w="2102"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-15.2~-14.4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717"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220kV洞徐Ⅰ线</w:t>
            </w:r>
          </w:p>
        </w:tc>
        <w:tc>
          <w:tcPr>
            <w:tcW w:w="1447"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220.8~221.4</w:t>
            </w:r>
          </w:p>
        </w:tc>
        <w:tc>
          <w:tcPr>
            <w:tcW w:w="1330"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18.1~18.7</w:t>
            </w:r>
          </w:p>
        </w:tc>
        <w:tc>
          <w:tcPr>
            <w:tcW w:w="2009"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3.1~3.5</w:t>
            </w:r>
          </w:p>
        </w:tc>
        <w:tc>
          <w:tcPr>
            <w:tcW w:w="2102"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9.2~9.6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717"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220kV洞徐Ⅱ线</w:t>
            </w:r>
          </w:p>
        </w:tc>
        <w:tc>
          <w:tcPr>
            <w:tcW w:w="1447"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220.7~221.3</w:t>
            </w:r>
          </w:p>
        </w:tc>
        <w:tc>
          <w:tcPr>
            <w:tcW w:w="1330"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19.4~20.1</w:t>
            </w:r>
          </w:p>
        </w:tc>
        <w:tc>
          <w:tcPr>
            <w:tcW w:w="2009"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3.0~3.6</w:t>
            </w:r>
          </w:p>
        </w:tc>
        <w:tc>
          <w:tcPr>
            <w:tcW w:w="2102" w:type="dxa"/>
            <w:tcBorders>
              <w:top w:val="single" w:color="auto" w:sz="4" w:space="0"/>
              <w:left w:val="single" w:color="auto" w:sz="4" w:space="0"/>
              <w:bottom w:val="single" w:color="auto" w:sz="4" w:space="0"/>
              <w:right w:val="single" w:color="auto" w:sz="4" w:space="0"/>
            </w:tcBorders>
            <w:vAlign w:val="center"/>
          </w:tcPr>
          <w:p>
            <w:pPr>
              <w:keepLines/>
              <w:widowControl/>
              <w:snapToGrid w:val="0"/>
              <w:jc w:val="center"/>
              <w:rPr>
                <w:bCs/>
                <w:color w:val="000000"/>
                <w:kern w:val="0"/>
                <w:szCs w:val="21"/>
              </w:rPr>
            </w:pPr>
            <w:r>
              <w:rPr>
                <w:bCs/>
                <w:color w:val="000000"/>
                <w:kern w:val="0"/>
                <w:szCs w:val="21"/>
                <w:lang w:bidi="ar"/>
              </w:rPr>
              <w:t>7.5~7.9</w:t>
            </w:r>
          </w:p>
        </w:tc>
      </w:tr>
    </w:tbl>
    <w:p>
      <w:pPr>
        <w:pStyle w:val="36"/>
        <w:spacing w:after="0" w:line="360" w:lineRule="auto"/>
        <w:ind w:left="0" w:leftChars="0" w:firstLine="480" w:firstLineChars="200"/>
      </w:pPr>
      <w:r>
        <w:t>（8）监测结果</w:t>
      </w:r>
    </w:p>
    <w:p>
      <w:pPr>
        <w:pStyle w:val="36"/>
        <w:spacing w:after="0" w:line="360" w:lineRule="auto"/>
        <w:ind w:left="0" w:leftChars="0" w:firstLine="480" w:firstLineChars="200"/>
      </w:pPr>
      <w:r>
        <w:t>类比线路工频电场、工频磁场环境监测结果见</w:t>
      </w:r>
      <w:r>
        <w:rPr>
          <w:b w:val="0"/>
          <w:bCs w:val="0"/>
        </w:rPr>
        <w:fldChar w:fldCharType="begin"/>
      </w:r>
      <w:r>
        <w:rPr>
          <w:b w:val="0"/>
          <w:bCs w:val="0"/>
        </w:rPr>
        <w:instrText xml:space="preserve"> REF _Ref17239 \h  \* MERGEFORMAT</w:instrText>
      </w:r>
      <w:r>
        <w:rPr>
          <w:b w:val="0"/>
          <w:bCs w:val="0"/>
        </w:rPr>
        <w:fldChar w:fldCharType="separate"/>
      </w:r>
      <w:r>
        <w:rPr>
          <w:rFonts w:ascii="Times New Roman" w:hAnsi="Times New Roman" w:eastAsia="宋体"/>
          <w:b w:val="0"/>
          <w:bCs w:val="0"/>
        </w:rPr>
        <w:t>表 42</w:t>
      </w:r>
      <w:r>
        <w:rPr>
          <w:b w:val="0"/>
          <w:bCs w:val="0"/>
        </w:rPr>
        <w:fldChar w:fldCharType="end"/>
      </w:r>
      <w:r>
        <w:rPr>
          <w:rFonts w:hint="eastAsia"/>
        </w:rPr>
        <w:t>。</w:t>
      </w:r>
    </w:p>
    <w:p>
      <w:pPr>
        <w:pStyle w:val="10"/>
        <w:rPr>
          <w:rFonts w:eastAsia="宋体"/>
        </w:rPr>
      </w:pPr>
      <w:bookmarkStart w:id="786" w:name="_Ref17239"/>
      <w:r>
        <w:rPr>
          <w:rFonts w:ascii="Times New Roman" w:hAnsi="Times New Roman" w:eastAsia="宋体"/>
          <w:b/>
          <w:bCs/>
        </w:rPr>
        <w:t xml:space="preserve">表 </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42</w:t>
      </w:r>
      <w:r>
        <w:rPr>
          <w:rFonts w:ascii="Times New Roman" w:hAnsi="Times New Roman" w:eastAsia="宋体"/>
          <w:b/>
          <w:bCs/>
        </w:rPr>
        <w:fldChar w:fldCharType="end"/>
      </w:r>
      <w:bookmarkEnd w:id="786"/>
      <w:r>
        <w:rPr>
          <w:rFonts w:ascii="Times New Roman" w:hAnsi="Times New Roman" w:eastAsia="宋体"/>
          <w:b/>
          <w:bCs/>
        </w:rPr>
        <w:t xml:space="preserve"> 类比电缆线路工频电场、工频磁场环境监测结果（距地面1.5m处）</w:t>
      </w:r>
    </w:p>
    <w:tbl>
      <w:tblPr>
        <w:tblStyle w:val="37"/>
        <w:tblW w:w="5072" w:type="pct"/>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3028"/>
        <w:gridCol w:w="2007"/>
        <w:gridCol w:w="2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74" w:type="pct"/>
            <w:gridSpan w:val="2"/>
            <w:tcBorders>
              <w:top w:val="single" w:color="auto" w:sz="4" w:space="0"/>
              <w:left w:val="single" w:color="auto" w:sz="4" w:space="0"/>
              <w:bottom w:val="single" w:color="auto" w:sz="4" w:space="0"/>
              <w:right w:val="single" w:color="auto" w:sz="4" w:space="0"/>
            </w:tcBorders>
            <w:vAlign w:val="center"/>
          </w:tcPr>
          <w:p>
            <w:pPr>
              <w:jc w:val="center"/>
            </w:pPr>
            <w:r>
              <w:rPr>
                <w:rFonts w:hint="eastAsia" w:cs="宋体"/>
                <w:lang w:bidi="ar"/>
              </w:rPr>
              <w:t>监测点位置</w:t>
            </w:r>
          </w:p>
        </w:tc>
        <w:tc>
          <w:tcPr>
            <w:tcW w:w="1134" w:type="pct"/>
            <w:tcBorders>
              <w:top w:val="single" w:color="auto" w:sz="4" w:space="0"/>
              <w:left w:val="single" w:color="auto" w:sz="4" w:space="0"/>
              <w:bottom w:val="single" w:color="auto" w:sz="4" w:space="0"/>
              <w:right w:val="single" w:color="auto" w:sz="4" w:space="0"/>
            </w:tcBorders>
            <w:vAlign w:val="center"/>
          </w:tcPr>
          <w:p>
            <w:pPr>
              <w:jc w:val="center"/>
            </w:pPr>
            <w:r>
              <w:rPr>
                <w:rFonts w:hint="eastAsia" w:cs="宋体"/>
                <w:lang w:bidi="ar"/>
              </w:rPr>
              <w:t>工频电场强度（</w:t>
            </w:r>
            <w:r>
              <w:rPr>
                <w:lang w:bidi="ar"/>
              </w:rPr>
              <w:t>V/m</w:t>
            </w:r>
            <w:r>
              <w:rPr>
                <w:rFonts w:hint="eastAsia" w:cs="宋体"/>
                <w:lang w:bidi="ar"/>
              </w:rPr>
              <w:t>）</w:t>
            </w:r>
          </w:p>
        </w:tc>
        <w:tc>
          <w:tcPr>
            <w:tcW w:w="1191" w:type="pct"/>
            <w:tcBorders>
              <w:top w:val="single" w:color="auto" w:sz="4" w:space="0"/>
              <w:left w:val="single" w:color="auto" w:sz="4" w:space="0"/>
              <w:bottom w:val="single" w:color="auto" w:sz="4" w:space="0"/>
              <w:right w:val="single" w:color="auto" w:sz="4" w:space="0"/>
            </w:tcBorders>
            <w:vAlign w:val="center"/>
          </w:tcPr>
          <w:p>
            <w:pPr>
              <w:jc w:val="center"/>
            </w:pPr>
            <w:r>
              <w:rPr>
                <w:rFonts w:hint="eastAsia" w:cs="宋体"/>
                <w:lang w:bidi="ar"/>
              </w:rPr>
              <w:t>工频磁感应强度（</w:t>
            </w:r>
            <w:r>
              <w:rPr>
                <w:lang w:bidi="ar"/>
              </w:rPr>
              <w:t>μT</w:t>
            </w:r>
            <w:r>
              <w:rPr>
                <w:rFonts w:hint="eastAsia" w:cs="宋体"/>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restart"/>
            <w:tcBorders>
              <w:top w:val="nil"/>
              <w:left w:val="single" w:color="auto" w:sz="4" w:space="0"/>
              <w:bottom w:val="single" w:color="auto" w:sz="4" w:space="0"/>
              <w:right w:val="single" w:color="auto" w:sz="4" w:space="0"/>
            </w:tcBorders>
            <w:vAlign w:val="center"/>
          </w:tcPr>
          <w:p>
            <w:pPr>
              <w:adjustRightInd w:val="0"/>
              <w:snapToGrid w:val="0"/>
              <w:spacing w:line="240" w:lineRule="exact"/>
              <w:jc w:val="center"/>
            </w:pPr>
            <w:r>
              <w:rPr>
                <w:kern w:val="0"/>
                <w:lang w:bidi="ar"/>
              </w:rPr>
              <w:t xml:space="preserve"> </w:t>
            </w:r>
            <w:r>
              <w:rPr>
                <w:rFonts w:hint="eastAsia" w:cs="宋体"/>
                <w:kern w:val="0"/>
                <w:lang w:bidi="ar"/>
              </w:rPr>
              <w:t>郑州</w:t>
            </w:r>
            <w:r>
              <w:rPr>
                <w:kern w:val="0"/>
                <w:lang w:bidi="ar"/>
              </w:rPr>
              <w:t>220kV</w:t>
            </w:r>
            <w:r>
              <w:rPr>
                <w:rFonts w:hint="eastAsia" w:cs="宋体"/>
                <w:kern w:val="0"/>
                <w:lang w:bidi="ar"/>
              </w:rPr>
              <w:t>洞翰</w:t>
            </w:r>
            <w:r>
              <w:rPr>
                <w:kern w:val="0"/>
                <w:lang w:bidi="ar"/>
              </w:rPr>
              <w:t>Ⅰ</w:t>
            </w:r>
            <w:r>
              <w:rPr>
                <w:rFonts w:hint="eastAsia" w:cs="宋体"/>
                <w:kern w:val="0"/>
                <w:lang w:bidi="ar"/>
              </w:rPr>
              <w:t>线、洞翰</w:t>
            </w:r>
            <w:r>
              <w:rPr>
                <w:kern w:val="0"/>
                <w:lang w:bidi="ar"/>
              </w:rPr>
              <w:t>Ⅱ</w:t>
            </w:r>
            <w:r>
              <w:rPr>
                <w:rFonts w:hint="eastAsia" w:cs="宋体"/>
                <w:kern w:val="0"/>
                <w:lang w:bidi="ar"/>
              </w:rPr>
              <w:t>线、洞徐</w:t>
            </w:r>
            <w:r>
              <w:rPr>
                <w:kern w:val="0"/>
                <w:lang w:bidi="ar"/>
              </w:rPr>
              <w:t>Ⅰ</w:t>
            </w:r>
            <w:r>
              <w:rPr>
                <w:rFonts w:hint="eastAsia" w:cs="宋体"/>
                <w:kern w:val="0"/>
                <w:lang w:bidi="ar"/>
              </w:rPr>
              <w:t>线、洞徐</w:t>
            </w:r>
            <w:r>
              <w:rPr>
                <w:kern w:val="0"/>
                <w:lang w:bidi="ar"/>
              </w:rPr>
              <w:t>Ⅱ</w:t>
            </w:r>
            <w:r>
              <w:rPr>
                <w:rFonts w:hint="eastAsia" w:cs="宋体"/>
                <w:kern w:val="0"/>
                <w:lang w:bidi="ar"/>
              </w:rPr>
              <w:t>线电缆线路</w:t>
            </w: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电力隧道管廊（北侧）边缘外</w:t>
            </w:r>
            <w:r>
              <w:rPr>
                <w:lang w:bidi="ar"/>
              </w:rPr>
              <w:t>5m</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w:t>
            </w:r>
            <w:r>
              <w:rPr>
                <w:lang w:bidi="ar"/>
              </w:rPr>
              <w:t>(</w:t>
            </w:r>
            <w:r>
              <w:rPr>
                <w:rFonts w:hint="eastAsia" w:cs="宋体"/>
                <w:lang w:bidi="ar"/>
              </w:rPr>
              <w:t>北侧</w:t>
            </w:r>
            <w:r>
              <w:rPr>
                <w:lang w:bidi="ar"/>
              </w:rPr>
              <w:t>)</w:t>
            </w:r>
            <w:r>
              <w:rPr>
                <w:rFonts w:hint="eastAsia" w:cs="宋体"/>
                <w:lang w:bidi="ar"/>
              </w:rPr>
              <w:t>边缘外</w:t>
            </w:r>
            <w:r>
              <w:rPr>
                <w:lang w:bidi="ar"/>
              </w:rPr>
              <w:t>4m</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w:t>
            </w:r>
            <w:r>
              <w:rPr>
                <w:lang w:bidi="ar"/>
              </w:rPr>
              <w:t>(</w:t>
            </w:r>
            <w:r>
              <w:rPr>
                <w:rFonts w:hint="eastAsia" w:cs="宋体"/>
                <w:lang w:bidi="ar"/>
              </w:rPr>
              <w:t>北侧</w:t>
            </w:r>
            <w:r>
              <w:rPr>
                <w:lang w:bidi="ar"/>
              </w:rPr>
              <w:t>)</w:t>
            </w:r>
            <w:r>
              <w:rPr>
                <w:rFonts w:hint="eastAsia" w:cs="宋体"/>
                <w:lang w:bidi="ar"/>
              </w:rPr>
              <w:t>边缘外</w:t>
            </w:r>
            <w:r>
              <w:rPr>
                <w:lang w:bidi="ar"/>
              </w:rPr>
              <w:t>3m</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w:t>
            </w:r>
            <w:r>
              <w:rPr>
                <w:lang w:bidi="ar"/>
              </w:rPr>
              <w:t>(</w:t>
            </w:r>
            <w:r>
              <w:rPr>
                <w:rFonts w:hint="eastAsia" w:cs="宋体"/>
                <w:lang w:bidi="ar"/>
              </w:rPr>
              <w:t>北侧</w:t>
            </w:r>
            <w:r>
              <w:rPr>
                <w:lang w:bidi="ar"/>
              </w:rPr>
              <w:t>)</w:t>
            </w:r>
            <w:r>
              <w:rPr>
                <w:rFonts w:hint="eastAsia" w:cs="宋体"/>
                <w:lang w:bidi="ar"/>
              </w:rPr>
              <w:t>边缘外</w:t>
            </w:r>
            <w:r>
              <w:rPr>
                <w:lang w:bidi="ar"/>
              </w:rPr>
              <w:t>2m</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0.7</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w:t>
            </w:r>
            <w:r>
              <w:rPr>
                <w:lang w:bidi="ar"/>
              </w:rPr>
              <w:t>(</w:t>
            </w:r>
            <w:r>
              <w:rPr>
                <w:rFonts w:hint="eastAsia" w:cs="宋体"/>
                <w:lang w:bidi="ar"/>
              </w:rPr>
              <w:t>北侧</w:t>
            </w:r>
            <w:r>
              <w:rPr>
                <w:lang w:bidi="ar"/>
              </w:rPr>
              <w:t>)</w:t>
            </w:r>
            <w:r>
              <w:rPr>
                <w:rFonts w:hint="eastAsia" w:cs="宋体"/>
                <w:lang w:bidi="ar"/>
              </w:rPr>
              <w:t>边缘外</w:t>
            </w:r>
            <w:r>
              <w:rPr>
                <w:lang w:bidi="ar"/>
              </w:rPr>
              <w:t>1m</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w:t>
            </w:r>
            <w:r>
              <w:rPr>
                <w:lang w:bidi="ar"/>
              </w:rPr>
              <w:t>(</w:t>
            </w:r>
            <w:r>
              <w:rPr>
                <w:rFonts w:hint="eastAsia" w:cs="宋体"/>
                <w:lang w:bidi="ar"/>
              </w:rPr>
              <w:t>北侧</w:t>
            </w:r>
            <w:r>
              <w:rPr>
                <w:lang w:bidi="ar"/>
              </w:rPr>
              <w:t>)</w:t>
            </w:r>
            <w:r>
              <w:rPr>
                <w:rFonts w:hint="eastAsia" w:cs="宋体"/>
                <w:lang w:bidi="ar"/>
              </w:rPr>
              <w:t>边缘</w:t>
            </w:r>
          </w:p>
          <w:p>
            <w:pPr>
              <w:spacing w:line="240" w:lineRule="exact"/>
              <w:jc w:val="center"/>
            </w:pPr>
            <w:r>
              <w:rPr>
                <w:lang w:bidi="ar"/>
              </w:rPr>
              <w:t>(</w:t>
            </w:r>
            <w:r>
              <w:rPr>
                <w:rFonts w:hint="eastAsia" w:cs="宋体"/>
                <w:lang w:bidi="ar"/>
              </w:rPr>
              <w:t>电力隧道中心</w:t>
            </w:r>
            <w:r>
              <w:rPr>
                <w:lang w:bidi="ar"/>
              </w:rPr>
              <w:t>(</w:t>
            </w:r>
            <w:r>
              <w:rPr>
                <w:rFonts w:hint="eastAsia" w:cs="宋体"/>
                <w:lang w:bidi="ar"/>
              </w:rPr>
              <w:t>北侧</w:t>
            </w:r>
            <w:r>
              <w:rPr>
                <w:lang w:bidi="ar"/>
              </w:rPr>
              <w:t>)2m</w:t>
            </w:r>
            <w:r>
              <w:rPr>
                <w:rFonts w:hint="eastAsia" w:cs="宋体"/>
                <w:lang w:bidi="ar"/>
              </w:rPr>
              <w:t>处</w:t>
            </w:r>
            <w:r>
              <w:rPr>
                <w:lang w:bidi="ar"/>
              </w:rPr>
              <w:t>)</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力隧道中心</w:t>
            </w:r>
            <w:r>
              <w:rPr>
                <w:lang w:bidi="ar"/>
              </w:rPr>
              <w:t>(</w:t>
            </w:r>
            <w:r>
              <w:rPr>
                <w:rFonts w:hint="eastAsia" w:cs="宋体"/>
                <w:lang w:bidi="ar"/>
              </w:rPr>
              <w:t>北侧</w:t>
            </w:r>
            <w:r>
              <w:rPr>
                <w:lang w:bidi="ar"/>
              </w:rPr>
              <w:t>)1m</w:t>
            </w:r>
            <w:r>
              <w:rPr>
                <w:rFonts w:hint="eastAsia" w:cs="宋体"/>
                <w:lang w:bidi="ar"/>
              </w:rPr>
              <w:t>处</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电力隧道中心上方</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电力隧道中心（南侧）</w:t>
            </w:r>
            <w:r>
              <w:rPr>
                <w:lang w:bidi="ar"/>
              </w:rPr>
              <w:t>1m</w:t>
            </w:r>
            <w:r>
              <w:rPr>
                <w:rFonts w:hint="eastAsia" w:cs="宋体"/>
                <w:lang w:bidi="ar"/>
              </w:rPr>
              <w:t>处</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atLeast"/>
              <w:jc w:val="center"/>
            </w:pPr>
            <w:r>
              <w:rPr>
                <w:rFonts w:hint="eastAsia" w:cs="宋体"/>
                <w:lang w:bidi="ar"/>
              </w:rPr>
              <w:t>电力隧道中心（南侧）边缘</w:t>
            </w:r>
          </w:p>
          <w:p>
            <w:pPr>
              <w:pStyle w:val="33"/>
              <w:widowControl w:val="0"/>
              <w:spacing w:before="0" w:beforeAutospacing="0" w:after="0" w:afterAutospacing="0" w:line="240" w:lineRule="atLeast"/>
              <w:ind w:firstLine="420" w:firstLineChars="200"/>
              <w:jc w:val="center"/>
              <w:rPr>
                <w:szCs w:val="21"/>
              </w:rPr>
            </w:pPr>
            <w:r>
              <w:rPr>
                <w:rFonts w:ascii="Times New Roman" w:hAnsi="Times New Roman"/>
                <w:kern w:val="2"/>
                <w:sz w:val="21"/>
                <w:szCs w:val="21"/>
                <w:lang w:bidi="ar"/>
              </w:rPr>
              <w:t>(</w:t>
            </w:r>
            <w:r>
              <w:rPr>
                <w:rFonts w:hint="eastAsia" w:ascii="Times New Roman" w:hAnsi="Times New Roman" w:cs="宋体"/>
                <w:kern w:val="2"/>
                <w:sz w:val="21"/>
                <w:szCs w:val="21"/>
                <w:lang w:bidi="ar"/>
              </w:rPr>
              <w:t>电力隧道中心</w:t>
            </w:r>
            <w:r>
              <w:rPr>
                <w:rFonts w:ascii="Times New Roman" w:hAnsi="Times New Roman"/>
                <w:kern w:val="2"/>
                <w:sz w:val="21"/>
                <w:szCs w:val="21"/>
                <w:lang w:bidi="ar"/>
              </w:rPr>
              <w:t>(</w:t>
            </w:r>
            <w:r>
              <w:rPr>
                <w:rFonts w:hint="eastAsia" w:ascii="Times New Roman" w:hAnsi="Times New Roman" w:cs="宋体"/>
                <w:kern w:val="2"/>
                <w:sz w:val="21"/>
                <w:szCs w:val="21"/>
                <w:lang w:bidi="ar"/>
              </w:rPr>
              <w:t>南侧</w:t>
            </w:r>
            <w:r>
              <w:rPr>
                <w:rFonts w:ascii="Times New Roman" w:hAnsi="Times New Roman"/>
                <w:kern w:val="2"/>
                <w:sz w:val="21"/>
                <w:szCs w:val="21"/>
                <w:lang w:bidi="ar"/>
              </w:rPr>
              <w:t>)2m</w:t>
            </w:r>
            <w:r>
              <w:rPr>
                <w:rFonts w:hint="eastAsia" w:ascii="Times New Roman" w:hAnsi="Times New Roman" w:cs="宋体"/>
                <w:kern w:val="2"/>
                <w:sz w:val="21"/>
                <w:szCs w:val="21"/>
                <w:lang w:bidi="ar"/>
              </w:rPr>
              <w:t>处</w:t>
            </w:r>
            <w:r>
              <w:rPr>
                <w:rFonts w:ascii="Times New Roman" w:hAnsi="Times New Roman"/>
                <w:kern w:val="2"/>
                <w:sz w:val="21"/>
                <w:szCs w:val="21"/>
                <w:lang w:bidi="ar"/>
              </w:rPr>
              <w:t>)</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w:t>
            </w:r>
            <w:r>
              <w:rPr>
                <w:lang w:bidi="ar"/>
              </w:rPr>
              <w:t>(</w:t>
            </w:r>
            <w:r>
              <w:rPr>
                <w:rFonts w:hint="eastAsia" w:cs="宋体"/>
                <w:lang w:bidi="ar"/>
              </w:rPr>
              <w:t>南侧</w:t>
            </w:r>
            <w:r>
              <w:rPr>
                <w:lang w:bidi="ar"/>
              </w:rPr>
              <w:t>)</w:t>
            </w:r>
            <w:r>
              <w:rPr>
                <w:rFonts w:hint="eastAsia" w:cs="宋体"/>
                <w:lang w:bidi="ar"/>
              </w:rPr>
              <w:t>边缘外</w:t>
            </w:r>
            <w:r>
              <w:rPr>
                <w:lang w:bidi="ar"/>
              </w:rPr>
              <w:t>1m</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w:t>
            </w:r>
            <w:r>
              <w:rPr>
                <w:lang w:bidi="ar"/>
              </w:rPr>
              <w:t>(</w:t>
            </w:r>
            <w:r>
              <w:rPr>
                <w:rFonts w:hint="eastAsia" w:cs="宋体"/>
                <w:lang w:bidi="ar"/>
              </w:rPr>
              <w:t>南侧</w:t>
            </w:r>
            <w:r>
              <w:rPr>
                <w:lang w:bidi="ar"/>
              </w:rPr>
              <w:t>)</w:t>
            </w:r>
            <w:r>
              <w:rPr>
                <w:rFonts w:hint="eastAsia" w:cs="宋体"/>
                <w:lang w:bidi="ar"/>
              </w:rPr>
              <w:t>边缘外</w:t>
            </w:r>
            <w:r>
              <w:rPr>
                <w:lang w:bidi="ar"/>
              </w:rPr>
              <w:t>2m</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w:t>
            </w:r>
            <w:r>
              <w:rPr>
                <w:lang w:bidi="ar"/>
              </w:rPr>
              <w:t>(</w:t>
            </w:r>
            <w:r>
              <w:rPr>
                <w:rFonts w:hint="eastAsia" w:cs="宋体"/>
                <w:lang w:bidi="ar"/>
              </w:rPr>
              <w:t>南侧</w:t>
            </w:r>
            <w:r>
              <w:rPr>
                <w:lang w:bidi="ar"/>
              </w:rPr>
              <w:t>)</w:t>
            </w:r>
            <w:r>
              <w:rPr>
                <w:rFonts w:hint="eastAsia" w:cs="宋体"/>
                <w:lang w:bidi="ar"/>
              </w:rPr>
              <w:t>边缘外</w:t>
            </w:r>
            <w:r>
              <w:rPr>
                <w:lang w:bidi="ar"/>
              </w:rPr>
              <w:t>3m</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w:t>
            </w:r>
            <w:r>
              <w:rPr>
                <w:lang w:bidi="ar"/>
              </w:rPr>
              <w:t>(</w:t>
            </w:r>
            <w:r>
              <w:rPr>
                <w:rFonts w:hint="eastAsia" w:cs="宋体"/>
                <w:lang w:bidi="ar"/>
              </w:rPr>
              <w:t>南侧</w:t>
            </w:r>
            <w:r>
              <w:rPr>
                <w:lang w:bidi="ar"/>
              </w:rPr>
              <w:t>)</w:t>
            </w:r>
            <w:r>
              <w:rPr>
                <w:rFonts w:hint="eastAsia" w:cs="宋体"/>
                <w:lang w:bidi="ar"/>
              </w:rPr>
              <w:t>边缘外</w:t>
            </w:r>
            <w:r>
              <w:rPr>
                <w:lang w:bidi="ar"/>
              </w:rPr>
              <w:t>4m</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 w:type="pct"/>
            <w:vMerge w:val="continue"/>
            <w:tcBorders>
              <w:top w:val="nil"/>
              <w:left w:val="single" w:color="auto" w:sz="4" w:space="0"/>
              <w:bottom w:val="single" w:color="auto" w:sz="4" w:space="0"/>
              <w:right w:val="single" w:color="auto" w:sz="4" w:space="0"/>
            </w:tcBorders>
            <w:vAlign w:val="center"/>
          </w:tcPr>
          <w:p>
            <w:pPr>
              <w:rPr>
                <w:sz w:val="20"/>
                <w:szCs w:val="20"/>
              </w:rPr>
            </w:pPr>
          </w:p>
        </w:tc>
        <w:tc>
          <w:tcPr>
            <w:tcW w:w="1710"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cs="宋体"/>
                <w:lang w:bidi="ar"/>
              </w:rPr>
              <w:t>电力隧道管廊</w:t>
            </w:r>
            <w:r>
              <w:rPr>
                <w:lang w:bidi="ar"/>
              </w:rPr>
              <w:t>(</w:t>
            </w:r>
            <w:r>
              <w:rPr>
                <w:rFonts w:hint="eastAsia" w:cs="宋体"/>
                <w:lang w:bidi="ar"/>
              </w:rPr>
              <w:t>南侧</w:t>
            </w:r>
            <w:r>
              <w:rPr>
                <w:lang w:bidi="ar"/>
              </w:rPr>
              <w:t>)</w:t>
            </w:r>
            <w:r>
              <w:rPr>
                <w:rFonts w:hint="eastAsia" w:cs="宋体"/>
                <w:lang w:bidi="ar"/>
              </w:rPr>
              <w:t>边缘外</w:t>
            </w:r>
            <w:r>
              <w:rPr>
                <w:lang w:bidi="ar"/>
              </w:rPr>
              <w:t>5m</w:t>
            </w:r>
          </w:p>
        </w:tc>
        <w:tc>
          <w:tcPr>
            <w:tcW w:w="1134"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0.8</w:t>
            </w:r>
          </w:p>
        </w:tc>
        <w:tc>
          <w:tcPr>
            <w:tcW w:w="1191" w:type="pct"/>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lang w:bidi="ar"/>
              </w:rPr>
              <w:t>0.01</w:t>
            </w:r>
          </w:p>
        </w:tc>
      </w:tr>
    </w:tbl>
    <w:p>
      <w:pPr>
        <w:pStyle w:val="36"/>
        <w:wordWrap w:val="0"/>
        <w:spacing w:after="0" w:line="360" w:lineRule="auto"/>
        <w:ind w:left="0" w:leftChars="0" w:firstLine="480" w:firstLineChars="200"/>
      </w:pPr>
      <w:r>
        <w:t>（9）监测结果分析</w:t>
      </w:r>
    </w:p>
    <w:p>
      <w:pPr>
        <w:pStyle w:val="36"/>
        <w:wordWrap w:val="0"/>
        <w:spacing w:after="0" w:line="360" w:lineRule="auto"/>
        <w:ind w:left="0" w:leftChars="0" w:firstLine="480" w:firstLineChars="200"/>
      </w:pPr>
      <w:r>
        <w:t>由类比监测结果可以看出，本评价所选取的类比线路所有监测点处工频电场强度为0.7V/m</w:t>
      </w:r>
      <w:r>
        <w:rPr>
          <w:rFonts w:hint="eastAsia"/>
        </w:rPr>
        <w:t>-</w:t>
      </w:r>
      <w:r>
        <w:t>0.8V/m，工频磁感应强度为0.01μT</w:t>
      </w:r>
      <w:r>
        <w:rPr>
          <w:rFonts w:hint="eastAsia"/>
        </w:rPr>
        <w:t>-</w:t>
      </w:r>
      <w:r>
        <w:t>0.02μT，均小于4000V/m和100μT限值要求。</w:t>
      </w:r>
    </w:p>
    <w:p>
      <w:pPr>
        <w:pStyle w:val="36"/>
        <w:wordWrap w:val="0"/>
        <w:spacing w:after="0" w:line="360" w:lineRule="auto"/>
        <w:ind w:left="0" w:leftChars="0" w:firstLine="480" w:firstLineChars="200"/>
        <w:rPr>
          <w:sz w:val="21"/>
          <w:szCs w:val="21"/>
        </w:rPr>
      </w:pPr>
      <w:r>
        <w:t>综上所述，郑州220kV洞翰Ⅰ线、洞翰Ⅱ线、洞徐Ⅰ线、洞徐Ⅱ线电缆线路监测断面的工频电场、工频磁场均满足工频电场4000V/m、工频磁场100μT的评价标准限值要求。因此可以预测，本工程电缆线路建成投运后工频电场、工频磁场可以满足《电磁环境控制限值》（GB8702-2014）相关标准要求。</w:t>
      </w:r>
    </w:p>
    <w:bookmarkEnd w:id="776"/>
    <w:p>
      <w:pPr>
        <w:pStyle w:val="2"/>
        <w:numPr>
          <w:ilvl w:val="1"/>
          <w:numId w:val="21"/>
        </w:numPr>
        <w:spacing w:before="0" w:after="0" w:line="360" w:lineRule="auto"/>
        <w:rPr>
          <w:color w:val="000000" w:themeColor="text1"/>
          <w:sz w:val="28"/>
          <w14:textFill>
            <w14:solidFill>
              <w14:schemeClr w14:val="tx1"/>
            </w14:solidFill>
          </w14:textFill>
        </w:rPr>
      </w:pPr>
      <w:bookmarkStart w:id="787" w:name="_Toc429663111"/>
      <w:bookmarkStart w:id="788" w:name="_Toc24647696"/>
      <w:bookmarkStart w:id="789" w:name="_Toc383540737"/>
      <w:bookmarkStart w:id="790" w:name="_Toc19225"/>
      <w:r>
        <w:rPr>
          <w:rFonts w:hint="eastAsia" w:ascii="宋体" w:hAnsi="宋体" w:eastAsia="宋体" w:cs="宋体"/>
          <w:color w:val="000000" w:themeColor="text1"/>
          <w:sz w:val="28"/>
          <w14:textFill>
            <w14:solidFill>
              <w14:schemeClr w14:val="tx1"/>
            </w14:solidFill>
          </w14:textFill>
        </w:rPr>
        <w:t>输电线路电磁环境影响</w:t>
      </w:r>
      <w:bookmarkEnd w:id="787"/>
      <w:bookmarkEnd w:id="788"/>
      <w:bookmarkEnd w:id="789"/>
      <w:r>
        <w:rPr>
          <w:rFonts w:hint="eastAsia" w:ascii="宋体" w:hAnsi="宋体" w:eastAsia="宋体" w:cs="宋体"/>
          <w:color w:val="000000" w:themeColor="text1"/>
          <w:sz w:val="28"/>
          <w14:textFill>
            <w14:solidFill>
              <w14:schemeClr w14:val="tx1"/>
            </w14:solidFill>
          </w14:textFill>
        </w:rPr>
        <w:t>预测与评价</w:t>
      </w:r>
      <w:bookmarkEnd w:id="790"/>
    </w:p>
    <w:p>
      <w:pPr>
        <w:spacing w:line="360" w:lineRule="auto"/>
        <w:ind w:firstLine="482"/>
        <w:rPr>
          <w:rFonts w:cs="宋体"/>
          <w:color w:val="000000" w:themeColor="text1"/>
          <w:sz w:val="24"/>
          <w14:textFill>
            <w14:solidFill>
              <w14:schemeClr w14:val="tx1"/>
            </w14:solidFill>
          </w14:textFill>
        </w:rPr>
      </w:pPr>
      <w:bookmarkStart w:id="791" w:name="_Toc24647699"/>
      <w:bookmarkStart w:id="792" w:name="_Toc68794567"/>
      <w:bookmarkStart w:id="793" w:name="_Toc24647697"/>
      <w:bookmarkStart w:id="794" w:name="_Toc68794565"/>
      <w:bookmarkStart w:id="795" w:name="_Toc383540738"/>
      <w:r>
        <w:rPr>
          <w:rFonts w:hint="eastAsia" w:cs="宋体"/>
          <w:color w:val="000000" w:themeColor="text1"/>
          <w:sz w:val="24"/>
          <w14:textFill>
            <w14:solidFill>
              <w14:schemeClr w14:val="tx1"/>
            </w14:solidFill>
          </w14:textFill>
        </w:rPr>
        <w:t>本工程架空线路采用模式预测方法进行评价。</w:t>
      </w:r>
    </w:p>
    <w:bookmarkEnd w:id="791"/>
    <w:bookmarkEnd w:id="792"/>
    <w:p>
      <w:pPr>
        <w:pStyle w:val="2"/>
        <w:numPr>
          <w:ilvl w:val="2"/>
          <w:numId w:val="21"/>
        </w:numPr>
        <w:spacing w:before="0" w:after="0" w:line="360" w:lineRule="auto"/>
        <w:rPr>
          <w:rFonts w:cs="ˎ̥"/>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评价方法</w:t>
      </w:r>
    </w:p>
    <w:p>
      <w:pPr>
        <w:spacing w:line="360" w:lineRule="auto"/>
        <w:ind w:firstLine="48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本工程新建架空线路电磁环境影响采用模式预测的方法来分析与评价工程投运后产生的电磁环境影响。</w:t>
      </w:r>
    </w:p>
    <w:bookmarkEnd w:id="793"/>
    <w:bookmarkEnd w:id="794"/>
    <w:p>
      <w:pPr>
        <w:pStyle w:val="2"/>
        <w:numPr>
          <w:ilvl w:val="2"/>
          <w:numId w:val="21"/>
        </w:numPr>
        <w:spacing w:before="0" w:after="0" w:line="360" w:lineRule="auto"/>
        <w:rPr>
          <w:rFonts w:cs="ˎ̥"/>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预测模式</w:t>
      </w:r>
    </w:p>
    <w:bookmarkEnd w:id="795"/>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本工程输电线路的工频电场强度和工频磁感应强度影响预测根据《环境影响评价技术导则输变电》</w:t>
      </w:r>
      <w:r>
        <w:rPr>
          <w:color w:val="000000" w:themeColor="text1"/>
          <w14:textFill>
            <w14:solidFill>
              <w14:schemeClr w14:val="tx1"/>
            </w14:solidFill>
          </w14:textFill>
        </w:rPr>
        <w:t>(HJ24-2020)</w:t>
      </w:r>
      <w:r>
        <w:rPr>
          <w:rFonts w:hint="eastAsia"/>
          <w:color w:val="000000" w:themeColor="text1"/>
          <w14:textFill>
            <w14:solidFill>
              <w14:schemeClr w14:val="tx1"/>
            </w14:solidFill>
          </w14:textFill>
        </w:rPr>
        <w:t>附录</w:t>
      </w:r>
      <w:r>
        <w:rPr>
          <w:color w:val="000000" w:themeColor="text1"/>
          <w14:textFill>
            <w14:solidFill>
              <w14:schemeClr w14:val="tx1"/>
            </w14:solidFill>
          </w14:textFill>
        </w:rPr>
        <w:t>C</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D</w:t>
      </w:r>
      <w:r>
        <w:rPr>
          <w:rFonts w:hint="eastAsia"/>
          <w:color w:val="000000" w:themeColor="text1"/>
          <w14:textFill>
            <w14:solidFill>
              <w14:schemeClr w14:val="tx1"/>
            </w14:solidFill>
          </w14:textFill>
        </w:rPr>
        <w:t>推荐的计算模式进行。</w:t>
      </w:r>
    </w:p>
    <w:p>
      <w:pPr>
        <w:pStyle w:val="5"/>
        <w:ind w:firstLine="600" w:firstLineChars="2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）高压交流架空输电线路下空间工频电场强度的计算（附录</w:t>
      </w:r>
      <w:r>
        <w:rPr>
          <w:color w:val="000000" w:themeColor="text1"/>
          <w14:textFill>
            <w14:solidFill>
              <w14:schemeClr w14:val="tx1"/>
            </w14:solidFill>
          </w14:textFill>
        </w:rPr>
        <w:t>C</w:t>
      </w:r>
      <w:r>
        <w:rPr>
          <w:rFonts w:hint="eastAsia"/>
          <w:color w:val="000000" w:themeColor="text1"/>
          <w14:textFill>
            <w14:solidFill>
              <w14:schemeClr w14:val="tx1"/>
            </w14:solidFill>
          </w14:textFill>
        </w:rPr>
        <w:t>）</w:t>
      </w:r>
    </w:p>
    <w:p>
      <w:pPr>
        <w:pStyle w:val="5"/>
        <w:ind w:firstLine="600" w:firstLineChars="250"/>
        <w:jc w:val="left"/>
        <w:rPr>
          <w:color w:val="000000" w:themeColor="text1"/>
          <w14:textFill>
            <w14:solidFill>
              <w14:schemeClr w14:val="tx1"/>
            </w14:solidFill>
          </w14:textFill>
        </w:rPr>
      </w:pPr>
      <w:r>
        <w:rPr>
          <w:rFonts w:hint="eastAsia" w:cs="宋体"/>
          <w:color w:val="000000" w:themeColor="text1"/>
          <w:lang w:eastAsia="ja-JP"/>
          <w14:textFill>
            <w14:solidFill>
              <w14:schemeClr w14:val="tx1"/>
            </w14:solidFill>
          </w14:textFill>
        </w:rPr>
        <w:t>①</w:t>
      </w:r>
      <w:r>
        <w:rPr>
          <w:rFonts w:hint="eastAsia"/>
          <w:color w:val="000000" w:themeColor="text1"/>
          <w14:textFill>
            <w14:solidFill>
              <w14:schemeClr w14:val="tx1"/>
            </w14:solidFill>
          </w14:textFill>
        </w:rPr>
        <w:t>单位长度导线上等效电荷的计算</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高压送电线上的等效电荷是线电荷，由于高压送电线半径</w:t>
      </w:r>
      <w:r>
        <w:rPr>
          <w:i/>
          <w:color w:val="000000" w:themeColor="text1"/>
          <w14:textFill>
            <w14:solidFill>
              <w14:schemeClr w14:val="tx1"/>
            </w14:solidFill>
          </w14:textFill>
        </w:rPr>
        <w:t>r</w:t>
      </w:r>
      <w:r>
        <w:rPr>
          <w:rFonts w:hint="eastAsia"/>
          <w:color w:val="000000" w:themeColor="text1"/>
          <w14:textFill>
            <w14:solidFill>
              <w14:schemeClr w14:val="tx1"/>
            </w14:solidFill>
          </w14:textFill>
        </w:rPr>
        <w:t>远小于架设高度</w:t>
      </w:r>
      <w:r>
        <w:rPr>
          <w:i/>
          <w:color w:val="000000" w:themeColor="text1"/>
          <w14:textFill>
            <w14:solidFill>
              <w14:schemeClr w14:val="tx1"/>
            </w14:solidFill>
          </w14:textFill>
        </w:rPr>
        <w:t>h</w:t>
      </w:r>
      <w:r>
        <w:rPr>
          <w:rFonts w:hint="eastAsia"/>
          <w:color w:val="000000" w:themeColor="text1"/>
          <w14:textFill>
            <w14:solidFill>
              <w14:schemeClr w14:val="tx1"/>
            </w14:solidFill>
          </w14:textFill>
        </w:rPr>
        <w:t>，因此等效电荷的位置可以认为是在输电导线的几何中心。</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设输电线路为无限长并且平行于地面，地面可视为良导体，利用镜像法计算输电线上的等效电荷。</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多导线线路中导线上的等效电荷由下列矩阵方程计算：</w:t>
      </w:r>
    </w:p>
    <w:p>
      <w:pPr>
        <w:pStyle w:val="5"/>
        <w:ind w:firstLine="0" w:firstLineChars="0"/>
        <w:jc w:val="center"/>
        <w:rPr>
          <w:color w:val="000000" w:themeColor="text1"/>
          <w14:textFill>
            <w14:solidFill>
              <w14:schemeClr w14:val="tx1"/>
            </w14:solidFill>
          </w14:textFill>
        </w:rPr>
      </w:pPr>
      <w:r>
        <w:rPr>
          <w:color w:val="000000" w:themeColor="text1"/>
          <w:position w:val="-68"/>
          <w14:textFill>
            <w14:solidFill>
              <w14:schemeClr w14:val="tx1"/>
            </w14:solidFill>
          </w14:textFill>
        </w:rPr>
        <w:object>
          <v:shape id="_x0000_i1026" o:spt="75" type="#_x0000_t75" style="height:72pt;width:173.95pt;" o:ole="t" filled="f" o:preferrelative="t" stroked="f" coordsize="21600,21600">
            <v:path/>
            <v:fill on="f" focussize="0,0"/>
            <v:stroke on="f" joinstyle="miter"/>
            <v:imagedata r:id="rId36" o:title=""/>
            <o:lock v:ext="edit" aspectratio="t"/>
            <w10:wrap type="none"/>
            <w10:anchorlock/>
          </v:shape>
          <o:OLEObject Type="Embed" ProgID="Equation.DSMT4" ShapeID="_x0000_i1026" DrawAspect="Content" ObjectID="_1468075726" r:id="rId35">
            <o:LockedField>false</o:LockedField>
          </o:OLEObject>
        </w:object>
      </w:r>
    </w:p>
    <w:p>
      <w:pPr>
        <w:pStyle w:val="5"/>
        <w:ind w:firstLine="1200" w:firstLineChars="50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式中：</w:t>
      </w:r>
      <w:r>
        <w:rPr>
          <w:color w:val="000000" w:themeColor="text1"/>
          <w:position w:val="-6"/>
          <w14:textFill>
            <w14:solidFill>
              <w14:schemeClr w14:val="tx1"/>
            </w14:solidFill>
          </w14:textFill>
        </w:rPr>
        <w:object>
          <v:shape id="_x0000_i1027" o:spt="75" type="#_x0000_t75" style="height:14.95pt;width:14.95pt;" o:ole="t" filled="f" o:preferrelative="t" stroked="f" coordsize="21600,21600">
            <v:path/>
            <v:fill on="f" focussize="0,0"/>
            <v:stroke on="f" joinstyle="miter"/>
            <v:imagedata r:id="rId38" o:title=""/>
            <o:lock v:ext="edit" aspectratio="t"/>
            <w10:wrap type="none"/>
            <w10:anchorlock/>
          </v:shape>
          <o:OLEObject Type="Embed" ProgID="Equation.DSMT4" ShapeID="_x0000_i1027" DrawAspect="Content" ObjectID="_1468075727" r:id="rId37">
            <o:LockedField>false</o:LockedField>
          </o:OLEObject>
        </w:object>
      </w:r>
      <w:r>
        <w:rPr>
          <w:rFonts w:hint="eastAsia"/>
          <w:color w:val="000000" w:themeColor="text1"/>
          <w14:textFill>
            <w14:solidFill>
              <w14:schemeClr w14:val="tx1"/>
            </w14:solidFill>
          </w14:textFill>
        </w:rPr>
        <w:t>—各导线对地电压的单列矩阵；</w:t>
      </w:r>
    </w:p>
    <w:p>
      <w:pPr>
        <w:pStyle w:val="5"/>
        <w:ind w:firstLine="1200" w:firstLineChars="500"/>
        <w:jc w:val="left"/>
        <w:rPr>
          <w:color w:val="000000" w:themeColor="text1"/>
          <w14:textFill>
            <w14:solidFill>
              <w14:schemeClr w14:val="tx1"/>
            </w14:solidFill>
          </w14:textFill>
        </w:rPr>
      </w:pPr>
      <w:r>
        <w:rPr>
          <w:color w:val="000000" w:themeColor="text1"/>
          <w:position w:val="-10"/>
          <w14:textFill>
            <w14:solidFill>
              <w14:schemeClr w14:val="tx1"/>
            </w14:solidFill>
          </w14:textFill>
        </w:rPr>
        <w:object>
          <v:shape id="_x0000_i1028" o:spt="75" type="#_x0000_t75" style="height:14.95pt;width:14.95pt;" o:ole="t" filled="f" o:preferrelative="t" stroked="f" coordsize="21600,21600">
            <v:path/>
            <v:fill on="f" focussize="0,0"/>
            <v:stroke on="f" joinstyle="miter"/>
            <v:imagedata r:id="rId40" o:title=""/>
            <o:lock v:ext="edit" aspectratio="t"/>
            <w10:wrap type="none"/>
            <w10:anchorlock/>
          </v:shape>
          <o:OLEObject Type="Embed" ProgID="Equation.DSMT4" ShapeID="_x0000_i1028" DrawAspect="Content" ObjectID="_1468075728" r:id="rId39">
            <o:LockedField>false</o:LockedField>
          </o:OLEObject>
        </w:object>
      </w:r>
      <w:r>
        <w:rPr>
          <w:rFonts w:hint="eastAsia"/>
          <w:color w:val="000000" w:themeColor="text1"/>
          <w14:textFill>
            <w14:solidFill>
              <w14:schemeClr w14:val="tx1"/>
            </w14:solidFill>
          </w14:textFill>
        </w:rPr>
        <w:t>—各导线上等效电荷的单列矩阵；</w:t>
      </w:r>
    </w:p>
    <w:p>
      <w:pPr>
        <w:pStyle w:val="5"/>
        <w:ind w:firstLine="1200" w:firstLineChars="500"/>
        <w:jc w:val="left"/>
        <w:rPr>
          <w:color w:val="000000" w:themeColor="text1"/>
          <w14:textFill>
            <w14:solidFill>
              <w14:schemeClr w14:val="tx1"/>
            </w14:solidFill>
          </w14:textFill>
        </w:rPr>
      </w:pPr>
      <w:r>
        <w:rPr>
          <w:color w:val="000000" w:themeColor="text1"/>
          <w:position w:val="-6"/>
          <w14:textFill>
            <w14:solidFill>
              <w14:schemeClr w14:val="tx1"/>
            </w14:solidFill>
          </w14:textFill>
        </w:rPr>
        <w:object>
          <v:shape id="_x0000_i1029" o:spt="75" type="#_x0000_t75" style="height:14.95pt;width:14.95pt;" o:ole="t" filled="f" o:preferrelative="t" stroked="f" coordsize="21600,21600">
            <v:path/>
            <v:fill on="f" focussize="0,0"/>
            <v:stroke on="f" joinstyle="miter"/>
            <v:imagedata r:id="rId42" o:title=""/>
            <o:lock v:ext="edit" aspectratio="t"/>
            <w10:wrap type="none"/>
            <w10:anchorlock/>
          </v:shape>
          <o:OLEObject Type="Embed" ProgID="Equation.DSMT4" ShapeID="_x0000_i1029" DrawAspect="Content" ObjectID="_1468075729" r:id="rId41">
            <o:LockedField>false</o:LockedField>
          </o:OLEObject>
        </w:object>
      </w:r>
      <w:r>
        <w:rPr>
          <w:rFonts w:hint="eastAsia"/>
          <w:color w:val="000000" w:themeColor="text1"/>
          <w14:textFill>
            <w14:solidFill>
              <w14:schemeClr w14:val="tx1"/>
            </w14:solidFill>
          </w14:textFill>
        </w:rPr>
        <w:t>—各导线的电位系数组成的</w:t>
      </w:r>
      <w:r>
        <w:rPr>
          <w:color w:val="000000" w:themeColor="text1"/>
          <w:position w:val="-6"/>
          <w14:textFill>
            <w14:solidFill>
              <w14:schemeClr w14:val="tx1"/>
            </w14:solidFill>
          </w14:textFill>
        </w:rPr>
        <w:object>
          <v:shape id="_x0000_i1030" o:spt="75" type="#_x0000_t75" style="height:13.55pt;width:14.95pt;" o:ole="t" filled="f" o:preferrelative="t" stroked="f" coordsize="21600,21600">
            <v:path/>
            <v:fill on="f" focussize="0,0"/>
            <v:stroke on="f" joinstyle="miter"/>
            <v:imagedata r:id="rId44" o:title=""/>
            <o:lock v:ext="edit" aspectratio="t"/>
            <w10:wrap type="none"/>
            <w10:anchorlock/>
          </v:shape>
          <o:OLEObject Type="Embed" ProgID="Equation.DSMT4" ShapeID="_x0000_i1030" DrawAspect="Content" ObjectID="_1468075730" r:id="rId43">
            <o:LockedField>false</o:LockedField>
          </o:OLEObject>
        </w:object>
      </w:r>
      <w:r>
        <w:rPr>
          <w:rFonts w:hint="eastAsia"/>
          <w:color w:val="000000" w:themeColor="text1"/>
          <w14:textFill>
            <w14:solidFill>
              <w14:schemeClr w14:val="tx1"/>
            </w14:solidFill>
          </w14:textFill>
        </w:rPr>
        <w:t>阶方阵（</w:t>
      </w:r>
      <w:r>
        <w:rPr>
          <w:color w:val="000000" w:themeColor="text1"/>
          <w:position w:val="-6"/>
          <w14:textFill>
            <w14:solidFill>
              <w14:schemeClr w14:val="tx1"/>
            </w14:solidFill>
          </w14:textFill>
        </w:rPr>
        <w:object>
          <v:shape id="_x0000_i1031" o:spt="75" type="#_x0000_t75" style="height:13.55pt;width:14.95pt;" o:ole="t" filled="f" o:preferrelative="t" stroked="f" coordsize="21600,21600">
            <v:path/>
            <v:fill on="f" focussize="0,0"/>
            <v:stroke on="f" joinstyle="miter"/>
            <v:imagedata r:id="rId46" o:title=""/>
            <o:lock v:ext="edit" aspectratio="t"/>
            <w10:wrap type="none"/>
            <w10:anchorlock/>
          </v:shape>
          <o:OLEObject Type="Embed" ProgID="Equation.DSMT4" ShapeID="_x0000_i1031" DrawAspect="Content" ObjectID="_1468075731" r:id="rId45">
            <o:LockedField>false</o:LockedField>
          </o:OLEObject>
        </w:object>
      </w:r>
      <w:r>
        <w:rPr>
          <w:rFonts w:hint="eastAsia"/>
          <w:color w:val="000000" w:themeColor="text1"/>
          <w14:textFill>
            <w14:solidFill>
              <w14:schemeClr w14:val="tx1"/>
            </w14:solidFill>
          </w14:textFill>
        </w:rPr>
        <w:t>为导线数目）。</w:t>
      </w:r>
    </w:p>
    <w:p>
      <w:pPr>
        <w:pStyle w:val="5"/>
        <w:jc w:val="left"/>
        <w:rPr>
          <w:color w:val="000000" w:themeColor="text1"/>
          <w14:textFill>
            <w14:solidFill>
              <w14:schemeClr w14:val="tx1"/>
            </w14:solidFill>
          </w14:textFill>
        </w:rPr>
      </w:pPr>
      <w:r>
        <w:rPr>
          <w:color w:val="000000" w:themeColor="text1"/>
          <w:position w:val="-10"/>
          <w14:textFill>
            <w14:solidFill>
              <w14:schemeClr w14:val="tx1"/>
            </w14:solidFill>
          </w14:textFill>
        </w:rPr>
        <w:object>
          <v:shape id="_x0000_i1032" o:spt="75" type="#_x0000_t75" style="height:16.4pt;width:22.8pt;" o:ole="t" filled="f" o:preferrelative="t" stroked="f" coordsize="21600,21600">
            <v:path/>
            <v:fill on="f" focussize="0,0"/>
            <v:stroke on="f" joinstyle="miter"/>
            <v:imagedata r:id="rId48" o:title=""/>
            <o:lock v:ext="edit" aspectratio="t"/>
            <w10:wrap type="none"/>
            <w10:anchorlock/>
          </v:shape>
          <o:OLEObject Type="Embed" ProgID="Equation.DSMT4" ShapeID="_x0000_i1032" DrawAspect="Content" ObjectID="_1468075732" r:id="rId47">
            <o:LockedField>false</o:LockedField>
          </o:OLEObject>
        </w:object>
      </w:r>
      <w:r>
        <w:rPr>
          <w:rFonts w:hint="eastAsia"/>
          <w:color w:val="000000" w:themeColor="text1"/>
          <w14:textFill>
            <w14:solidFill>
              <w14:schemeClr w14:val="tx1"/>
            </w14:solidFill>
          </w14:textFill>
        </w:rPr>
        <w:t>矩阵可由输电线的电压和相位确定，从环境保护考虑以额定电压的</w:t>
      </w:r>
      <w:r>
        <w:rPr>
          <w:color w:val="000000" w:themeColor="text1"/>
          <w14:textFill>
            <w14:solidFill>
              <w14:schemeClr w14:val="tx1"/>
            </w14:solidFill>
          </w14:textFill>
        </w:rPr>
        <w:t>1.05</w:t>
      </w:r>
      <w:r>
        <w:rPr>
          <w:rFonts w:hint="eastAsia"/>
          <w:color w:val="000000" w:themeColor="text1"/>
          <w14:textFill>
            <w14:solidFill>
              <w14:schemeClr w14:val="tx1"/>
            </w14:solidFill>
          </w14:textFill>
        </w:rPr>
        <w:t>倍作为计算电压。</w:t>
      </w:r>
    </w:p>
    <w:p>
      <w:pPr>
        <w:pStyle w:val="5"/>
        <w:jc w:val="left"/>
        <w:rPr>
          <w:color w:val="000000" w:themeColor="text1"/>
          <w14:textFill>
            <w14:solidFill>
              <w14:schemeClr w14:val="tx1"/>
            </w14:solidFill>
          </w14:textFill>
        </w:rPr>
      </w:pPr>
      <w:r>
        <w:rPr>
          <w:color w:val="000000" w:themeColor="text1"/>
          <w:position w:val="-10"/>
          <w14:textFill>
            <w14:solidFill>
              <w14:schemeClr w14:val="tx1"/>
            </w14:solidFill>
          </w14:textFill>
        </w:rPr>
        <w:object>
          <v:shape id="_x0000_i1033" o:spt="75" type="#_x0000_t75" style="height:16.4pt;width:20.65pt;" o:ole="t" filled="f" o:preferrelative="t" stroked="f" coordsize="21600,21600">
            <v:path/>
            <v:fill on="f" focussize="0,0"/>
            <v:stroke on="f" joinstyle="miter"/>
            <v:imagedata r:id="rId50" o:title=""/>
            <o:lock v:ext="edit" aspectratio="t"/>
            <w10:wrap type="none"/>
            <w10:anchorlock/>
          </v:shape>
          <o:OLEObject Type="Embed" ProgID="Equation.DSMT4" ShapeID="_x0000_i1033" DrawAspect="Content" ObjectID="_1468075733" r:id="rId49">
            <o:LockedField>false</o:LockedField>
          </o:OLEObject>
        </w:object>
      </w:r>
      <w:r>
        <w:rPr>
          <w:rFonts w:hint="eastAsia"/>
          <w:color w:val="000000" w:themeColor="text1"/>
          <w14:textFill>
            <w14:solidFill>
              <w14:schemeClr w14:val="tx1"/>
            </w14:solidFill>
          </w14:textFill>
        </w:rPr>
        <w:t>矩阵由镜像原理求得。地面为电位等于零的平面，地面的感应电荷可由对应地面导线的镜像电荷代替，用</w:t>
      </w:r>
      <w:r>
        <w:rPr>
          <w:i/>
          <w:color w:val="000000" w:themeColor="text1"/>
          <w14:textFill>
            <w14:solidFill>
              <w14:schemeClr w14:val="tx1"/>
            </w14:solidFill>
          </w14:textFill>
        </w:rPr>
        <w:t>i</w:t>
      </w:r>
      <w:r>
        <w:rPr>
          <w:color w:val="000000" w:themeColor="text1"/>
          <w14:textFill>
            <w14:solidFill>
              <w14:schemeClr w14:val="tx1"/>
            </w14:solidFill>
          </w14:textFill>
        </w:rPr>
        <w:t>,</w:t>
      </w:r>
      <w:r>
        <w:rPr>
          <w:i/>
          <w:color w:val="000000" w:themeColor="text1"/>
          <w14:textFill>
            <w14:solidFill>
              <w14:schemeClr w14:val="tx1"/>
            </w14:solidFill>
          </w14:textFill>
        </w:rPr>
        <w:t>j</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表示相互平行的实际导线，用</w:t>
      </w:r>
      <w:r>
        <w:rPr>
          <w:i/>
          <w:color w:val="000000" w:themeColor="text1"/>
          <w14:textFill>
            <w14:solidFill>
              <w14:schemeClr w14:val="tx1"/>
            </w14:solidFill>
          </w14:textFill>
        </w:rPr>
        <w:t>i</w:t>
      </w:r>
      <w:r>
        <w:rPr>
          <w:rFonts w:hint="eastAsia"/>
          <w:color w:val="000000" w:themeColor="text1"/>
          <w14:textFill>
            <w14:solidFill>
              <w14:schemeClr w14:val="tx1"/>
            </w14:solidFill>
          </w14:textFill>
        </w:rPr>
        <w:t>′,j′</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表示它们的镜像，电位系数可写为：</w:t>
      </w:r>
    </w:p>
    <w:p>
      <w:pPr>
        <w:pStyle w:val="5"/>
        <w:ind w:firstLine="0" w:firstLineChars="0"/>
        <w:jc w:val="center"/>
        <w:rPr>
          <w:color w:val="000000" w:themeColor="text1"/>
          <w14:textFill>
            <w14:solidFill>
              <w14:schemeClr w14:val="tx1"/>
            </w14:solidFill>
          </w14:textFill>
        </w:rPr>
      </w:pPr>
      <w:r>
        <w:rPr>
          <w:color w:val="000000" w:themeColor="text1"/>
          <w:position w:val="-30"/>
          <w14:textFill>
            <w14:solidFill>
              <w14:schemeClr w14:val="tx1"/>
            </w14:solidFill>
          </w14:textFill>
        </w:rPr>
        <w:object>
          <v:shape id="_x0000_i1034" o:spt="75" type="#_x0000_t75" style="height:28.5pt;width:79.15pt;" o:ole="t" filled="f" o:preferrelative="t" stroked="f" coordsize="21600,21600">
            <v:path/>
            <v:fill on="f" focussize="0,0"/>
            <v:stroke on="f" joinstyle="miter"/>
            <v:imagedata r:id="rId52" o:title=""/>
            <o:lock v:ext="edit" aspectratio="t"/>
            <w10:wrap type="none"/>
            <w10:anchorlock/>
          </v:shape>
          <o:OLEObject Type="Embed" ProgID="Equation.DSMT4" ShapeID="_x0000_i1034" DrawAspect="Content" ObjectID="_1468075734" r:id="rId51">
            <o:LockedField>false</o:LockedField>
          </o:OLEObject>
        </w:objec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式中：</w:t>
      </w:r>
      <w:r>
        <w:rPr>
          <w:color w:val="000000" w:themeColor="text1"/>
          <w:position w:val="-12"/>
          <w14:textFill>
            <w14:solidFill>
              <w14:schemeClr w14:val="tx1"/>
            </w14:solidFill>
          </w14:textFill>
        </w:rPr>
        <w:object>
          <v:shape id="_x0000_i1035" o:spt="75" type="#_x0000_t75" style="height:19.25pt;width:14.95pt;" o:ole="t" filled="f" o:preferrelative="t" stroked="f" coordsize="21600,21600">
            <v:path/>
            <v:fill on="f" focussize="0,0"/>
            <v:stroke on="f" joinstyle="miter"/>
            <v:imagedata r:id="rId54" o:title=""/>
            <o:lock v:ext="edit" aspectratio="t"/>
            <w10:wrap type="none"/>
            <w10:anchorlock/>
          </v:shape>
          <o:OLEObject Type="Embed" ProgID="Equation.DSMT4" ShapeID="_x0000_i1035" DrawAspect="Content" ObjectID="_1468075735" r:id="rId53">
            <o:LockedField>false</o:LockedField>
          </o:OLEObject>
        </w:object>
      </w:r>
      <w:r>
        <w:rPr>
          <w:rFonts w:hint="eastAsia"/>
          <w:color w:val="000000" w:themeColor="text1"/>
          <w14:textFill>
            <w14:solidFill>
              <w14:schemeClr w14:val="tx1"/>
            </w14:solidFill>
          </w14:textFill>
        </w:rPr>
        <w:t>—真空介电常数，</w:t>
      </w:r>
      <w:r>
        <w:rPr>
          <w:color w:val="000000" w:themeColor="text1"/>
          <w:position w:val="-24"/>
          <w14:textFill>
            <w14:solidFill>
              <w14:schemeClr w14:val="tx1"/>
            </w14:solidFill>
          </w14:textFill>
        </w:rPr>
        <w:object>
          <v:shape id="_x0000_i1036" o:spt="75" type="#_x0000_t75" style="height:28.5pt;width:101.95pt;" o:ole="t" filled="f" o:preferrelative="t" stroked="f" coordsize="21600,21600">
            <v:path/>
            <v:fill on="f" focussize="0,0"/>
            <v:stroke on="f" joinstyle="miter"/>
            <v:imagedata r:id="rId56" o:title=""/>
            <o:lock v:ext="edit" aspectratio="t"/>
            <w10:wrap type="none"/>
            <w10:anchorlock/>
          </v:shape>
          <o:OLEObject Type="Embed" ProgID="Equation.DSMT4" ShapeID="_x0000_i1036" DrawAspect="Content" ObjectID="_1468075736" r:id="rId55">
            <o:LockedField>false</o:LockedField>
          </o:OLEObject>
        </w:object>
      </w:r>
      <w:r>
        <w:rPr>
          <w:rFonts w:hint="eastAsia"/>
          <w:color w:val="000000" w:themeColor="text1"/>
          <w14:textFill>
            <w14:solidFill>
              <w14:schemeClr w14:val="tx1"/>
            </w14:solidFill>
          </w14:textFill>
        </w:rPr>
        <w:t>；</w:t>
      </w:r>
    </w:p>
    <w:p>
      <w:pPr>
        <w:pStyle w:val="5"/>
        <w:ind w:firstLine="1200" w:firstLineChars="500"/>
        <w:jc w:val="left"/>
        <w:rPr>
          <w:color w:val="000000" w:themeColor="text1"/>
          <w14:textFill>
            <w14:solidFill>
              <w14:schemeClr w14:val="tx1"/>
            </w14:solidFill>
          </w14:textFill>
        </w:rPr>
      </w:pPr>
      <w:r>
        <w:rPr>
          <w:color w:val="000000" w:themeColor="text1"/>
          <w:position w:val="-12"/>
          <w14:textFill>
            <w14:solidFill>
              <w14:schemeClr w14:val="tx1"/>
            </w14:solidFill>
          </w14:textFill>
        </w:rPr>
        <w:object>
          <v:shape id="_x0000_i1037" o:spt="75" type="#_x0000_t75" style="height:19.25pt;width:14.95pt;" o:ole="t" filled="f" o:preferrelative="t" stroked="f" coordsize="21600,21600">
            <v:path/>
            <v:fill on="f" focussize="0,0"/>
            <v:stroke on="f" joinstyle="miter"/>
            <v:imagedata r:id="rId58" o:title=""/>
            <o:lock v:ext="edit" aspectratio="t"/>
            <w10:wrap type="none"/>
            <w10:anchorlock/>
          </v:shape>
          <o:OLEObject Type="Embed" ProgID="Equation.DSMT4" ShapeID="_x0000_i1037" DrawAspect="Content" ObjectID="_1468075737" r:id="rId57">
            <o:LockedField>false</o:LockedField>
          </o:OLEObject>
        </w:object>
      </w:r>
      <w:r>
        <w:rPr>
          <w:rFonts w:hint="eastAsia"/>
          <w:color w:val="000000" w:themeColor="text1"/>
          <w14:textFill>
            <w14:solidFill>
              <w14:schemeClr w14:val="tx1"/>
            </w14:solidFill>
          </w14:textFill>
        </w:rPr>
        <w:t>—输电导线半径，对于分裂导线可用等效单根导线半径代入，</w:t>
      </w:r>
      <w:r>
        <w:rPr>
          <w:color w:val="000000" w:themeColor="text1"/>
          <w:position w:val="-12"/>
          <w14:textFill>
            <w14:solidFill>
              <w14:schemeClr w14:val="tx1"/>
            </w14:solidFill>
          </w14:textFill>
        </w:rPr>
        <w:object>
          <v:shape id="_x0000_i1038" o:spt="75" type="#_x0000_t75" style="height:19.25pt;width:14.95pt;" o:ole="t" filled="f" o:preferrelative="t" stroked="f" coordsize="21600,21600">
            <v:path/>
            <v:fill on="f" focussize="0,0"/>
            <v:stroke on="f" joinstyle="miter"/>
            <v:imagedata r:id="rId60" o:title=""/>
            <o:lock v:ext="edit" aspectratio="t"/>
            <w10:wrap type="none"/>
            <w10:anchorlock/>
          </v:shape>
          <o:OLEObject Type="Embed" ProgID="Equation.DSMT4" ShapeID="_x0000_i1038" DrawAspect="Content" ObjectID="_1468075738" r:id="rId59">
            <o:LockedField>false</o:LockedField>
          </o:OLEObject>
        </w:object>
      </w:r>
      <w:r>
        <w:rPr>
          <w:rFonts w:hint="eastAsia"/>
          <w:color w:val="000000" w:themeColor="text1"/>
          <w14:textFill>
            <w14:solidFill>
              <w14:schemeClr w14:val="tx1"/>
            </w14:solidFill>
          </w14:textFill>
        </w:rPr>
        <w:t>的计算式为：</w:t>
      </w:r>
    </w:p>
    <w:p>
      <w:pPr>
        <w:pStyle w:val="5"/>
        <w:ind w:firstLine="0" w:firstLineChars="0"/>
        <w:jc w:val="center"/>
        <w:rPr>
          <w:color w:val="000000" w:themeColor="text1"/>
          <w14:textFill>
            <w14:solidFill>
              <w14:schemeClr w14:val="tx1"/>
            </w14:solidFill>
          </w14:textFill>
        </w:rPr>
      </w:pPr>
      <w:r>
        <w:rPr>
          <w:color w:val="000000" w:themeColor="text1"/>
          <w:position w:val="-26"/>
          <w14:textFill>
            <w14:solidFill>
              <w14:schemeClr w14:val="tx1"/>
            </w14:solidFill>
          </w14:textFill>
        </w:rPr>
        <w:object>
          <v:shape id="_x0000_i1039" o:spt="75" type="#_x0000_t75" style="height:37.05pt;width:63.45pt;" o:ole="t" filled="f" o:preferrelative="t" stroked="f" coordsize="21600,21600">
            <v:path/>
            <v:fill on="f" focussize="0,0"/>
            <v:stroke on="f" joinstyle="miter"/>
            <v:imagedata r:id="rId62" o:title=""/>
            <o:lock v:ext="edit" aspectratio="t"/>
            <w10:wrap type="none"/>
            <w10:anchorlock/>
          </v:shape>
          <o:OLEObject Type="Embed" ProgID="Equation.DSMT4" ShapeID="_x0000_i1039" DrawAspect="Content" ObjectID="_1468075739" r:id="rId61">
            <o:LockedField>false</o:LockedField>
          </o:OLEObject>
        </w:objec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式中：</w:t>
      </w:r>
      <w:r>
        <w:rPr>
          <w:color w:val="000000" w:themeColor="text1"/>
          <w:position w:val="-4"/>
          <w14:textFill>
            <w14:solidFill>
              <w14:schemeClr w14:val="tx1"/>
            </w14:solidFill>
          </w14:textFill>
        </w:rPr>
        <w:object>
          <v:shape id="_x0000_i1040" o:spt="75" type="#_x0000_t75" style="height:14.95pt;width:11.4pt;" o:ole="t" filled="f" o:preferrelative="t" stroked="f" coordsize="21600,21600">
            <v:path/>
            <v:fill on="f" focussize="0,0"/>
            <v:stroke on="f" joinstyle="miter"/>
            <v:imagedata r:id="rId64" o:title=""/>
            <o:lock v:ext="edit" aspectratio="t"/>
            <w10:wrap type="none"/>
            <w10:anchorlock/>
          </v:shape>
          <o:OLEObject Type="Embed" ProgID="Equation.DSMT4" ShapeID="_x0000_i1040" DrawAspect="Content" ObjectID="_1468075740" r:id="rId63">
            <o:LockedField>false</o:LockedField>
          </o:OLEObject>
        </w:object>
      </w:r>
      <w:r>
        <w:rPr>
          <w:rFonts w:hint="eastAsia"/>
          <w:color w:val="000000" w:themeColor="text1"/>
          <w14:textFill>
            <w14:solidFill>
              <w14:schemeClr w14:val="tx1"/>
            </w14:solidFill>
          </w14:textFill>
        </w:rPr>
        <w:t>—分裂导线半径，</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w:t>
      </w:r>
    </w:p>
    <w:p>
      <w:pPr>
        <w:pStyle w:val="5"/>
        <w:ind w:firstLine="1200" w:firstLineChars="500"/>
        <w:jc w:val="left"/>
        <w:rPr>
          <w:color w:val="000000" w:themeColor="text1"/>
          <w14:textFill>
            <w14:solidFill>
              <w14:schemeClr w14:val="tx1"/>
            </w14:solidFill>
          </w14:textFill>
        </w:rPr>
      </w:pPr>
      <w:r>
        <w:rPr>
          <w:color w:val="000000" w:themeColor="text1"/>
          <w:position w:val="-6"/>
          <w14:textFill>
            <w14:solidFill>
              <w14:schemeClr w14:val="tx1"/>
            </w14:solidFill>
          </w14:textFill>
        </w:rPr>
        <w:object>
          <v:shape id="_x0000_i1041" o:spt="75" type="#_x0000_t75" style="height:11.4pt;width:11.4pt;" o:ole="t" filled="f" o:preferrelative="t" stroked="f" coordsize="21600,21600">
            <v:path/>
            <v:fill on="f" focussize="0,0"/>
            <v:stroke on="f" joinstyle="miter"/>
            <v:imagedata r:id="rId66" o:title=""/>
            <o:lock v:ext="edit" aspectratio="t"/>
            <w10:wrap type="none"/>
            <w10:anchorlock/>
          </v:shape>
          <o:OLEObject Type="Embed" ProgID="Equation.DSMT4" ShapeID="_x0000_i1041" DrawAspect="Content" ObjectID="_1468075741" r:id="rId65">
            <o:LockedField>false</o:LockedField>
          </o:OLEObject>
        </w:object>
      </w:r>
      <w:r>
        <w:rPr>
          <w:rFonts w:hint="eastAsia"/>
          <w:color w:val="000000" w:themeColor="text1"/>
          <w14:textFill>
            <w14:solidFill>
              <w14:schemeClr w14:val="tx1"/>
            </w14:solidFill>
          </w14:textFill>
        </w:rPr>
        <w:t>—次导线根数；</w:t>
      </w:r>
    </w:p>
    <w:p>
      <w:pPr>
        <w:pStyle w:val="5"/>
        <w:ind w:firstLine="1200" w:firstLineChars="500"/>
        <w:jc w:val="left"/>
        <w:rPr>
          <w:color w:val="000000" w:themeColor="text1"/>
          <w14:textFill>
            <w14:solidFill>
              <w14:schemeClr w14:val="tx1"/>
            </w14:solidFill>
          </w14:textFill>
        </w:rPr>
      </w:pPr>
      <w:r>
        <w:rPr>
          <w:color w:val="000000" w:themeColor="text1"/>
          <w:position w:val="-4"/>
          <w14:textFill>
            <w14:solidFill>
              <w14:schemeClr w14:val="tx1"/>
            </w14:solidFill>
          </w14:textFill>
        </w:rPr>
        <w:object>
          <v:shape id="_x0000_i1042" o:spt="75" type="#_x0000_t75" style="height:11.4pt;width:7.15pt;" o:ole="t" filled="f" o:preferrelative="t" stroked="f" coordsize="21600,21600">
            <v:path/>
            <v:fill on="f" focussize="0,0"/>
            <v:stroke on="f" joinstyle="miter"/>
            <v:imagedata r:id="rId68" o:title=""/>
            <o:lock v:ext="edit" aspectratio="t"/>
            <w10:wrap type="none"/>
            <w10:anchorlock/>
          </v:shape>
          <o:OLEObject Type="Embed" ProgID="Equation.DSMT4" ShapeID="_x0000_i1042" DrawAspect="Content" ObjectID="_1468075742" r:id="rId67">
            <o:LockedField>false</o:LockedField>
          </o:OLEObject>
        </w:object>
      </w:r>
      <w:r>
        <w:rPr>
          <w:rFonts w:hint="eastAsia"/>
          <w:color w:val="000000" w:themeColor="text1"/>
          <w14:textFill>
            <w14:solidFill>
              <w14:schemeClr w14:val="tx1"/>
            </w14:solidFill>
          </w14:textFill>
        </w:rPr>
        <w:t>—次导线半径，</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由</w:t>
      </w:r>
      <w:r>
        <w:rPr>
          <w:color w:val="000000" w:themeColor="text1"/>
          <w:position w:val="-10"/>
          <w14:textFill>
            <w14:solidFill>
              <w14:schemeClr w14:val="tx1"/>
            </w14:solidFill>
          </w14:textFill>
        </w:rPr>
        <w:object>
          <v:shape id="_x0000_i1043" o:spt="75" type="#_x0000_t75" style="height:16.4pt;width:22.8pt;" o:ole="t" filled="f" o:preferrelative="t" stroked="f" coordsize="21600,21600">
            <v:path/>
            <v:fill on="f" focussize="0,0"/>
            <v:stroke on="f" joinstyle="miter"/>
            <v:imagedata r:id="rId48" o:title=""/>
            <o:lock v:ext="edit" aspectratio="t"/>
            <w10:wrap type="none"/>
            <w10:anchorlock/>
          </v:shape>
          <o:OLEObject Type="Embed" ProgID="Equation.DSMT4" ShapeID="_x0000_i1043" DrawAspect="Content" ObjectID="_1468075743" r:id="rId69">
            <o:LockedField>false</o:LockedField>
          </o:OLEObject>
        </w:object>
      </w:r>
      <w:r>
        <w:rPr>
          <w:rFonts w:hint="eastAsia"/>
          <w:color w:val="000000" w:themeColor="text1"/>
          <w14:textFill>
            <w14:solidFill>
              <w14:schemeClr w14:val="tx1"/>
            </w14:solidFill>
          </w14:textFill>
        </w:rPr>
        <w:t>矩阵和</w:t>
      </w:r>
      <w:r>
        <w:rPr>
          <w:color w:val="000000" w:themeColor="text1"/>
          <w:position w:val="-10"/>
          <w14:textFill>
            <w14:solidFill>
              <w14:schemeClr w14:val="tx1"/>
            </w14:solidFill>
          </w14:textFill>
        </w:rPr>
        <w:object>
          <v:shape id="_x0000_i1044" o:spt="75" type="#_x0000_t75" style="height:16.4pt;width:19.25pt;" o:ole="t" filled="f" o:preferrelative="t" stroked="f" coordsize="21600,21600">
            <v:path/>
            <v:fill on="f" focussize="0,0"/>
            <v:stroke on="f" joinstyle="miter"/>
            <v:imagedata r:id="rId50" o:title=""/>
            <o:lock v:ext="edit" aspectratio="t"/>
            <w10:wrap type="none"/>
            <w10:anchorlock/>
          </v:shape>
          <o:OLEObject Type="Embed" ProgID="Equation.DSMT4" ShapeID="_x0000_i1044" DrawAspect="Content" ObjectID="_1468075744" r:id="rId70">
            <o:LockedField>false</o:LockedField>
          </o:OLEObject>
        </w:object>
      </w:r>
      <w:r>
        <w:rPr>
          <w:rFonts w:hint="eastAsia"/>
          <w:color w:val="000000" w:themeColor="text1"/>
          <w14:textFill>
            <w14:solidFill>
              <w14:schemeClr w14:val="tx1"/>
            </w14:solidFill>
          </w14:textFill>
        </w:rPr>
        <w:t>矩阵，可解出</w:t>
      </w:r>
      <w:r>
        <w:rPr>
          <w:color w:val="000000" w:themeColor="text1"/>
          <w:position w:val="-10"/>
          <w14:textFill>
            <w14:solidFill>
              <w14:schemeClr w14:val="tx1"/>
            </w14:solidFill>
          </w14:textFill>
        </w:rPr>
        <w:object>
          <v:shape id="_x0000_i1045" o:spt="75" type="#_x0000_t75" style="height:16.4pt;width:19.25pt;" o:ole="t" filled="f" o:preferrelative="t" stroked="f" coordsize="21600,21600">
            <v:path/>
            <v:fill on="f" focussize="0,0"/>
            <v:stroke on="f" joinstyle="miter"/>
            <v:imagedata r:id="rId72" o:title=""/>
            <o:lock v:ext="edit" aspectratio="t"/>
            <w10:wrap type="none"/>
            <w10:anchorlock/>
          </v:shape>
          <o:OLEObject Type="Embed" ProgID="Equation.DSMT4" ShapeID="_x0000_i1045" DrawAspect="Content" ObjectID="_1468075745" r:id="rId71">
            <o:LockedField>false</o:LockedField>
          </o:OLEObject>
        </w:object>
      </w:r>
      <w:r>
        <w:rPr>
          <w:rFonts w:hint="eastAsia"/>
          <w:color w:val="000000" w:themeColor="text1"/>
          <w14:textFill>
            <w14:solidFill>
              <w14:schemeClr w14:val="tx1"/>
            </w14:solidFill>
          </w14:textFill>
        </w:rPr>
        <w:t>矩阵。</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对于三相交流线路，由于电压为时间向量，计算各相导线的电压时要用复数表示：</w:t>
      </w:r>
    </w:p>
    <w:p>
      <w:pPr>
        <w:pStyle w:val="5"/>
        <w:ind w:firstLine="0" w:firstLineChars="0"/>
        <w:jc w:val="center"/>
        <w:rPr>
          <w:color w:val="000000" w:themeColor="text1"/>
          <w14:textFill>
            <w14:solidFill>
              <w14:schemeClr w14:val="tx1"/>
            </w14:solidFill>
          </w14:textFill>
        </w:rPr>
      </w:pPr>
      <w:r>
        <w:rPr>
          <w:color w:val="000000" w:themeColor="text1"/>
          <w:position w:val="-12"/>
          <w14:textFill>
            <w14:solidFill>
              <w14:schemeClr w14:val="tx1"/>
            </w14:solidFill>
          </w14:textFill>
        </w:rPr>
        <w:object>
          <v:shape id="_x0000_i1046" o:spt="75" type="#_x0000_t75" style="height:19.25pt;width:72pt;" o:ole="t" filled="f" o:preferrelative="t" stroked="f" coordsize="21600,21600">
            <v:path/>
            <v:fill on="f" focussize="0,0"/>
            <v:stroke on="f" joinstyle="miter"/>
            <v:imagedata r:id="rId74" o:title=""/>
            <o:lock v:ext="edit" aspectratio="t"/>
            <w10:wrap type="none"/>
            <w10:anchorlock/>
          </v:shape>
          <o:OLEObject Type="Embed" ProgID="Equation.DSMT4" ShapeID="_x0000_i1046" DrawAspect="Content" ObjectID="_1468075746" r:id="rId73">
            <o:LockedField>false</o:LockedField>
          </o:OLEObject>
        </w:objec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相应地电荷也是复数量：</w:t>
      </w:r>
    </w:p>
    <w:p>
      <w:pPr>
        <w:pStyle w:val="5"/>
        <w:ind w:firstLine="0" w:firstLineChars="0"/>
        <w:jc w:val="center"/>
        <w:rPr>
          <w:color w:val="000000" w:themeColor="text1"/>
          <w14:textFill>
            <w14:solidFill>
              <w14:schemeClr w14:val="tx1"/>
            </w14:solidFill>
          </w14:textFill>
        </w:rPr>
      </w:pPr>
      <w:r>
        <w:rPr>
          <w:color w:val="000000" w:themeColor="text1"/>
          <w:position w:val="-12"/>
          <w14:textFill>
            <w14:solidFill>
              <w14:schemeClr w14:val="tx1"/>
            </w14:solidFill>
          </w14:textFill>
        </w:rPr>
        <w:object>
          <v:shape id="_x0000_i1047" o:spt="75" type="#_x0000_t75" style="height:20.65pt;width:72pt;" o:ole="t" filled="f" o:preferrelative="t" stroked="f" coordsize="21600,21600">
            <v:path/>
            <v:fill on="f" focussize="0,0"/>
            <v:stroke on="f" joinstyle="miter"/>
            <v:imagedata r:id="rId76" o:title=""/>
            <o:lock v:ext="edit" aspectratio="t"/>
            <w10:wrap type="none"/>
            <w10:anchorlock/>
          </v:shape>
          <o:OLEObject Type="Embed" ProgID="Equation.DSMT4" ShapeID="_x0000_i1047" DrawAspect="Content" ObjectID="_1468075747" r:id="rId75">
            <o:LockedField>false</o:LockedField>
          </o:OLEObject>
        </w:objec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式（</w:t>
      </w:r>
      <w:r>
        <w:rPr>
          <w:color w:val="000000" w:themeColor="text1"/>
          <w14:textFill>
            <w14:solidFill>
              <w14:schemeClr w14:val="tx1"/>
            </w14:solidFill>
          </w14:textFill>
        </w:rPr>
        <w:t>B1</w:t>
      </w:r>
      <w:r>
        <w:rPr>
          <w:rFonts w:hint="eastAsia"/>
          <w:color w:val="000000" w:themeColor="text1"/>
          <w14:textFill>
            <w14:solidFill>
              <w14:schemeClr w14:val="tx1"/>
            </w14:solidFill>
          </w14:textFill>
        </w:rPr>
        <w:t>）矩阵关系即分别表示了复数量的实数和虚数两部分：</w:t>
      </w:r>
    </w:p>
    <w:p>
      <w:pPr>
        <w:pStyle w:val="5"/>
        <w:ind w:firstLine="0" w:firstLineChars="0"/>
        <w:jc w:val="center"/>
        <w:rPr>
          <w:color w:val="000000" w:themeColor="text1"/>
          <w14:textFill>
            <w14:solidFill>
              <w14:schemeClr w14:val="tx1"/>
            </w14:solidFill>
          </w14:textFill>
        </w:rPr>
      </w:pPr>
      <w:r>
        <w:rPr>
          <w:color w:val="000000" w:themeColor="text1"/>
          <w:position w:val="-12"/>
          <w14:textFill>
            <w14:solidFill>
              <w14:schemeClr w14:val="tx1"/>
            </w14:solidFill>
          </w14:textFill>
        </w:rPr>
        <w:object>
          <v:shape id="_x0000_i1048" o:spt="75" type="#_x0000_t75" style="height:19.25pt;width:73.45pt;" o:ole="t" filled="f" o:preferrelative="t" stroked="f" coordsize="21600,21600">
            <v:path/>
            <v:fill on="f" focussize="0,0"/>
            <v:stroke on="f" joinstyle="miter"/>
            <v:imagedata r:id="rId78" o:title=""/>
            <o:lock v:ext="edit" aspectratio="t"/>
            <w10:wrap type="none"/>
            <w10:anchorlock/>
          </v:shape>
          <o:OLEObject Type="Embed" ProgID="Equation.DSMT4" ShapeID="_x0000_i1048" DrawAspect="Content" ObjectID="_1468075748" r:id="rId77">
            <o:LockedField>false</o:LockedField>
          </o:OLEObject>
        </w:object>
      </w:r>
    </w:p>
    <w:p>
      <w:pPr>
        <w:pStyle w:val="5"/>
        <w:ind w:firstLine="0" w:firstLineChars="0"/>
        <w:jc w:val="center"/>
        <w:rPr>
          <w:color w:val="000000" w:themeColor="text1"/>
          <w14:textFill>
            <w14:solidFill>
              <w14:schemeClr w14:val="tx1"/>
            </w14:solidFill>
          </w14:textFill>
        </w:rPr>
      </w:pPr>
      <w:r>
        <w:rPr>
          <w:color w:val="000000" w:themeColor="text1"/>
          <w:position w:val="-12"/>
          <w14:textFill>
            <w14:solidFill>
              <w14:schemeClr w14:val="tx1"/>
            </w14:solidFill>
          </w14:textFill>
        </w:rPr>
        <w:object>
          <v:shape id="_x0000_i1049" o:spt="75" type="#_x0000_t75" style="height:19.25pt;width:66.3pt;" o:ole="t" filled="f" o:preferrelative="t" stroked="f" coordsize="21600,21600">
            <v:path/>
            <v:fill on="f" focussize="0,0"/>
            <v:stroke on="f" joinstyle="miter"/>
            <v:imagedata r:id="rId80" o:title=""/>
            <o:lock v:ext="edit" aspectratio="t"/>
            <w10:wrap type="none"/>
            <w10:anchorlock/>
          </v:shape>
          <o:OLEObject Type="Embed" ProgID="Equation.DSMT4" ShapeID="_x0000_i1049" DrawAspect="Content" ObjectID="_1468075749" r:id="rId79">
            <o:LockedField>false</o:LockedField>
          </o:OLEObject>
        </w:objec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②计算由等效电荷产生的电场</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为计算地面电场强度的最大值，通常取最大弧垂时导线的最小对地高度。</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当各导线单位长度的等效电荷量求出后，空间任意一点的电场强度可根据叠加原理计算得出，在（</w:t>
      </w:r>
      <w:r>
        <w:rPr>
          <w:i/>
          <w:color w:val="000000" w:themeColor="text1"/>
          <w14:textFill>
            <w14:solidFill>
              <w14:schemeClr w14:val="tx1"/>
            </w14:solidFill>
          </w14:textFill>
        </w:rPr>
        <w:t>x</w:t>
      </w:r>
      <w:r>
        <w:rPr>
          <w:rFonts w:hint="eastAsia"/>
          <w:color w:val="000000" w:themeColor="text1"/>
          <w14:textFill>
            <w14:solidFill>
              <w14:schemeClr w14:val="tx1"/>
            </w14:solidFill>
          </w14:textFill>
        </w:rPr>
        <w:t>，</w:t>
      </w:r>
      <w:r>
        <w:rPr>
          <w:i/>
          <w:color w:val="000000" w:themeColor="text1"/>
          <w14:textFill>
            <w14:solidFill>
              <w14:schemeClr w14:val="tx1"/>
            </w14:solidFill>
          </w14:textFill>
        </w:rPr>
        <w:t>y</w:t>
      </w:r>
      <w:r>
        <w:rPr>
          <w:rFonts w:hint="eastAsia"/>
          <w:color w:val="000000" w:themeColor="text1"/>
          <w14:textFill>
            <w14:solidFill>
              <w14:schemeClr w14:val="tx1"/>
            </w14:solidFill>
          </w14:textFill>
        </w:rPr>
        <w:t>）点的电场强度分量</w:t>
      </w:r>
      <w:r>
        <w:rPr>
          <w:i/>
          <w:color w:val="000000" w:themeColor="text1"/>
          <w14:textFill>
            <w14:solidFill>
              <w14:schemeClr w14:val="tx1"/>
            </w14:solidFill>
          </w14:textFill>
        </w:rPr>
        <w:t>E</w:t>
      </w:r>
      <w:r>
        <w:rPr>
          <w:i/>
          <w:color w:val="000000" w:themeColor="text1"/>
          <w:vertAlign w:val="subscript"/>
          <w14:textFill>
            <w14:solidFill>
              <w14:schemeClr w14:val="tx1"/>
            </w14:solidFill>
          </w14:textFill>
        </w:rPr>
        <w:t>x</w:t>
      </w:r>
      <w:r>
        <w:rPr>
          <w:rFonts w:hint="eastAsia"/>
          <w:color w:val="000000" w:themeColor="text1"/>
          <w14:textFill>
            <w14:solidFill>
              <w14:schemeClr w14:val="tx1"/>
            </w14:solidFill>
          </w14:textFill>
        </w:rPr>
        <w:t>和</w:t>
      </w:r>
      <w:r>
        <w:rPr>
          <w:i/>
          <w:color w:val="000000" w:themeColor="text1"/>
          <w14:textFill>
            <w14:solidFill>
              <w14:schemeClr w14:val="tx1"/>
            </w14:solidFill>
          </w14:textFill>
        </w:rPr>
        <w:t>E</w:t>
      </w:r>
      <w:r>
        <w:rPr>
          <w:i/>
          <w:color w:val="000000" w:themeColor="text1"/>
          <w:vertAlign w:val="subscript"/>
          <w14:textFill>
            <w14:solidFill>
              <w14:schemeClr w14:val="tx1"/>
            </w14:solidFill>
          </w14:textFill>
        </w:rPr>
        <w:t>y</w:t>
      </w:r>
      <w:r>
        <w:rPr>
          <w:rFonts w:hint="eastAsia"/>
          <w:color w:val="000000" w:themeColor="text1"/>
          <w14:textFill>
            <w14:solidFill>
              <w14:schemeClr w14:val="tx1"/>
            </w14:solidFill>
          </w14:textFill>
        </w:rPr>
        <w:t>可表示为：</w:t>
      </w:r>
    </w:p>
    <w:p>
      <w:pPr>
        <w:pStyle w:val="5"/>
        <w:ind w:firstLine="0" w:firstLineChars="0"/>
        <w:jc w:val="center"/>
        <w:rPr>
          <w:color w:val="000000" w:themeColor="text1"/>
          <w14:textFill>
            <w14:solidFill>
              <w14:schemeClr w14:val="tx1"/>
            </w14:solidFill>
          </w14:textFill>
        </w:rPr>
      </w:pPr>
      <w:r>
        <w:rPr>
          <w:color w:val="000000" w:themeColor="text1"/>
          <w:position w:val="-32"/>
          <w14:textFill>
            <w14:solidFill>
              <w14:schemeClr w14:val="tx1"/>
            </w14:solidFill>
          </w14:textFill>
        </w:rPr>
        <w:object>
          <v:shape id="_x0000_i1050" o:spt="75" type="#_x0000_t75" style="height:37.05pt;width:160.4pt;" o:ole="t" filled="f" o:preferrelative="t" stroked="f" coordsize="21600,21600">
            <v:path/>
            <v:fill on="f" focussize="0,0"/>
            <v:stroke on="f" joinstyle="miter"/>
            <v:imagedata r:id="rId82" o:title=""/>
            <o:lock v:ext="edit" aspectratio="t"/>
            <w10:wrap type="none"/>
            <w10:anchorlock/>
          </v:shape>
          <o:OLEObject Type="Embed" ProgID="Equation.DSMT4" ShapeID="_x0000_i1050" DrawAspect="Content" ObjectID="_1468075750" r:id="rId81">
            <o:LockedField>false</o:LockedField>
          </o:OLEObject>
        </w:object>
      </w:r>
    </w:p>
    <w:p>
      <w:pPr>
        <w:pStyle w:val="5"/>
        <w:ind w:firstLine="0" w:firstLineChars="0"/>
        <w:jc w:val="center"/>
        <w:rPr>
          <w:color w:val="000000" w:themeColor="text1"/>
          <w14:textFill>
            <w14:solidFill>
              <w14:schemeClr w14:val="tx1"/>
            </w14:solidFill>
          </w14:textFill>
        </w:rPr>
      </w:pPr>
      <w:r>
        <w:rPr>
          <w:color w:val="000000" w:themeColor="text1"/>
          <w:position w:val="-32"/>
          <w14:textFill>
            <w14:solidFill>
              <w14:schemeClr w14:val="tx1"/>
            </w14:solidFill>
          </w14:textFill>
        </w:rPr>
        <w:object>
          <v:shape id="_x0000_i1051" o:spt="75" type="#_x0000_t75" style="height:37.05pt;width:164.65pt;" o:ole="t" filled="f" o:preferrelative="t" stroked="f" coordsize="21600,21600">
            <v:path/>
            <v:fill on="f" focussize="0,0"/>
            <v:stroke on="f" joinstyle="miter"/>
            <v:imagedata r:id="rId84" o:title=""/>
            <o:lock v:ext="edit" aspectratio="t"/>
            <w10:wrap type="none"/>
            <w10:anchorlock/>
          </v:shape>
          <o:OLEObject Type="Embed" ProgID="Equation.DSMT4" ShapeID="_x0000_i1051" DrawAspect="Content" ObjectID="_1468075751" r:id="rId83">
            <o:LockedField>false</o:LockedField>
          </o:OLEObject>
        </w:objec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式中：</w:t>
      </w:r>
      <w:r>
        <w:rPr>
          <w:color w:val="000000" w:themeColor="text1"/>
          <w:position w:val="-12"/>
          <w14:textFill>
            <w14:solidFill>
              <w14:schemeClr w14:val="tx1"/>
            </w14:solidFill>
          </w14:textFill>
        </w:rPr>
        <w:object>
          <v:shape id="_x0000_i1052" o:spt="75" type="#_x0000_t75" style="height:19.25pt;width:11.4pt;" o:ole="t" filled="f" o:preferrelative="t" stroked="f" coordsize="21600,21600">
            <v:path/>
            <v:fill on="f" focussize="0,0"/>
            <v:stroke on="f" joinstyle="miter"/>
            <v:imagedata r:id="rId86" o:title=""/>
            <o:lock v:ext="edit" aspectratio="t"/>
            <w10:wrap type="none"/>
            <w10:anchorlock/>
          </v:shape>
          <o:OLEObject Type="Embed" ProgID="Equation.DSMT4" ShapeID="_x0000_i1052" DrawAspect="Content" ObjectID="_1468075752" r:id="rId85">
            <o:LockedField>false</o:LockedField>
          </o:OLEObject>
        </w:object>
      </w:r>
      <w:r>
        <w:rPr>
          <w:rFonts w:hint="eastAsia"/>
          <w:color w:val="000000" w:themeColor="text1"/>
          <w14:textFill>
            <w14:solidFill>
              <w14:schemeClr w14:val="tx1"/>
            </w14:solidFill>
          </w14:textFill>
        </w:rPr>
        <w:t>、</w:t>
      </w:r>
      <w:r>
        <w:rPr>
          <w:color w:val="000000" w:themeColor="text1"/>
          <w:position w:val="-12"/>
          <w14:textFill>
            <w14:solidFill>
              <w14:schemeClr w14:val="tx1"/>
            </w14:solidFill>
          </w14:textFill>
        </w:rPr>
        <w:object>
          <v:shape id="_x0000_i1053" o:spt="75" type="#_x0000_t75" style="height:19.25pt;width:11.4pt;" o:ole="t" filled="f" o:preferrelative="t" stroked="f" coordsize="21600,21600">
            <v:path/>
            <v:fill on="f" focussize="0,0"/>
            <v:stroke on="f" joinstyle="miter"/>
            <v:imagedata r:id="rId88" o:title=""/>
            <o:lock v:ext="edit" aspectratio="t"/>
            <w10:wrap type="none"/>
            <w10:anchorlock/>
          </v:shape>
          <o:OLEObject Type="Embed" ProgID="Equation.DSMT4" ShapeID="_x0000_i1053" DrawAspect="Content" ObjectID="_1468075753" r:id="rId87">
            <o:LockedField>false</o:LockedField>
          </o:OLEObject>
        </w:object>
      </w:r>
      <w:r>
        <w:rPr>
          <w:rFonts w:hint="eastAsia"/>
          <w:color w:val="000000" w:themeColor="text1"/>
          <w14:textFill>
            <w14:solidFill>
              <w14:schemeClr w14:val="tx1"/>
            </w14:solidFill>
          </w14:textFill>
        </w:rPr>
        <w:t>—导线</w:t>
      </w:r>
      <w:r>
        <w:rPr>
          <w:i/>
          <w:color w:val="000000" w:themeColor="text1"/>
          <w14:textFill>
            <w14:solidFill>
              <w14:schemeClr w14:val="tx1"/>
            </w14:solidFill>
          </w14:textFill>
        </w:rPr>
        <w:t>i</w:t>
      </w:r>
      <w:r>
        <w:rPr>
          <w:rFonts w:hint="eastAsia"/>
          <w:color w:val="000000" w:themeColor="text1"/>
          <w14:textFill>
            <w14:solidFill>
              <w14:schemeClr w14:val="tx1"/>
            </w14:solidFill>
          </w14:textFill>
        </w:rPr>
        <w:t>的坐标（</w:t>
      </w:r>
      <w:r>
        <w:rPr>
          <w:i/>
          <w:color w:val="000000" w:themeColor="text1"/>
          <w14:textFill>
            <w14:solidFill>
              <w14:schemeClr w14:val="tx1"/>
            </w14:solidFill>
          </w14:textFill>
        </w:rPr>
        <w:t>i</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w:t>
      </w:r>
      <w:r>
        <w:rPr>
          <w:i/>
          <w:color w:val="000000" w:themeColor="text1"/>
          <w14:textFill>
            <w14:solidFill>
              <w14:schemeClr w14:val="tx1"/>
            </w14:solidFill>
          </w14:textFill>
        </w:rPr>
        <w:t>m</w:t>
      </w:r>
      <w:r>
        <w:rPr>
          <w:rFonts w:hint="eastAsia"/>
          <w:color w:val="000000" w:themeColor="text1"/>
          <w14:textFill>
            <w14:solidFill>
              <w14:schemeClr w14:val="tx1"/>
            </w14:solidFill>
          </w14:textFill>
        </w:rPr>
        <w:t>）；</w:t>
      </w:r>
    </w:p>
    <w:p>
      <w:pPr>
        <w:pStyle w:val="5"/>
        <w:ind w:firstLine="1200" w:firstLineChars="500"/>
        <w:jc w:val="left"/>
        <w:rPr>
          <w:color w:val="000000" w:themeColor="text1"/>
          <w14:textFill>
            <w14:solidFill>
              <w14:schemeClr w14:val="tx1"/>
            </w14:solidFill>
          </w14:textFill>
        </w:rPr>
      </w:pPr>
      <w:r>
        <w:rPr>
          <w:i/>
          <w:color w:val="000000" w:themeColor="text1"/>
          <w14:textFill>
            <w14:solidFill>
              <w14:schemeClr w14:val="tx1"/>
            </w14:solidFill>
          </w14:textFill>
        </w:rPr>
        <w:t>m</w:t>
      </w:r>
      <w:r>
        <w:rPr>
          <w:rFonts w:hint="eastAsia"/>
          <w:color w:val="000000" w:themeColor="text1"/>
          <w14:textFill>
            <w14:solidFill>
              <w14:schemeClr w14:val="tx1"/>
            </w14:solidFill>
          </w14:textFill>
        </w:rPr>
        <w:t>—导线数目；</w:t>
      </w:r>
    </w:p>
    <w:p>
      <w:pPr>
        <w:pStyle w:val="5"/>
        <w:ind w:firstLine="1200" w:firstLineChars="500"/>
        <w:jc w:val="left"/>
        <w:rPr>
          <w:color w:val="000000" w:themeColor="text1"/>
          <w14:textFill>
            <w14:solidFill>
              <w14:schemeClr w14:val="tx1"/>
            </w14:solidFill>
          </w14:textFill>
        </w:rPr>
      </w:pPr>
      <w:r>
        <w:rPr>
          <w:color w:val="000000" w:themeColor="text1"/>
          <w:position w:val="-12"/>
          <w14:textFill>
            <w14:solidFill>
              <w14:schemeClr w14:val="tx1"/>
            </w14:solidFill>
          </w14:textFill>
        </w:rPr>
        <w:object>
          <v:shape id="_x0000_i1054" o:spt="75" type="#_x0000_t75" style="height:19.25pt;width:11.4pt;" o:ole="t" filled="f" o:preferrelative="t" stroked="f" coordsize="21600,21600">
            <v:path/>
            <v:fill on="f" focussize="0,0"/>
            <v:stroke on="f" joinstyle="miter"/>
            <v:imagedata r:id="rId90" o:title=""/>
            <o:lock v:ext="edit" aspectratio="t"/>
            <w10:wrap type="none"/>
            <w10:anchorlock/>
          </v:shape>
          <o:OLEObject Type="Embed" ProgID="Equation.DSMT4" ShapeID="_x0000_i1054" DrawAspect="Content" ObjectID="_1468075754" r:id="rId89">
            <o:LockedField>false</o:LockedField>
          </o:OLEObject>
        </w:object>
      </w:r>
      <w:r>
        <w:rPr>
          <w:rFonts w:hint="eastAsia"/>
          <w:color w:val="000000" w:themeColor="text1"/>
          <w14:textFill>
            <w14:solidFill>
              <w14:schemeClr w14:val="tx1"/>
            </w14:solidFill>
          </w14:textFill>
        </w:rPr>
        <w:t>、</w:t>
      </w:r>
      <w:r>
        <w:rPr>
          <w:color w:val="000000" w:themeColor="text1"/>
          <w:position w:val="-12"/>
          <w14:textFill>
            <w14:solidFill>
              <w14:schemeClr w14:val="tx1"/>
            </w14:solidFill>
          </w14:textFill>
        </w:rPr>
        <w:object>
          <v:shape id="_x0000_i1055" o:spt="75" type="#_x0000_t75" style="height:19.25pt;width:14.95pt;" o:ole="t" filled="f" o:preferrelative="t" stroked="f" coordsize="21600,21600">
            <v:path/>
            <v:fill on="f" focussize="0,0"/>
            <v:stroke on="f" joinstyle="miter"/>
            <v:imagedata r:id="rId92" o:title=""/>
            <o:lock v:ext="edit" aspectratio="t"/>
            <w10:wrap type="none"/>
            <w10:anchorlock/>
          </v:shape>
          <o:OLEObject Type="Embed" ProgID="Equation.DSMT4" ShapeID="_x0000_i1055" DrawAspect="Content" ObjectID="_1468075755" r:id="rId91">
            <o:LockedField>false</o:LockedField>
          </o:OLEObject>
        </w:object>
      </w:r>
      <w:r>
        <w:rPr>
          <w:rFonts w:hint="eastAsia"/>
          <w:color w:val="000000" w:themeColor="text1"/>
          <w14:textFill>
            <w14:solidFill>
              <w14:schemeClr w14:val="tx1"/>
            </w14:solidFill>
          </w14:textFill>
        </w:rPr>
        <w:t>—分别为导线</w:t>
      </w:r>
      <w:r>
        <w:rPr>
          <w:i/>
          <w:color w:val="000000" w:themeColor="text1"/>
          <w14:textFill>
            <w14:solidFill>
              <w14:schemeClr w14:val="tx1"/>
            </w14:solidFill>
          </w14:textFill>
        </w:rPr>
        <w:t>i</w:t>
      </w:r>
      <w:r>
        <w:rPr>
          <w:rFonts w:hint="eastAsia"/>
          <w:color w:val="000000" w:themeColor="text1"/>
          <w14:textFill>
            <w14:solidFill>
              <w14:schemeClr w14:val="tx1"/>
            </w14:solidFill>
          </w14:textFill>
        </w:rPr>
        <w:t>及其镜像至计算点的距离，</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对于三相交流线路，可求得电荷计算空间任一点电场强度的水平和垂直分量为：</w:t>
      </w:r>
    </w:p>
    <w:p>
      <w:pPr>
        <w:pStyle w:val="5"/>
        <w:ind w:firstLine="0" w:firstLineChars="0"/>
        <w:jc w:val="center"/>
        <w:rPr>
          <w:color w:val="000000" w:themeColor="text1"/>
          <w14:textFill>
            <w14:solidFill>
              <w14:schemeClr w14:val="tx1"/>
            </w14:solidFill>
          </w14:textFill>
        </w:rPr>
      </w:pPr>
      <w:r>
        <w:rPr>
          <w:color w:val="000000" w:themeColor="text1"/>
          <w:position w:val="-28"/>
          <w14:textFill>
            <w14:solidFill>
              <w14:schemeClr w14:val="tx1"/>
            </w14:solidFill>
          </w14:textFill>
        </w:rPr>
        <w:object>
          <v:shape id="_x0000_i1056" o:spt="75" type="#_x0000_t75" style="height:29.95pt;width:165.4pt;" o:ole="t" filled="f" o:preferrelative="t" stroked="f" coordsize="21600,21600">
            <v:path/>
            <v:fill on="f" focussize="0,0"/>
            <v:stroke on="f" joinstyle="miter"/>
            <v:imagedata r:id="rId94" o:title=""/>
            <o:lock v:ext="edit" aspectratio="t"/>
            <w10:wrap type="none"/>
            <w10:anchorlock/>
          </v:shape>
          <o:OLEObject Type="Embed" ProgID="Equation.DSMT4" ShapeID="_x0000_i1056" DrawAspect="Content" ObjectID="_1468075756" r:id="rId93">
            <o:LockedField>false</o:LockedField>
          </o:OLEObject>
        </w:object>
      </w:r>
    </w:p>
    <w:p>
      <w:pPr>
        <w:pStyle w:val="5"/>
        <w:ind w:firstLine="0" w:firstLineChars="0"/>
        <w:jc w:val="center"/>
        <w:rPr>
          <w:color w:val="000000" w:themeColor="text1"/>
          <w14:textFill>
            <w14:solidFill>
              <w14:schemeClr w14:val="tx1"/>
            </w14:solidFill>
          </w14:textFill>
        </w:rPr>
      </w:pPr>
      <w:r>
        <w:rPr>
          <w:color w:val="000000" w:themeColor="text1"/>
          <w:position w:val="-28"/>
          <w14:textFill>
            <w14:solidFill>
              <w14:schemeClr w14:val="tx1"/>
            </w14:solidFill>
          </w14:textFill>
        </w:rPr>
        <w:object>
          <v:shape id="_x0000_i1057" o:spt="75" type="#_x0000_t75" style="height:29.95pt;width:171.1pt;" o:ole="t" filled="f" o:preferrelative="t" stroked="f" coordsize="21600,21600">
            <v:path/>
            <v:fill on="f" focussize="0,0"/>
            <v:stroke on="f" joinstyle="miter"/>
            <v:imagedata r:id="rId96" o:title=""/>
            <o:lock v:ext="edit" aspectratio="t"/>
            <w10:wrap type="none"/>
            <w10:anchorlock/>
          </v:shape>
          <o:OLEObject Type="Embed" ProgID="Equation.DSMT4" ShapeID="_x0000_i1057" DrawAspect="Content" ObjectID="_1468075757" r:id="rId95">
            <o:LockedField>false</o:LockedField>
          </o:OLEObject>
        </w:objec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式中：</w:t>
      </w:r>
      <w:r>
        <w:rPr>
          <w:color w:val="000000" w:themeColor="text1"/>
          <w:position w:val="-12"/>
          <w14:textFill>
            <w14:solidFill>
              <w14:schemeClr w14:val="tx1"/>
            </w14:solidFill>
          </w14:textFill>
        </w:rPr>
        <w:object>
          <v:shape id="_x0000_i1058" o:spt="75" type="#_x0000_t75" style="height:19.25pt;width:19.25pt;" o:ole="t" filled="f" o:preferrelative="t" stroked="f" coordsize="21600,21600">
            <v:path/>
            <v:fill on="f" focussize="0,0"/>
            <v:stroke on="f" joinstyle="miter"/>
            <v:imagedata r:id="rId98" o:title=""/>
            <o:lock v:ext="edit" aspectratio="t"/>
            <w10:wrap type="none"/>
            <w10:anchorlock/>
          </v:shape>
          <o:OLEObject Type="Embed" ProgID="Equation.DSMT4" ShapeID="_x0000_i1058" DrawAspect="Content" ObjectID="_1468075758" r:id="rId97">
            <o:LockedField>false</o:LockedField>
          </o:OLEObject>
        </w:object>
      </w:r>
      <w:r>
        <w:rPr>
          <w:rFonts w:hint="eastAsia"/>
          <w:color w:val="000000" w:themeColor="text1"/>
          <w14:textFill>
            <w14:solidFill>
              <w14:schemeClr w14:val="tx1"/>
            </w14:solidFill>
          </w14:textFill>
        </w:rPr>
        <w:t>—由各导线的实部电荷在该点产生场强的水平分量；</w:t>
      </w:r>
    </w:p>
    <w:p>
      <w:pPr>
        <w:pStyle w:val="5"/>
        <w:ind w:firstLine="1200" w:firstLineChars="500"/>
        <w:jc w:val="left"/>
        <w:rPr>
          <w:color w:val="000000" w:themeColor="text1"/>
          <w14:textFill>
            <w14:solidFill>
              <w14:schemeClr w14:val="tx1"/>
            </w14:solidFill>
          </w14:textFill>
        </w:rPr>
      </w:pPr>
      <w:r>
        <w:rPr>
          <w:color w:val="000000" w:themeColor="text1"/>
          <w:position w:val="-12"/>
          <w14:textFill>
            <w14:solidFill>
              <w14:schemeClr w14:val="tx1"/>
            </w14:solidFill>
          </w14:textFill>
        </w:rPr>
        <w:object>
          <v:shape id="_x0000_i1059" o:spt="75" type="#_x0000_t75" style="height:19.25pt;width:19.25pt;" o:ole="t" filled="f" o:preferrelative="t" stroked="f" coordsize="21600,21600">
            <v:path/>
            <v:fill on="f" focussize="0,0"/>
            <v:stroke on="f" joinstyle="miter"/>
            <v:imagedata r:id="rId100" o:title=""/>
            <o:lock v:ext="edit" aspectratio="t"/>
            <w10:wrap type="none"/>
            <w10:anchorlock/>
          </v:shape>
          <o:OLEObject Type="Embed" ProgID="Equation.DSMT4" ShapeID="_x0000_i1059" DrawAspect="Content" ObjectID="_1468075759" r:id="rId99">
            <o:LockedField>false</o:LockedField>
          </o:OLEObject>
        </w:object>
      </w:r>
      <w:r>
        <w:rPr>
          <w:rFonts w:hint="eastAsia"/>
          <w:color w:val="000000" w:themeColor="text1"/>
          <w14:textFill>
            <w14:solidFill>
              <w14:schemeClr w14:val="tx1"/>
            </w14:solidFill>
          </w14:textFill>
        </w:rPr>
        <w:t>—由各导线的虚部电荷在该点产生场强的水平分量；</w:t>
      </w:r>
    </w:p>
    <w:p>
      <w:pPr>
        <w:pStyle w:val="5"/>
        <w:ind w:firstLine="1200" w:firstLineChars="500"/>
        <w:jc w:val="left"/>
        <w:rPr>
          <w:color w:val="000000" w:themeColor="text1"/>
          <w14:textFill>
            <w14:solidFill>
              <w14:schemeClr w14:val="tx1"/>
            </w14:solidFill>
          </w14:textFill>
        </w:rPr>
      </w:pPr>
      <w:r>
        <w:rPr>
          <w:color w:val="000000" w:themeColor="text1"/>
          <w:position w:val="-14"/>
          <w14:textFill>
            <w14:solidFill>
              <w14:schemeClr w14:val="tx1"/>
            </w14:solidFill>
          </w14:textFill>
        </w:rPr>
        <w:object>
          <v:shape id="_x0000_i1060" o:spt="75" type="#_x0000_t75" style="height:19.25pt;width:22.8pt;" o:ole="t" filled="f" o:preferrelative="t" stroked="f" coordsize="21600,21600">
            <v:path/>
            <v:fill on="f" focussize="0,0"/>
            <v:stroke on="f" joinstyle="miter"/>
            <v:imagedata r:id="rId102" o:title=""/>
            <o:lock v:ext="edit" aspectratio="t"/>
            <w10:wrap type="none"/>
            <w10:anchorlock/>
          </v:shape>
          <o:OLEObject Type="Embed" ProgID="Equation.DSMT4" ShapeID="_x0000_i1060" DrawAspect="Content" ObjectID="_1468075760" r:id="rId101">
            <o:LockedField>false</o:LockedField>
          </o:OLEObject>
        </w:object>
      </w:r>
      <w:r>
        <w:rPr>
          <w:rFonts w:hint="eastAsia"/>
          <w:color w:val="000000" w:themeColor="text1"/>
          <w14:textFill>
            <w14:solidFill>
              <w14:schemeClr w14:val="tx1"/>
            </w14:solidFill>
          </w14:textFill>
        </w:rPr>
        <w:t>—由各导线的实部电荷在该点产生场强的垂直分量；</w:t>
      </w:r>
    </w:p>
    <w:p>
      <w:pPr>
        <w:pStyle w:val="5"/>
        <w:ind w:firstLine="1200" w:firstLineChars="500"/>
        <w:jc w:val="left"/>
        <w:rPr>
          <w:color w:val="000000" w:themeColor="text1"/>
          <w14:textFill>
            <w14:solidFill>
              <w14:schemeClr w14:val="tx1"/>
            </w14:solidFill>
          </w14:textFill>
        </w:rPr>
      </w:pPr>
      <w:r>
        <w:rPr>
          <w:color w:val="000000" w:themeColor="text1"/>
          <w:position w:val="-14"/>
          <w14:textFill>
            <w14:solidFill>
              <w14:schemeClr w14:val="tx1"/>
            </w14:solidFill>
          </w14:textFill>
        </w:rPr>
        <w:object>
          <v:shape id="_x0000_i1061" o:spt="75" type="#_x0000_t75" style="height:19.25pt;width:19.25pt;" o:ole="t" filled="f" o:preferrelative="t" stroked="f" coordsize="21600,21600">
            <v:path/>
            <v:fill on="f" focussize="0,0"/>
            <v:stroke on="f" joinstyle="miter"/>
            <v:imagedata r:id="rId104" o:title=""/>
            <o:lock v:ext="edit" aspectratio="t"/>
            <w10:wrap type="none"/>
            <w10:anchorlock/>
          </v:shape>
          <o:OLEObject Type="Embed" ProgID="Equation.DSMT4" ShapeID="_x0000_i1061" DrawAspect="Content" ObjectID="_1468075761" r:id="rId103">
            <o:LockedField>false</o:LockedField>
          </o:OLEObject>
        </w:object>
      </w:r>
      <w:r>
        <w:rPr>
          <w:rFonts w:hint="eastAsia"/>
          <w:color w:val="000000" w:themeColor="text1"/>
          <w14:textFill>
            <w14:solidFill>
              <w14:schemeClr w14:val="tx1"/>
            </w14:solidFill>
          </w14:textFill>
        </w:rPr>
        <w:t>—由各导线的虚部电荷在该点产生场强的垂直分量。</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该点的合成的电场强度则为：</w:t>
      </w:r>
    </w:p>
    <w:p>
      <w:pPr>
        <w:pStyle w:val="5"/>
        <w:ind w:firstLine="0" w:firstLineChars="0"/>
        <w:jc w:val="center"/>
        <w:rPr>
          <w:color w:val="000000" w:themeColor="text1"/>
          <w14:textFill>
            <w14:solidFill>
              <w14:schemeClr w14:val="tx1"/>
            </w14:solidFill>
          </w14:textFill>
        </w:rPr>
      </w:pPr>
      <w:r>
        <w:rPr>
          <w:color w:val="000000" w:themeColor="text1"/>
          <w:position w:val="-14"/>
          <w14:textFill>
            <w14:solidFill>
              <w14:schemeClr w14:val="tx1"/>
            </w14:solidFill>
          </w14:textFill>
        </w:rPr>
        <w:object>
          <v:shape id="_x0000_i1062" o:spt="75" type="#_x0000_t75" style="height:22.8pt;width:213.85pt;" o:ole="t" filled="f" o:preferrelative="t" stroked="f" coordsize="21600,21600">
            <v:path/>
            <v:fill on="f" focussize="0,0"/>
            <v:stroke on="f" joinstyle="miter"/>
            <v:imagedata r:id="rId106" o:title=""/>
            <o:lock v:ext="edit" aspectratio="t"/>
            <w10:wrap type="none"/>
            <w10:anchorlock/>
          </v:shape>
          <o:OLEObject Type="Embed" ProgID="Equation.DSMT4" ShapeID="_x0000_i1062" DrawAspect="Content" ObjectID="_1468075762" r:id="rId105">
            <o:LockedField>false</o:LockedField>
          </o:OLEObject>
        </w:objec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式中：</w:t>
      </w:r>
    </w:p>
    <w:p>
      <w:pPr>
        <w:pStyle w:val="5"/>
        <w:ind w:firstLine="0" w:firstLineChars="0"/>
        <w:jc w:val="center"/>
        <w:rPr>
          <w:color w:val="000000" w:themeColor="text1"/>
          <w14:textFill>
            <w14:solidFill>
              <w14:schemeClr w14:val="tx1"/>
            </w14:solidFill>
          </w14:textFill>
        </w:rPr>
      </w:pPr>
      <w:r>
        <w:rPr>
          <w:color w:val="000000" w:themeColor="text1"/>
          <w:position w:val="-14"/>
          <w14:textFill>
            <w14:solidFill>
              <w14:schemeClr w14:val="tx1"/>
            </w14:solidFill>
          </w14:textFill>
        </w:rPr>
        <w:object>
          <v:shape id="_x0000_i1063" o:spt="75" type="#_x0000_t75" style="height:24.25pt;width:88.4pt;" o:ole="t" filled="f" o:preferrelative="t" stroked="f" coordsize="21600,21600">
            <v:path/>
            <v:fill on="f" focussize="0,0"/>
            <v:stroke on="f" joinstyle="miter"/>
            <v:imagedata r:id="rId108" o:title=""/>
            <o:lock v:ext="edit" aspectratio="t"/>
            <w10:wrap type="none"/>
            <w10:anchorlock/>
          </v:shape>
          <o:OLEObject Type="Embed" ProgID="Equation.DSMT4" ShapeID="_x0000_i1063" DrawAspect="Content" ObjectID="_1468075763" r:id="rId107">
            <o:LockedField>false</o:LockedField>
          </o:OLEObject>
        </w:object>
      </w:r>
    </w:p>
    <w:p>
      <w:pPr>
        <w:pStyle w:val="5"/>
        <w:ind w:firstLine="0" w:firstLineChars="0"/>
        <w:jc w:val="center"/>
        <w:rPr>
          <w:color w:val="000000" w:themeColor="text1"/>
          <w14:textFill>
            <w14:solidFill>
              <w14:schemeClr w14:val="tx1"/>
            </w14:solidFill>
          </w14:textFill>
        </w:rPr>
      </w:pPr>
      <w:r>
        <w:rPr>
          <w:color w:val="000000" w:themeColor="text1"/>
          <w:position w:val="-16"/>
          <w14:textFill>
            <w14:solidFill>
              <w14:schemeClr w14:val="tx1"/>
            </w14:solidFill>
          </w14:textFill>
        </w:rPr>
        <w:object>
          <v:shape id="_x0000_i1064" o:spt="75" type="#_x0000_t75" style="height:24.25pt;width:86.95pt;" o:ole="t" filled="f" o:preferrelative="t" stroked="f" coordsize="21600,21600">
            <v:path/>
            <v:fill on="f" focussize="0,0"/>
            <v:stroke on="f" joinstyle="miter"/>
            <v:imagedata r:id="rId110" o:title=""/>
            <o:lock v:ext="edit" aspectratio="t"/>
            <w10:wrap type="none"/>
            <w10:anchorlock/>
          </v:shape>
          <o:OLEObject Type="Embed" ProgID="Equation.DSMT4" ShapeID="_x0000_i1064" DrawAspect="Content" ObjectID="_1468075764" r:id="rId109">
            <o:LockedField>false</o:LockedField>
          </o:OLEObject>
        </w:objec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在地面处（</w:t>
      </w:r>
      <w:r>
        <w:rPr>
          <w:i/>
          <w:color w:val="000000" w:themeColor="text1"/>
          <w14:textFill>
            <w14:solidFill>
              <w14:schemeClr w14:val="tx1"/>
            </w14:solidFill>
          </w14:textFill>
        </w:rPr>
        <w:t>y</w:t>
      </w:r>
      <w:r>
        <w:rPr>
          <w:color w:val="000000" w:themeColor="text1"/>
          <w14:textFill>
            <w14:solidFill>
              <w14:schemeClr w14:val="tx1"/>
            </w14:solidFill>
          </w14:textFill>
        </w:rPr>
        <w:t>=0</w:t>
      </w:r>
      <w:r>
        <w:rPr>
          <w:rFonts w:hint="eastAsia"/>
          <w:color w:val="000000" w:themeColor="text1"/>
          <w14:textFill>
            <w14:solidFill>
              <w14:schemeClr w14:val="tx1"/>
            </w14:solidFill>
          </w14:textFill>
        </w:rPr>
        <w:t>）电场强度的水平分量</w:t>
      </w:r>
    </w:p>
    <w:p>
      <w:pPr>
        <w:pStyle w:val="5"/>
        <w:ind w:firstLine="0" w:firstLineChars="0"/>
        <w:jc w:val="center"/>
        <w:rPr>
          <w:color w:val="000000" w:themeColor="text1"/>
          <w14:textFill>
            <w14:solidFill>
              <w14:schemeClr w14:val="tx1"/>
            </w14:solidFill>
          </w14:textFill>
        </w:rPr>
      </w:pPr>
      <w:r>
        <w:rPr>
          <w:color w:val="000000" w:themeColor="text1"/>
          <w:position w:val="-12"/>
          <w14:textFill>
            <w14:solidFill>
              <w14:schemeClr w14:val="tx1"/>
            </w14:solidFill>
          </w14:textFill>
        </w:rPr>
        <w:object>
          <v:shape id="_x0000_i1065" o:spt="75" type="#_x0000_t75" style="height:19.25pt;width:29.95pt;" o:ole="t" filled="f" o:preferrelative="t" stroked="f" coordsize="21600,21600">
            <v:path/>
            <v:fill on="f" focussize="0,0"/>
            <v:stroke on="f" joinstyle="miter"/>
            <v:imagedata r:id="rId112" o:title=""/>
            <o:lock v:ext="edit" aspectratio="t"/>
            <w10:wrap type="none"/>
            <w10:anchorlock/>
          </v:shape>
          <o:OLEObject Type="Embed" ProgID="Equation.DSMT4" ShapeID="_x0000_i1065" DrawAspect="Content" ObjectID="_1468075765" r:id="rId111">
            <o:LockedField>false</o:LockedField>
          </o:OLEObject>
        </w:object>
      </w:r>
    </w:p>
    <w:p>
      <w:pPr>
        <w:pStyle w:val="5"/>
        <w:ind w:firstLine="600" w:firstLineChars="2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）高压交流架空输电线路下空间磁感应强度的计算（附录</w:t>
      </w:r>
      <w:r>
        <w:rPr>
          <w:color w:val="000000" w:themeColor="text1"/>
          <w14:textFill>
            <w14:solidFill>
              <w14:schemeClr w14:val="tx1"/>
            </w14:solidFill>
          </w14:textFill>
        </w:rPr>
        <w:t>D</w:t>
      </w:r>
      <w:r>
        <w:rPr>
          <w:rFonts w:hint="eastAsia"/>
          <w:color w:val="000000" w:themeColor="text1"/>
          <w14:textFill>
            <w14:solidFill>
              <w14:schemeClr w14:val="tx1"/>
            </w14:solidFill>
          </w14:textFill>
        </w:rPr>
        <w:t>）</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由于工频情况下电磁性能具有准静态特性，线路的磁场仅由电流产生。应用安培定律，将计算结果按矢量叠加，可得出导线周围的磁场强度。</w:t>
      </w:r>
    </w:p>
    <w:p>
      <w:pPr>
        <w:pStyle w:val="5"/>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和电场强度计算不同的是关于镜像导线的考虑，与导线所处高度相比这些镜像导线位于地下很深的距离</w:t>
      </w:r>
      <w:r>
        <w:rPr>
          <w:i/>
          <w:color w:val="000000" w:themeColor="text1"/>
          <w14:textFill>
            <w14:solidFill>
              <w14:schemeClr w14:val="tx1"/>
            </w14:solidFill>
          </w14:textFill>
        </w:rPr>
        <w:t>d</w:t>
      </w:r>
      <w:r>
        <w:rPr>
          <w:rFonts w:hint="eastAsia"/>
          <w:color w:val="000000" w:themeColor="text1"/>
          <w14:textFill>
            <w14:solidFill>
              <w14:schemeClr w14:val="tx1"/>
            </w14:solidFill>
          </w14:textFill>
        </w:rPr>
        <w:t>：</w:t>
      </w:r>
    </w:p>
    <w:p>
      <w:pPr>
        <w:pStyle w:val="5"/>
        <w:ind w:firstLine="0" w:firstLineChars="0"/>
        <w:jc w:val="center"/>
        <w:rPr>
          <w:color w:val="000000" w:themeColor="text1"/>
          <w14:textFill>
            <w14:solidFill>
              <w14:schemeClr w14:val="tx1"/>
            </w14:solidFill>
          </w14:textFill>
        </w:rPr>
      </w:pPr>
      <w:r>
        <w:rPr>
          <w:color w:val="000000" w:themeColor="text1"/>
          <w:position w:val="-30"/>
          <w14:textFill>
            <w14:solidFill>
              <w14:schemeClr w14:val="tx1"/>
            </w14:solidFill>
          </w14:textFill>
        </w:rPr>
        <w:object>
          <v:shape id="_x0000_i1066" o:spt="75" type="#_x0000_t75" style="height:37.05pt;width:62.75pt;" o:ole="t" filled="f" o:preferrelative="t" stroked="f" coordsize="21600,21600">
            <v:path/>
            <v:fill on="f" focussize="0,0"/>
            <v:stroke on="f" joinstyle="miter"/>
            <v:imagedata r:id="rId114" o:title=""/>
            <o:lock v:ext="edit" aspectratio="t"/>
            <w10:wrap type="none"/>
            <w10:anchorlock/>
          </v:shape>
          <o:OLEObject Type="Embed" ProgID="Equation.DSMT4" ShapeID="_x0000_i1066" DrawAspect="Content" ObjectID="_1468075766" r:id="rId113">
            <o:LockedField>false</o:LockedField>
          </o:OLEObject>
        </w:object>
      </w:r>
      <w:r>
        <w:rPr>
          <w:rFonts w:hint="eastAsia"/>
          <w:color w:val="000000" w:themeColor="text1"/>
          <w14:textFill>
            <w14:solidFill>
              <w14:schemeClr w14:val="tx1"/>
            </w14:solidFill>
          </w14:textFill>
        </w:rPr>
        <w:t>（</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w:t>
      </w:r>
    </w:p>
    <w:p>
      <w:pPr>
        <w:pStyle w:val="5"/>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式中：</w:t>
      </w:r>
      <w:r>
        <w:rPr>
          <w:color w:val="000000" w:themeColor="text1"/>
          <w:position w:val="-10"/>
          <w14:textFill>
            <w14:solidFill>
              <w14:schemeClr w14:val="tx1"/>
            </w14:solidFill>
          </w14:textFill>
        </w:rPr>
        <w:object>
          <v:shape id="_x0000_i1067" o:spt="75" type="#_x0000_t75" style="height:14.95pt;width:11.4pt;" o:ole="t" filled="f" o:preferrelative="t" stroked="f" coordsize="21600,21600">
            <v:path/>
            <v:fill on="f" focussize="0,0"/>
            <v:stroke on="f" joinstyle="miter"/>
            <v:imagedata r:id="rId116" o:title=""/>
            <o:lock v:ext="edit" aspectratio="t"/>
            <w10:wrap type="none"/>
            <w10:anchorlock/>
          </v:shape>
          <o:OLEObject Type="Embed" ProgID="Equation.DSMT4" ShapeID="_x0000_i1067" DrawAspect="Content" ObjectID="_1468075767" r:id="rId115">
            <o:LockedField>false</o:LockedField>
          </o:OLEObject>
        </w:objec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大地电阻率，</w:t>
      </w:r>
      <w:r>
        <w:rPr>
          <w:color w:val="000000" w:themeColor="text1"/>
          <w:position w:val="-6"/>
          <w14:textFill>
            <w14:solidFill>
              <w14:schemeClr w14:val="tx1"/>
            </w14:solidFill>
          </w14:textFill>
        </w:rPr>
        <w:object>
          <v:shape id="_x0000_i1068" o:spt="75" type="#_x0000_t75" style="height:14.95pt;width:29.95pt;" o:ole="t" filled="f" o:preferrelative="t" stroked="f" coordsize="21600,21600">
            <v:path/>
            <v:fill on="f" focussize="0,0"/>
            <v:stroke on="f" joinstyle="miter"/>
            <v:imagedata r:id="rId118" o:title=""/>
            <o:lock v:ext="edit" aspectratio="t"/>
            <w10:wrap type="none"/>
            <w10:anchorlock/>
          </v:shape>
          <o:OLEObject Type="Embed" ProgID="Equation.DSMT4" ShapeID="_x0000_i1068" DrawAspect="Content" ObjectID="_1468075768" r:id="rId117">
            <o:LockedField>false</o:LockedField>
          </o:OLEObject>
        </w:object>
      </w:r>
      <w:r>
        <w:rPr>
          <w:rFonts w:hint="eastAsia"/>
          <w:color w:val="000000" w:themeColor="text1"/>
          <w14:textFill>
            <w14:solidFill>
              <w14:schemeClr w14:val="tx1"/>
            </w14:solidFill>
          </w14:textFill>
        </w:rPr>
        <w:t>；</w:t>
      </w:r>
      <w:r>
        <w:rPr>
          <w:color w:val="000000" w:themeColor="text1"/>
          <w:position w:val="-10"/>
          <w14:textFill>
            <w14:solidFill>
              <w14:schemeClr w14:val="tx1"/>
            </w14:solidFill>
          </w14:textFill>
        </w:rPr>
        <w:object>
          <v:shape id="_x0000_i1069" o:spt="75" type="#_x0000_t75" style="height:16.4pt;width:11.4pt;" o:ole="t" filled="f" o:preferrelative="t" stroked="f" coordsize="21600,21600">
            <v:path/>
            <v:fill on="f" focussize="0,0"/>
            <v:stroke on="f" joinstyle="miter"/>
            <v:imagedata r:id="rId120" o:title=""/>
            <o:lock v:ext="edit" aspectratio="t"/>
            <w10:wrap type="none"/>
            <w10:anchorlock/>
          </v:shape>
          <o:OLEObject Type="Embed" ProgID="Equation.DSMT4" ShapeID="_x0000_i1069" DrawAspect="Content" ObjectID="_1468075769" r:id="rId119">
            <o:LockedField>false</o:LockedField>
          </o:OLEObject>
        </w:objec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频率，</w:t>
      </w:r>
      <w:r>
        <w:rPr>
          <w:color w:val="000000" w:themeColor="text1"/>
          <w14:textFill>
            <w14:solidFill>
              <w14:schemeClr w14:val="tx1"/>
            </w14:solidFill>
          </w14:textFill>
        </w:rPr>
        <w:t>Hz</w:t>
      </w:r>
      <w:r>
        <w:rPr>
          <w:rFonts w:hint="eastAsia"/>
          <w:color w:val="000000" w:themeColor="text1"/>
          <w14:textFill>
            <w14:solidFill>
              <w14:schemeClr w14:val="tx1"/>
            </w14:solidFill>
          </w14:textFill>
        </w:rPr>
        <w:t>。</w:t>
      </w:r>
    </w:p>
    <w:p>
      <w:pPr>
        <w:pStyle w:val="5"/>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在很多情况下，只考虑处于空间的实际导线，忽略它的镜像进行计算，其结果已足够符合实际。如</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REF _Ref55825720 \h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图</w:t>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，不考虑导线</w:t>
      </w:r>
      <w:r>
        <w:rPr>
          <w:color w:val="000000" w:themeColor="text1"/>
          <w14:textFill>
            <w14:solidFill>
              <w14:schemeClr w14:val="tx1"/>
            </w14:solidFill>
          </w14:textFill>
        </w:rPr>
        <w:t>i</w:t>
      </w:r>
      <w:r>
        <w:rPr>
          <w:rFonts w:hint="eastAsia"/>
          <w:color w:val="000000" w:themeColor="text1"/>
          <w14:textFill>
            <w14:solidFill>
              <w14:schemeClr w14:val="tx1"/>
            </w14:solidFill>
          </w14:textFill>
        </w:rPr>
        <w:t>的镜像时，可计算在</w:t>
      </w:r>
      <w:r>
        <w:rPr>
          <w:color w:val="000000" w:themeColor="text1"/>
          <w14:textFill>
            <w14:solidFill>
              <w14:schemeClr w14:val="tx1"/>
            </w14:solidFill>
          </w14:textFill>
        </w:rPr>
        <w:t>A</w:t>
      </w:r>
      <w:r>
        <w:rPr>
          <w:rFonts w:hint="eastAsia"/>
          <w:color w:val="000000" w:themeColor="text1"/>
          <w14:textFill>
            <w14:solidFill>
              <w14:schemeClr w14:val="tx1"/>
            </w14:solidFill>
          </w14:textFill>
        </w:rPr>
        <w:t>点其产生的磁场强度：</w:t>
      </w:r>
    </w:p>
    <w:p>
      <w:pPr>
        <w:pStyle w:val="5"/>
        <w:ind w:firstLine="0" w:firstLineChars="0"/>
        <w:jc w:val="center"/>
        <w:rPr>
          <w:color w:val="000000" w:themeColor="text1"/>
          <w14:textFill>
            <w14:solidFill>
              <w14:schemeClr w14:val="tx1"/>
            </w14:solidFill>
          </w14:textFill>
        </w:rPr>
      </w:pPr>
      <w:r>
        <w:rPr>
          <w:color w:val="000000" w:themeColor="text1"/>
          <w:position w:val="-30"/>
          <w14:textFill>
            <w14:solidFill>
              <w14:schemeClr w14:val="tx1"/>
            </w14:solidFill>
          </w14:textFill>
        </w:rPr>
        <w:object>
          <v:shape id="_x0000_i1070" o:spt="75" type="#_x0000_t75" style="height:29.95pt;width:83.4pt;" o:ole="t" filled="f" o:preferrelative="t" stroked="f" coordsize="21600,21600">
            <v:path/>
            <v:fill on="f" focussize="0,0"/>
            <v:stroke on="f" joinstyle="miter"/>
            <v:imagedata r:id="rId122" o:title=""/>
            <o:lock v:ext="edit" aspectratio="t"/>
            <w10:wrap type="none"/>
            <w10:anchorlock/>
          </v:shape>
          <o:OLEObject Type="Embed" ProgID="Equation.DSMT4" ShapeID="_x0000_i1070" DrawAspect="Content" ObjectID="_1468075770" r:id="rId121">
            <o:LockedField>false</o:LockedField>
          </o:OLEObject>
        </w:object>
      </w:r>
      <w:r>
        <w:rPr>
          <w:rFonts w:hint="eastAsia"/>
          <w:color w:val="000000" w:themeColor="text1"/>
          <w14:textFill>
            <w14:solidFill>
              <w14:schemeClr w14:val="tx1"/>
            </w14:solidFill>
          </w14:textFill>
        </w:rPr>
        <w:t>（</w:t>
      </w:r>
      <w:r>
        <w:rPr>
          <w:color w:val="000000" w:themeColor="text1"/>
          <w14:textFill>
            <w14:solidFill>
              <w14:schemeClr w14:val="tx1"/>
            </w14:solidFill>
          </w14:textFill>
        </w:rPr>
        <w:t>A/m</w:t>
      </w:r>
      <w:r>
        <w:rPr>
          <w:rFonts w:hint="eastAsia"/>
          <w:color w:val="000000" w:themeColor="text1"/>
          <w14:textFill>
            <w14:solidFill>
              <w14:schemeClr w14:val="tx1"/>
            </w14:solidFill>
          </w14:textFill>
        </w:rPr>
        <w:t>）</w:t>
      </w:r>
    </w:p>
    <w:p>
      <w:pPr>
        <w:pStyle w:val="5"/>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试中：</w:t>
      </w:r>
      <w:r>
        <w:rPr>
          <w:color w:val="000000" w:themeColor="text1"/>
          <w:position w:val="-4"/>
          <w14:textFill>
            <w14:solidFill>
              <w14:schemeClr w14:val="tx1"/>
            </w14:solidFill>
          </w14:textFill>
        </w:rPr>
        <w:object>
          <v:shape id="_x0000_i1071" o:spt="75" type="#_x0000_t75" style="height:14.95pt;width:11.4pt;" o:ole="t" filled="f" o:preferrelative="t" stroked="f" coordsize="21600,21600">
            <v:path/>
            <v:fill on="f" focussize="0,0"/>
            <v:stroke on="f" joinstyle="miter"/>
            <v:imagedata r:id="rId124" o:title=""/>
            <o:lock v:ext="edit" aspectratio="t"/>
            <w10:wrap type="none"/>
            <w10:anchorlock/>
          </v:shape>
          <o:OLEObject Type="Embed" ProgID="Equation.DSMT4" ShapeID="_x0000_i1071" DrawAspect="Content" ObjectID="_1468075771" r:id="rId123">
            <o:LockedField>false</o:LockedField>
          </o:OLEObject>
        </w:objec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导线</w:t>
      </w:r>
      <w:r>
        <w:rPr>
          <w:i/>
          <w:color w:val="000000" w:themeColor="text1"/>
          <w14:textFill>
            <w14:solidFill>
              <w14:schemeClr w14:val="tx1"/>
            </w14:solidFill>
          </w14:textFill>
        </w:rPr>
        <w:t>i</w:t>
      </w:r>
      <w:r>
        <w:rPr>
          <w:rFonts w:hint="eastAsia"/>
          <w:color w:val="000000" w:themeColor="text1"/>
          <w14:textFill>
            <w14:solidFill>
              <w14:schemeClr w14:val="tx1"/>
            </w14:solidFill>
          </w14:textFill>
        </w:rPr>
        <w:t>中的电流值，</w:t>
      </w:r>
      <w:r>
        <w:rPr>
          <w:color w:val="000000" w:themeColor="text1"/>
          <w14:textFill>
            <w14:solidFill>
              <w14:schemeClr w14:val="tx1"/>
            </w14:solidFill>
          </w14:textFill>
        </w:rPr>
        <w:t>A</w:t>
      </w:r>
      <w:r>
        <w:rPr>
          <w:rFonts w:hint="eastAsia"/>
          <w:color w:val="000000" w:themeColor="text1"/>
          <w14:textFill>
            <w14:solidFill>
              <w14:schemeClr w14:val="tx1"/>
            </w14:solidFill>
          </w14:textFill>
        </w:rPr>
        <w:t>；</w:t>
      </w:r>
      <w:r>
        <w:rPr>
          <w:color w:val="000000" w:themeColor="text1"/>
          <w:position w:val="-6"/>
          <w14:textFill>
            <w14:solidFill>
              <w14:schemeClr w14:val="tx1"/>
            </w14:solidFill>
          </w14:textFill>
        </w:rPr>
        <w:object>
          <v:shape id="_x0000_i1072" o:spt="75" type="#_x0000_t75" style="height:14.95pt;width:11.4pt;" o:ole="t" filled="f" o:preferrelative="t" stroked="f" coordsize="21600,21600">
            <v:path/>
            <v:fill on="f" focussize="0,0"/>
            <v:stroke on="f" joinstyle="miter"/>
            <v:imagedata r:id="rId126" o:title=""/>
            <o:lock v:ext="edit" aspectratio="t"/>
            <w10:wrap type="none"/>
            <w10:anchorlock/>
          </v:shape>
          <o:OLEObject Type="Embed" ProgID="Equation.DSMT4" ShapeID="_x0000_i1072" DrawAspect="Content" ObjectID="_1468075772" r:id="rId125">
            <o:LockedField>false</o:LockedField>
          </o:OLEObject>
        </w:objec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导线与预测点的高差，</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w:t>
      </w:r>
      <w:r>
        <w:rPr>
          <w:color w:val="000000" w:themeColor="text1"/>
          <w:position w:val="-4"/>
          <w14:textFill>
            <w14:solidFill>
              <w14:schemeClr w14:val="tx1"/>
            </w14:solidFill>
          </w14:textFill>
        </w:rPr>
        <w:object>
          <v:shape id="_x0000_i1073" o:spt="75" type="#_x0000_t75" style="height:14.95pt;width:11.4pt;" o:ole="t" filled="f" o:preferrelative="t" stroked="f" coordsize="21600,21600">
            <v:path/>
            <v:fill on="f" focussize="0,0"/>
            <v:stroke on="f" joinstyle="miter"/>
            <v:imagedata r:id="rId128" o:title=""/>
            <o:lock v:ext="edit" aspectratio="t"/>
            <w10:wrap type="none"/>
            <w10:anchorlock/>
          </v:shape>
          <o:OLEObject Type="Embed" ProgID="Equation.DSMT4" ShapeID="_x0000_i1073" DrawAspect="Content" ObjectID="_1468075773" r:id="rId127">
            <o:LockedField>false</o:LockedField>
          </o:OLEObject>
        </w:objec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导线与预测点水平距离，</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w:t>
      </w:r>
    </w:p>
    <w:p>
      <w:pPr>
        <w:pStyle w:val="5"/>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对于三相线路，由相位不同形成的磁场强度水平和垂直分量都应分别考虑电流间的相角，按相位矢量来合成。合成的旋转矢量在空间的轨迹是一个椭圆。</w:t>
      </w:r>
    </w:p>
    <w:p>
      <w:pPr>
        <w:pStyle w:val="5"/>
        <w:keepNext/>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2505075" cy="2016125"/>
            <wp:effectExtent l="0" t="0" r="9525" b="317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2505075" cy="2016125"/>
                    </a:xfrm>
                    <a:prstGeom prst="rect">
                      <a:avLst/>
                    </a:prstGeom>
                  </pic:spPr>
                </pic:pic>
              </a:graphicData>
            </a:graphic>
          </wp:inline>
        </w:drawing>
      </w:r>
    </w:p>
    <w:p>
      <w:pPr>
        <w:pStyle w:val="10"/>
        <w:jc w:val="center"/>
        <w:rPr>
          <w:rFonts w:ascii="Times New Roman" w:hAnsi="Times New Roman" w:eastAsia="宋体"/>
          <w:b/>
          <w:color w:val="000000" w:themeColor="text1"/>
          <w:szCs w:val="21"/>
          <w14:textFill>
            <w14:solidFill>
              <w14:schemeClr w14:val="tx1"/>
            </w14:solidFill>
          </w14:textFill>
        </w:rPr>
      </w:pPr>
      <w:bookmarkStart w:id="796" w:name="_Ref55825720"/>
      <w:r>
        <w:rPr>
          <w:rFonts w:hint="eastAsia" w:ascii="Times New Roman" w:hAnsi="Times New Roman" w:eastAsia="宋体"/>
          <w:b/>
          <w:color w:val="000000" w:themeColor="text1"/>
          <w:szCs w:val="21"/>
          <w14:textFill>
            <w14:solidFill>
              <w14:schemeClr w14:val="tx1"/>
            </w14:solidFill>
          </w14:textFill>
        </w:rPr>
        <w:t>图</w:t>
      </w:r>
      <w:r>
        <w:rPr>
          <w:rFonts w:ascii="Times New Roman" w:hAnsi="Times New Roman" w:eastAsia="宋体"/>
          <w:b/>
          <w:color w:val="000000" w:themeColor="text1"/>
          <w:szCs w:val="21"/>
          <w14:textFill>
            <w14:solidFill>
              <w14:schemeClr w14:val="tx1"/>
            </w14:solidFill>
          </w14:textFill>
        </w:rPr>
        <w:fldChar w:fldCharType="begin"/>
      </w:r>
      <w:r>
        <w:rPr>
          <w:rFonts w:ascii="Times New Roman" w:hAnsi="Times New Roman" w:eastAsia="宋体"/>
          <w:b/>
          <w:color w:val="000000" w:themeColor="text1"/>
          <w:szCs w:val="21"/>
          <w14:textFill>
            <w14:solidFill>
              <w14:schemeClr w14:val="tx1"/>
            </w14:solidFill>
          </w14:textFill>
        </w:rPr>
        <w:instrText xml:space="preserve"> SEQ </w:instrText>
      </w:r>
      <w:r>
        <w:rPr>
          <w:rFonts w:hint="eastAsia" w:ascii="Times New Roman" w:hAnsi="Times New Roman" w:eastAsia="宋体"/>
          <w:b/>
          <w:color w:val="000000" w:themeColor="text1"/>
          <w:szCs w:val="21"/>
          <w14:textFill>
            <w14:solidFill>
              <w14:schemeClr w14:val="tx1"/>
            </w14:solidFill>
          </w14:textFill>
        </w:rPr>
        <w:instrText xml:space="preserve">图</w:instrText>
      </w:r>
      <w:r>
        <w:rPr>
          <w:rFonts w:ascii="Times New Roman" w:hAnsi="Times New Roman" w:eastAsia="宋体"/>
          <w:b/>
          <w:color w:val="000000" w:themeColor="text1"/>
          <w:szCs w:val="21"/>
          <w14:textFill>
            <w14:solidFill>
              <w14:schemeClr w14:val="tx1"/>
            </w14:solidFill>
          </w14:textFill>
        </w:rPr>
        <w:instrText xml:space="preserve"> \* ARABIC </w:instrText>
      </w:r>
      <w:r>
        <w:rPr>
          <w:rFonts w:ascii="Times New Roman" w:hAnsi="Times New Roman" w:eastAsia="宋体"/>
          <w:b/>
          <w:color w:val="000000" w:themeColor="text1"/>
          <w:szCs w:val="21"/>
          <w14:textFill>
            <w14:solidFill>
              <w14:schemeClr w14:val="tx1"/>
            </w14:solidFill>
          </w14:textFill>
        </w:rPr>
        <w:fldChar w:fldCharType="separate"/>
      </w:r>
      <w:r>
        <w:rPr>
          <w:rFonts w:ascii="Times New Roman" w:hAnsi="Times New Roman" w:eastAsia="宋体"/>
          <w:b/>
          <w:color w:val="000000" w:themeColor="text1"/>
          <w:szCs w:val="21"/>
          <w14:textFill>
            <w14:solidFill>
              <w14:schemeClr w14:val="tx1"/>
            </w14:solidFill>
          </w14:textFill>
        </w:rPr>
        <w:t>12</w:t>
      </w:r>
      <w:r>
        <w:rPr>
          <w:rFonts w:ascii="Times New Roman" w:hAnsi="Times New Roman" w:eastAsia="宋体"/>
          <w:b/>
          <w:color w:val="000000" w:themeColor="text1"/>
          <w:szCs w:val="21"/>
          <w14:textFill>
            <w14:solidFill>
              <w14:schemeClr w14:val="tx1"/>
            </w14:solidFill>
          </w14:textFill>
        </w:rPr>
        <w:fldChar w:fldCharType="end"/>
      </w:r>
      <w:bookmarkEnd w:id="796"/>
      <w:r>
        <w:rPr>
          <w:rFonts w:hint="eastAsia" w:ascii="Times New Roman" w:hAnsi="Times New Roman" w:eastAsia="宋体"/>
          <w:b/>
          <w:color w:val="000000" w:themeColor="text1"/>
          <w:szCs w:val="21"/>
          <w14:textFill>
            <w14:solidFill>
              <w14:schemeClr w14:val="tx1"/>
            </w14:solidFill>
          </w14:textFill>
        </w:rPr>
        <w:t>磁场向量图</w:t>
      </w:r>
    </w:p>
    <w:p>
      <w:pPr>
        <w:pStyle w:val="2"/>
        <w:numPr>
          <w:ilvl w:val="2"/>
          <w:numId w:val="21"/>
        </w:numPr>
        <w:spacing w:before="0" w:after="0" w:line="360" w:lineRule="auto"/>
        <w:rPr>
          <w:rFonts w:cs="ˎ̥"/>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预测内容及参数选取</w:t>
      </w:r>
    </w:p>
    <w:p>
      <w:pPr>
        <w:pStyle w:val="5"/>
        <w:rPr>
          <w:color w:val="000000" w:themeColor="text1"/>
          <w14:textFill>
            <w14:solidFill>
              <w14:schemeClr w14:val="tx1"/>
            </w14:solidFill>
          </w14:textFill>
        </w:rPr>
      </w:pPr>
      <w:bookmarkStart w:id="797" w:name="_Ref132618000"/>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）预测内容</w:t>
      </w:r>
    </w:p>
    <w:p>
      <w:pPr>
        <w:spacing w:line="360" w:lineRule="auto"/>
        <w:ind w:firstLine="48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预测</w:t>
      </w:r>
      <w:r>
        <w:rPr>
          <w:color w:val="000000" w:themeColor="text1"/>
          <w:sz w:val="24"/>
          <w14:textFill>
            <w14:solidFill>
              <w14:schemeClr w14:val="tx1"/>
            </w14:solidFill>
          </w14:textFill>
        </w:rPr>
        <w:t>22</w:t>
      </w:r>
      <w:r>
        <w:rPr>
          <w:rFonts w:hint="eastAsia"/>
          <w:color w:val="000000" w:themeColor="text1"/>
          <w:sz w:val="24"/>
          <w14:textFill>
            <w14:solidFill>
              <w14:schemeClr w14:val="tx1"/>
            </w14:solidFill>
          </w14:textFill>
        </w:rPr>
        <w:t>0kV单回线路工频电场强度、工频磁感应强度影响程度及范围。</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）预测方案</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①杆塔类型</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由于转角塔使用数量相对较少且档距之间的相间距会随转角度数的增大而减小，不具备典型性和统一性。本环评单回线路段按保守原则选用杆塔类型中横担最宽、电磁环境影响最大的直线塔为代表进行预测：</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吐鲁番电厂-阿拉沟变Ⅰ、Ⅱ回π入伊拉湖变220千伏线路工程单回线路选用220-TLF-ZB1塔型。</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吐鲁番电厂-阿拉沟变Ⅰ、Ⅱ回改接入托克逊变220千伏线路工程单回线路选用220-HG-ZB2塔型。</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②导线型号</w:t>
      </w:r>
    </w:p>
    <w:p>
      <w:pPr>
        <w:pStyle w:val="5"/>
        <w:wordWrap w:val="0"/>
        <w:rPr>
          <w:color w:val="000000" w:themeColor="text1"/>
          <w14:textFill>
            <w14:solidFill>
              <w14:schemeClr w14:val="tx1"/>
            </w14:solidFill>
          </w14:textFill>
        </w:rPr>
      </w:pPr>
      <w:r>
        <w:rPr>
          <w:rFonts w:hint="eastAsia"/>
          <w:color w:val="000000" w:themeColor="text1"/>
          <w14:textFill>
            <w14:solidFill>
              <w14:schemeClr w14:val="tx1"/>
            </w14:solidFill>
          </w14:textFill>
        </w:rPr>
        <w:t>根据可研设计资料，本工程新建吐鲁番电厂-阿拉沟变Ⅰ、Ⅱ回π入伊拉湖变电站220千伏线路工程采用JL3/G1A-400/35型高导电率钢芯铝绞线和</w:t>
      </w:r>
      <w:r>
        <w:rPr>
          <w:color w:val="000000"/>
          <w:szCs w:val="24"/>
        </w:rPr>
        <w:t>JL3/G1A-630/45型钢芯高导电率铝绞线</w:t>
      </w:r>
      <w:r>
        <w:rPr>
          <w:rFonts w:hint="eastAsia"/>
          <w:color w:val="000000"/>
          <w:szCs w:val="24"/>
        </w:rPr>
        <w:t>；</w:t>
      </w:r>
      <w:r>
        <w:rPr>
          <w:rFonts w:hint="eastAsia"/>
          <w:color w:val="000000" w:themeColor="text1"/>
          <w14:textFill>
            <w14:solidFill>
              <w14:schemeClr w14:val="tx1"/>
            </w14:solidFill>
          </w14:textFill>
        </w:rPr>
        <w:t>吐鲁番电厂-阿拉沟变Ⅰ、Ⅱ回改接入托克逊变电站220千伏线路工程采用JL3/G1A-400/35型高导电率钢芯铝绞线。</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③导线对地距离</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根据本工程可研设计资料，本工程新建220kV线路经过非居民区最小对地高度不低于6.5m，经过居民区最小对地高度不低于7.5m。根据现场踏勘，本工程线路沿线有电磁环境敏感目标。</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①线路经过非居民区，输电线路预测导线对地高度6.5m，距离地面1.5m处的电磁环境。</w:t>
      </w:r>
    </w:p>
    <w:p>
      <w:pPr>
        <w:pStyle w:val="5"/>
        <w:rPr>
          <w:color w:val="000000" w:themeColor="text1"/>
          <w:highlight w:val="yellow"/>
          <w14:textFill>
            <w14:solidFill>
              <w14:schemeClr w14:val="tx1"/>
            </w14:solidFill>
          </w14:textFill>
        </w:rPr>
      </w:pPr>
      <w:r>
        <w:rPr>
          <w:rFonts w:hint="eastAsia"/>
          <w:color w:val="000000" w:themeColor="text1"/>
          <w14:textFill>
            <w14:solidFill>
              <w14:schemeClr w14:val="tx1"/>
            </w14:solidFill>
          </w14:textFill>
        </w:rPr>
        <w:t>②线路经过居民区，输电线路预测导线对地高度7.5m，距离地面1.5m和4.5m处的电磁环境。</w:t>
      </w:r>
    </w:p>
    <w:p>
      <w:pPr>
        <w:wordWrap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相关预测参数及预测计算方案详见</w:t>
      </w:r>
      <w:r>
        <w:rPr>
          <w:b w:val="0"/>
          <w:bCs w:val="0"/>
          <w:color w:val="000000" w:themeColor="text1"/>
          <w:sz w:val="24"/>
          <w:szCs w:val="24"/>
          <w14:textFill>
            <w14:solidFill>
              <w14:schemeClr w14:val="tx1"/>
            </w14:solidFill>
          </w14:textFill>
        </w:rPr>
        <w:fldChar w:fldCharType="begin"/>
      </w:r>
      <w:r>
        <w:rPr>
          <w:b w:val="0"/>
          <w:bCs w:val="0"/>
        </w:rPr>
        <w:instrText xml:space="preserve"> REF _Ref80692268 \h  \* MERGEFORMAT</w:instrText>
      </w:r>
      <w:r>
        <w:rPr>
          <w:b w:val="0"/>
          <w:bCs w:val="0"/>
          <w:color w:val="000000" w:themeColor="text1"/>
          <w:sz w:val="24"/>
          <w:szCs w:val="24"/>
          <w14:textFill>
            <w14:solidFill>
              <w14:schemeClr w14:val="tx1"/>
            </w14:solidFill>
          </w14:textFill>
        </w:rPr>
        <w:fldChar w:fldCharType="separate"/>
      </w:r>
      <w:r>
        <w:rPr>
          <w:rFonts w:ascii="Times New Roman" w:hAnsi="Times New Roman" w:eastAsia="宋体"/>
          <w:b w:val="0"/>
          <w:bCs w:val="0"/>
          <w:color w:val="000000" w:themeColor="text1"/>
          <w:sz w:val="24"/>
          <w:szCs w:val="24"/>
          <w14:textFill>
            <w14:solidFill>
              <w14:schemeClr w14:val="tx1"/>
            </w14:solidFill>
          </w14:textFill>
        </w:rPr>
        <w:t>表43</w:t>
      </w:r>
      <w:r>
        <w:rPr>
          <w:b w:val="0"/>
          <w:bCs w:val="0"/>
          <w:color w:val="000000" w:themeColor="text1"/>
          <w:sz w:val="24"/>
          <w:szCs w:val="24"/>
          <w14:textFill>
            <w14:solidFill>
              <w14:schemeClr w14:val="tx1"/>
            </w14:solidFill>
          </w14:textFill>
        </w:rPr>
        <w:fldChar w:fldCharType="end"/>
      </w:r>
      <w:r>
        <w:rPr>
          <w:rFonts w:hint="eastAsia"/>
          <w:color w:val="000000" w:themeColor="text1"/>
          <w:sz w:val="24"/>
          <w14:textFill>
            <w14:solidFill>
              <w14:schemeClr w14:val="tx1"/>
            </w14:solidFill>
          </w14:textFill>
        </w:rPr>
        <w:t>。</w:t>
      </w:r>
    </w:p>
    <w:bookmarkEnd w:id="797"/>
    <w:p>
      <w:pPr>
        <w:pStyle w:val="10"/>
        <w:rPr>
          <w:rFonts w:ascii="Times New Roman" w:hAnsi="Times New Roman"/>
          <w:b/>
          <w:color w:val="000000" w:themeColor="text1"/>
          <w14:textFill>
            <w14:solidFill>
              <w14:schemeClr w14:val="tx1"/>
            </w14:solidFill>
          </w14:textFill>
        </w:rPr>
      </w:pPr>
      <w:bookmarkStart w:id="798" w:name="_Ref80692268"/>
      <w:r>
        <w:rPr>
          <w:rFonts w:ascii="Times New Roman" w:hAnsi="Times New Roman" w:eastAsia="宋体"/>
          <w:b/>
          <w:color w:val="000000" w:themeColor="text1"/>
          <w:szCs w:val="21"/>
          <w14:textFill>
            <w14:solidFill>
              <w14:schemeClr w14:val="tx1"/>
            </w14:solidFill>
          </w14:textFill>
        </w:rPr>
        <w:t>表</w:t>
      </w:r>
      <w:r>
        <w:rPr>
          <w:rFonts w:ascii="Times New Roman" w:hAnsi="Times New Roman" w:eastAsia="宋体"/>
          <w:b/>
          <w:color w:val="000000" w:themeColor="text1"/>
          <w:szCs w:val="21"/>
          <w14:textFill>
            <w14:solidFill>
              <w14:schemeClr w14:val="tx1"/>
            </w14:solidFill>
          </w14:textFill>
        </w:rPr>
        <w:fldChar w:fldCharType="begin"/>
      </w:r>
      <w:r>
        <w:rPr>
          <w:rFonts w:ascii="Times New Roman" w:hAnsi="Times New Roman" w:eastAsia="宋体"/>
          <w:b/>
          <w:color w:val="000000" w:themeColor="text1"/>
          <w:szCs w:val="21"/>
          <w14:textFill>
            <w14:solidFill>
              <w14:schemeClr w14:val="tx1"/>
            </w14:solidFill>
          </w14:textFill>
        </w:rPr>
        <w:instrText xml:space="preserve"> SEQ 表 \* ARABIC </w:instrText>
      </w:r>
      <w:r>
        <w:rPr>
          <w:rFonts w:ascii="Times New Roman" w:hAnsi="Times New Roman" w:eastAsia="宋体"/>
          <w:b/>
          <w:color w:val="000000" w:themeColor="text1"/>
          <w:szCs w:val="21"/>
          <w14:textFill>
            <w14:solidFill>
              <w14:schemeClr w14:val="tx1"/>
            </w14:solidFill>
          </w14:textFill>
        </w:rPr>
        <w:fldChar w:fldCharType="separate"/>
      </w:r>
      <w:r>
        <w:rPr>
          <w:rFonts w:ascii="Times New Roman" w:hAnsi="Times New Roman" w:eastAsia="宋体"/>
          <w:b/>
          <w:color w:val="000000" w:themeColor="text1"/>
          <w:szCs w:val="21"/>
          <w14:textFill>
            <w14:solidFill>
              <w14:schemeClr w14:val="tx1"/>
            </w14:solidFill>
          </w14:textFill>
        </w:rPr>
        <w:t>43</w:t>
      </w:r>
      <w:r>
        <w:rPr>
          <w:rFonts w:ascii="Times New Roman" w:hAnsi="Times New Roman" w:eastAsia="宋体"/>
          <w:b/>
          <w:color w:val="000000" w:themeColor="text1"/>
          <w:szCs w:val="21"/>
          <w14:textFill>
            <w14:solidFill>
              <w14:schemeClr w14:val="tx1"/>
            </w14:solidFill>
          </w14:textFill>
        </w:rPr>
        <w:fldChar w:fldCharType="end"/>
      </w:r>
      <w:bookmarkEnd w:id="798"/>
      <w:r>
        <w:rPr>
          <w:rFonts w:ascii="Times New Roman" w:hAnsi="Times New Roman" w:eastAsia="宋体"/>
          <w:b/>
          <w:color w:val="000000" w:themeColor="text1"/>
          <w14:textFill>
            <w14:solidFill>
              <w14:schemeClr w14:val="tx1"/>
            </w14:solidFill>
          </w14:textFill>
        </w:rPr>
        <w:t>本工程线路预测参数及方案</w:t>
      </w:r>
    </w:p>
    <w:tbl>
      <w:tblPr>
        <w:tblStyle w:val="37"/>
        <w:tblW w:w="511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79"/>
        <w:gridCol w:w="835"/>
        <w:gridCol w:w="1981"/>
        <w:gridCol w:w="7"/>
        <w:gridCol w:w="7"/>
        <w:gridCol w:w="1703"/>
        <w:gridCol w:w="25"/>
        <w:gridCol w:w="33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线路工程</w:t>
            </w:r>
          </w:p>
        </w:tc>
        <w:tc>
          <w:tcPr>
            <w:tcW w:w="2086" w:type="pct"/>
            <w:gridSpan w:val="5"/>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吐鲁番电厂-阿拉沟变Ⅰ、Ⅱ回π入伊拉湖变电站220千伏线路工程</w:t>
            </w:r>
          </w:p>
        </w:tc>
        <w:tc>
          <w:tcPr>
            <w:tcW w:w="1897"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吐鲁番电厂-阿拉沟变Ⅰ、Ⅱ回改接入托克逊变电站220千伏线路工程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线路回路数</w:t>
            </w:r>
          </w:p>
        </w:tc>
        <w:tc>
          <w:tcPr>
            <w:tcW w:w="1110"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220kV</w:t>
            </w:r>
            <w:r>
              <w:rPr>
                <w:rFonts w:hint="eastAsia"/>
                <w:color w:val="000000" w:themeColor="text1"/>
                <w:szCs w:val="21"/>
                <w14:textFill>
                  <w14:solidFill>
                    <w14:schemeClr w14:val="tx1"/>
                  </w14:solidFill>
                </w14:textFill>
              </w:rPr>
              <w:t>单回线路</w:t>
            </w:r>
          </w:p>
        </w:tc>
        <w:tc>
          <w:tcPr>
            <w:tcW w:w="975" w:type="pct"/>
            <w:gridSpan w:val="4"/>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220kV单回线路</w:t>
            </w:r>
          </w:p>
        </w:tc>
        <w:tc>
          <w:tcPr>
            <w:tcW w:w="1897"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220kV</w:t>
            </w:r>
            <w:r>
              <w:rPr>
                <w:rFonts w:hint="eastAsia"/>
                <w:color w:val="000000" w:themeColor="text1"/>
                <w:szCs w:val="21"/>
                <w14:textFill>
                  <w14:solidFill>
                    <w14:schemeClr w14:val="tx1"/>
                  </w14:solidFill>
                </w14:textFill>
              </w:rPr>
              <w:t>单回线路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杆塔型式</w:t>
            </w:r>
          </w:p>
        </w:tc>
        <w:tc>
          <w:tcPr>
            <w:tcW w:w="1110" w:type="pct"/>
            <w:tcBorders>
              <w:left w:val="single" w:color="auto" w:sz="4" w:space="0"/>
              <w:right w:val="single" w:color="auto" w:sz="4" w:space="0"/>
            </w:tcBorders>
            <w:vAlign w:val="center"/>
          </w:tcPr>
          <w:p>
            <w:pPr>
              <w:jc w:val="center"/>
              <w:rPr>
                <w:color w:val="000000" w:themeColor="text1"/>
                <w:kern w:val="0"/>
                <w:szCs w:val="21"/>
                <w14:textFill>
                  <w14:solidFill>
                    <w14:schemeClr w14:val="tx1"/>
                  </w14:solidFill>
                </w14:textFill>
              </w:rPr>
            </w:pPr>
            <w:r>
              <w:rPr>
                <w:rFonts w:hint="eastAsia"/>
                <w:color w:val="000000" w:themeColor="text1"/>
                <w14:textFill>
                  <w14:solidFill>
                    <w14:schemeClr w14:val="tx1"/>
                  </w14:solidFill>
                </w14:textFill>
              </w:rPr>
              <w:t>220-TLF-ZB1</w:t>
            </w:r>
          </w:p>
        </w:tc>
        <w:tc>
          <w:tcPr>
            <w:tcW w:w="975" w:type="pct"/>
            <w:gridSpan w:val="4"/>
            <w:tcBorders>
              <w:left w:val="single" w:color="auto" w:sz="4" w:space="0"/>
              <w:right w:val="single" w:color="auto" w:sz="4" w:space="0"/>
            </w:tcBorders>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220-TLF-ZB1</w:t>
            </w:r>
          </w:p>
        </w:tc>
        <w:tc>
          <w:tcPr>
            <w:tcW w:w="1897" w:type="pct"/>
            <w:tcBorders>
              <w:left w:val="single" w:color="auto" w:sz="4" w:space="0"/>
              <w:right w:val="single" w:color="auto" w:sz="4" w:space="0"/>
            </w:tcBorders>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220-HG-ZB2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导线类型</w:t>
            </w:r>
          </w:p>
        </w:tc>
        <w:tc>
          <w:tcPr>
            <w:tcW w:w="1114" w:type="pct"/>
            <w:gridSpan w:val="2"/>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szCs w:val="21"/>
              </w:rPr>
              <w:t>JL3/G1A-630/45</w:t>
            </w:r>
          </w:p>
        </w:tc>
        <w:tc>
          <w:tcPr>
            <w:tcW w:w="971" w:type="pct"/>
            <w:gridSpan w:val="3"/>
            <w:tcBorders>
              <w:left w:val="single" w:color="auto" w:sz="4" w:space="0"/>
              <w:right w:val="single" w:color="auto" w:sz="4" w:space="0"/>
            </w:tcBorders>
            <w:vAlign w:val="center"/>
          </w:tcPr>
          <w:p>
            <w:pPr>
              <w:jc w:val="center"/>
              <w:rPr>
                <w:color w:val="000000" w:themeColor="text1"/>
                <w14:textFill>
                  <w14:solidFill>
                    <w14:schemeClr w14:val="tx1"/>
                  </w14:solidFill>
                </w14:textFill>
              </w:rPr>
            </w:pPr>
            <w:r>
              <w:rPr>
                <w:rFonts w:hint="eastAsia"/>
                <w:color w:val="000000"/>
                <w:szCs w:val="21"/>
              </w:rPr>
              <w:t>JL3/G1A-400/35</w:t>
            </w:r>
          </w:p>
        </w:tc>
        <w:tc>
          <w:tcPr>
            <w:tcW w:w="1897"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szCs w:val="21"/>
              </w:rPr>
              <w:t>JL3/G1A-400/35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导线半径（</w:t>
            </w:r>
            <w:r>
              <w:rPr>
                <w:b/>
                <w:color w:val="000000" w:themeColor="text1"/>
                <w:szCs w:val="21"/>
                <w14:textFill>
                  <w14:solidFill>
                    <w14:schemeClr w14:val="tx1"/>
                  </w14:solidFill>
                </w14:textFill>
              </w:rPr>
              <w:t>m</w:t>
            </w:r>
            <w:r>
              <w:rPr>
                <w:rFonts w:hint="eastAsia"/>
                <w:b/>
                <w:color w:val="000000" w:themeColor="text1"/>
                <w:szCs w:val="21"/>
                <w14:textFill>
                  <w14:solidFill>
                    <w14:schemeClr w14:val="tx1"/>
                  </w14:solidFill>
                </w14:textFill>
              </w:rPr>
              <w:t>）</w:t>
            </w:r>
          </w:p>
        </w:tc>
        <w:tc>
          <w:tcPr>
            <w:tcW w:w="1118" w:type="pct"/>
            <w:gridSpan w:val="3"/>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0.0169</w:t>
            </w:r>
          </w:p>
        </w:tc>
        <w:tc>
          <w:tcPr>
            <w:tcW w:w="967" w:type="pct"/>
            <w:gridSpan w:val="2"/>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0.0134</w:t>
            </w:r>
          </w:p>
        </w:tc>
        <w:tc>
          <w:tcPr>
            <w:tcW w:w="1897"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0</w:t>
            </w:r>
            <w:r>
              <w:rPr>
                <w:color w:val="000000" w:themeColor="text1"/>
                <w:szCs w:val="21"/>
                <w14:textFill>
                  <w14:solidFill>
                    <w14:schemeClr w14:val="tx1"/>
                  </w14:solidFill>
                </w14:textFill>
              </w:rPr>
              <w:t>.0134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允许载流量（</w:t>
            </w:r>
            <w:r>
              <w:rPr>
                <w:b/>
                <w:color w:val="000000" w:themeColor="text1"/>
                <w:szCs w:val="21"/>
                <w14:textFill>
                  <w14:solidFill>
                    <w14:schemeClr w14:val="tx1"/>
                  </w14:solidFill>
                </w14:textFill>
              </w:rPr>
              <w:t>A</w:t>
            </w:r>
            <w:r>
              <w:rPr>
                <w:rFonts w:hint="eastAsia"/>
                <w:b/>
                <w:color w:val="000000" w:themeColor="text1"/>
                <w:szCs w:val="21"/>
                <w14:textFill>
                  <w14:solidFill>
                    <w14:schemeClr w14:val="tx1"/>
                  </w14:solidFill>
                </w14:textFill>
              </w:rPr>
              <w:t>）</w:t>
            </w:r>
          </w:p>
        </w:tc>
        <w:tc>
          <w:tcPr>
            <w:tcW w:w="1118" w:type="pct"/>
            <w:gridSpan w:val="3"/>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2364</w:t>
            </w:r>
          </w:p>
        </w:tc>
        <w:tc>
          <w:tcPr>
            <w:tcW w:w="967" w:type="pct"/>
            <w:gridSpan w:val="2"/>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1520</w:t>
            </w:r>
          </w:p>
        </w:tc>
        <w:tc>
          <w:tcPr>
            <w:tcW w:w="1897"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szCs w:val="21"/>
              </w:rPr>
              <w:t>1520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分裂数</w:t>
            </w:r>
          </w:p>
        </w:tc>
        <w:tc>
          <w:tcPr>
            <w:tcW w:w="3983" w:type="pct"/>
            <w:gridSpan w:val="6"/>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分裂间距</w:t>
            </w:r>
          </w:p>
        </w:tc>
        <w:tc>
          <w:tcPr>
            <w:tcW w:w="1114" w:type="pct"/>
            <w:gridSpan w:val="2"/>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w:t>
            </w:r>
            <w:r>
              <w:rPr>
                <w:color w:val="000000" w:themeColor="text1"/>
                <w:szCs w:val="21"/>
                <w14:textFill>
                  <w14:solidFill>
                    <w14:schemeClr w14:val="tx1"/>
                  </w14:solidFill>
                </w14:textFill>
              </w:rPr>
              <w:t>00</w:t>
            </w:r>
            <w:r>
              <w:rPr>
                <w:rFonts w:hint="eastAsia"/>
                <w:color w:val="000000" w:themeColor="text1"/>
                <w:szCs w:val="21"/>
                <w14:textFill>
                  <w14:solidFill>
                    <w14:schemeClr w14:val="tx1"/>
                  </w14:solidFill>
                </w14:textFill>
              </w:rPr>
              <w:t>mm</w:t>
            </w:r>
          </w:p>
        </w:tc>
        <w:tc>
          <w:tcPr>
            <w:tcW w:w="971" w:type="pct"/>
            <w:gridSpan w:val="3"/>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400mm</w:t>
            </w:r>
          </w:p>
        </w:tc>
        <w:tc>
          <w:tcPr>
            <w:tcW w:w="1897"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w:t>
            </w:r>
            <w:r>
              <w:rPr>
                <w:color w:val="000000" w:themeColor="text1"/>
                <w:szCs w:val="21"/>
                <w14:textFill>
                  <w14:solidFill>
                    <w14:schemeClr w14:val="tx1"/>
                  </w14:solidFill>
                </w14:textFill>
              </w:rPr>
              <w:t>00</w:t>
            </w:r>
            <w:r>
              <w:rPr>
                <w:rFonts w:hint="eastAsia"/>
                <w:color w:val="000000" w:themeColor="text1"/>
                <w:szCs w:val="21"/>
                <w14:textFill>
                  <w14:solidFill>
                    <w14:schemeClr w14:val="tx1"/>
                  </w14:solidFill>
                </w14:textFill>
              </w:rPr>
              <w:t>mm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导线排列方式</w:t>
            </w:r>
          </w:p>
        </w:tc>
        <w:tc>
          <w:tcPr>
            <w:tcW w:w="3983" w:type="pct"/>
            <w:gridSpan w:val="6"/>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水平排列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548" w:type="pct"/>
            <w:vMerge w:val="restart"/>
            <w:vAlign w:val="center"/>
          </w:tcPr>
          <w:p>
            <w:pP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导线间距（</w:t>
            </w:r>
            <w:r>
              <w:rPr>
                <w:b/>
                <w:color w:val="000000" w:themeColor="text1"/>
                <w:szCs w:val="21"/>
                <w14:textFill>
                  <w14:solidFill>
                    <w14:schemeClr w14:val="tx1"/>
                  </w14:solidFill>
                </w14:textFill>
              </w:rPr>
              <w:t>m</w:t>
            </w:r>
            <w:r>
              <w:rPr>
                <w:rFonts w:hint="eastAsia"/>
                <w:b/>
                <w:color w:val="000000" w:themeColor="text1"/>
                <w:szCs w:val="21"/>
                <w14:textFill>
                  <w14:solidFill>
                    <w14:schemeClr w14:val="tx1"/>
                  </w14:solidFill>
                </w14:textFill>
              </w:rPr>
              <w:t>）</w:t>
            </w:r>
          </w:p>
        </w:tc>
        <w:tc>
          <w:tcPr>
            <w:tcW w:w="467" w:type="pct"/>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水平</w:t>
            </w:r>
          </w:p>
        </w:tc>
        <w:tc>
          <w:tcPr>
            <w:tcW w:w="1110"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8.3/8.3</w:t>
            </w:r>
          </w:p>
        </w:tc>
        <w:tc>
          <w:tcPr>
            <w:tcW w:w="975" w:type="pct"/>
            <w:gridSpan w:val="4"/>
            <w:tcBorders>
              <w:left w:val="single" w:color="auto" w:sz="4" w:space="0"/>
              <w:right w:val="single" w:color="auto" w:sz="4" w:space="0"/>
            </w:tcBorders>
            <w:vAlign w:val="center"/>
          </w:tcPr>
          <w:p>
            <w:pPr>
              <w:pStyle w:val="46"/>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8.3/8.3</w:t>
            </w:r>
          </w:p>
        </w:tc>
        <w:tc>
          <w:tcPr>
            <w:tcW w:w="1897" w:type="pct"/>
            <w:tcBorders>
              <w:left w:val="single" w:color="auto" w:sz="4" w:space="0"/>
              <w:right w:val="single" w:color="auto" w:sz="4" w:space="0"/>
            </w:tcBorders>
            <w:vAlign w:val="center"/>
          </w:tcPr>
          <w:p>
            <w:pPr>
              <w:pStyle w:val="46"/>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7.9/7.9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548" w:type="pct"/>
            <w:vMerge w:val="continue"/>
            <w:vAlign w:val="center"/>
          </w:tcPr>
          <w:p>
            <w:pPr>
              <w:jc w:val="center"/>
              <w:rPr>
                <w:color w:val="000000" w:themeColor="text1"/>
                <w:szCs w:val="21"/>
                <w14:textFill>
                  <w14:solidFill>
                    <w14:schemeClr w14:val="tx1"/>
                  </w14:solidFill>
                </w14:textFill>
              </w:rPr>
            </w:pPr>
          </w:p>
        </w:tc>
        <w:tc>
          <w:tcPr>
            <w:tcW w:w="467" w:type="pct"/>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垂直</w:t>
            </w:r>
          </w:p>
        </w:tc>
        <w:tc>
          <w:tcPr>
            <w:tcW w:w="1110"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975" w:type="pct"/>
            <w:gridSpan w:val="4"/>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rPr>
              <w:t>0</w:t>
            </w:r>
          </w:p>
        </w:tc>
        <w:tc>
          <w:tcPr>
            <w:tcW w:w="1897"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5000" w:type="pct"/>
            <w:gridSpan w:val="8"/>
            <w:tcBorders>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一、底层导线对地最小距离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非居民区（</w:t>
            </w:r>
            <w:r>
              <w:rPr>
                <w:b/>
                <w:color w:val="000000" w:themeColor="text1"/>
                <w:szCs w:val="21"/>
                <w14:textFill>
                  <w14:solidFill>
                    <w14:schemeClr w14:val="tx1"/>
                  </w14:solidFill>
                </w14:textFill>
              </w:rPr>
              <w:t>m</w:t>
            </w:r>
            <w:r>
              <w:rPr>
                <w:rFonts w:hint="eastAsia"/>
                <w:b/>
                <w:color w:val="000000" w:themeColor="text1"/>
                <w:szCs w:val="21"/>
                <w14:textFill>
                  <w14:solidFill>
                    <w14:schemeClr w14:val="tx1"/>
                  </w14:solidFill>
                </w14:textFill>
              </w:rPr>
              <w:t>）</w:t>
            </w:r>
          </w:p>
        </w:tc>
        <w:tc>
          <w:tcPr>
            <w:tcW w:w="2086" w:type="pct"/>
            <w:gridSpan w:val="5"/>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6.5</w:t>
            </w:r>
          </w:p>
        </w:tc>
        <w:tc>
          <w:tcPr>
            <w:tcW w:w="1897"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84" w:hRule="atLeas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居民区（</w:t>
            </w:r>
            <w:r>
              <w:rPr>
                <w:b/>
                <w:color w:val="000000" w:themeColor="text1"/>
                <w:szCs w:val="21"/>
                <w14:textFill>
                  <w14:solidFill>
                    <w14:schemeClr w14:val="tx1"/>
                  </w14:solidFill>
                </w14:textFill>
              </w:rPr>
              <w:t>m</w:t>
            </w:r>
            <w:r>
              <w:rPr>
                <w:rFonts w:hint="eastAsia"/>
                <w:b/>
                <w:color w:val="000000" w:themeColor="text1"/>
                <w:szCs w:val="21"/>
                <w14:textFill>
                  <w14:solidFill>
                    <w14:schemeClr w14:val="tx1"/>
                  </w14:solidFill>
                </w14:textFill>
              </w:rPr>
              <w:t>）</w:t>
            </w:r>
          </w:p>
        </w:tc>
        <w:tc>
          <w:tcPr>
            <w:tcW w:w="2086" w:type="pct"/>
            <w:gridSpan w:val="5"/>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7.5</w:t>
            </w:r>
          </w:p>
        </w:tc>
        <w:tc>
          <w:tcPr>
            <w:tcW w:w="1897" w:type="pct"/>
            <w:tcBorders>
              <w:left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5000" w:type="pct"/>
            <w:gridSpan w:val="8"/>
            <w:tcBorders>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二、预测点位对地高度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 w:hRule="atLeas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非居民区</w:t>
            </w:r>
          </w:p>
        </w:tc>
        <w:tc>
          <w:tcPr>
            <w:tcW w:w="3983" w:type="pct"/>
            <w:gridSpan w:val="6"/>
            <w:tcBorders>
              <w:left w:val="single" w:color="auto" w:sz="4" w:space="0"/>
              <w:right w:val="single" w:color="auto" w:sz="4" w:space="0"/>
            </w:tcBorders>
            <w:vAlign w:val="center"/>
          </w:tcPr>
          <w:p>
            <w:pPr>
              <w:pStyle w:val="46"/>
              <w:jc w:val="center"/>
              <w:rPr>
                <w:sz w:val="21"/>
                <w:szCs w:val="21"/>
              </w:rPr>
            </w:pPr>
            <w:r>
              <w:rPr>
                <w:rFonts w:hint="eastAsia"/>
              </w:rPr>
              <w:t>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 w:hRule="atLeas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居民区</w:t>
            </w:r>
          </w:p>
        </w:tc>
        <w:tc>
          <w:tcPr>
            <w:tcW w:w="3983" w:type="pct"/>
            <w:gridSpan w:val="6"/>
            <w:tcBorders>
              <w:left w:val="single" w:color="auto" w:sz="4" w:space="0"/>
              <w:right w:val="single" w:color="auto" w:sz="4" w:space="0"/>
            </w:tcBorders>
            <w:vAlign w:val="center"/>
          </w:tcPr>
          <w:p>
            <w:pPr>
              <w:pStyle w:val="46"/>
              <w:jc w:val="center"/>
              <w:rPr>
                <w:sz w:val="21"/>
                <w:szCs w:val="21"/>
              </w:rPr>
            </w:pPr>
            <w:r>
              <w:rPr>
                <w:rFonts w:hint="eastAsia"/>
              </w:rPr>
              <w:t>1.5、4.5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37" w:hRule="atLeast"/>
          <w:jc w:val="center"/>
        </w:trPr>
        <w:tc>
          <w:tcPr>
            <w:tcW w:w="1016" w:type="pct"/>
            <w:gridSpan w:val="2"/>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预测杆塔示意图</w:t>
            </w:r>
          </w:p>
        </w:tc>
        <w:tc>
          <w:tcPr>
            <w:tcW w:w="2072" w:type="pct"/>
            <w:gridSpan w:val="4"/>
            <w:tcBorders>
              <w:left w:val="single" w:color="auto" w:sz="4" w:space="0"/>
              <w:right w:val="single" w:color="auto" w:sz="4" w:space="0"/>
            </w:tcBorders>
            <w:vAlign w:val="center"/>
          </w:tcPr>
          <w:p>
            <w:pPr>
              <w:pStyle w:val="46"/>
              <w:jc w:val="center"/>
            </w:pPr>
            <w:r>
              <w:drawing>
                <wp:inline distT="0" distB="0" distL="114300" distR="114300">
                  <wp:extent cx="2153920" cy="1564005"/>
                  <wp:effectExtent l="0" t="0" r="17780" b="17145"/>
                  <wp:docPr id="3"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0"/>
                          <pic:cNvPicPr>
                            <a:picLocks noChangeAspect="1"/>
                          </pic:cNvPicPr>
                        </pic:nvPicPr>
                        <pic:blipFill>
                          <a:blip r:embed="rId130"/>
                          <a:stretch>
                            <a:fillRect/>
                          </a:stretch>
                        </pic:blipFill>
                        <pic:spPr>
                          <a:xfrm>
                            <a:off x="0" y="0"/>
                            <a:ext cx="2153920" cy="1564005"/>
                          </a:xfrm>
                          <a:prstGeom prst="rect">
                            <a:avLst/>
                          </a:prstGeom>
                          <a:noFill/>
                          <a:ln>
                            <a:noFill/>
                          </a:ln>
                        </pic:spPr>
                      </pic:pic>
                    </a:graphicData>
                  </a:graphic>
                </wp:inline>
              </w:drawing>
            </w:r>
          </w:p>
        </w:tc>
        <w:tc>
          <w:tcPr>
            <w:tcW w:w="1911" w:type="pct"/>
            <w:gridSpan w:val="2"/>
            <w:tcBorders>
              <w:left w:val="single" w:color="auto" w:sz="4" w:space="0"/>
              <w:right w:val="single" w:color="auto" w:sz="4" w:space="0"/>
            </w:tcBorders>
            <w:vAlign w:val="center"/>
          </w:tcPr>
          <w:p>
            <w:pPr>
              <w:pStyle w:val="46"/>
              <w:jc w:val="center"/>
            </w:pPr>
            <w:r>
              <w:drawing>
                <wp:inline distT="0" distB="0" distL="114300" distR="114300">
                  <wp:extent cx="1975485" cy="1682115"/>
                  <wp:effectExtent l="0" t="0" r="5715" b="13335"/>
                  <wp:docPr id="4"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1"/>
                          <pic:cNvPicPr>
                            <a:picLocks noChangeAspect="1"/>
                          </pic:cNvPicPr>
                        </pic:nvPicPr>
                        <pic:blipFill>
                          <a:blip r:embed="rId131"/>
                          <a:stretch>
                            <a:fillRect/>
                          </a:stretch>
                        </pic:blipFill>
                        <pic:spPr>
                          <a:xfrm>
                            <a:off x="0" y="0"/>
                            <a:ext cx="1975485" cy="1682115"/>
                          </a:xfrm>
                          <a:prstGeom prst="rect">
                            <a:avLst/>
                          </a:prstGeom>
                          <a:noFill/>
                          <a:ln>
                            <a:noFill/>
                          </a:ln>
                        </pic:spPr>
                      </pic:pic>
                    </a:graphicData>
                  </a:graphic>
                </wp:inline>
              </w:drawing>
            </w:r>
          </w:p>
        </w:tc>
      </w:tr>
    </w:tbl>
    <w:p>
      <w:pPr>
        <w:pStyle w:val="2"/>
        <w:numPr>
          <w:ilvl w:val="2"/>
          <w:numId w:val="21"/>
        </w:numPr>
        <w:spacing w:before="0" w:after="0" w:line="360" w:lineRule="auto"/>
        <w:rPr>
          <w:rFonts w:cs="ˎ̥"/>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预测结果</w:t>
      </w:r>
    </w:p>
    <w:p>
      <w:pPr>
        <w:pStyle w:val="5"/>
      </w:pPr>
      <w:r>
        <w:rPr>
          <w:rFonts w:hint="eastAsia"/>
        </w:rPr>
        <w:t>1、吐鲁番电厂-阿拉沟变Ⅰ、Ⅱ回π入伊拉湖变220千伏线路工程（导线型号：2</w:t>
      </w:r>
      <w:r>
        <w:t>×</w:t>
      </w:r>
      <w:r>
        <w:rPr>
          <w:rFonts w:hint="eastAsia"/>
          <w:color w:val="000000" w:themeColor="text1"/>
          <w14:textFill>
            <w14:solidFill>
              <w14:schemeClr w14:val="tx1"/>
            </w14:solidFill>
          </w14:textFill>
        </w:rPr>
        <w:t>JL3/G1A-630/45</w:t>
      </w:r>
      <w:r>
        <w:rPr>
          <w:rFonts w:hint="eastAsia"/>
        </w:rPr>
        <w:t>）</w:t>
      </w:r>
    </w:p>
    <w:p>
      <w:pPr>
        <w:pStyle w:val="5"/>
      </w:pPr>
      <w:r>
        <w:rPr>
          <w:rFonts w:hint="eastAsia"/>
        </w:rPr>
        <w:t>（1）本工程拟建单回线路（导线型号：2</w:t>
      </w:r>
      <w:r>
        <w:t>×</w:t>
      </w:r>
      <w:r>
        <w:rPr>
          <w:rFonts w:hint="eastAsia"/>
          <w:color w:val="000000" w:themeColor="text1"/>
          <w14:textFill>
            <w14:solidFill>
              <w14:schemeClr w14:val="tx1"/>
            </w14:solidFill>
          </w14:textFill>
        </w:rPr>
        <w:t>JL3/G1A-630/45</w:t>
      </w:r>
      <w:r>
        <w:rPr>
          <w:rFonts w:hint="eastAsia"/>
        </w:rPr>
        <w:t>）最低线高下的工频电场强度及工频磁感应强度预测计算见</w:t>
      </w:r>
      <w:r>
        <w:rPr>
          <w:rFonts w:hint="eastAsia"/>
          <w:b w:val="0"/>
          <w:bCs w:val="0"/>
          <w:sz w:val="24"/>
          <w:szCs w:val="24"/>
        </w:rPr>
        <w:fldChar w:fldCharType="begin"/>
      </w:r>
      <w:r>
        <w:rPr>
          <w:b w:val="0"/>
          <w:bCs w:val="0"/>
        </w:rPr>
        <w:instrText xml:space="preserve"> REF _Ref30854 \h  \* MERGEFORMAT</w:instrText>
      </w:r>
      <w:r>
        <w:rPr>
          <w:rFonts w:hint="eastAsia"/>
          <w:b w:val="0"/>
          <w:bCs w:val="0"/>
          <w:sz w:val="24"/>
          <w:szCs w:val="24"/>
        </w:rPr>
        <w:fldChar w:fldCharType="separate"/>
      </w:r>
      <w:r>
        <w:rPr>
          <w:b w:val="0"/>
          <w:bCs w:val="0"/>
          <w:sz w:val="24"/>
          <w:szCs w:val="24"/>
        </w:rPr>
        <w:t>表44</w:t>
      </w:r>
      <w:r>
        <w:rPr>
          <w:rFonts w:hint="eastAsia"/>
          <w:b w:val="0"/>
          <w:bCs w:val="0"/>
          <w:sz w:val="24"/>
          <w:szCs w:val="24"/>
        </w:rPr>
        <w:fldChar w:fldCharType="end"/>
      </w:r>
      <w:r>
        <w:rPr>
          <w:rFonts w:hint="eastAsia"/>
        </w:rPr>
        <w:t>，相应变化趋势见</w:t>
      </w:r>
      <w:r>
        <w:rPr>
          <w:rFonts w:hint="eastAsia"/>
          <w:b w:val="0"/>
          <w:bCs w:val="0"/>
        </w:rPr>
        <w:fldChar w:fldCharType="begin"/>
      </w:r>
      <w:r>
        <w:rPr>
          <w:b w:val="0"/>
          <w:bCs w:val="0"/>
        </w:rPr>
        <w:instrText xml:space="preserve"> REF _Ref21501 \h  \* MERGEFORMAT</w:instrText>
      </w:r>
      <w:r>
        <w:rPr>
          <w:rFonts w:hint="eastAsia"/>
          <w:b w:val="0"/>
          <w:bCs w:val="0"/>
        </w:rPr>
        <w:fldChar w:fldCharType="separate"/>
      </w:r>
      <w:r>
        <w:rPr>
          <w:rFonts w:hint="eastAsia"/>
          <w:b w:val="0"/>
          <w:bCs w:val="0"/>
          <w:color w:val="000000" w:themeColor="text1"/>
          <w:szCs w:val="21"/>
          <w14:textFill>
            <w14:solidFill>
              <w14:schemeClr w14:val="tx1"/>
            </w14:solidFill>
          </w14:textFill>
        </w:rPr>
        <w:t>图</w:t>
      </w:r>
      <w:r>
        <w:rPr>
          <w:b w:val="0"/>
          <w:bCs w:val="0"/>
          <w:color w:val="000000" w:themeColor="text1"/>
          <w:szCs w:val="21"/>
          <w14:textFill>
            <w14:solidFill>
              <w14:schemeClr w14:val="tx1"/>
            </w14:solidFill>
          </w14:textFill>
        </w:rPr>
        <w:t>13</w:t>
      </w:r>
      <w:r>
        <w:rPr>
          <w:rFonts w:hint="eastAsia"/>
          <w:b w:val="0"/>
          <w:bCs w:val="0"/>
        </w:rPr>
        <w:fldChar w:fldCharType="end"/>
      </w:r>
      <w:r>
        <w:rPr>
          <w:b w:val="0"/>
          <w:bCs w:val="0"/>
        </w:rPr>
        <w:t>~</w:t>
      </w:r>
      <w:bookmarkStart w:id="799" w:name="_Ref444676533"/>
      <w:r>
        <w:rPr>
          <w:b w:val="0"/>
          <w:bCs w:val="0"/>
        </w:rPr>
        <w:fldChar w:fldCharType="begin"/>
      </w:r>
      <w:r>
        <w:rPr>
          <w:b w:val="0"/>
          <w:bCs w:val="0"/>
        </w:rPr>
        <w:instrText xml:space="preserve"> REF _Ref30939 \h  \* MERGEFORMAT</w:instrText>
      </w:r>
      <w:r>
        <w:rPr>
          <w:b w:val="0"/>
          <w:bCs w:val="0"/>
        </w:rPr>
        <w:fldChar w:fldCharType="separate"/>
      </w:r>
      <w:r>
        <w:rPr>
          <w:rFonts w:ascii="Times New Roman" w:hAnsi="Times New Roman" w:eastAsia="宋体"/>
          <w:b w:val="0"/>
          <w:bCs w:val="0"/>
        </w:rPr>
        <w:t>图15</w:t>
      </w:r>
      <w:r>
        <w:rPr>
          <w:b w:val="0"/>
          <w:bCs w:val="0"/>
        </w:rPr>
        <w:fldChar w:fldCharType="end"/>
      </w:r>
      <w:r>
        <w:rPr>
          <w:rFonts w:hint="eastAsia"/>
        </w:rPr>
        <w:t>。</w:t>
      </w:r>
      <w:bookmarkEnd w:id="799"/>
      <w:bookmarkStart w:id="800" w:name="_Ref21129"/>
      <w:bookmarkStart w:id="801" w:name="_Ref80695548"/>
    </w:p>
    <w:p>
      <w:pPr>
        <w:pStyle w:val="5"/>
        <w:spacing w:line="240" w:lineRule="auto"/>
        <w:ind w:firstLine="0" w:firstLineChars="0"/>
        <w:rPr>
          <w:rFonts w:eastAsia="黑体"/>
          <w:b/>
        </w:rPr>
      </w:pPr>
      <w:bookmarkStart w:id="802" w:name="_Ref30854"/>
      <w:r>
        <w:rPr>
          <w:b/>
          <w:sz w:val="21"/>
          <w:szCs w:val="21"/>
        </w:rPr>
        <w:t>表</w:t>
      </w:r>
      <w:r>
        <w:rPr>
          <w:b/>
          <w:sz w:val="21"/>
          <w:szCs w:val="21"/>
        </w:rPr>
        <w:fldChar w:fldCharType="begin"/>
      </w:r>
      <w:r>
        <w:rPr>
          <w:b/>
          <w:sz w:val="21"/>
          <w:szCs w:val="21"/>
        </w:rPr>
        <w:instrText xml:space="preserve"> SEQ 表 \* ARABIC </w:instrText>
      </w:r>
      <w:r>
        <w:rPr>
          <w:b/>
          <w:sz w:val="21"/>
          <w:szCs w:val="21"/>
        </w:rPr>
        <w:fldChar w:fldCharType="separate"/>
      </w:r>
      <w:r>
        <w:rPr>
          <w:b/>
          <w:sz w:val="21"/>
          <w:szCs w:val="21"/>
        </w:rPr>
        <w:t>44</w:t>
      </w:r>
      <w:r>
        <w:rPr>
          <w:b/>
          <w:sz w:val="21"/>
          <w:szCs w:val="21"/>
        </w:rPr>
        <w:fldChar w:fldCharType="end"/>
      </w:r>
      <w:bookmarkEnd w:id="800"/>
      <w:bookmarkEnd w:id="802"/>
      <w:r>
        <w:rPr>
          <w:rFonts w:hint="eastAsia"/>
          <w:b/>
          <w:sz w:val="21"/>
          <w:szCs w:val="21"/>
        </w:rPr>
        <w:t xml:space="preserve"> </w:t>
      </w:r>
      <w:r>
        <w:rPr>
          <w:b/>
          <w:sz w:val="21"/>
          <w:szCs w:val="21"/>
        </w:rPr>
        <w:t>220kV单回线路工频电场强度</w:t>
      </w:r>
      <w:r>
        <w:rPr>
          <w:rFonts w:hint="eastAsia"/>
          <w:b/>
          <w:sz w:val="21"/>
          <w:szCs w:val="21"/>
        </w:rPr>
        <w:t>及工频磁感应强度</w:t>
      </w:r>
      <w:r>
        <w:rPr>
          <w:b/>
          <w:sz w:val="21"/>
          <w:szCs w:val="21"/>
        </w:rPr>
        <w:t>预测结果</w:t>
      </w:r>
      <w:r>
        <w:rPr>
          <w:rFonts w:hint="eastAsia"/>
          <w:b/>
          <w:color w:val="000000" w:themeColor="text1"/>
          <w:sz w:val="21"/>
          <w:szCs w:val="21"/>
          <w14:textFill>
            <w14:solidFill>
              <w14:schemeClr w14:val="tx1"/>
            </w14:solidFill>
          </w14:textFill>
        </w:rPr>
        <w:t>（</w:t>
      </w:r>
      <w:r>
        <w:rPr>
          <w:b/>
          <w:color w:val="000000" w:themeColor="text1"/>
          <w:sz w:val="21"/>
          <w:szCs w:val="21"/>
          <w14:textFill>
            <w14:solidFill>
              <w14:schemeClr w14:val="tx1"/>
            </w14:solidFill>
          </w14:textFill>
        </w:rPr>
        <w:t>2×JL3/G1A-</w:t>
      </w:r>
      <w:r>
        <w:rPr>
          <w:rFonts w:hint="eastAsia"/>
          <w:b/>
          <w:color w:val="000000" w:themeColor="text1"/>
          <w:sz w:val="21"/>
          <w:szCs w:val="21"/>
          <w14:textFill>
            <w14:solidFill>
              <w14:schemeClr w14:val="tx1"/>
            </w14:solidFill>
          </w14:textFill>
        </w:rPr>
        <w:t>630/45型导线）</w:t>
      </w:r>
    </w:p>
    <w:tbl>
      <w:tblPr>
        <w:tblStyle w:val="37"/>
        <w:tblW w:w="50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110"/>
        <w:gridCol w:w="1211"/>
        <w:gridCol w:w="1092"/>
        <w:gridCol w:w="1094"/>
        <w:gridCol w:w="1092"/>
        <w:gridCol w:w="1090"/>
        <w:gridCol w:w="1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180" w:type="pct"/>
            <w:gridSpan w:val="2"/>
            <w:tcBorders>
              <w:tl2br w:val="single" w:color="auto" w:sz="4" w:space="0"/>
            </w:tcBorders>
            <w:shd w:val="clear" w:color="auto" w:fill="auto"/>
          </w:tcPr>
          <w:p>
            <w:pPr>
              <w:widowControl/>
              <w:jc w:val="right"/>
              <w:rPr>
                <w:b/>
                <w:bCs/>
                <w:color w:val="000000"/>
                <w:kern w:val="0"/>
                <w:szCs w:val="21"/>
              </w:rPr>
            </w:pPr>
            <w:r>
              <w:rPr>
                <w:rFonts w:hint="eastAsia"/>
                <w:b/>
                <w:bCs/>
                <w:color w:val="000000"/>
                <w:kern w:val="0"/>
                <w:szCs w:val="21"/>
              </w:rPr>
              <w:t>项目</w:t>
            </w:r>
          </w:p>
          <w:p>
            <w:pPr>
              <w:pStyle w:val="36"/>
              <w:spacing w:after="0"/>
              <w:ind w:left="0" w:leftChars="0" w:firstLine="0"/>
            </w:pPr>
            <w:r>
              <w:rPr>
                <w:rFonts w:hint="eastAsia"/>
                <w:b/>
                <w:bCs/>
                <w:color w:val="000000"/>
                <w:sz w:val="21"/>
                <w:szCs w:val="21"/>
              </w:rPr>
              <w:t>与线路关系</w:t>
            </w:r>
          </w:p>
        </w:tc>
        <w:tc>
          <w:tcPr>
            <w:tcW w:w="1944" w:type="pct"/>
            <w:gridSpan w:val="3"/>
            <w:shd w:val="clear" w:color="auto" w:fill="auto"/>
            <w:vAlign w:val="center"/>
          </w:tcPr>
          <w:p>
            <w:pPr>
              <w:widowControl/>
              <w:jc w:val="center"/>
              <w:rPr>
                <w:b/>
                <w:bCs/>
                <w:color w:val="000000"/>
                <w:kern w:val="0"/>
                <w:szCs w:val="21"/>
              </w:rPr>
            </w:pPr>
            <w:r>
              <w:rPr>
                <w:rFonts w:hint="eastAsia"/>
                <w:b/>
                <w:bCs/>
                <w:color w:val="000000"/>
                <w:kern w:val="0"/>
                <w:szCs w:val="21"/>
              </w:rPr>
              <w:t>工频电场强度（</w:t>
            </w:r>
            <w:r>
              <w:rPr>
                <w:rFonts w:cs="ˎ̥"/>
                <w:b/>
                <w:bCs/>
                <w:color w:val="000000"/>
                <w:szCs w:val="21"/>
              </w:rPr>
              <w:t>kV</w:t>
            </w:r>
            <w:r>
              <w:rPr>
                <w:rFonts w:hint="eastAsia" w:cs="ˎ̥"/>
                <w:b/>
                <w:bCs/>
                <w:color w:val="000000"/>
                <w:szCs w:val="21"/>
              </w:rPr>
              <w:t>/m)</w:t>
            </w:r>
          </w:p>
        </w:tc>
        <w:tc>
          <w:tcPr>
            <w:tcW w:w="1875" w:type="pct"/>
            <w:gridSpan w:val="3"/>
            <w:shd w:val="clear" w:color="auto" w:fill="auto"/>
            <w:vAlign w:val="center"/>
          </w:tcPr>
          <w:p>
            <w:pPr>
              <w:widowControl/>
              <w:jc w:val="center"/>
              <w:rPr>
                <w:b/>
                <w:bCs/>
                <w:color w:val="000000"/>
                <w:kern w:val="0"/>
                <w:szCs w:val="21"/>
              </w:rPr>
            </w:pPr>
            <w:r>
              <w:rPr>
                <w:rFonts w:hint="eastAsia"/>
                <w:b/>
                <w:bCs/>
                <w:color w:val="000000"/>
                <w:kern w:val="0"/>
                <w:szCs w:val="21"/>
              </w:rPr>
              <w:t>工频磁感应强度（</w:t>
            </w:r>
            <w:r>
              <w:rPr>
                <w:rFonts w:hint="eastAsia"/>
                <w:color w:val="000000"/>
                <w:szCs w:val="21"/>
              </w:rPr>
              <w:t>µT）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545" w:type="pct"/>
            <w:vMerge w:val="restart"/>
            <w:shd w:val="clear" w:color="auto" w:fill="auto"/>
            <w:vAlign w:val="center"/>
          </w:tcPr>
          <w:p>
            <w:pPr>
              <w:widowControl/>
              <w:jc w:val="center"/>
              <w:rPr>
                <w:b/>
                <w:bCs/>
                <w:color w:val="000000"/>
                <w:kern w:val="0"/>
                <w:szCs w:val="21"/>
              </w:rPr>
            </w:pPr>
            <w:r>
              <w:rPr>
                <w:rFonts w:hint="eastAsia"/>
                <w:b/>
                <w:bCs/>
                <w:color w:val="000000"/>
                <w:kern w:val="0"/>
                <w:szCs w:val="21"/>
              </w:rPr>
              <w:t>距线路中心的距离</w:t>
            </w:r>
            <w:r>
              <w:rPr>
                <w:b/>
                <w:bCs/>
                <w:color w:val="000000"/>
                <w:kern w:val="0"/>
                <w:szCs w:val="21"/>
              </w:rPr>
              <w:t>(m)</w:t>
            </w:r>
          </w:p>
        </w:tc>
        <w:tc>
          <w:tcPr>
            <w:tcW w:w="635" w:type="pct"/>
            <w:vMerge w:val="restart"/>
            <w:shd w:val="clear" w:color="auto" w:fill="auto"/>
            <w:vAlign w:val="center"/>
          </w:tcPr>
          <w:p>
            <w:pPr>
              <w:widowControl/>
              <w:jc w:val="center"/>
              <w:rPr>
                <w:b/>
                <w:bCs/>
                <w:color w:val="000000"/>
                <w:kern w:val="0"/>
                <w:szCs w:val="21"/>
              </w:rPr>
            </w:pPr>
            <w:r>
              <w:rPr>
                <w:rFonts w:hint="eastAsia"/>
                <w:b/>
                <w:bCs/>
                <w:color w:val="000000"/>
                <w:kern w:val="0"/>
                <w:szCs w:val="21"/>
              </w:rPr>
              <w:t>距边导线距离</w:t>
            </w:r>
            <w:r>
              <w:rPr>
                <w:b/>
                <w:bCs/>
                <w:color w:val="000000"/>
                <w:kern w:val="0"/>
                <w:szCs w:val="21"/>
              </w:rPr>
              <w:t>(m)</w:t>
            </w:r>
          </w:p>
        </w:tc>
        <w:tc>
          <w:tcPr>
            <w:tcW w:w="693" w:type="pct"/>
            <w:shd w:val="clear" w:color="auto" w:fill="auto"/>
            <w:vAlign w:val="center"/>
          </w:tcPr>
          <w:p>
            <w:pPr>
              <w:widowControl/>
              <w:jc w:val="center"/>
              <w:rPr>
                <w:b/>
                <w:bCs/>
                <w:color w:val="000000"/>
                <w:kern w:val="0"/>
                <w:szCs w:val="21"/>
              </w:rPr>
            </w:pPr>
            <w:r>
              <w:rPr>
                <w:rFonts w:hint="eastAsia"/>
                <w:color w:val="000000"/>
                <w:szCs w:val="21"/>
              </w:rPr>
              <w:t>导线对地</w:t>
            </w:r>
            <w:r>
              <w:rPr>
                <w:color w:val="000000"/>
                <w:szCs w:val="21"/>
              </w:rPr>
              <w:t>6</w:t>
            </w:r>
            <w:r>
              <w:rPr>
                <w:rFonts w:hint="eastAsia"/>
                <w:color w:val="000000"/>
                <w:szCs w:val="21"/>
              </w:rPr>
              <w:t>.5</w:t>
            </w:r>
            <w:r>
              <w:rPr>
                <w:color w:val="000000"/>
                <w:szCs w:val="21"/>
              </w:rPr>
              <w:t>m</w:t>
            </w:r>
          </w:p>
        </w:tc>
        <w:tc>
          <w:tcPr>
            <w:tcW w:w="1250" w:type="pct"/>
            <w:gridSpan w:val="2"/>
            <w:shd w:val="clear" w:color="auto" w:fill="auto"/>
            <w:vAlign w:val="center"/>
          </w:tcPr>
          <w:p>
            <w:pPr>
              <w:widowControl/>
              <w:jc w:val="center"/>
              <w:rPr>
                <w:b/>
                <w:bCs/>
                <w:color w:val="000000"/>
                <w:kern w:val="0"/>
                <w:szCs w:val="21"/>
              </w:rPr>
            </w:pPr>
            <w:r>
              <w:rPr>
                <w:rFonts w:hint="eastAsia"/>
                <w:color w:val="000000"/>
                <w:szCs w:val="21"/>
              </w:rPr>
              <w:t>导线对地</w:t>
            </w:r>
            <w:r>
              <w:rPr>
                <w:color w:val="000000"/>
                <w:szCs w:val="21"/>
              </w:rPr>
              <w:t>7</w:t>
            </w:r>
            <w:r>
              <w:rPr>
                <w:rFonts w:hint="eastAsia"/>
                <w:color w:val="000000"/>
                <w:szCs w:val="21"/>
              </w:rPr>
              <w:t>.5</w:t>
            </w:r>
            <w:r>
              <w:rPr>
                <w:color w:val="000000"/>
                <w:szCs w:val="21"/>
              </w:rPr>
              <w:t>m</w:t>
            </w:r>
          </w:p>
        </w:tc>
        <w:tc>
          <w:tcPr>
            <w:tcW w:w="625" w:type="pct"/>
            <w:shd w:val="clear" w:color="auto" w:fill="auto"/>
            <w:vAlign w:val="center"/>
          </w:tcPr>
          <w:p>
            <w:pPr>
              <w:widowControl/>
              <w:jc w:val="center"/>
              <w:rPr>
                <w:b/>
                <w:bCs/>
                <w:color w:val="000000"/>
                <w:kern w:val="0"/>
                <w:szCs w:val="21"/>
              </w:rPr>
            </w:pPr>
            <w:r>
              <w:rPr>
                <w:rFonts w:hint="eastAsia"/>
                <w:color w:val="000000"/>
                <w:szCs w:val="21"/>
              </w:rPr>
              <w:t>导线对地</w:t>
            </w:r>
            <w:r>
              <w:rPr>
                <w:color w:val="000000"/>
                <w:szCs w:val="21"/>
              </w:rPr>
              <w:t>6</w:t>
            </w:r>
            <w:r>
              <w:rPr>
                <w:rFonts w:hint="eastAsia"/>
                <w:color w:val="000000"/>
                <w:szCs w:val="21"/>
              </w:rPr>
              <w:t>.5</w:t>
            </w:r>
            <w:r>
              <w:rPr>
                <w:color w:val="000000"/>
                <w:szCs w:val="21"/>
              </w:rPr>
              <w:t>m</w:t>
            </w:r>
          </w:p>
        </w:tc>
        <w:tc>
          <w:tcPr>
            <w:tcW w:w="1249" w:type="pct"/>
            <w:gridSpan w:val="2"/>
            <w:vAlign w:val="center"/>
          </w:tcPr>
          <w:p>
            <w:pPr>
              <w:widowControl/>
              <w:jc w:val="center"/>
              <w:rPr>
                <w:b/>
                <w:bCs/>
                <w:color w:val="000000"/>
                <w:kern w:val="0"/>
                <w:szCs w:val="21"/>
              </w:rPr>
            </w:pPr>
            <w:r>
              <w:rPr>
                <w:rFonts w:hint="eastAsia"/>
                <w:color w:val="000000"/>
                <w:szCs w:val="21"/>
              </w:rPr>
              <w:t>导线对地</w:t>
            </w:r>
            <w:r>
              <w:rPr>
                <w:color w:val="000000"/>
                <w:szCs w:val="21"/>
              </w:rPr>
              <w:t>7</w:t>
            </w:r>
            <w:r>
              <w:rPr>
                <w:rFonts w:hint="eastAsia"/>
                <w:color w:val="000000"/>
                <w:szCs w:val="21"/>
              </w:rPr>
              <w:t>.5</w:t>
            </w:r>
            <w:r>
              <w:rPr>
                <w:color w:val="000000"/>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Merge w:val="continue"/>
            <w:shd w:val="clear" w:color="auto" w:fill="auto"/>
            <w:vAlign w:val="center"/>
          </w:tcPr>
          <w:p>
            <w:pPr>
              <w:widowControl/>
              <w:jc w:val="center"/>
              <w:rPr>
                <w:b/>
                <w:bCs/>
                <w:color w:val="000000"/>
                <w:kern w:val="0"/>
                <w:szCs w:val="21"/>
              </w:rPr>
            </w:pPr>
          </w:p>
        </w:tc>
        <w:tc>
          <w:tcPr>
            <w:tcW w:w="635" w:type="pct"/>
            <w:vMerge w:val="continue"/>
            <w:shd w:val="clear" w:color="auto" w:fill="auto"/>
            <w:vAlign w:val="center"/>
          </w:tcPr>
          <w:p>
            <w:pPr>
              <w:widowControl/>
              <w:jc w:val="center"/>
              <w:rPr>
                <w:b/>
                <w:bCs/>
                <w:color w:val="000000"/>
                <w:kern w:val="0"/>
                <w:szCs w:val="21"/>
              </w:rPr>
            </w:pPr>
          </w:p>
        </w:tc>
        <w:tc>
          <w:tcPr>
            <w:tcW w:w="693" w:type="pct"/>
            <w:shd w:val="clear" w:color="auto" w:fill="auto"/>
            <w:vAlign w:val="center"/>
          </w:tcPr>
          <w:p>
            <w:pPr>
              <w:widowControl/>
              <w:jc w:val="center"/>
              <w:rPr>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5" w:type="pct"/>
            <w:vAlign w:val="center"/>
          </w:tcPr>
          <w:p>
            <w:pPr>
              <w:widowControl/>
              <w:jc w:val="center"/>
              <w:rPr>
                <w:b/>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5" w:type="pct"/>
            <w:vAlign w:val="center"/>
          </w:tcPr>
          <w:p>
            <w:pPr>
              <w:widowControl/>
              <w:jc w:val="center"/>
              <w:rPr>
                <w:b/>
                <w:bCs/>
                <w:color w:val="000000"/>
                <w:kern w:val="0"/>
                <w:szCs w:val="21"/>
              </w:rPr>
            </w:pPr>
            <w:r>
              <w:rPr>
                <w:bCs/>
                <w:color w:val="000000"/>
                <w:kern w:val="0"/>
                <w:szCs w:val="21"/>
              </w:rPr>
              <w:t>地面4.5m</w:t>
            </w:r>
          </w:p>
        </w:tc>
        <w:tc>
          <w:tcPr>
            <w:tcW w:w="625" w:type="pct"/>
            <w:vAlign w:val="center"/>
          </w:tcPr>
          <w:p>
            <w:pPr>
              <w:widowControl/>
              <w:jc w:val="center"/>
              <w:rPr>
                <w:b/>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4" w:type="pct"/>
            <w:vAlign w:val="center"/>
          </w:tcPr>
          <w:p>
            <w:pPr>
              <w:widowControl/>
              <w:jc w:val="center"/>
              <w:rPr>
                <w:b/>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5" w:type="pct"/>
            <w:vAlign w:val="center"/>
          </w:tcPr>
          <w:p>
            <w:pPr>
              <w:widowControl/>
              <w:jc w:val="center"/>
              <w:rPr>
                <w:b/>
                <w:bCs/>
                <w:color w:val="000000"/>
                <w:kern w:val="0"/>
                <w:szCs w:val="21"/>
              </w:rPr>
            </w:pPr>
            <w:r>
              <w:rPr>
                <w:bCs/>
                <w:color w:val="000000"/>
                <w:kern w:val="0"/>
                <w:szCs w:val="21"/>
              </w:rPr>
              <w:t>地面4.5m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0.0</w:t>
            </w:r>
          </w:p>
        </w:tc>
        <w:tc>
          <w:tcPr>
            <w:tcW w:w="635" w:type="pct"/>
            <w:vMerge w:val="restart"/>
            <w:vAlign w:val="center"/>
          </w:tcPr>
          <w:p>
            <w:pPr>
              <w:widowControl/>
              <w:jc w:val="center"/>
              <w:rPr>
                <w:b/>
                <w:bCs/>
                <w:color w:val="000000"/>
                <w:kern w:val="0"/>
                <w:szCs w:val="21"/>
              </w:rPr>
            </w:pPr>
            <w:r>
              <w:rPr>
                <w:rFonts w:hint="eastAsia" w:cs="宋体"/>
                <w:color w:val="000000"/>
                <w:kern w:val="0"/>
                <w:szCs w:val="21"/>
                <w:lang w:bidi="ar"/>
              </w:rPr>
              <w:t>边导线内</w:t>
            </w:r>
          </w:p>
        </w:tc>
        <w:tc>
          <w:tcPr>
            <w:tcW w:w="693"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b/>
                <w:color w:val="000000"/>
                <w:szCs w:val="21"/>
              </w:rPr>
            </w:pPr>
            <w:r>
              <w:rPr>
                <w:rFonts w:hint="eastAsia"/>
                <w:b/>
                <w:color w:val="000000"/>
                <w:szCs w:val="21"/>
              </w:rPr>
              <w:t>/</w:t>
            </w:r>
          </w:p>
        </w:tc>
        <w:tc>
          <w:tcPr>
            <w:tcW w:w="624" w:type="pct"/>
            <w:vAlign w:val="bottom"/>
          </w:tcPr>
          <w:p>
            <w:pPr>
              <w:widowControl/>
              <w:jc w:val="center"/>
              <w:textAlignment w:val="bottom"/>
              <w:rPr>
                <w:b/>
                <w:bCs/>
                <w:color w:val="000000"/>
                <w:kern w:val="0"/>
                <w:szCs w:val="21"/>
                <w:lang w:bidi="ar"/>
              </w:rPr>
            </w:pPr>
            <w:r>
              <w:rPr>
                <w:rFonts w:hint="eastAsia"/>
                <w:b/>
                <w:color w:val="000000"/>
                <w:szCs w:val="21"/>
              </w:rPr>
              <w:t>/</w:t>
            </w:r>
          </w:p>
        </w:tc>
        <w:tc>
          <w:tcPr>
            <w:tcW w:w="625" w:type="pct"/>
            <w:vAlign w:val="bottom"/>
          </w:tcPr>
          <w:p>
            <w:pPr>
              <w:widowControl/>
              <w:jc w:val="center"/>
              <w:textAlignment w:val="bottom"/>
              <w:rPr>
                <w:b/>
                <w:bCs/>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5"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5"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3.0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5"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4.0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5"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5.0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5"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6.0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kern w:val="0"/>
                <w:szCs w:val="21"/>
                <w:lang w:bidi="ar"/>
              </w:rPr>
            </w:pPr>
            <w:r>
              <w:rPr>
                <w:color w:val="000000"/>
                <w:kern w:val="0"/>
                <w:szCs w:val="21"/>
                <w:lang w:bidi="ar"/>
              </w:rPr>
              <w:t>6.03</w:t>
            </w:r>
          </w:p>
        </w:tc>
        <w:tc>
          <w:tcPr>
            <w:tcW w:w="625" w:type="pct"/>
            <w:vAlign w:val="bottom"/>
          </w:tcPr>
          <w:p>
            <w:pPr>
              <w:widowControl/>
              <w:jc w:val="center"/>
              <w:textAlignment w:val="bottom"/>
              <w:rPr>
                <w:color w:val="000000"/>
                <w:kern w:val="0"/>
                <w:szCs w:val="21"/>
                <w:lang w:bidi="ar"/>
              </w:rPr>
            </w:pPr>
            <w:r>
              <w:rPr>
                <w:color w:val="000000"/>
                <w:kern w:val="0"/>
                <w:szCs w:val="21"/>
                <w:lang w:bidi="ar"/>
              </w:rPr>
              <w:t>4.92</w:t>
            </w:r>
          </w:p>
        </w:tc>
        <w:tc>
          <w:tcPr>
            <w:tcW w:w="625" w:type="pct"/>
            <w:vAlign w:val="bottom"/>
          </w:tcPr>
          <w:p>
            <w:pPr>
              <w:widowControl/>
              <w:jc w:val="center"/>
              <w:textAlignment w:val="bottom"/>
              <w:rPr>
                <w:color w:val="000000"/>
                <w:kern w:val="0"/>
                <w:szCs w:val="21"/>
                <w:lang w:bidi="ar"/>
              </w:rPr>
            </w:pPr>
            <w:r>
              <w:rPr>
                <w:color w:val="000000"/>
                <w:kern w:val="0"/>
                <w:szCs w:val="21"/>
                <w:lang w:bidi="ar"/>
              </w:rPr>
              <w:t>8.88</w:t>
            </w:r>
          </w:p>
        </w:tc>
        <w:tc>
          <w:tcPr>
            <w:tcW w:w="625" w:type="pct"/>
            <w:vAlign w:val="bottom"/>
          </w:tcPr>
          <w:p>
            <w:pPr>
              <w:widowControl/>
              <w:jc w:val="center"/>
              <w:textAlignment w:val="bottom"/>
              <w:rPr>
                <w:color w:val="000000"/>
                <w:kern w:val="0"/>
                <w:szCs w:val="21"/>
                <w:lang w:bidi="ar"/>
              </w:rPr>
            </w:pPr>
            <w:r>
              <w:rPr>
                <w:b/>
                <w:bCs/>
                <w:color w:val="000000"/>
                <w:kern w:val="0"/>
                <w:szCs w:val="21"/>
                <w:lang w:bidi="ar"/>
              </w:rPr>
              <w:t>95.65</w:t>
            </w:r>
          </w:p>
        </w:tc>
        <w:tc>
          <w:tcPr>
            <w:tcW w:w="624" w:type="pct"/>
            <w:vAlign w:val="bottom"/>
          </w:tcPr>
          <w:p>
            <w:pPr>
              <w:widowControl/>
              <w:jc w:val="center"/>
              <w:textAlignment w:val="bottom"/>
              <w:rPr>
                <w:color w:val="000000"/>
                <w:kern w:val="0"/>
                <w:szCs w:val="21"/>
                <w:lang w:bidi="ar"/>
              </w:rPr>
            </w:pPr>
            <w:r>
              <w:rPr>
                <w:b/>
                <w:bCs/>
                <w:color w:val="000000"/>
                <w:kern w:val="0"/>
                <w:szCs w:val="21"/>
                <w:lang w:bidi="ar"/>
              </w:rPr>
              <w:t>78.34</w:t>
            </w:r>
          </w:p>
        </w:tc>
        <w:tc>
          <w:tcPr>
            <w:tcW w:w="625" w:type="pct"/>
            <w:vAlign w:val="bottom"/>
          </w:tcPr>
          <w:p>
            <w:pPr>
              <w:widowControl/>
              <w:jc w:val="center"/>
              <w:textAlignment w:val="bottom"/>
              <w:rPr>
                <w:color w:val="000000"/>
                <w:kern w:val="0"/>
                <w:szCs w:val="21"/>
                <w:lang w:bidi="ar"/>
              </w:rPr>
            </w:pPr>
            <w:r>
              <w:rPr>
                <w:color w:val="000000"/>
                <w:kern w:val="0"/>
                <w:szCs w:val="21"/>
                <w:lang w:bidi="ar"/>
              </w:rPr>
              <w:t>151.23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7.0</w:t>
            </w:r>
          </w:p>
        </w:tc>
        <w:tc>
          <w:tcPr>
            <w:tcW w:w="635" w:type="pct"/>
            <w:vMerge w:val="continue"/>
            <w:vAlign w:val="center"/>
          </w:tcPr>
          <w:p>
            <w:pPr>
              <w:widowControl/>
              <w:jc w:val="center"/>
              <w:textAlignment w:val="center"/>
              <w:rPr>
                <w:rFonts w:cs="宋体"/>
                <w:color w:val="000000"/>
                <w:szCs w:val="21"/>
              </w:rPr>
            </w:pPr>
          </w:p>
        </w:tc>
        <w:tc>
          <w:tcPr>
            <w:tcW w:w="693" w:type="pct"/>
            <w:vAlign w:val="bottom"/>
          </w:tcPr>
          <w:p>
            <w:pPr>
              <w:widowControl/>
              <w:jc w:val="center"/>
              <w:textAlignment w:val="bottom"/>
              <w:rPr>
                <w:b/>
                <w:color w:val="000000"/>
                <w:szCs w:val="21"/>
              </w:rPr>
            </w:pPr>
            <w:r>
              <w:rPr>
                <w:color w:val="000000"/>
                <w:kern w:val="0"/>
                <w:szCs w:val="21"/>
                <w:lang w:bidi="ar"/>
              </w:rPr>
              <w:t>6.84</w:t>
            </w:r>
          </w:p>
        </w:tc>
        <w:tc>
          <w:tcPr>
            <w:tcW w:w="625" w:type="pct"/>
            <w:vAlign w:val="bottom"/>
          </w:tcPr>
          <w:p>
            <w:pPr>
              <w:widowControl/>
              <w:jc w:val="center"/>
              <w:textAlignment w:val="bottom"/>
              <w:rPr>
                <w:color w:val="000000"/>
                <w:szCs w:val="21"/>
              </w:rPr>
            </w:pPr>
            <w:r>
              <w:rPr>
                <w:color w:val="000000"/>
                <w:kern w:val="0"/>
                <w:szCs w:val="21"/>
                <w:lang w:bidi="ar"/>
              </w:rPr>
              <w:t>5.46</w:t>
            </w:r>
          </w:p>
        </w:tc>
        <w:tc>
          <w:tcPr>
            <w:tcW w:w="625" w:type="pct"/>
            <w:vAlign w:val="bottom"/>
          </w:tcPr>
          <w:p>
            <w:pPr>
              <w:widowControl/>
              <w:jc w:val="center"/>
              <w:textAlignment w:val="bottom"/>
              <w:rPr>
                <w:color w:val="000000"/>
                <w:szCs w:val="21"/>
              </w:rPr>
            </w:pPr>
            <w:r>
              <w:rPr>
                <w:color w:val="000000"/>
                <w:kern w:val="0"/>
                <w:szCs w:val="21"/>
                <w:lang w:bidi="ar"/>
              </w:rPr>
              <w:t>9.83</w:t>
            </w:r>
          </w:p>
        </w:tc>
        <w:tc>
          <w:tcPr>
            <w:tcW w:w="625" w:type="pct"/>
            <w:vAlign w:val="bottom"/>
          </w:tcPr>
          <w:p>
            <w:pPr>
              <w:widowControl/>
              <w:jc w:val="center"/>
              <w:textAlignment w:val="bottom"/>
              <w:rPr>
                <w:color w:val="000000"/>
                <w:szCs w:val="21"/>
              </w:rPr>
            </w:pPr>
            <w:r>
              <w:rPr>
                <w:color w:val="000000"/>
                <w:kern w:val="0"/>
                <w:szCs w:val="21"/>
                <w:lang w:bidi="ar"/>
              </w:rPr>
              <w:t>93.56</w:t>
            </w:r>
          </w:p>
        </w:tc>
        <w:tc>
          <w:tcPr>
            <w:tcW w:w="624" w:type="pct"/>
            <w:vAlign w:val="bottom"/>
          </w:tcPr>
          <w:p>
            <w:pPr>
              <w:widowControl/>
              <w:jc w:val="center"/>
              <w:textAlignment w:val="bottom"/>
              <w:rPr>
                <w:color w:val="000000"/>
                <w:kern w:val="0"/>
                <w:szCs w:val="21"/>
                <w:lang w:bidi="ar"/>
              </w:rPr>
            </w:pPr>
            <w:r>
              <w:rPr>
                <w:color w:val="000000"/>
                <w:kern w:val="0"/>
                <w:szCs w:val="21"/>
                <w:lang w:bidi="ar"/>
              </w:rPr>
              <w:t>75.92</w:t>
            </w:r>
          </w:p>
        </w:tc>
        <w:tc>
          <w:tcPr>
            <w:tcW w:w="625" w:type="pct"/>
            <w:vAlign w:val="bottom"/>
          </w:tcPr>
          <w:p>
            <w:pPr>
              <w:widowControl/>
              <w:jc w:val="center"/>
              <w:textAlignment w:val="bottom"/>
              <w:rPr>
                <w:color w:val="000000"/>
                <w:kern w:val="0"/>
                <w:szCs w:val="21"/>
                <w:lang w:bidi="ar"/>
              </w:rPr>
            </w:pPr>
            <w:r>
              <w:rPr>
                <w:b/>
                <w:bCs/>
                <w:color w:val="000000"/>
                <w:kern w:val="0"/>
                <w:szCs w:val="21"/>
                <w:lang w:bidi="ar"/>
              </w:rPr>
              <w:t>157.53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8.0</w:t>
            </w:r>
          </w:p>
        </w:tc>
        <w:tc>
          <w:tcPr>
            <w:tcW w:w="635" w:type="pct"/>
            <w:vMerge w:val="continue"/>
            <w:vAlign w:val="center"/>
          </w:tcPr>
          <w:p>
            <w:pPr>
              <w:widowControl/>
              <w:jc w:val="center"/>
              <w:textAlignment w:val="center"/>
              <w:rPr>
                <w:rFonts w:cs="宋体"/>
                <w:color w:val="000000"/>
                <w:szCs w:val="21"/>
              </w:rPr>
            </w:pPr>
          </w:p>
        </w:tc>
        <w:tc>
          <w:tcPr>
            <w:tcW w:w="693" w:type="pct"/>
            <w:vAlign w:val="bottom"/>
          </w:tcPr>
          <w:p>
            <w:pPr>
              <w:widowControl/>
              <w:jc w:val="center"/>
              <w:textAlignment w:val="bottom"/>
              <w:rPr>
                <w:color w:val="000000"/>
                <w:szCs w:val="21"/>
              </w:rPr>
            </w:pPr>
            <w:r>
              <w:rPr>
                <w:color w:val="000000"/>
                <w:kern w:val="0"/>
                <w:szCs w:val="21"/>
                <w:lang w:bidi="ar"/>
              </w:rPr>
              <w:t>7.38</w:t>
            </w:r>
          </w:p>
        </w:tc>
        <w:tc>
          <w:tcPr>
            <w:tcW w:w="625" w:type="pct"/>
            <w:vAlign w:val="bottom"/>
          </w:tcPr>
          <w:p>
            <w:pPr>
              <w:widowControl/>
              <w:jc w:val="center"/>
              <w:textAlignment w:val="bottom"/>
              <w:rPr>
                <w:color w:val="000000"/>
                <w:szCs w:val="21"/>
              </w:rPr>
            </w:pPr>
            <w:r>
              <w:rPr>
                <w:color w:val="000000"/>
                <w:kern w:val="0"/>
                <w:szCs w:val="21"/>
                <w:lang w:bidi="ar"/>
              </w:rPr>
              <w:t>5.84</w:t>
            </w:r>
          </w:p>
        </w:tc>
        <w:tc>
          <w:tcPr>
            <w:tcW w:w="625" w:type="pct"/>
            <w:vAlign w:val="bottom"/>
          </w:tcPr>
          <w:p>
            <w:pPr>
              <w:widowControl/>
              <w:jc w:val="center"/>
              <w:textAlignment w:val="bottom"/>
              <w:rPr>
                <w:b/>
                <w:bCs/>
                <w:color w:val="000000"/>
                <w:szCs w:val="21"/>
              </w:rPr>
            </w:pPr>
            <w:r>
              <w:rPr>
                <w:b/>
                <w:bCs/>
                <w:color w:val="000000"/>
                <w:kern w:val="0"/>
                <w:szCs w:val="21"/>
                <w:lang w:bidi="ar"/>
              </w:rPr>
              <w:t>10.37</w:t>
            </w:r>
          </w:p>
        </w:tc>
        <w:tc>
          <w:tcPr>
            <w:tcW w:w="625" w:type="pct"/>
            <w:vAlign w:val="bottom"/>
          </w:tcPr>
          <w:p>
            <w:pPr>
              <w:widowControl/>
              <w:jc w:val="center"/>
              <w:textAlignment w:val="bottom"/>
              <w:rPr>
                <w:color w:val="000000"/>
                <w:szCs w:val="21"/>
              </w:rPr>
            </w:pPr>
            <w:r>
              <w:rPr>
                <w:color w:val="000000"/>
                <w:kern w:val="0"/>
                <w:szCs w:val="21"/>
                <w:lang w:bidi="ar"/>
              </w:rPr>
              <w:t>89.27</w:t>
            </w:r>
          </w:p>
        </w:tc>
        <w:tc>
          <w:tcPr>
            <w:tcW w:w="624" w:type="pct"/>
            <w:vAlign w:val="bottom"/>
          </w:tcPr>
          <w:p>
            <w:pPr>
              <w:widowControl/>
              <w:jc w:val="center"/>
              <w:textAlignment w:val="bottom"/>
              <w:rPr>
                <w:color w:val="000000"/>
                <w:kern w:val="0"/>
                <w:szCs w:val="21"/>
                <w:lang w:bidi="ar"/>
              </w:rPr>
            </w:pPr>
            <w:r>
              <w:rPr>
                <w:color w:val="000000"/>
                <w:kern w:val="0"/>
                <w:szCs w:val="21"/>
                <w:lang w:bidi="ar"/>
              </w:rPr>
              <w:t>72.23</w:t>
            </w:r>
          </w:p>
        </w:tc>
        <w:tc>
          <w:tcPr>
            <w:tcW w:w="625" w:type="pct"/>
            <w:vAlign w:val="bottom"/>
          </w:tcPr>
          <w:p>
            <w:pPr>
              <w:widowControl/>
              <w:jc w:val="center"/>
              <w:textAlignment w:val="bottom"/>
              <w:rPr>
                <w:color w:val="000000"/>
                <w:kern w:val="0"/>
                <w:szCs w:val="21"/>
                <w:lang w:bidi="ar"/>
              </w:rPr>
            </w:pPr>
            <w:r>
              <w:rPr>
                <w:color w:val="000000"/>
                <w:kern w:val="0"/>
                <w:szCs w:val="21"/>
                <w:lang w:bidi="ar"/>
              </w:rPr>
              <w:t>155.96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8.3</w:t>
            </w:r>
          </w:p>
        </w:tc>
        <w:tc>
          <w:tcPr>
            <w:tcW w:w="635" w:type="pct"/>
            <w:vAlign w:val="center"/>
          </w:tcPr>
          <w:p>
            <w:pPr>
              <w:widowControl/>
              <w:jc w:val="center"/>
              <w:textAlignment w:val="center"/>
              <w:rPr>
                <w:rFonts w:cs="宋体"/>
                <w:color w:val="000000"/>
                <w:szCs w:val="21"/>
              </w:rPr>
            </w:pPr>
            <w:r>
              <w:rPr>
                <w:rFonts w:hint="eastAsia" w:cs="宋体"/>
                <w:color w:val="000000"/>
                <w:szCs w:val="21"/>
              </w:rPr>
              <w:t>边导线下</w:t>
            </w:r>
          </w:p>
        </w:tc>
        <w:tc>
          <w:tcPr>
            <w:tcW w:w="693" w:type="pct"/>
            <w:vAlign w:val="bottom"/>
          </w:tcPr>
          <w:p>
            <w:pPr>
              <w:widowControl/>
              <w:jc w:val="center"/>
              <w:textAlignment w:val="bottom"/>
              <w:rPr>
                <w:color w:val="000000"/>
                <w:szCs w:val="21"/>
              </w:rPr>
            </w:pPr>
            <w:r>
              <w:rPr>
                <w:b/>
                <w:bCs/>
                <w:color w:val="000000"/>
                <w:kern w:val="0"/>
                <w:szCs w:val="21"/>
                <w:lang w:bidi="ar"/>
              </w:rPr>
              <w:t>7.46</w:t>
            </w:r>
          </w:p>
        </w:tc>
        <w:tc>
          <w:tcPr>
            <w:tcW w:w="625" w:type="pct"/>
            <w:vAlign w:val="bottom"/>
          </w:tcPr>
          <w:p>
            <w:pPr>
              <w:widowControl/>
              <w:jc w:val="center"/>
              <w:textAlignment w:val="bottom"/>
              <w:rPr>
                <w:b/>
                <w:color w:val="000000"/>
                <w:szCs w:val="21"/>
              </w:rPr>
            </w:pPr>
            <w:r>
              <w:rPr>
                <w:color w:val="000000"/>
                <w:kern w:val="0"/>
                <w:szCs w:val="21"/>
                <w:lang w:bidi="ar"/>
              </w:rPr>
              <w:t>5.91</w:t>
            </w:r>
          </w:p>
        </w:tc>
        <w:tc>
          <w:tcPr>
            <w:tcW w:w="625" w:type="pct"/>
            <w:vAlign w:val="bottom"/>
          </w:tcPr>
          <w:p>
            <w:pPr>
              <w:widowControl/>
              <w:jc w:val="center"/>
              <w:textAlignment w:val="bottom"/>
              <w:rPr>
                <w:b/>
                <w:color w:val="000000"/>
                <w:szCs w:val="21"/>
              </w:rPr>
            </w:pPr>
            <w:r>
              <w:rPr>
                <w:color w:val="000000"/>
                <w:kern w:val="0"/>
                <w:szCs w:val="21"/>
                <w:lang w:bidi="ar"/>
              </w:rPr>
              <w:t>10.35</w:t>
            </w:r>
          </w:p>
        </w:tc>
        <w:tc>
          <w:tcPr>
            <w:tcW w:w="625" w:type="pct"/>
            <w:vAlign w:val="bottom"/>
          </w:tcPr>
          <w:p>
            <w:pPr>
              <w:widowControl/>
              <w:jc w:val="center"/>
              <w:textAlignment w:val="bottom"/>
              <w:rPr>
                <w:color w:val="000000"/>
                <w:szCs w:val="21"/>
              </w:rPr>
            </w:pPr>
            <w:r>
              <w:rPr>
                <w:color w:val="000000"/>
                <w:kern w:val="0"/>
                <w:szCs w:val="21"/>
                <w:lang w:bidi="ar"/>
              </w:rPr>
              <w:t>87.48</w:t>
            </w:r>
          </w:p>
        </w:tc>
        <w:tc>
          <w:tcPr>
            <w:tcW w:w="624" w:type="pct"/>
            <w:vAlign w:val="bottom"/>
          </w:tcPr>
          <w:p>
            <w:pPr>
              <w:widowControl/>
              <w:jc w:val="center"/>
              <w:textAlignment w:val="bottom"/>
              <w:rPr>
                <w:b/>
                <w:color w:val="000000"/>
                <w:kern w:val="0"/>
                <w:szCs w:val="21"/>
                <w:lang w:bidi="ar"/>
              </w:rPr>
            </w:pPr>
            <w:r>
              <w:rPr>
                <w:color w:val="000000"/>
                <w:kern w:val="0"/>
                <w:szCs w:val="21"/>
                <w:lang w:bidi="ar"/>
              </w:rPr>
              <w:t>70.86</w:t>
            </w:r>
          </w:p>
        </w:tc>
        <w:tc>
          <w:tcPr>
            <w:tcW w:w="625" w:type="pct"/>
            <w:vAlign w:val="bottom"/>
          </w:tcPr>
          <w:p>
            <w:pPr>
              <w:widowControl/>
              <w:jc w:val="center"/>
              <w:textAlignment w:val="bottom"/>
              <w:rPr>
                <w:b/>
                <w:color w:val="000000"/>
                <w:kern w:val="0"/>
                <w:szCs w:val="21"/>
                <w:lang w:bidi="ar"/>
              </w:rPr>
            </w:pPr>
            <w:r>
              <w:rPr>
                <w:color w:val="000000"/>
                <w:kern w:val="0"/>
                <w:szCs w:val="21"/>
                <w:lang w:bidi="ar"/>
              </w:rPr>
              <w:t>152.83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9.3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w:t>
            </w:r>
          </w:p>
        </w:tc>
        <w:tc>
          <w:tcPr>
            <w:tcW w:w="693" w:type="pct"/>
            <w:vAlign w:val="bottom"/>
          </w:tcPr>
          <w:p>
            <w:pPr>
              <w:widowControl/>
              <w:jc w:val="center"/>
              <w:textAlignment w:val="bottom"/>
              <w:rPr>
                <w:color w:val="000000"/>
                <w:szCs w:val="21"/>
              </w:rPr>
            </w:pPr>
            <w:r>
              <w:rPr>
                <w:color w:val="000000"/>
                <w:kern w:val="0"/>
                <w:szCs w:val="21"/>
                <w:lang w:bidi="ar"/>
              </w:rPr>
              <w:t>7.4</w:t>
            </w:r>
          </w:p>
        </w:tc>
        <w:tc>
          <w:tcPr>
            <w:tcW w:w="625" w:type="pct"/>
            <w:vAlign w:val="bottom"/>
          </w:tcPr>
          <w:p>
            <w:pPr>
              <w:widowControl/>
              <w:jc w:val="center"/>
              <w:textAlignment w:val="bottom"/>
              <w:rPr>
                <w:color w:val="000000"/>
                <w:szCs w:val="21"/>
              </w:rPr>
            </w:pPr>
            <w:r>
              <w:rPr>
                <w:b/>
                <w:bCs/>
                <w:color w:val="000000"/>
                <w:kern w:val="0"/>
                <w:szCs w:val="21"/>
                <w:lang w:bidi="ar"/>
              </w:rPr>
              <w:t>5.93</w:t>
            </w:r>
          </w:p>
        </w:tc>
        <w:tc>
          <w:tcPr>
            <w:tcW w:w="625" w:type="pct"/>
            <w:vAlign w:val="bottom"/>
          </w:tcPr>
          <w:p>
            <w:pPr>
              <w:widowControl/>
              <w:jc w:val="center"/>
              <w:textAlignment w:val="bottom"/>
              <w:rPr>
                <w:color w:val="000000"/>
                <w:szCs w:val="21"/>
              </w:rPr>
            </w:pPr>
            <w:r>
              <w:rPr>
                <w:color w:val="000000"/>
                <w:kern w:val="0"/>
                <w:szCs w:val="21"/>
                <w:lang w:bidi="ar"/>
              </w:rPr>
              <w:t>9.59</w:t>
            </w:r>
          </w:p>
        </w:tc>
        <w:tc>
          <w:tcPr>
            <w:tcW w:w="625" w:type="pct"/>
            <w:vAlign w:val="bottom"/>
          </w:tcPr>
          <w:p>
            <w:pPr>
              <w:widowControl/>
              <w:jc w:val="center"/>
              <w:textAlignment w:val="bottom"/>
              <w:rPr>
                <w:color w:val="000000"/>
                <w:szCs w:val="21"/>
              </w:rPr>
            </w:pPr>
            <w:r>
              <w:rPr>
                <w:color w:val="000000"/>
                <w:kern w:val="0"/>
                <w:szCs w:val="21"/>
                <w:lang w:bidi="ar"/>
              </w:rPr>
              <w:t>80.01</w:t>
            </w:r>
          </w:p>
        </w:tc>
        <w:tc>
          <w:tcPr>
            <w:tcW w:w="624" w:type="pct"/>
            <w:vAlign w:val="bottom"/>
          </w:tcPr>
          <w:p>
            <w:pPr>
              <w:widowControl/>
              <w:jc w:val="center"/>
              <w:textAlignment w:val="bottom"/>
              <w:rPr>
                <w:color w:val="000000"/>
                <w:kern w:val="0"/>
                <w:szCs w:val="21"/>
                <w:lang w:bidi="ar"/>
              </w:rPr>
            </w:pPr>
            <w:r>
              <w:rPr>
                <w:color w:val="000000"/>
                <w:kern w:val="0"/>
                <w:szCs w:val="21"/>
                <w:lang w:bidi="ar"/>
              </w:rPr>
              <w:t>65.48</w:t>
            </w:r>
          </w:p>
        </w:tc>
        <w:tc>
          <w:tcPr>
            <w:tcW w:w="625" w:type="pct"/>
            <w:vAlign w:val="bottom"/>
          </w:tcPr>
          <w:p>
            <w:pPr>
              <w:widowControl/>
              <w:jc w:val="center"/>
              <w:textAlignment w:val="bottom"/>
              <w:rPr>
                <w:color w:val="000000"/>
                <w:kern w:val="0"/>
                <w:szCs w:val="21"/>
                <w:lang w:bidi="ar"/>
              </w:rPr>
            </w:pPr>
            <w:r>
              <w:rPr>
                <w:color w:val="000000"/>
                <w:kern w:val="0"/>
                <w:szCs w:val="21"/>
                <w:lang w:bidi="ar"/>
              </w:rPr>
              <w:t>134.08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10.3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w:t>
            </w:r>
          </w:p>
        </w:tc>
        <w:tc>
          <w:tcPr>
            <w:tcW w:w="693" w:type="pct"/>
            <w:vAlign w:val="bottom"/>
          </w:tcPr>
          <w:p>
            <w:pPr>
              <w:widowControl/>
              <w:jc w:val="center"/>
              <w:textAlignment w:val="bottom"/>
              <w:rPr>
                <w:color w:val="000000"/>
                <w:szCs w:val="21"/>
              </w:rPr>
            </w:pPr>
            <w:r>
              <w:rPr>
                <w:color w:val="000000"/>
                <w:kern w:val="0"/>
                <w:szCs w:val="21"/>
                <w:lang w:bidi="ar"/>
              </w:rPr>
              <w:t>6.91</w:t>
            </w:r>
          </w:p>
        </w:tc>
        <w:tc>
          <w:tcPr>
            <w:tcW w:w="625" w:type="pct"/>
            <w:vAlign w:val="bottom"/>
          </w:tcPr>
          <w:p>
            <w:pPr>
              <w:widowControl/>
              <w:jc w:val="center"/>
              <w:textAlignment w:val="bottom"/>
              <w:rPr>
                <w:color w:val="000000"/>
                <w:szCs w:val="21"/>
              </w:rPr>
            </w:pPr>
            <w:r>
              <w:rPr>
                <w:color w:val="000000"/>
                <w:kern w:val="0"/>
                <w:szCs w:val="21"/>
                <w:lang w:bidi="ar"/>
              </w:rPr>
              <w:t>5.68</w:t>
            </w:r>
          </w:p>
        </w:tc>
        <w:tc>
          <w:tcPr>
            <w:tcW w:w="625" w:type="pct"/>
            <w:vAlign w:val="bottom"/>
          </w:tcPr>
          <w:p>
            <w:pPr>
              <w:widowControl/>
              <w:jc w:val="center"/>
              <w:textAlignment w:val="bottom"/>
              <w:rPr>
                <w:color w:val="000000"/>
                <w:szCs w:val="21"/>
              </w:rPr>
            </w:pPr>
            <w:r>
              <w:rPr>
                <w:color w:val="000000"/>
                <w:kern w:val="0"/>
                <w:szCs w:val="21"/>
                <w:lang w:bidi="ar"/>
              </w:rPr>
              <w:t>8.19</w:t>
            </w:r>
          </w:p>
        </w:tc>
        <w:tc>
          <w:tcPr>
            <w:tcW w:w="625" w:type="pct"/>
            <w:vAlign w:val="bottom"/>
          </w:tcPr>
          <w:p>
            <w:pPr>
              <w:widowControl/>
              <w:jc w:val="center"/>
              <w:textAlignment w:val="bottom"/>
              <w:rPr>
                <w:color w:val="000000"/>
                <w:szCs w:val="21"/>
              </w:rPr>
            </w:pPr>
            <w:r>
              <w:rPr>
                <w:color w:val="000000"/>
                <w:kern w:val="0"/>
                <w:szCs w:val="21"/>
                <w:lang w:bidi="ar"/>
              </w:rPr>
              <w:t>71.04</w:t>
            </w:r>
          </w:p>
        </w:tc>
        <w:tc>
          <w:tcPr>
            <w:tcW w:w="624" w:type="pct"/>
            <w:vAlign w:val="bottom"/>
          </w:tcPr>
          <w:p>
            <w:pPr>
              <w:widowControl/>
              <w:jc w:val="center"/>
              <w:textAlignment w:val="bottom"/>
              <w:rPr>
                <w:color w:val="000000"/>
                <w:kern w:val="0"/>
                <w:szCs w:val="21"/>
                <w:lang w:bidi="ar"/>
              </w:rPr>
            </w:pPr>
            <w:r>
              <w:rPr>
                <w:color w:val="000000"/>
                <w:kern w:val="0"/>
                <w:szCs w:val="21"/>
                <w:lang w:bidi="ar"/>
              </w:rPr>
              <w:t>59.27</w:t>
            </w:r>
          </w:p>
        </w:tc>
        <w:tc>
          <w:tcPr>
            <w:tcW w:w="625" w:type="pct"/>
            <w:vAlign w:val="bottom"/>
          </w:tcPr>
          <w:p>
            <w:pPr>
              <w:widowControl/>
              <w:jc w:val="center"/>
              <w:textAlignment w:val="bottom"/>
              <w:rPr>
                <w:color w:val="000000"/>
                <w:kern w:val="0"/>
                <w:szCs w:val="21"/>
                <w:lang w:bidi="ar"/>
              </w:rPr>
            </w:pPr>
            <w:r>
              <w:rPr>
                <w:color w:val="000000"/>
                <w:kern w:val="0"/>
                <w:szCs w:val="21"/>
                <w:lang w:bidi="ar"/>
              </w:rPr>
              <w:t>109.59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11.3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3</w:t>
            </w:r>
          </w:p>
        </w:tc>
        <w:tc>
          <w:tcPr>
            <w:tcW w:w="693" w:type="pct"/>
            <w:vAlign w:val="bottom"/>
          </w:tcPr>
          <w:p>
            <w:pPr>
              <w:widowControl/>
              <w:jc w:val="center"/>
              <w:textAlignment w:val="bottom"/>
              <w:rPr>
                <w:color w:val="000000"/>
                <w:szCs w:val="21"/>
              </w:rPr>
            </w:pPr>
            <w:r>
              <w:rPr>
                <w:color w:val="000000"/>
                <w:kern w:val="0"/>
                <w:szCs w:val="21"/>
                <w:lang w:bidi="ar"/>
              </w:rPr>
              <w:t>6.17</w:t>
            </w:r>
          </w:p>
        </w:tc>
        <w:tc>
          <w:tcPr>
            <w:tcW w:w="625" w:type="pct"/>
            <w:vAlign w:val="bottom"/>
          </w:tcPr>
          <w:p>
            <w:pPr>
              <w:widowControl/>
              <w:jc w:val="center"/>
              <w:textAlignment w:val="bottom"/>
              <w:rPr>
                <w:color w:val="000000"/>
                <w:szCs w:val="21"/>
              </w:rPr>
            </w:pPr>
            <w:r>
              <w:rPr>
                <w:color w:val="000000"/>
                <w:kern w:val="0"/>
                <w:szCs w:val="21"/>
                <w:lang w:bidi="ar"/>
              </w:rPr>
              <w:t>5.24</w:t>
            </w:r>
          </w:p>
        </w:tc>
        <w:tc>
          <w:tcPr>
            <w:tcW w:w="625" w:type="pct"/>
            <w:vAlign w:val="bottom"/>
          </w:tcPr>
          <w:p>
            <w:pPr>
              <w:widowControl/>
              <w:jc w:val="center"/>
              <w:textAlignment w:val="bottom"/>
              <w:rPr>
                <w:color w:val="000000"/>
                <w:szCs w:val="21"/>
              </w:rPr>
            </w:pPr>
            <w:r>
              <w:rPr>
                <w:color w:val="000000"/>
                <w:kern w:val="0"/>
                <w:szCs w:val="21"/>
                <w:lang w:bidi="ar"/>
              </w:rPr>
              <w:t>6.74</w:t>
            </w:r>
          </w:p>
        </w:tc>
        <w:tc>
          <w:tcPr>
            <w:tcW w:w="625" w:type="pct"/>
            <w:vAlign w:val="bottom"/>
          </w:tcPr>
          <w:p>
            <w:pPr>
              <w:widowControl/>
              <w:jc w:val="center"/>
              <w:textAlignment w:val="bottom"/>
              <w:rPr>
                <w:color w:val="000000"/>
                <w:szCs w:val="21"/>
              </w:rPr>
            </w:pPr>
            <w:r>
              <w:rPr>
                <w:color w:val="000000"/>
                <w:kern w:val="0"/>
                <w:szCs w:val="21"/>
                <w:lang w:bidi="ar"/>
              </w:rPr>
              <w:t>61.81</w:t>
            </w:r>
          </w:p>
        </w:tc>
        <w:tc>
          <w:tcPr>
            <w:tcW w:w="624" w:type="pct"/>
            <w:vAlign w:val="bottom"/>
          </w:tcPr>
          <w:p>
            <w:pPr>
              <w:widowControl/>
              <w:jc w:val="center"/>
              <w:textAlignment w:val="bottom"/>
              <w:rPr>
                <w:color w:val="000000"/>
                <w:kern w:val="0"/>
                <w:szCs w:val="21"/>
                <w:lang w:bidi="ar"/>
              </w:rPr>
            </w:pPr>
            <w:r>
              <w:rPr>
                <w:color w:val="000000"/>
                <w:kern w:val="0"/>
                <w:szCs w:val="21"/>
                <w:lang w:bidi="ar"/>
              </w:rPr>
              <w:t>52.78</w:t>
            </w:r>
          </w:p>
        </w:tc>
        <w:tc>
          <w:tcPr>
            <w:tcW w:w="625" w:type="pct"/>
            <w:vAlign w:val="bottom"/>
          </w:tcPr>
          <w:p>
            <w:pPr>
              <w:widowControl/>
              <w:jc w:val="center"/>
              <w:textAlignment w:val="bottom"/>
              <w:rPr>
                <w:color w:val="000000"/>
                <w:kern w:val="0"/>
                <w:szCs w:val="21"/>
                <w:lang w:bidi="ar"/>
              </w:rPr>
            </w:pPr>
            <w:r>
              <w:rPr>
                <w:color w:val="000000"/>
                <w:kern w:val="0"/>
                <w:szCs w:val="21"/>
                <w:lang w:bidi="ar"/>
              </w:rPr>
              <w:t>87.32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12.3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4</w:t>
            </w:r>
          </w:p>
        </w:tc>
        <w:tc>
          <w:tcPr>
            <w:tcW w:w="693" w:type="pct"/>
            <w:vAlign w:val="bottom"/>
          </w:tcPr>
          <w:p>
            <w:pPr>
              <w:widowControl/>
              <w:jc w:val="center"/>
              <w:textAlignment w:val="bottom"/>
              <w:rPr>
                <w:color w:val="000000"/>
                <w:szCs w:val="21"/>
              </w:rPr>
            </w:pPr>
            <w:r>
              <w:rPr>
                <w:color w:val="000000"/>
                <w:kern w:val="0"/>
                <w:szCs w:val="21"/>
                <w:lang w:bidi="ar"/>
              </w:rPr>
              <w:t>5.34</w:t>
            </w:r>
          </w:p>
        </w:tc>
        <w:tc>
          <w:tcPr>
            <w:tcW w:w="625" w:type="pct"/>
            <w:vAlign w:val="bottom"/>
          </w:tcPr>
          <w:p>
            <w:pPr>
              <w:widowControl/>
              <w:jc w:val="center"/>
              <w:textAlignment w:val="bottom"/>
              <w:rPr>
                <w:color w:val="000000"/>
                <w:szCs w:val="21"/>
              </w:rPr>
            </w:pPr>
            <w:r>
              <w:rPr>
                <w:color w:val="000000"/>
                <w:kern w:val="0"/>
                <w:szCs w:val="21"/>
                <w:lang w:bidi="ar"/>
              </w:rPr>
              <w:t>4.69</w:t>
            </w:r>
          </w:p>
        </w:tc>
        <w:tc>
          <w:tcPr>
            <w:tcW w:w="625" w:type="pct"/>
            <w:vAlign w:val="bottom"/>
          </w:tcPr>
          <w:p>
            <w:pPr>
              <w:widowControl/>
              <w:jc w:val="center"/>
              <w:textAlignment w:val="bottom"/>
              <w:rPr>
                <w:color w:val="000000"/>
                <w:szCs w:val="21"/>
              </w:rPr>
            </w:pPr>
            <w:r>
              <w:rPr>
                <w:color w:val="000000"/>
                <w:kern w:val="0"/>
                <w:szCs w:val="21"/>
                <w:lang w:bidi="ar"/>
              </w:rPr>
              <w:t>5.5</w:t>
            </w:r>
          </w:p>
        </w:tc>
        <w:tc>
          <w:tcPr>
            <w:tcW w:w="625" w:type="pct"/>
            <w:vAlign w:val="bottom"/>
          </w:tcPr>
          <w:p>
            <w:pPr>
              <w:widowControl/>
              <w:jc w:val="center"/>
              <w:textAlignment w:val="bottom"/>
              <w:rPr>
                <w:color w:val="000000"/>
                <w:szCs w:val="21"/>
              </w:rPr>
            </w:pPr>
            <w:r>
              <w:rPr>
                <w:color w:val="000000"/>
                <w:kern w:val="0"/>
                <w:szCs w:val="21"/>
                <w:lang w:bidi="ar"/>
              </w:rPr>
              <w:t>53.24</w:t>
            </w:r>
          </w:p>
        </w:tc>
        <w:tc>
          <w:tcPr>
            <w:tcW w:w="624" w:type="pct"/>
            <w:vAlign w:val="bottom"/>
          </w:tcPr>
          <w:p>
            <w:pPr>
              <w:widowControl/>
              <w:jc w:val="center"/>
              <w:textAlignment w:val="bottom"/>
              <w:rPr>
                <w:color w:val="000000"/>
                <w:kern w:val="0"/>
                <w:szCs w:val="21"/>
                <w:lang w:bidi="ar"/>
              </w:rPr>
            </w:pPr>
            <w:r>
              <w:rPr>
                <w:color w:val="000000"/>
                <w:kern w:val="0"/>
                <w:szCs w:val="21"/>
                <w:lang w:bidi="ar"/>
              </w:rPr>
              <w:t>46.55</w:t>
            </w:r>
          </w:p>
        </w:tc>
        <w:tc>
          <w:tcPr>
            <w:tcW w:w="625" w:type="pct"/>
            <w:vAlign w:val="bottom"/>
          </w:tcPr>
          <w:p>
            <w:pPr>
              <w:widowControl/>
              <w:jc w:val="center"/>
              <w:textAlignment w:val="bottom"/>
              <w:rPr>
                <w:color w:val="000000"/>
                <w:kern w:val="0"/>
                <w:szCs w:val="21"/>
                <w:lang w:bidi="ar"/>
              </w:rPr>
            </w:pPr>
            <w:r>
              <w:rPr>
                <w:color w:val="000000"/>
                <w:kern w:val="0"/>
                <w:szCs w:val="21"/>
                <w:lang w:bidi="ar"/>
              </w:rPr>
              <w:t>69.82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13.3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5</w:t>
            </w:r>
          </w:p>
        </w:tc>
        <w:tc>
          <w:tcPr>
            <w:tcW w:w="693" w:type="pct"/>
            <w:vAlign w:val="bottom"/>
          </w:tcPr>
          <w:p>
            <w:pPr>
              <w:widowControl/>
              <w:jc w:val="center"/>
              <w:textAlignment w:val="bottom"/>
              <w:rPr>
                <w:color w:val="000000"/>
                <w:szCs w:val="21"/>
              </w:rPr>
            </w:pPr>
            <w:r>
              <w:rPr>
                <w:color w:val="000000"/>
                <w:kern w:val="0"/>
                <w:szCs w:val="21"/>
                <w:lang w:bidi="ar"/>
              </w:rPr>
              <w:t>4.54</w:t>
            </w:r>
          </w:p>
        </w:tc>
        <w:tc>
          <w:tcPr>
            <w:tcW w:w="625" w:type="pct"/>
            <w:vAlign w:val="bottom"/>
          </w:tcPr>
          <w:p>
            <w:pPr>
              <w:widowControl/>
              <w:jc w:val="center"/>
              <w:textAlignment w:val="bottom"/>
              <w:rPr>
                <w:color w:val="000000"/>
                <w:szCs w:val="21"/>
              </w:rPr>
            </w:pPr>
            <w:r>
              <w:rPr>
                <w:color w:val="000000"/>
                <w:kern w:val="0"/>
                <w:szCs w:val="21"/>
                <w:lang w:bidi="ar"/>
              </w:rPr>
              <w:t>4.12</w:t>
            </w:r>
          </w:p>
        </w:tc>
        <w:tc>
          <w:tcPr>
            <w:tcW w:w="625" w:type="pct"/>
            <w:vAlign w:val="bottom"/>
          </w:tcPr>
          <w:p>
            <w:pPr>
              <w:widowControl/>
              <w:jc w:val="center"/>
              <w:textAlignment w:val="bottom"/>
              <w:rPr>
                <w:color w:val="000000"/>
                <w:szCs w:val="21"/>
              </w:rPr>
            </w:pPr>
            <w:r>
              <w:rPr>
                <w:color w:val="000000"/>
                <w:kern w:val="0"/>
                <w:szCs w:val="21"/>
                <w:lang w:bidi="ar"/>
              </w:rPr>
              <w:t>4.51</w:t>
            </w:r>
          </w:p>
        </w:tc>
        <w:tc>
          <w:tcPr>
            <w:tcW w:w="625" w:type="pct"/>
            <w:vAlign w:val="bottom"/>
          </w:tcPr>
          <w:p>
            <w:pPr>
              <w:widowControl/>
              <w:jc w:val="center"/>
              <w:textAlignment w:val="bottom"/>
              <w:rPr>
                <w:color w:val="000000"/>
                <w:szCs w:val="21"/>
              </w:rPr>
            </w:pPr>
            <w:r>
              <w:rPr>
                <w:color w:val="000000"/>
                <w:kern w:val="0"/>
                <w:szCs w:val="21"/>
                <w:lang w:bidi="ar"/>
              </w:rPr>
              <w:t>45.75</w:t>
            </w:r>
          </w:p>
        </w:tc>
        <w:tc>
          <w:tcPr>
            <w:tcW w:w="624" w:type="pct"/>
            <w:vAlign w:val="bottom"/>
          </w:tcPr>
          <w:p>
            <w:pPr>
              <w:widowControl/>
              <w:jc w:val="center"/>
              <w:textAlignment w:val="bottom"/>
              <w:rPr>
                <w:color w:val="000000"/>
                <w:kern w:val="0"/>
                <w:szCs w:val="21"/>
                <w:lang w:bidi="ar"/>
              </w:rPr>
            </w:pPr>
            <w:r>
              <w:rPr>
                <w:color w:val="000000"/>
                <w:kern w:val="0"/>
                <w:szCs w:val="21"/>
                <w:lang w:bidi="ar"/>
              </w:rPr>
              <w:t>40.86</w:t>
            </w:r>
          </w:p>
        </w:tc>
        <w:tc>
          <w:tcPr>
            <w:tcW w:w="625" w:type="pct"/>
            <w:vAlign w:val="bottom"/>
          </w:tcPr>
          <w:p>
            <w:pPr>
              <w:widowControl/>
              <w:jc w:val="center"/>
              <w:textAlignment w:val="bottom"/>
              <w:rPr>
                <w:color w:val="000000"/>
                <w:kern w:val="0"/>
                <w:szCs w:val="21"/>
                <w:lang w:bidi="ar"/>
              </w:rPr>
            </w:pPr>
            <w:r>
              <w:rPr>
                <w:color w:val="000000"/>
                <w:kern w:val="0"/>
                <w:szCs w:val="21"/>
                <w:lang w:bidi="ar"/>
              </w:rPr>
              <w:t>56.66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14.3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6</w:t>
            </w:r>
          </w:p>
        </w:tc>
        <w:tc>
          <w:tcPr>
            <w:tcW w:w="693" w:type="pct"/>
            <w:vAlign w:val="bottom"/>
          </w:tcPr>
          <w:p>
            <w:pPr>
              <w:widowControl/>
              <w:jc w:val="center"/>
              <w:textAlignment w:val="bottom"/>
              <w:rPr>
                <w:color w:val="000000"/>
                <w:szCs w:val="21"/>
              </w:rPr>
            </w:pPr>
            <w:r>
              <w:rPr>
                <w:color w:val="000000"/>
                <w:kern w:val="0"/>
                <w:szCs w:val="21"/>
                <w:lang w:bidi="ar"/>
              </w:rPr>
              <w:t>3.82</w:t>
            </w:r>
          </w:p>
        </w:tc>
        <w:tc>
          <w:tcPr>
            <w:tcW w:w="625" w:type="pct"/>
            <w:vAlign w:val="bottom"/>
          </w:tcPr>
          <w:p>
            <w:pPr>
              <w:widowControl/>
              <w:jc w:val="center"/>
              <w:textAlignment w:val="bottom"/>
              <w:rPr>
                <w:color w:val="000000"/>
                <w:szCs w:val="21"/>
              </w:rPr>
            </w:pPr>
            <w:r>
              <w:rPr>
                <w:color w:val="000000"/>
                <w:kern w:val="0"/>
                <w:szCs w:val="21"/>
                <w:lang w:bidi="ar"/>
              </w:rPr>
              <w:t>3.57</w:t>
            </w:r>
          </w:p>
        </w:tc>
        <w:tc>
          <w:tcPr>
            <w:tcW w:w="625" w:type="pct"/>
            <w:vAlign w:val="bottom"/>
          </w:tcPr>
          <w:p>
            <w:pPr>
              <w:widowControl/>
              <w:jc w:val="center"/>
              <w:textAlignment w:val="bottom"/>
              <w:rPr>
                <w:color w:val="000000"/>
                <w:szCs w:val="21"/>
              </w:rPr>
            </w:pPr>
            <w:r>
              <w:rPr>
                <w:color w:val="000000"/>
                <w:kern w:val="0"/>
                <w:szCs w:val="21"/>
                <w:lang w:bidi="ar"/>
              </w:rPr>
              <w:t>3.73</w:t>
            </w:r>
          </w:p>
        </w:tc>
        <w:tc>
          <w:tcPr>
            <w:tcW w:w="625" w:type="pct"/>
            <w:vAlign w:val="bottom"/>
          </w:tcPr>
          <w:p>
            <w:pPr>
              <w:widowControl/>
              <w:jc w:val="center"/>
              <w:textAlignment w:val="bottom"/>
              <w:rPr>
                <w:color w:val="000000"/>
                <w:szCs w:val="21"/>
              </w:rPr>
            </w:pPr>
            <w:r>
              <w:rPr>
                <w:color w:val="000000"/>
                <w:kern w:val="0"/>
                <w:szCs w:val="21"/>
                <w:lang w:bidi="ar"/>
              </w:rPr>
              <w:t>39.43</w:t>
            </w:r>
          </w:p>
        </w:tc>
        <w:tc>
          <w:tcPr>
            <w:tcW w:w="624" w:type="pct"/>
            <w:vAlign w:val="bottom"/>
          </w:tcPr>
          <w:p>
            <w:pPr>
              <w:widowControl/>
              <w:jc w:val="center"/>
              <w:textAlignment w:val="bottom"/>
              <w:rPr>
                <w:color w:val="000000"/>
                <w:kern w:val="0"/>
                <w:szCs w:val="21"/>
                <w:lang w:bidi="ar"/>
              </w:rPr>
            </w:pPr>
            <w:r>
              <w:rPr>
                <w:color w:val="000000"/>
                <w:kern w:val="0"/>
                <w:szCs w:val="21"/>
                <w:lang w:bidi="ar"/>
              </w:rPr>
              <w:t>35.86</w:t>
            </w:r>
          </w:p>
        </w:tc>
        <w:tc>
          <w:tcPr>
            <w:tcW w:w="625" w:type="pct"/>
            <w:vAlign w:val="bottom"/>
          </w:tcPr>
          <w:p>
            <w:pPr>
              <w:widowControl/>
              <w:jc w:val="center"/>
              <w:textAlignment w:val="bottom"/>
              <w:rPr>
                <w:color w:val="000000"/>
                <w:kern w:val="0"/>
                <w:szCs w:val="21"/>
                <w:lang w:bidi="ar"/>
              </w:rPr>
            </w:pPr>
            <w:r>
              <w:rPr>
                <w:color w:val="000000"/>
                <w:kern w:val="0"/>
                <w:szCs w:val="21"/>
                <w:lang w:bidi="ar"/>
              </w:rPr>
              <w:t>46.77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15.3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szCs w:val="21"/>
              </w:rPr>
              <w:t>7</w:t>
            </w:r>
          </w:p>
        </w:tc>
        <w:tc>
          <w:tcPr>
            <w:tcW w:w="693" w:type="pct"/>
            <w:vAlign w:val="bottom"/>
          </w:tcPr>
          <w:p>
            <w:pPr>
              <w:widowControl/>
              <w:jc w:val="center"/>
              <w:textAlignment w:val="bottom"/>
              <w:rPr>
                <w:color w:val="000000"/>
                <w:szCs w:val="21"/>
              </w:rPr>
            </w:pPr>
            <w:r>
              <w:rPr>
                <w:color w:val="000000"/>
                <w:kern w:val="0"/>
                <w:szCs w:val="21"/>
                <w:lang w:bidi="ar"/>
              </w:rPr>
              <w:t>3.22</w:t>
            </w:r>
          </w:p>
        </w:tc>
        <w:tc>
          <w:tcPr>
            <w:tcW w:w="625" w:type="pct"/>
            <w:vAlign w:val="bottom"/>
          </w:tcPr>
          <w:p>
            <w:pPr>
              <w:widowControl/>
              <w:jc w:val="center"/>
              <w:textAlignment w:val="bottom"/>
              <w:rPr>
                <w:color w:val="000000"/>
                <w:szCs w:val="21"/>
              </w:rPr>
            </w:pPr>
            <w:r>
              <w:rPr>
                <w:color w:val="000000"/>
                <w:kern w:val="0"/>
                <w:szCs w:val="21"/>
                <w:lang w:bidi="ar"/>
              </w:rPr>
              <w:t>3.08</w:t>
            </w:r>
          </w:p>
        </w:tc>
        <w:tc>
          <w:tcPr>
            <w:tcW w:w="625" w:type="pct"/>
            <w:vAlign w:val="bottom"/>
          </w:tcPr>
          <w:p>
            <w:pPr>
              <w:widowControl/>
              <w:jc w:val="center"/>
              <w:textAlignment w:val="bottom"/>
              <w:rPr>
                <w:color w:val="000000"/>
                <w:szCs w:val="21"/>
              </w:rPr>
            </w:pPr>
            <w:r>
              <w:rPr>
                <w:color w:val="000000"/>
                <w:kern w:val="0"/>
                <w:szCs w:val="21"/>
                <w:lang w:bidi="ar"/>
              </w:rPr>
              <w:t>3.12</w:t>
            </w:r>
          </w:p>
        </w:tc>
        <w:tc>
          <w:tcPr>
            <w:tcW w:w="625" w:type="pct"/>
            <w:vAlign w:val="bottom"/>
          </w:tcPr>
          <w:p>
            <w:pPr>
              <w:widowControl/>
              <w:jc w:val="center"/>
              <w:textAlignment w:val="bottom"/>
              <w:rPr>
                <w:color w:val="000000"/>
                <w:szCs w:val="21"/>
              </w:rPr>
            </w:pPr>
            <w:r>
              <w:rPr>
                <w:color w:val="000000"/>
                <w:kern w:val="0"/>
                <w:szCs w:val="21"/>
                <w:lang w:bidi="ar"/>
              </w:rPr>
              <w:t>34.17</w:t>
            </w:r>
          </w:p>
        </w:tc>
        <w:tc>
          <w:tcPr>
            <w:tcW w:w="624" w:type="pct"/>
            <w:vAlign w:val="bottom"/>
          </w:tcPr>
          <w:p>
            <w:pPr>
              <w:widowControl/>
              <w:jc w:val="center"/>
              <w:textAlignment w:val="bottom"/>
              <w:rPr>
                <w:color w:val="000000"/>
                <w:kern w:val="0"/>
                <w:szCs w:val="21"/>
                <w:lang w:bidi="ar"/>
              </w:rPr>
            </w:pPr>
            <w:r>
              <w:rPr>
                <w:color w:val="000000"/>
                <w:kern w:val="0"/>
                <w:szCs w:val="21"/>
                <w:lang w:bidi="ar"/>
              </w:rPr>
              <w:t>31.54</w:t>
            </w:r>
          </w:p>
        </w:tc>
        <w:tc>
          <w:tcPr>
            <w:tcW w:w="625" w:type="pct"/>
            <w:vAlign w:val="bottom"/>
          </w:tcPr>
          <w:p>
            <w:pPr>
              <w:widowControl/>
              <w:jc w:val="center"/>
              <w:textAlignment w:val="bottom"/>
              <w:rPr>
                <w:color w:val="000000"/>
                <w:kern w:val="0"/>
                <w:szCs w:val="21"/>
                <w:lang w:bidi="ar"/>
              </w:rPr>
            </w:pPr>
            <w:r>
              <w:rPr>
                <w:color w:val="000000"/>
                <w:kern w:val="0"/>
                <w:szCs w:val="21"/>
                <w:lang w:bidi="ar"/>
              </w:rPr>
              <w:t>39.25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16.3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8</w:t>
            </w:r>
          </w:p>
        </w:tc>
        <w:tc>
          <w:tcPr>
            <w:tcW w:w="693" w:type="pct"/>
            <w:vAlign w:val="bottom"/>
          </w:tcPr>
          <w:p>
            <w:pPr>
              <w:widowControl/>
              <w:jc w:val="center"/>
              <w:textAlignment w:val="bottom"/>
              <w:rPr>
                <w:color w:val="000000"/>
                <w:szCs w:val="21"/>
              </w:rPr>
            </w:pPr>
            <w:r>
              <w:rPr>
                <w:color w:val="000000"/>
                <w:kern w:val="0"/>
                <w:szCs w:val="21"/>
                <w:lang w:bidi="ar"/>
              </w:rPr>
              <w:t>2.71</w:t>
            </w:r>
          </w:p>
        </w:tc>
        <w:tc>
          <w:tcPr>
            <w:tcW w:w="625" w:type="pct"/>
            <w:vAlign w:val="bottom"/>
          </w:tcPr>
          <w:p>
            <w:pPr>
              <w:widowControl/>
              <w:jc w:val="center"/>
              <w:textAlignment w:val="bottom"/>
              <w:rPr>
                <w:color w:val="000000"/>
                <w:szCs w:val="21"/>
              </w:rPr>
            </w:pPr>
            <w:r>
              <w:rPr>
                <w:color w:val="000000"/>
                <w:kern w:val="0"/>
                <w:szCs w:val="21"/>
                <w:lang w:bidi="ar"/>
              </w:rPr>
              <w:t>2.65</w:t>
            </w:r>
          </w:p>
        </w:tc>
        <w:tc>
          <w:tcPr>
            <w:tcW w:w="625" w:type="pct"/>
            <w:vAlign w:val="bottom"/>
          </w:tcPr>
          <w:p>
            <w:pPr>
              <w:widowControl/>
              <w:jc w:val="center"/>
              <w:textAlignment w:val="bottom"/>
              <w:rPr>
                <w:color w:val="000000"/>
                <w:szCs w:val="21"/>
              </w:rPr>
            </w:pPr>
            <w:r>
              <w:rPr>
                <w:color w:val="000000"/>
                <w:kern w:val="0"/>
                <w:szCs w:val="21"/>
                <w:lang w:bidi="ar"/>
              </w:rPr>
              <w:t>2.63</w:t>
            </w:r>
          </w:p>
        </w:tc>
        <w:tc>
          <w:tcPr>
            <w:tcW w:w="625" w:type="pct"/>
            <w:vAlign w:val="bottom"/>
          </w:tcPr>
          <w:p>
            <w:pPr>
              <w:widowControl/>
              <w:jc w:val="center"/>
              <w:textAlignment w:val="bottom"/>
              <w:rPr>
                <w:color w:val="000000"/>
                <w:szCs w:val="21"/>
              </w:rPr>
            </w:pPr>
            <w:r>
              <w:rPr>
                <w:color w:val="000000"/>
                <w:kern w:val="0"/>
                <w:szCs w:val="21"/>
                <w:lang w:bidi="ar"/>
              </w:rPr>
              <w:t>29.81</w:t>
            </w:r>
          </w:p>
        </w:tc>
        <w:tc>
          <w:tcPr>
            <w:tcW w:w="624" w:type="pct"/>
            <w:vAlign w:val="bottom"/>
          </w:tcPr>
          <w:p>
            <w:pPr>
              <w:widowControl/>
              <w:jc w:val="center"/>
              <w:textAlignment w:val="bottom"/>
              <w:rPr>
                <w:color w:val="000000"/>
                <w:kern w:val="0"/>
                <w:szCs w:val="21"/>
                <w:lang w:bidi="ar"/>
              </w:rPr>
            </w:pPr>
            <w:r>
              <w:rPr>
                <w:color w:val="000000"/>
                <w:kern w:val="0"/>
                <w:szCs w:val="21"/>
                <w:lang w:bidi="ar"/>
              </w:rPr>
              <w:t>27.85</w:t>
            </w:r>
          </w:p>
        </w:tc>
        <w:tc>
          <w:tcPr>
            <w:tcW w:w="625" w:type="pct"/>
            <w:vAlign w:val="bottom"/>
          </w:tcPr>
          <w:p>
            <w:pPr>
              <w:widowControl/>
              <w:jc w:val="center"/>
              <w:textAlignment w:val="bottom"/>
              <w:rPr>
                <w:color w:val="000000"/>
                <w:kern w:val="0"/>
                <w:szCs w:val="21"/>
                <w:lang w:bidi="ar"/>
              </w:rPr>
            </w:pPr>
            <w:r>
              <w:rPr>
                <w:color w:val="000000"/>
                <w:kern w:val="0"/>
                <w:szCs w:val="21"/>
                <w:lang w:bidi="ar"/>
              </w:rPr>
              <w:t>33.42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17.3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9</w:t>
            </w:r>
          </w:p>
        </w:tc>
        <w:tc>
          <w:tcPr>
            <w:tcW w:w="693" w:type="pct"/>
            <w:vAlign w:val="bottom"/>
          </w:tcPr>
          <w:p>
            <w:pPr>
              <w:widowControl/>
              <w:jc w:val="center"/>
              <w:textAlignment w:val="bottom"/>
              <w:rPr>
                <w:color w:val="000000"/>
                <w:szCs w:val="21"/>
              </w:rPr>
            </w:pPr>
            <w:r>
              <w:rPr>
                <w:color w:val="000000"/>
                <w:kern w:val="0"/>
                <w:szCs w:val="21"/>
                <w:lang w:bidi="ar"/>
              </w:rPr>
              <w:t>2.29</w:t>
            </w:r>
          </w:p>
        </w:tc>
        <w:tc>
          <w:tcPr>
            <w:tcW w:w="625" w:type="pct"/>
            <w:vAlign w:val="bottom"/>
          </w:tcPr>
          <w:p>
            <w:pPr>
              <w:widowControl/>
              <w:jc w:val="center"/>
              <w:textAlignment w:val="bottom"/>
              <w:rPr>
                <w:color w:val="000000"/>
                <w:szCs w:val="21"/>
              </w:rPr>
            </w:pPr>
            <w:r>
              <w:rPr>
                <w:color w:val="000000"/>
                <w:kern w:val="0"/>
                <w:szCs w:val="21"/>
                <w:lang w:bidi="ar"/>
              </w:rPr>
              <w:t>2.28</w:t>
            </w:r>
          </w:p>
        </w:tc>
        <w:tc>
          <w:tcPr>
            <w:tcW w:w="625" w:type="pct"/>
            <w:vAlign w:val="bottom"/>
          </w:tcPr>
          <w:p>
            <w:pPr>
              <w:widowControl/>
              <w:jc w:val="center"/>
              <w:textAlignment w:val="bottom"/>
              <w:rPr>
                <w:color w:val="000000"/>
                <w:szCs w:val="21"/>
              </w:rPr>
            </w:pPr>
            <w:r>
              <w:rPr>
                <w:color w:val="000000"/>
                <w:kern w:val="0"/>
                <w:szCs w:val="21"/>
                <w:lang w:bidi="ar"/>
              </w:rPr>
              <w:t>2.23</w:t>
            </w:r>
          </w:p>
        </w:tc>
        <w:tc>
          <w:tcPr>
            <w:tcW w:w="625" w:type="pct"/>
            <w:vAlign w:val="bottom"/>
          </w:tcPr>
          <w:p>
            <w:pPr>
              <w:widowControl/>
              <w:jc w:val="center"/>
              <w:textAlignment w:val="bottom"/>
              <w:rPr>
                <w:color w:val="000000"/>
                <w:szCs w:val="21"/>
              </w:rPr>
            </w:pPr>
            <w:r>
              <w:rPr>
                <w:color w:val="000000"/>
                <w:kern w:val="0"/>
                <w:szCs w:val="21"/>
                <w:lang w:bidi="ar"/>
              </w:rPr>
              <w:t>26.19</w:t>
            </w:r>
          </w:p>
        </w:tc>
        <w:tc>
          <w:tcPr>
            <w:tcW w:w="624" w:type="pct"/>
            <w:vAlign w:val="bottom"/>
          </w:tcPr>
          <w:p>
            <w:pPr>
              <w:widowControl/>
              <w:jc w:val="center"/>
              <w:textAlignment w:val="bottom"/>
              <w:rPr>
                <w:color w:val="000000"/>
                <w:kern w:val="0"/>
                <w:szCs w:val="21"/>
                <w:lang w:bidi="ar"/>
              </w:rPr>
            </w:pPr>
            <w:r>
              <w:rPr>
                <w:color w:val="000000"/>
                <w:kern w:val="0"/>
                <w:szCs w:val="21"/>
                <w:lang w:bidi="ar"/>
              </w:rPr>
              <w:t>24.7</w:t>
            </w:r>
          </w:p>
        </w:tc>
        <w:tc>
          <w:tcPr>
            <w:tcW w:w="625" w:type="pct"/>
            <w:vAlign w:val="bottom"/>
          </w:tcPr>
          <w:p>
            <w:pPr>
              <w:widowControl/>
              <w:jc w:val="center"/>
              <w:textAlignment w:val="bottom"/>
              <w:rPr>
                <w:color w:val="000000"/>
                <w:kern w:val="0"/>
                <w:szCs w:val="21"/>
                <w:lang w:bidi="ar"/>
              </w:rPr>
            </w:pPr>
            <w:r>
              <w:rPr>
                <w:color w:val="000000"/>
                <w:kern w:val="0"/>
                <w:szCs w:val="21"/>
                <w:lang w:bidi="ar"/>
              </w:rPr>
              <w:t>28.81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18.3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10</w:t>
            </w:r>
          </w:p>
        </w:tc>
        <w:tc>
          <w:tcPr>
            <w:tcW w:w="693" w:type="pct"/>
            <w:vAlign w:val="bottom"/>
          </w:tcPr>
          <w:p>
            <w:pPr>
              <w:widowControl/>
              <w:jc w:val="center"/>
              <w:textAlignment w:val="bottom"/>
              <w:rPr>
                <w:color w:val="000000"/>
                <w:szCs w:val="21"/>
              </w:rPr>
            </w:pPr>
            <w:r>
              <w:rPr>
                <w:color w:val="000000"/>
                <w:kern w:val="0"/>
                <w:szCs w:val="21"/>
                <w:lang w:bidi="ar"/>
              </w:rPr>
              <w:t>1.94</w:t>
            </w:r>
          </w:p>
        </w:tc>
        <w:tc>
          <w:tcPr>
            <w:tcW w:w="625" w:type="pct"/>
            <w:vAlign w:val="bottom"/>
          </w:tcPr>
          <w:p>
            <w:pPr>
              <w:widowControl/>
              <w:jc w:val="center"/>
              <w:textAlignment w:val="bottom"/>
              <w:rPr>
                <w:color w:val="000000"/>
                <w:szCs w:val="21"/>
              </w:rPr>
            </w:pPr>
            <w:r>
              <w:rPr>
                <w:color w:val="000000"/>
                <w:kern w:val="0"/>
                <w:szCs w:val="21"/>
                <w:lang w:bidi="ar"/>
              </w:rPr>
              <w:t>1.97</w:t>
            </w:r>
          </w:p>
        </w:tc>
        <w:tc>
          <w:tcPr>
            <w:tcW w:w="625" w:type="pct"/>
            <w:vAlign w:val="bottom"/>
          </w:tcPr>
          <w:p>
            <w:pPr>
              <w:widowControl/>
              <w:jc w:val="center"/>
              <w:textAlignment w:val="bottom"/>
              <w:rPr>
                <w:color w:val="000000"/>
                <w:szCs w:val="21"/>
              </w:rPr>
            </w:pPr>
            <w:r>
              <w:rPr>
                <w:color w:val="000000"/>
                <w:kern w:val="0"/>
                <w:szCs w:val="21"/>
                <w:lang w:bidi="ar"/>
              </w:rPr>
              <w:t>1.91</w:t>
            </w:r>
          </w:p>
        </w:tc>
        <w:tc>
          <w:tcPr>
            <w:tcW w:w="625" w:type="pct"/>
            <w:vAlign w:val="bottom"/>
          </w:tcPr>
          <w:p>
            <w:pPr>
              <w:widowControl/>
              <w:jc w:val="center"/>
              <w:textAlignment w:val="bottom"/>
              <w:rPr>
                <w:color w:val="000000"/>
                <w:szCs w:val="21"/>
              </w:rPr>
            </w:pPr>
            <w:r>
              <w:rPr>
                <w:color w:val="000000"/>
                <w:kern w:val="0"/>
                <w:szCs w:val="21"/>
                <w:lang w:bidi="ar"/>
              </w:rPr>
              <w:t>23.17</w:t>
            </w:r>
          </w:p>
        </w:tc>
        <w:tc>
          <w:tcPr>
            <w:tcW w:w="624" w:type="pct"/>
            <w:vAlign w:val="bottom"/>
          </w:tcPr>
          <w:p>
            <w:pPr>
              <w:widowControl/>
              <w:jc w:val="center"/>
              <w:textAlignment w:val="bottom"/>
              <w:rPr>
                <w:color w:val="000000"/>
                <w:kern w:val="0"/>
                <w:szCs w:val="21"/>
                <w:lang w:bidi="ar"/>
              </w:rPr>
            </w:pPr>
            <w:r>
              <w:rPr>
                <w:color w:val="000000"/>
                <w:kern w:val="0"/>
                <w:szCs w:val="21"/>
                <w:lang w:bidi="ar"/>
              </w:rPr>
              <w:t>22.03</w:t>
            </w:r>
          </w:p>
        </w:tc>
        <w:tc>
          <w:tcPr>
            <w:tcW w:w="625" w:type="pct"/>
            <w:vAlign w:val="bottom"/>
          </w:tcPr>
          <w:p>
            <w:pPr>
              <w:widowControl/>
              <w:jc w:val="center"/>
              <w:textAlignment w:val="bottom"/>
              <w:rPr>
                <w:color w:val="000000"/>
                <w:kern w:val="0"/>
                <w:szCs w:val="21"/>
                <w:lang w:bidi="ar"/>
              </w:rPr>
            </w:pPr>
            <w:r>
              <w:rPr>
                <w:color w:val="000000"/>
                <w:kern w:val="0"/>
                <w:szCs w:val="21"/>
                <w:lang w:bidi="ar"/>
              </w:rPr>
              <w:t>25.12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19.3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11</w:t>
            </w:r>
          </w:p>
        </w:tc>
        <w:tc>
          <w:tcPr>
            <w:tcW w:w="693" w:type="pct"/>
            <w:vAlign w:val="bottom"/>
          </w:tcPr>
          <w:p>
            <w:pPr>
              <w:widowControl/>
              <w:jc w:val="center"/>
              <w:textAlignment w:val="bottom"/>
              <w:rPr>
                <w:color w:val="000000"/>
                <w:szCs w:val="21"/>
              </w:rPr>
            </w:pPr>
            <w:r>
              <w:rPr>
                <w:color w:val="000000"/>
                <w:kern w:val="0"/>
                <w:szCs w:val="21"/>
                <w:lang w:bidi="ar"/>
              </w:rPr>
              <w:t>1.66</w:t>
            </w:r>
          </w:p>
        </w:tc>
        <w:tc>
          <w:tcPr>
            <w:tcW w:w="625" w:type="pct"/>
            <w:vAlign w:val="bottom"/>
          </w:tcPr>
          <w:p>
            <w:pPr>
              <w:widowControl/>
              <w:jc w:val="center"/>
              <w:textAlignment w:val="bottom"/>
              <w:rPr>
                <w:color w:val="000000"/>
                <w:szCs w:val="21"/>
              </w:rPr>
            </w:pPr>
            <w:r>
              <w:rPr>
                <w:color w:val="000000"/>
                <w:kern w:val="0"/>
                <w:szCs w:val="21"/>
                <w:lang w:bidi="ar"/>
              </w:rPr>
              <w:t>1.71</w:t>
            </w:r>
          </w:p>
        </w:tc>
        <w:tc>
          <w:tcPr>
            <w:tcW w:w="625" w:type="pct"/>
            <w:vAlign w:val="bottom"/>
          </w:tcPr>
          <w:p>
            <w:pPr>
              <w:widowControl/>
              <w:jc w:val="center"/>
              <w:textAlignment w:val="bottom"/>
              <w:rPr>
                <w:color w:val="000000"/>
                <w:szCs w:val="21"/>
              </w:rPr>
            </w:pPr>
            <w:r>
              <w:rPr>
                <w:color w:val="000000"/>
                <w:kern w:val="0"/>
                <w:szCs w:val="21"/>
                <w:lang w:bidi="ar"/>
              </w:rPr>
              <w:t>1.65</w:t>
            </w:r>
          </w:p>
        </w:tc>
        <w:tc>
          <w:tcPr>
            <w:tcW w:w="625" w:type="pct"/>
            <w:vAlign w:val="bottom"/>
          </w:tcPr>
          <w:p>
            <w:pPr>
              <w:widowControl/>
              <w:jc w:val="center"/>
              <w:textAlignment w:val="bottom"/>
              <w:rPr>
                <w:color w:val="000000"/>
                <w:szCs w:val="21"/>
              </w:rPr>
            </w:pPr>
            <w:r>
              <w:rPr>
                <w:color w:val="000000"/>
                <w:kern w:val="0"/>
                <w:szCs w:val="21"/>
                <w:lang w:bidi="ar"/>
              </w:rPr>
              <w:t>20.63</w:t>
            </w:r>
          </w:p>
        </w:tc>
        <w:tc>
          <w:tcPr>
            <w:tcW w:w="624" w:type="pct"/>
            <w:vAlign w:val="bottom"/>
          </w:tcPr>
          <w:p>
            <w:pPr>
              <w:widowControl/>
              <w:jc w:val="center"/>
              <w:textAlignment w:val="bottom"/>
              <w:rPr>
                <w:color w:val="000000"/>
                <w:kern w:val="0"/>
                <w:szCs w:val="21"/>
                <w:lang w:bidi="ar"/>
              </w:rPr>
            </w:pPr>
            <w:r>
              <w:rPr>
                <w:color w:val="000000"/>
                <w:kern w:val="0"/>
                <w:szCs w:val="21"/>
                <w:lang w:bidi="ar"/>
              </w:rPr>
              <w:t>19.74</w:t>
            </w:r>
          </w:p>
        </w:tc>
        <w:tc>
          <w:tcPr>
            <w:tcW w:w="625" w:type="pct"/>
            <w:vAlign w:val="bottom"/>
          </w:tcPr>
          <w:p>
            <w:pPr>
              <w:widowControl/>
              <w:jc w:val="center"/>
              <w:textAlignment w:val="bottom"/>
              <w:rPr>
                <w:color w:val="000000"/>
                <w:kern w:val="0"/>
                <w:szCs w:val="21"/>
                <w:lang w:bidi="ar"/>
              </w:rPr>
            </w:pPr>
            <w:r>
              <w:rPr>
                <w:color w:val="000000"/>
                <w:kern w:val="0"/>
                <w:szCs w:val="21"/>
                <w:lang w:bidi="ar"/>
              </w:rPr>
              <w:t>22.11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20.3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12</w:t>
            </w:r>
          </w:p>
        </w:tc>
        <w:tc>
          <w:tcPr>
            <w:tcW w:w="693" w:type="pct"/>
            <w:vAlign w:val="bottom"/>
          </w:tcPr>
          <w:p>
            <w:pPr>
              <w:widowControl/>
              <w:jc w:val="center"/>
              <w:textAlignment w:val="bottom"/>
              <w:rPr>
                <w:color w:val="000000"/>
                <w:szCs w:val="21"/>
              </w:rPr>
            </w:pPr>
            <w:r>
              <w:rPr>
                <w:color w:val="000000"/>
                <w:kern w:val="0"/>
                <w:szCs w:val="21"/>
                <w:lang w:bidi="ar"/>
              </w:rPr>
              <w:t>1.43</w:t>
            </w:r>
          </w:p>
        </w:tc>
        <w:tc>
          <w:tcPr>
            <w:tcW w:w="625" w:type="pct"/>
            <w:vAlign w:val="bottom"/>
          </w:tcPr>
          <w:p>
            <w:pPr>
              <w:widowControl/>
              <w:jc w:val="center"/>
              <w:textAlignment w:val="bottom"/>
              <w:rPr>
                <w:color w:val="000000"/>
                <w:szCs w:val="21"/>
              </w:rPr>
            </w:pPr>
            <w:r>
              <w:rPr>
                <w:color w:val="000000"/>
                <w:kern w:val="0"/>
                <w:szCs w:val="21"/>
                <w:lang w:bidi="ar"/>
              </w:rPr>
              <w:t>1.48</w:t>
            </w:r>
          </w:p>
        </w:tc>
        <w:tc>
          <w:tcPr>
            <w:tcW w:w="625" w:type="pct"/>
            <w:vAlign w:val="bottom"/>
          </w:tcPr>
          <w:p>
            <w:pPr>
              <w:widowControl/>
              <w:jc w:val="center"/>
              <w:textAlignment w:val="bottom"/>
              <w:rPr>
                <w:color w:val="000000"/>
                <w:szCs w:val="21"/>
              </w:rPr>
            </w:pPr>
            <w:r>
              <w:rPr>
                <w:color w:val="000000"/>
                <w:kern w:val="0"/>
                <w:szCs w:val="21"/>
                <w:lang w:bidi="ar"/>
              </w:rPr>
              <w:t>1.43</w:t>
            </w:r>
          </w:p>
        </w:tc>
        <w:tc>
          <w:tcPr>
            <w:tcW w:w="625" w:type="pct"/>
            <w:vAlign w:val="bottom"/>
          </w:tcPr>
          <w:p>
            <w:pPr>
              <w:widowControl/>
              <w:jc w:val="center"/>
              <w:textAlignment w:val="bottom"/>
              <w:rPr>
                <w:color w:val="000000"/>
                <w:szCs w:val="21"/>
              </w:rPr>
            </w:pPr>
            <w:r>
              <w:rPr>
                <w:color w:val="000000"/>
                <w:kern w:val="0"/>
                <w:szCs w:val="21"/>
                <w:lang w:bidi="ar"/>
              </w:rPr>
              <w:t>18.48</w:t>
            </w:r>
          </w:p>
        </w:tc>
        <w:tc>
          <w:tcPr>
            <w:tcW w:w="624" w:type="pct"/>
            <w:vAlign w:val="bottom"/>
          </w:tcPr>
          <w:p>
            <w:pPr>
              <w:widowControl/>
              <w:jc w:val="center"/>
              <w:textAlignment w:val="bottom"/>
              <w:rPr>
                <w:color w:val="000000"/>
                <w:kern w:val="0"/>
                <w:szCs w:val="21"/>
                <w:lang w:bidi="ar"/>
              </w:rPr>
            </w:pPr>
            <w:r>
              <w:rPr>
                <w:color w:val="000000"/>
                <w:kern w:val="0"/>
                <w:szCs w:val="21"/>
                <w:lang w:bidi="ar"/>
              </w:rPr>
              <w:t>17.78</w:t>
            </w:r>
          </w:p>
        </w:tc>
        <w:tc>
          <w:tcPr>
            <w:tcW w:w="625" w:type="pct"/>
            <w:vAlign w:val="bottom"/>
          </w:tcPr>
          <w:p>
            <w:pPr>
              <w:widowControl/>
              <w:jc w:val="center"/>
              <w:textAlignment w:val="bottom"/>
              <w:rPr>
                <w:color w:val="000000"/>
                <w:kern w:val="0"/>
                <w:szCs w:val="21"/>
                <w:lang w:bidi="ar"/>
              </w:rPr>
            </w:pPr>
            <w:r>
              <w:rPr>
                <w:color w:val="000000"/>
                <w:kern w:val="0"/>
                <w:szCs w:val="21"/>
                <w:lang w:bidi="ar"/>
              </w:rPr>
              <w:t>19.62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21.3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13</w:t>
            </w:r>
          </w:p>
        </w:tc>
        <w:tc>
          <w:tcPr>
            <w:tcW w:w="693" w:type="pct"/>
            <w:vAlign w:val="bottom"/>
          </w:tcPr>
          <w:p>
            <w:pPr>
              <w:widowControl/>
              <w:jc w:val="center"/>
              <w:textAlignment w:val="bottom"/>
              <w:rPr>
                <w:color w:val="000000"/>
                <w:szCs w:val="21"/>
              </w:rPr>
            </w:pPr>
            <w:r>
              <w:rPr>
                <w:color w:val="000000"/>
                <w:kern w:val="0"/>
                <w:szCs w:val="21"/>
                <w:lang w:bidi="ar"/>
              </w:rPr>
              <w:t>1.23</w:t>
            </w:r>
          </w:p>
        </w:tc>
        <w:tc>
          <w:tcPr>
            <w:tcW w:w="625" w:type="pct"/>
            <w:vAlign w:val="bottom"/>
          </w:tcPr>
          <w:p>
            <w:pPr>
              <w:widowControl/>
              <w:jc w:val="center"/>
              <w:textAlignment w:val="bottom"/>
              <w:rPr>
                <w:color w:val="000000"/>
                <w:szCs w:val="21"/>
              </w:rPr>
            </w:pPr>
            <w:r>
              <w:rPr>
                <w:color w:val="000000"/>
                <w:kern w:val="0"/>
                <w:szCs w:val="21"/>
                <w:lang w:bidi="ar"/>
              </w:rPr>
              <w:t>1.29</w:t>
            </w:r>
          </w:p>
        </w:tc>
        <w:tc>
          <w:tcPr>
            <w:tcW w:w="625" w:type="pct"/>
            <w:vAlign w:val="bottom"/>
          </w:tcPr>
          <w:p>
            <w:pPr>
              <w:widowControl/>
              <w:jc w:val="center"/>
              <w:textAlignment w:val="bottom"/>
              <w:rPr>
                <w:color w:val="000000"/>
                <w:szCs w:val="21"/>
              </w:rPr>
            </w:pPr>
            <w:r>
              <w:rPr>
                <w:color w:val="000000"/>
                <w:kern w:val="0"/>
                <w:szCs w:val="21"/>
                <w:lang w:bidi="ar"/>
              </w:rPr>
              <w:t>1.24</w:t>
            </w:r>
          </w:p>
        </w:tc>
        <w:tc>
          <w:tcPr>
            <w:tcW w:w="625" w:type="pct"/>
            <w:vAlign w:val="bottom"/>
          </w:tcPr>
          <w:p>
            <w:pPr>
              <w:widowControl/>
              <w:jc w:val="center"/>
              <w:textAlignment w:val="bottom"/>
              <w:rPr>
                <w:color w:val="000000"/>
                <w:szCs w:val="21"/>
              </w:rPr>
            </w:pPr>
            <w:r>
              <w:rPr>
                <w:color w:val="000000"/>
                <w:kern w:val="0"/>
                <w:szCs w:val="21"/>
                <w:lang w:bidi="ar"/>
              </w:rPr>
              <w:t>16.64</w:t>
            </w:r>
          </w:p>
        </w:tc>
        <w:tc>
          <w:tcPr>
            <w:tcW w:w="624" w:type="pct"/>
            <w:vAlign w:val="bottom"/>
          </w:tcPr>
          <w:p>
            <w:pPr>
              <w:widowControl/>
              <w:jc w:val="center"/>
              <w:textAlignment w:val="bottom"/>
              <w:rPr>
                <w:color w:val="000000"/>
                <w:kern w:val="0"/>
                <w:szCs w:val="21"/>
                <w:lang w:bidi="ar"/>
              </w:rPr>
            </w:pPr>
            <w:r>
              <w:rPr>
                <w:color w:val="000000"/>
                <w:kern w:val="0"/>
                <w:szCs w:val="21"/>
                <w:lang w:bidi="ar"/>
              </w:rPr>
              <w:t>16.08</w:t>
            </w:r>
          </w:p>
        </w:tc>
        <w:tc>
          <w:tcPr>
            <w:tcW w:w="625" w:type="pct"/>
            <w:vAlign w:val="bottom"/>
          </w:tcPr>
          <w:p>
            <w:pPr>
              <w:widowControl/>
              <w:jc w:val="center"/>
              <w:textAlignment w:val="bottom"/>
              <w:rPr>
                <w:color w:val="000000"/>
                <w:kern w:val="0"/>
                <w:szCs w:val="21"/>
                <w:lang w:bidi="ar"/>
              </w:rPr>
            </w:pPr>
            <w:r>
              <w:rPr>
                <w:color w:val="000000"/>
                <w:kern w:val="0"/>
                <w:szCs w:val="21"/>
                <w:lang w:bidi="ar"/>
              </w:rPr>
              <w:t>17.54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22.3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14</w:t>
            </w:r>
          </w:p>
        </w:tc>
        <w:tc>
          <w:tcPr>
            <w:tcW w:w="693" w:type="pct"/>
            <w:vAlign w:val="bottom"/>
          </w:tcPr>
          <w:p>
            <w:pPr>
              <w:widowControl/>
              <w:jc w:val="center"/>
              <w:textAlignment w:val="bottom"/>
              <w:rPr>
                <w:color w:val="000000"/>
                <w:szCs w:val="21"/>
              </w:rPr>
            </w:pPr>
            <w:r>
              <w:rPr>
                <w:color w:val="000000"/>
                <w:kern w:val="0"/>
                <w:szCs w:val="21"/>
                <w:lang w:bidi="ar"/>
              </w:rPr>
              <w:t>1.07</w:t>
            </w:r>
          </w:p>
        </w:tc>
        <w:tc>
          <w:tcPr>
            <w:tcW w:w="625" w:type="pct"/>
            <w:vAlign w:val="bottom"/>
          </w:tcPr>
          <w:p>
            <w:pPr>
              <w:widowControl/>
              <w:jc w:val="center"/>
              <w:textAlignment w:val="bottom"/>
              <w:rPr>
                <w:color w:val="000000"/>
                <w:szCs w:val="21"/>
              </w:rPr>
            </w:pPr>
            <w:r>
              <w:rPr>
                <w:color w:val="000000"/>
                <w:kern w:val="0"/>
                <w:szCs w:val="21"/>
                <w:lang w:bidi="ar"/>
              </w:rPr>
              <w:t>1.13</w:t>
            </w:r>
          </w:p>
        </w:tc>
        <w:tc>
          <w:tcPr>
            <w:tcW w:w="625" w:type="pct"/>
            <w:vAlign w:val="bottom"/>
          </w:tcPr>
          <w:p>
            <w:pPr>
              <w:widowControl/>
              <w:jc w:val="center"/>
              <w:textAlignment w:val="bottom"/>
              <w:rPr>
                <w:color w:val="000000"/>
                <w:szCs w:val="21"/>
              </w:rPr>
            </w:pPr>
            <w:r>
              <w:rPr>
                <w:color w:val="000000"/>
                <w:kern w:val="0"/>
                <w:szCs w:val="21"/>
                <w:lang w:bidi="ar"/>
              </w:rPr>
              <w:t>1.09</w:t>
            </w:r>
          </w:p>
        </w:tc>
        <w:tc>
          <w:tcPr>
            <w:tcW w:w="625" w:type="pct"/>
            <w:vAlign w:val="bottom"/>
          </w:tcPr>
          <w:p>
            <w:pPr>
              <w:widowControl/>
              <w:jc w:val="center"/>
              <w:textAlignment w:val="bottom"/>
              <w:rPr>
                <w:color w:val="000000"/>
                <w:szCs w:val="21"/>
              </w:rPr>
            </w:pPr>
            <w:r>
              <w:rPr>
                <w:color w:val="000000"/>
                <w:kern w:val="0"/>
                <w:szCs w:val="21"/>
                <w:lang w:bidi="ar"/>
              </w:rPr>
              <w:t>15.07</w:t>
            </w:r>
          </w:p>
        </w:tc>
        <w:tc>
          <w:tcPr>
            <w:tcW w:w="624" w:type="pct"/>
            <w:vAlign w:val="bottom"/>
          </w:tcPr>
          <w:p>
            <w:pPr>
              <w:widowControl/>
              <w:jc w:val="center"/>
              <w:textAlignment w:val="bottom"/>
              <w:rPr>
                <w:color w:val="000000"/>
                <w:kern w:val="0"/>
                <w:szCs w:val="21"/>
                <w:lang w:bidi="ar"/>
              </w:rPr>
            </w:pPr>
            <w:r>
              <w:rPr>
                <w:color w:val="000000"/>
                <w:kern w:val="0"/>
                <w:szCs w:val="21"/>
                <w:lang w:bidi="ar"/>
              </w:rPr>
              <w:t>14.62</w:t>
            </w:r>
          </w:p>
        </w:tc>
        <w:tc>
          <w:tcPr>
            <w:tcW w:w="625" w:type="pct"/>
            <w:vAlign w:val="bottom"/>
          </w:tcPr>
          <w:p>
            <w:pPr>
              <w:widowControl/>
              <w:jc w:val="center"/>
              <w:textAlignment w:val="bottom"/>
              <w:rPr>
                <w:color w:val="000000"/>
                <w:kern w:val="0"/>
                <w:szCs w:val="21"/>
                <w:lang w:bidi="ar"/>
              </w:rPr>
            </w:pPr>
            <w:r>
              <w:rPr>
                <w:color w:val="000000"/>
                <w:kern w:val="0"/>
                <w:szCs w:val="21"/>
                <w:lang w:bidi="ar"/>
              </w:rPr>
              <w:t>15.79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23.3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15</w:t>
            </w:r>
          </w:p>
        </w:tc>
        <w:tc>
          <w:tcPr>
            <w:tcW w:w="693" w:type="pct"/>
            <w:vAlign w:val="bottom"/>
          </w:tcPr>
          <w:p>
            <w:pPr>
              <w:widowControl/>
              <w:jc w:val="center"/>
              <w:textAlignment w:val="bottom"/>
              <w:rPr>
                <w:color w:val="000000"/>
                <w:szCs w:val="21"/>
              </w:rPr>
            </w:pPr>
            <w:r>
              <w:rPr>
                <w:color w:val="000000"/>
                <w:kern w:val="0"/>
                <w:szCs w:val="21"/>
                <w:lang w:bidi="ar"/>
              </w:rPr>
              <w:t>0.94</w:t>
            </w:r>
          </w:p>
        </w:tc>
        <w:tc>
          <w:tcPr>
            <w:tcW w:w="625" w:type="pct"/>
            <w:vAlign w:val="bottom"/>
          </w:tcPr>
          <w:p>
            <w:pPr>
              <w:widowControl/>
              <w:jc w:val="center"/>
              <w:textAlignment w:val="bottom"/>
              <w:rPr>
                <w:color w:val="000000"/>
                <w:szCs w:val="21"/>
              </w:rPr>
            </w:pPr>
            <w:r>
              <w:rPr>
                <w:color w:val="000000"/>
                <w:kern w:val="0"/>
                <w:szCs w:val="21"/>
                <w:lang w:bidi="ar"/>
              </w:rPr>
              <w:t>1</w:t>
            </w:r>
          </w:p>
        </w:tc>
        <w:tc>
          <w:tcPr>
            <w:tcW w:w="625" w:type="pct"/>
            <w:vAlign w:val="bottom"/>
          </w:tcPr>
          <w:p>
            <w:pPr>
              <w:widowControl/>
              <w:jc w:val="center"/>
              <w:textAlignment w:val="bottom"/>
              <w:rPr>
                <w:color w:val="000000"/>
                <w:szCs w:val="21"/>
              </w:rPr>
            </w:pPr>
            <w:r>
              <w:rPr>
                <w:color w:val="000000"/>
                <w:kern w:val="0"/>
                <w:szCs w:val="21"/>
                <w:lang w:bidi="ar"/>
              </w:rPr>
              <w:t>0.96</w:t>
            </w:r>
          </w:p>
        </w:tc>
        <w:tc>
          <w:tcPr>
            <w:tcW w:w="625" w:type="pct"/>
            <w:vAlign w:val="bottom"/>
          </w:tcPr>
          <w:p>
            <w:pPr>
              <w:widowControl/>
              <w:jc w:val="center"/>
              <w:textAlignment w:val="bottom"/>
              <w:rPr>
                <w:color w:val="000000"/>
                <w:szCs w:val="21"/>
              </w:rPr>
            </w:pPr>
            <w:r>
              <w:rPr>
                <w:color w:val="000000"/>
                <w:kern w:val="0"/>
                <w:szCs w:val="21"/>
                <w:lang w:bidi="ar"/>
              </w:rPr>
              <w:t>13.71</w:t>
            </w:r>
          </w:p>
        </w:tc>
        <w:tc>
          <w:tcPr>
            <w:tcW w:w="624" w:type="pct"/>
            <w:vAlign w:val="bottom"/>
          </w:tcPr>
          <w:p>
            <w:pPr>
              <w:widowControl/>
              <w:jc w:val="center"/>
              <w:textAlignment w:val="bottom"/>
              <w:rPr>
                <w:color w:val="000000"/>
                <w:kern w:val="0"/>
                <w:szCs w:val="21"/>
                <w:lang w:bidi="ar"/>
              </w:rPr>
            </w:pPr>
            <w:r>
              <w:rPr>
                <w:color w:val="000000"/>
                <w:kern w:val="0"/>
                <w:szCs w:val="21"/>
                <w:lang w:bidi="ar"/>
              </w:rPr>
              <w:t>13.34</w:t>
            </w:r>
          </w:p>
        </w:tc>
        <w:tc>
          <w:tcPr>
            <w:tcW w:w="625" w:type="pct"/>
            <w:vAlign w:val="bottom"/>
          </w:tcPr>
          <w:p>
            <w:pPr>
              <w:widowControl/>
              <w:jc w:val="center"/>
              <w:textAlignment w:val="bottom"/>
              <w:rPr>
                <w:color w:val="000000"/>
                <w:kern w:val="0"/>
                <w:szCs w:val="21"/>
                <w:lang w:bidi="ar"/>
              </w:rPr>
            </w:pPr>
            <w:r>
              <w:rPr>
                <w:color w:val="000000"/>
                <w:kern w:val="0"/>
                <w:szCs w:val="21"/>
                <w:lang w:bidi="ar"/>
              </w:rPr>
              <w:t>14.29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24.3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16</w:t>
            </w:r>
          </w:p>
        </w:tc>
        <w:tc>
          <w:tcPr>
            <w:tcW w:w="693" w:type="pct"/>
            <w:vAlign w:val="bottom"/>
          </w:tcPr>
          <w:p>
            <w:pPr>
              <w:widowControl/>
              <w:jc w:val="center"/>
              <w:textAlignment w:val="bottom"/>
              <w:rPr>
                <w:color w:val="000000"/>
                <w:szCs w:val="21"/>
              </w:rPr>
            </w:pPr>
            <w:r>
              <w:rPr>
                <w:color w:val="000000"/>
                <w:kern w:val="0"/>
                <w:szCs w:val="21"/>
                <w:lang w:bidi="ar"/>
              </w:rPr>
              <w:t>0.82</w:t>
            </w:r>
          </w:p>
        </w:tc>
        <w:tc>
          <w:tcPr>
            <w:tcW w:w="625" w:type="pct"/>
            <w:vAlign w:val="bottom"/>
          </w:tcPr>
          <w:p>
            <w:pPr>
              <w:widowControl/>
              <w:jc w:val="center"/>
              <w:textAlignment w:val="bottom"/>
              <w:rPr>
                <w:color w:val="000000"/>
                <w:szCs w:val="21"/>
              </w:rPr>
            </w:pPr>
            <w:r>
              <w:rPr>
                <w:color w:val="000000"/>
                <w:kern w:val="0"/>
                <w:szCs w:val="21"/>
                <w:lang w:bidi="ar"/>
              </w:rPr>
              <w:t>0.88</w:t>
            </w:r>
          </w:p>
        </w:tc>
        <w:tc>
          <w:tcPr>
            <w:tcW w:w="625" w:type="pct"/>
            <w:vAlign w:val="bottom"/>
          </w:tcPr>
          <w:p>
            <w:pPr>
              <w:widowControl/>
              <w:jc w:val="center"/>
              <w:textAlignment w:val="bottom"/>
              <w:rPr>
                <w:color w:val="000000"/>
                <w:szCs w:val="21"/>
              </w:rPr>
            </w:pPr>
            <w:r>
              <w:rPr>
                <w:color w:val="000000"/>
                <w:kern w:val="0"/>
                <w:szCs w:val="21"/>
                <w:lang w:bidi="ar"/>
              </w:rPr>
              <w:t>0.85</w:t>
            </w:r>
          </w:p>
        </w:tc>
        <w:tc>
          <w:tcPr>
            <w:tcW w:w="625" w:type="pct"/>
            <w:vAlign w:val="bottom"/>
          </w:tcPr>
          <w:p>
            <w:pPr>
              <w:widowControl/>
              <w:jc w:val="center"/>
              <w:textAlignment w:val="bottom"/>
              <w:rPr>
                <w:color w:val="000000"/>
                <w:szCs w:val="21"/>
              </w:rPr>
            </w:pPr>
            <w:r>
              <w:rPr>
                <w:color w:val="000000"/>
                <w:kern w:val="0"/>
                <w:szCs w:val="21"/>
                <w:lang w:bidi="ar"/>
              </w:rPr>
              <w:t>12.52</w:t>
            </w:r>
          </w:p>
        </w:tc>
        <w:tc>
          <w:tcPr>
            <w:tcW w:w="624" w:type="pct"/>
            <w:vAlign w:val="bottom"/>
          </w:tcPr>
          <w:p>
            <w:pPr>
              <w:widowControl/>
              <w:jc w:val="center"/>
              <w:textAlignment w:val="bottom"/>
              <w:rPr>
                <w:color w:val="000000"/>
                <w:kern w:val="0"/>
                <w:szCs w:val="21"/>
                <w:lang w:bidi="ar"/>
              </w:rPr>
            </w:pPr>
            <w:r>
              <w:rPr>
                <w:color w:val="000000"/>
                <w:kern w:val="0"/>
                <w:szCs w:val="21"/>
                <w:lang w:bidi="ar"/>
              </w:rPr>
              <w:t>12.22</w:t>
            </w:r>
          </w:p>
        </w:tc>
        <w:tc>
          <w:tcPr>
            <w:tcW w:w="625" w:type="pct"/>
            <w:vAlign w:val="bottom"/>
          </w:tcPr>
          <w:p>
            <w:pPr>
              <w:widowControl/>
              <w:jc w:val="center"/>
              <w:textAlignment w:val="bottom"/>
              <w:rPr>
                <w:color w:val="000000"/>
                <w:kern w:val="0"/>
                <w:szCs w:val="21"/>
                <w:lang w:bidi="ar"/>
              </w:rPr>
            </w:pPr>
            <w:r>
              <w:rPr>
                <w:color w:val="000000"/>
                <w:kern w:val="0"/>
                <w:szCs w:val="21"/>
                <w:lang w:bidi="ar"/>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25.3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17</w:t>
            </w:r>
          </w:p>
        </w:tc>
        <w:tc>
          <w:tcPr>
            <w:tcW w:w="693" w:type="pct"/>
            <w:vAlign w:val="bottom"/>
          </w:tcPr>
          <w:p>
            <w:pPr>
              <w:widowControl/>
              <w:jc w:val="center"/>
              <w:textAlignment w:val="bottom"/>
              <w:rPr>
                <w:color w:val="000000"/>
                <w:szCs w:val="21"/>
              </w:rPr>
            </w:pPr>
            <w:r>
              <w:rPr>
                <w:color w:val="000000"/>
                <w:kern w:val="0"/>
                <w:szCs w:val="21"/>
                <w:lang w:bidi="ar"/>
              </w:rPr>
              <w:t>0.73</w:t>
            </w:r>
          </w:p>
        </w:tc>
        <w:tc>
          <w:tcPr>
            <w:tcW w:w="625" w:type="pct"/>
            <w:vAlign w:val="bottom"/>
          </w:tcPr>
          <w:p>
            <w:pPr>
              <w:widowControl/>
              <w:jc w:val="center"/>
              <w:textAlignment w:val="bottom"/>
              <w:rPr>
                <w:color w:val="000000"/>
                <w:szCs w:val="21"/>
              </w:rPr>
            </w:pPr>
            <w:r>
              <w:rPr>
                <w:color w:val="000000"/>
                <w:kern w:val="0"/>
                <w:szCs w:val="21"/>
                <w:lang w:bidi="ar"/>
              </w:rPr>
              <w:t>0.78</w:t>
            </w:r>
          </w:p>
        </w:tc>
        <w:tc>
          <w:tcPr>
            <w:tcW w:w="625" w:type="pct"/>
            <w:vAlign w:val="bottom"/>
          </w:tcPr>
          <w:p>
            <w:pPr>
              <w:widowControl/>
              <w:jc w:val="center"/>
              <w:textAlignment w:val="bottom"/>
              <w:rPr>
                <w:color w:val="000000"/>
                <w:szCs w:val="21"/>
              </w:rPr>
            </w:pPr>
            <w:r>
              <w:rPr>
                <w:color w:val="000000"/>
                <w:kern w:val="0"/>
                <w:szCs w:val="21"/>
                <w:lang w:bidi="ar"/>
              </w:rPr>
              <w:t>0.76</w:t>
            </w:r>
          </w:p>
        </w:tc>
        <w:tc>
          <w:tcPr>
            <w:tcW w:w="625" w:type="pct"/>
            <w:vAlign w:val="bottom"/>
          </w:tcPr>
          <w:p>
            <w:pPr>
              <w:widowControl/>
              <w:jc w:val="center"/>
              <w:textAlignment w:val="bottom"/>
              <w:rPr>
                <w:color w:val="000000"/>
                <w:szCs w:val="21"/>
              </w:rPr>
            </w:pPr>
            <w:r>
              <w:rPr>
                <w:color w:val="000000"/>
                <w:kern w:val="0"/>
                <w:szCs w:val="21"/>
                <w:lang w:bidi="ar"/>
              </w:rPr>
              <w:t>11.48</w:t>
            </w:r>
          </w:p>
        </w:tc>
        <w:tc>
          <w:tcPr>
            <w:tcW w:w="624" w:type="pct"/>
            <w:vAlign w:val="bottom"/>
          </w:tcPr>
          <w:p>
            <w:pPr>
              <w:widowControl/>
              <w:jc w:val="center"/>
              <w:textAlignment w:val="bottom"/>
              <w:rPr>
                <w:color w:val="000000"/>
                <w:kern w:val="0"/>
                <w:szCs w:val="21"/>
                <w:lang w:bidi="ar"/>
              </w:rPr>
            </w:pPr>
            <w:r>
              <w:rPr>
                <w:color w:val="000000"/>
                <w:kern w:val="0"/>
                <w:szCs w:val="21"/>
                <w:lang w:bidi="ar"/>
              </w:rPr>
              <w:t>11.23</w:t>
            </w:r>
          </w:p>
        </w:tc>
        <w:tc>
          <w:tcPr>
            <w:tcW w:w="625" w:type="pct"/>
            <w:vAlign w:val="bottom"/>
          </w:tcPr>
          <w:p>
            <w:pPr>
              <w:widowControl/>
              <w:jc w:val="center"/>
              <w:textAlignment w:val="bottom"/>
              <w:rPr>
                <w:color w:val="000000"/>
                <w:kern w:val="0"/>
                <w:szCs w:val="21"/>
                <w:lang w:bidi="ar"/>
              </w:rPr>
            </w:pPr>
            <w:r>
              <w:rPr>
                <w:color w:val="000000"/>
                <w:kern w:val="0"/>
                <w:szCs w:val="21"/>
                <w:lang w:bidi="ar"/>
              </w:rPr>
              <w:t>11.88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26.3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18</w:t>
            </w:r>
          </w:p>
        </w:tc>
        <w:tc>
          <w:tcPr>
            <w:tcW w:w="693" w:type="pct"/>
            <w:vAlign w:val="bottom"/>
          </w:tcPr>
          <w:p>
            <w:pPr>
              <w:widowControl/>
              <w:jc w:val="center"/>
              <w:textAlignment w:val="bottom"/>
              <w:rPr>
                <w:color w:val="000000"/>
                <w:szCs w:val="21"/>
              </w:rPr>
            </w:pPr>
            <w:r>
              <w:rPr>
                <w:color w:val="000000"/>
                <w:kern w:val="0"/>
                <w:szCs w:val="21"/>
                <w:lang w:bidi="ar"/>
              </w:rPr>
              <w:t>0.65</w:t>
            </w:r>
          </w:p>
        </w:tc>
        <w:tc>
          <w:tcPr>
            <w:tcW w:w="625" w:type="pct"/>
            <w:vAlign w:val="bottom"/>
          </w:tcPr>
          <w:p>
            <w:pPr>
              <w:widowControl/>
              <w:jc w:val="center"/>
              <w:textAlignment w:val="bottom"/>
              <w:rPr>
                <w:color w:val="000000"/>
                <w:szCs w:val="21"/>
              </w:rPr>
            </w:pPr>
            <w:r>
              <w:rPr>
                <w:color w:val="000000"/>
                <w:kern w:val="0"/>
                <w:szCs w:val="21"/>
                <w:lang w:bidi="ar"/>
              </w:rPr>
              <w:t>0.7</w:t>
            </w:r>
          </w:p>
        </w:tc>
        <w:tc>
          <w:tcPr>
            <w:tcW w:w="625" w:type="pct"/>
            <w:vAlign w:val="bottom"/>
          </w:tcPr>
          <w:p>
            <w:pPr>
              <w:widowControl/>
              <w:jc w:val="center"/>
              <w:textAlignment w:val="bottom"/>
              <w:rPr>
                <w:color w:val="000000"/>
                <w:szCs w:val="21"/>
              </w:rPr>
            </w:pPr>
            <w:r>
              <w:rPr>
                <w:color w:val="000000"/>
                <w:kern w:val="0"/>
                <w:szCs w:val="21"/>
                <w:lang w:bidi="ar"/>
              </w:rPr>
              <w:t>0.67</w:t>
            </w:r>
          </w:p>
        </w:tc>
        <w:tc>
          <w:tcPr>
            <w:tcW w:w="625" w:type="pct"/>
            <w:vAlign w:val="bottom"/>
          </w:tcPr>
          <w:p>
            <w:pPr>
              <w:widowControl/>
              <w:jc w:val="center"/>
              <w:textAlignment w:val="bottom"/>
              <w:rPr>
                <w:color w:val="000000"/>
                <w:szCs w:val="21"/>
              </w:rPr>
            </w:pPr>
            <w:r>
              <w:rPr>
                <w:color w:val="000000"/>
                <w:kern w:val="0"/>
                <w:szCs w:val="21"/>
                <w:lang w:bidi="ar"/>
              </w:rPr>
              <w:t>10.57</w:t>
            </w:r>
          </w:p>
        </w:tc>
        <w:tc>
          <w:tcPr>
            <w:tcW w:w="624" w:type="pct"/>
            <w:vAlign w:val="bottom"/>
          </w:tcPr>
          <w:p>
            <w:pPr>
              <w:widowControl/>
              <w:jc w:val="center"/>
              <w:textAlignment w:val="bottom"/>
              <w:rPr>
                <w:color w:val="000000"/>
                <w:kern w:val="0"/>
                <w:szCs w:val="21"/>
                <w:lang w:bidi="ar"/>
              </w:rPr>
            </w:pPr>
            <w:r>
              <w:rPr>
                <w:color w:val="000000"/>
                <w:kern w:val="0"/>
                <w:szCs w:val="21"/>
                <w:lang w:bidi="ar"/>
              </w:rPr>
              <w:t>10.36</w:t>
            </w:r>
          </w:p>
        </w:tc>
        <w:tc>
          <w:tcPr>
            <w:tcW w:w="625" w:type="pct"/>
            <w:vAlign w:val="bottom"/>
          </w:tcPr>
          <w:p>
            <w:pPr>
              <w:widowControl/>
              <w:jc w:val="center"/>
              <w:textAlignment w:val="bottom"/>
              <w:rPr>
                <w:color w:val="000000"/>
                <w:kern w:val="0"/>
                <w:szCs w:val="21"/>
                <w:lang w:bidi="ar"/>
              </w:rPr>
            </w:pPr>
            <w:r>
              <w:rPr>
                <w:color w:val="000000"/>
                <w:kern w:val="0"/>
                <w:szCs w:val="21"/>
                <w:lang w:bidi="ar"/>
              </w:rPr>
              <w:t>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27.3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19</w:t>
            </w:r>
          </w:p>
        </w:tc>
        <w:tc>
          <w:tcPr>
            <w:tcW w:w="693" w:type="pct"/>
            <w:vAlign w:val="bottom"/>
          </w:tcPr>
          <w:p>
            <w:pPr>
              <w:widowControl/>
              <w:jc w:val="center"/>
              <w:textAlignment w:val="bottom"/>
              <w:rPr>
                <w:color w:val="000000"/>
                <w:szCs w:val="21"/>
              </w:rPr>
            </w:pPr>
            <w:r>
              <w:rPr>
                <w:color w:val="000000"/>
                <w:kern w:val="0"/>
                <w:szCs w:val="21"/>
                <w:lang w:bidi="ar"/>
              </w:rPr>
              <w:t>0.57</w:t>
            </w:r>
          </w:p>
        </w:tc>
        <w:tc>
          <w:tcPr>
            <w:tcW w:w="625" w:type="pct"/>
            <w:vAlign w:val="bottom"/>
          </w:tcPr>
          <w:p>
            <w:pPr>
              <w:widowControl/>
              <w:jc w:val="center"/>
              <w:textAlignment w:val="bottom"/>
              <w:rPr>
                <w:color w:val="000000"/>
                <w:szCs w:val="21"/>
              </w:rPr>
            </w:pPr>
            <w:r>
              <w:rPr>
                <w:color w:val="000000"/>
                <w:kern w:val="0"/>
                <w:szCs w:val="21"/>
                <w:lang w:bidi="ar"/>
              </w:rPr>
              <w:t>0.62</w:t>
            </w:r>
          </w:p>
        </w:tc>
        <w:tc>
          <w:tcPr>
            <w:tcW w:w="625" w:type="pct"/>
            <w:vAlign w:val="bottom"/>
          </w:tcPr>
          <w:p>
            <w:pPr>
              <w:widowControl/>
              <w:jc w:val="center"/>
              <w:textAlignment w:val="bottom"/>
              <w:rPr>
                <w:color w:val="000000"/>
                <w:szCs w:val="21"/>
              </w:rPr>
            </w:pPr>
            <w:r>
              <w:rPr>
                <w:color w:val="000000"/>
                <w:kern w:val="0"/>
                <w:szCs w:val="21"/>
                <w:lang w:bidi="ar"/>
              </w:rPr>
              <w:t>0.6</w:t>
            </w:r>
          </w:p>
        </w:tc>
        <w:tc>
          <w:tcPr>
            <w:tcW w:w="625" w:type="pct"/>
            <w:vAlign w:val="bottom"/>
          </w:tcPr>
          <w:p>
            <w:pPr>
              <w:widowControl/>
              <w:jc w:val="center"/>
              <w:textAlignment w:val="bottom"/>
              <w:rPr>
                <w:color w:val="000000"/>
                <w:szCs w:val="21"/>
              </w:rPr>
            </w:pPr>
            <w:r>
              <w:rPr>
                <w:color w:val="000000"/>
                <w:kern w:val="0"/>
                <w:szCs w:val="21"/>
                <w:lang w:bidi="ar"/>
              </w:rPr>
              <w:t>9.77</w:t>
            </w:r>
          </w:p>
        </w:tc>
        <w:tc>
          <w:tcPr>
            <w:tcW w:w="624" w:type="pct"/>
            <w:vAlign w:val="bottom"/>
          </w:tcPr>
          <w:p>
            <w:pPr>
              <w:widowControl/>
              <w:jc w:val="center"/>
              <w:textAlignment w:val="bottom"/>
              <w:rPr>
                <w:color w:val="000000"/>
                <w:kern w:val="0"/>
                <w:szCs w:val="21"/>
                <w:lang w:bidi="ar"/>
              </w:rPr>
            </w:pPr>
            <w:r>
              <w:rPr>
                <w:color w:val="000000"/>
                <w:kern w:val="0"/>
                <w:szCs w:val="21"/>
                <w:lang w:bidi="ar"/>
              </w:rPr>
              <w:t>9.59</w:t>
            </w:r>
          </w:p>
        </w:tc>
        <w:tc>
          <w:tcPr>
            <w:tcW w:w="625" w:type="pct"/>
            <w:vAlign w:val="bottom"/>
          </w:tcPr>
          <w:p>
            <w:pPr>
              <w:widowControl/>
              <w:jc w:val="center"/>
              <w:textAlignment w:val="bottom"/>
              <w:rPr>
                <w:color w:val="000000"/>
                <w:kern w:val="0"/>
                <w:szCs w:val="21"/>
                <w:lang w:bidi="ar"/>
              </w:rPr>
            </w:pPr>
            <w:r>
              <w:rPr>
                <w:color w:val="000000"/>
                <w:kern w:val="0"/>
                <w:szCs w:val="21"/>
                <w:lang w:bidi="ar"/>
              </w:rPr>
              <w:t>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28.3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20</w:t>
            </w:r>
          </w:p>
        </w:tc>
        <w:tc>
          <w:tcPr>
            <w:tcW w:w="693" w:type="pct"/>
            <w:vAlign w:val="bottom"/>
          </w:tcPr>
          <w:p>
            <w:pPr>
              <w:widowControl/>
              <w:jc w:val="center"/>
              <w:textAlignment w:val="bottom"/>
              <w:rPr>
                <w:color w:val="000000"/>
                <w:szCs w:val="21"/>
              </w:rPr>
            </w:pPr>
            <w:r>
              <w:rPr>
                <w:color w:val="000000"/>
                <w:kern w:val="0"/>
                <w:szCs w:val="21"/>
                <w:lang w:bidi="ar"/>
              </w:rPr>
              <w:t>0.51</w:t>
            </w:r>
          </w:p>
        </w:tc>
        <w:tc>
          <w:tcPr>
            <w:tcW w:w="625" w:type="pct"/>
            <w:vAlign w:val="bottom"/>
          </w:tcPr>
          <w:p>
            <w:pPr>
              <w:widowControl/>
              <w:jc w:val="center"/>
              <w:textAlignment w:val="bottom"/>
              <w:rPr>
                <w:color w:val="000000"/>
                <w:szCs w:val="21"/>
              </w:rPr>
            </w:pPr>
            <w:r>
              <w:rPr>
                <w:color w:val="000000"/>
                <w:kern w:val="0"/>
                <w:szCs w:val="21"/>
                <w:lang w:bidi="ar"/>
              </w:rPr>
              <w:t>0.56</w:t>
            </w:r>
          </w:p>
        </w:tc>
        <w:tc>
          <w:tcPr>
            <w:tcW w:w="625" w:type="pct"/>
            <w:vAlign w:val="bottom"/>
          </w:tcPr>
          <w:p>
            <w:pPr>
              <w:widowControl/>
              <w:jc w:val="center"/>
              <w:textAlignment w:val="bottom"/>
              <w:rPr>
                <w:color w:val="000000"/>
                <w:szCs w:val="21"/>
              </w:rPr>
            </w:pPr>
            <w:r>
              <w:rPr>
                <w:color w:val="000000"/>
                <w:kern w:val="0"/>
                <w:szCs w:val="21"/>
                <w:lang w:bidi="ar"/>
              </w:rPr>
              <w:t>0.54</w:t>
            </w:r>
          </w:p>
        </w:tc>
        <w:tc>
          <w:tcPr>
            <w:tcW w:w="625" w:type="pct"/>
            <w:vAlign w:val="bottom"/>
          </w:tcPr>
          <w:p>
            <w:pPr>
              <w:widowControl/>
              <w:jc w:val="center"/>
              <w:textAlignment w:val="bottom"/>
              <w:rPr>
                <w:color w:val="000000"/>
                <w:szCs w:val="21"/>
              </w:rPr>
            </w:pPr>
            <w:r>
              <w:rPr>
                <w:color w:val="000000"/>
                <w:kern w:val="0"/>
                <w:szCs w:val="21"/>
                <w:lang w:bidi="ar"/>
              </w:rPr>
              <w:t>9.05</w:t>
            </w:r>
          </w:p>
        </w:tc>
        <w:tc>
          <w:tcPr>
            <w:tcW w:w="624" w:type="pct"/>
            <w:vAlign w:val="bottom"/>
          </w:tcPr>
          <w:p>
            <w:pPr>
              <w:widowControl/>
              <w:jc w:val="center"/>
              <w:textAlignment w:val="bottom"/>
              <w:rPr>
                <w:color w:val="000000"/>
                <w:kern w:val="0"/>
                <w:szCs w:val="21"/>
                <w:lang w:bidi="ar"/>
              </w:rPr>
            </w:pPr>
            <w:r>
              <w:rPr>
                <w:color w:val="000000"/>
                <w:kern w:val="0"/>
                <w:szCs w:val="21"/>
                <w:lang w:bidi="ar"/>
              </w:rPr>
              <w:t>8.9</w:t>
            </w:r>
          </w:p>
        </w:tc>
        <w:tc>
          <w:tcPr>
            <w:tcW w:w="625" w:type="pct"/>
            <w:vAlign w:val="bottom"/>
          </w:tcPr>
          <w:p>
            <w:pPr>
              <w:widowControl/>
              <w:jc w:val="center"/>
              <w:textAlignment w:val="bottom"/>
              <w:rPr>
                <w:color w:val="000000"/>
                <w:kern w:val="0"/>
                <w:szCs w:val="21"/>
                <w:lang w:bidi="ar"/>
              </w:rPr>
            </w:pPr>
            <w:r>
              <w:rPr>
                <w:color w:val="000000"/>
                <w:kern w:val="0"/>
                <w:szCs w:val="21"/>
                <w:lang w:bidi="ar"/>
              </w:rPr>
              <w:t>9.28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29.3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21</w:t>
            </w:r>
          </w:p>
        </w:tc>
        <w:tc>
          <w:tcPr>
            <w:tcW w:w="693" w:type="pct"/>
            <w:vAlign w:val="bottom"/>
          </w:tcPr>
          <w:p>
            <w:pPr>
              <w:widowControl/>
              <w:jc w:val="center"/>
              <w:textAlignment w:val="bottom"/>
              <w:rPr>
                <w:color w:val="000000"/>
                <w:szCs w:val="21"/>
              </w:rPr>
            </w:pPr>
            <w:r>
              <w:rPr>
                <w:color w:val="000000"/>
                <w:kern w:val="0"/>
                <w:szCs w:val="21"/>
                <w:lang w:bidi="ar"/>
              </w:rPr>
              <w:t>0.46</w:t>
            </w:r>
          </w:p>
        </w:tc>
        <w:tc>
          <w:tcPr>
            <w:tcW w:w="625" w:type="pct"/>
            <w:vAlign w:val="bottom"/>
          </w:tcPr>
          <w:p>
            <w:pPr>
              <w:widowControl/>
              <w:jc w:val="center"/>
              <w:textAlignment w:val="bottom"/>
              <w:rPr>
                <w:color w:val="000000"/>
                <w:szCs w:val="21"/>
              </w:rPr>
            </w:pPr>
            <w:r>
              <w:rPr>
                <w:color w:val="000000"/>
                <w:kern w:val="0"/>
                <w:szCs w:val="21"/>
                <w:lang w:bidi="ar"/>
              </w:rPr>
              <w:t>0.51</w:t>
            </w:r>
          </w:p>
        </w:tc>
        <w:tc>
          <w:tcPr>
            <w:tcW w:w="625" w:type="pct"/>
            <w:vAlign w:val="bottom"/>
          </w:tcPr>
          <w:p>
            <w:pPr>
              <w:widowControl/>
              <w:jc w:val="center"/>
              <w:textAlignment w:val="bottom"/>
              <w:rPr>
                <w:color w:val="000000"/>
                <w:szCs w:val="21"/>
              </w:rPr>
            </w:pPr>
            <w:r>
              <w:rPr>
                <w:color w:val="000000"/>
                <w:kern w:val="0"/>
                <w:szCs w:val="21"/>
                <w:lang w:bidi="ar"/>
              </w:rPr>
              <w:t>0.49</w:t>
            </w:r>
          </w:p>
        </w:tc>
        <w:tc>
          <w:tcPr>
            <w:tcW w:w="625" w:type="pct"/>
            <w:vAlign w:val="bottom"/>
          </w:tcPr>
          <w:p>
            <w:pPr>
              <w:widowControl/>
              <w:jc w:val="center"/>
              <w:textAlignment w:val="bottom"/>
              <w:rPr>
                <w:color w:val="000000"/>
                <w:szCs w:val="21"/>
              </w:rPr>
            </w:pPr>
            <w:r>
              <w:rPr>
                <w:color w:val="000000"/>
                <w:kern w:val="0"/>
                <w:szCs w:val="21"/>
                <w:lang w:bidi="ar"/>
              </w:rPr>
              <w:t>8.41</w:t>
            </w:r>
          </w:p>
        </w:tc>
        <w:tc>
          <w:tcPr>
            <w:tcW w:w="624" w:type="pct"/>
            <w:vAlign w:val="bottom"/>
          </w:tcPr>
          <w:p>
            <w:pPr>
              <w:widowControl/>
              <w:jc w:val="center"/>
              <w:textAlignment w:val="bottom"/>
              <w:rPr>
                <w:color w:val="000000"/>
                <w:kern w:val="0"/>
                <w:szCs w:val="21"/>
                <w:lang w:bidi="ar"/>
              </w:rPr>
            </w:pPr>
            <w:r>
              <w:rPr>
                <w:color w:val="000000"/>
                <w:kern w:val="0"/>
                <w:szCs w:val="21"/>
                <w:lang w:bidi="ar"/>
              </w:rPr>
              <w:t>8.28</w:t>
            </w:r>
          </w:p>
        </w:tc>
        <w:tc>
          <w:tcPr>
            <w:tcW w:w="625" w:type="pct"/>
            <w:vAlign w:val="bottom"/>
          </w:tcPr>
          <w:p>
            <w:pPr>
              <w:widowControl/>
              <w:jc w:val="center"/>
              <w:textAlignment w:val="bottom"/>
              <w:rPr>
                <w:color w:val="000000"/>
                <w:kern w:val="0"/>
                <w:szCs w:val="21"/>
                <w:lang w:bidi="ar"/>
              </w:rPr>
            </w:pPr>
            <w:r>
              <w:rPr>
                <w:color w:val="000000"/>
                <w:kern w:val="0"/>
                <w:szCs w:val="21"/>
                <w:lang w:bidi="ar"/>
              </w:rPr>
              <w:t>8.61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30.3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22</w:t>
            </w:r>
          </w:p>
        </w:tc>
        <w:tc>
          <w:tcPr>
            <w:tcW w:w="693" w:type="pct"/>
            <w:vAlign w:val="bottom"/>
          </w:tcPr>
          <w:p>
            <w:pPr>
              <w:widowControl/>
              <w:jc w:val="center"/>
              <w:textAlignment w:val="bottom"/>
              <w:rPr>
                <w:color w:val="000000"/>
                <w:szCs w:val="21"/>
              </w:rPr>
            </w:pPr>
            <w:r>
              <w:rPr>
                <w:color w:val="000000"/>
                <w:kern w:val="0"/>
                <w:szCs w:val="21"/>
                <w:lang w:bidi="ar"/>
              </w:rPr>
              <w:t>0.42</w:t>
            </w:r>
          </w:p>
        </w:tc>
        <w:tc>
          <w:tcPr>
            <w:tcW w:w="625" w:type="pct"/>
            <w:vAlign w:val="bottom"/>
          </w:tcPr>
          <w:p>
            <w:pPr>
              <w:widowControl/>
              <w:jc w:val="center"/>
              <w:textAlignment w:val="bottom"/>
              <w:rPr>
                <w:color w:val="000000"/>
                <w:szCs w:val="21"/>
              </w:rPr>
            </w:pPr>
            <w:r>
              <w:rPr>
                <w:color w:val="000000"/>
                <w:kern w:val="0"/>
                <w:szCs w:val="21"/>
                <w:lang w:bidi="ar"/>
              </w:rPr>
              <w:t>0.46</w:t>
            </w:r>
          </w:p>
        </w:tc>
        <w:tc>
          <w:tcPr>
            <w:tcW w:w="625" w:type="pct"/>
            <w:vAlign w:val="bottom"/>
          </w:tcPr>
          <w:p>
            <w:pPr>
              <w:widowControl/>
              <w:jc w:val="center"/>
              <w:textAlignment w:val="bottom"/>
              <w:rPr>
                <w:color w:val="000000"/>
                <w:szCs w:val="21"/>
              </w:rPr>
            </w:pPr>
            <w:r>
              <w:rPr>
                <w:color w:val="000000"/>
                <w:kern w:val="0"/>
                <w:szCs w:val="21"/>
                <w:lang w:bidi="ar"/>
              </w:rPr>
              <w:t>0.44</w:t>
            </w:r>
          </w:p>
        </w:tc>
        <w:tc>
          <w:tcPr>
            <w:tcW w:w="625" w:type="pct"/>
            <w:vAlign w:val="bottom"/>
          </w:tcPr>
          <w:p>
            <w:pPr>
              <w:widowControl/>
              <w:jc w:val="center"/>
              <w:textAlignment w:val="bottom"/>
              <w:rPr>
                <w:color w:val="000000"/>
                <w:szCs w:val="21"/>
              </w:rPr>
            </w:pPr>
            <w:r>
              <w:rPr>
                <w:color w:val="000000"/>
                <w:kern w:val="0"/>
                <w:szCs w:val="21"/>
                <w:lang w:bidi="ar"/>
              </w:rPr>
              <w:t>7.83</w:t>
            </w:r>
          </w:p>
        </w:tc>
        <w:tc>
          <w:tcPr>
            <w:tcW w:w="624" w:type="pct"/>
            <w:vAlign w:val="bottom"/>
          </w:tcPr>
          <w:p>
            <w:pPr>
              <w:widowControl/>
              <w:jc w:val="center"/>
              <w:textAlignment w:val="bottom"/>
              <w:rPr>
                <w:color w:val="000000"/>
                <w:kern w:val="0"/>
                <w:szCs w:val="21"/>
                <w:lang w:bidi="ar"/>
              </w:rPr>
            </w:pPr>
            <w:r>
              <w:rPr>
                <w:color w:val="000000"/>
                <w:kern w:val="0"/>
                <w:szCs w:val="21"/>
                <w:lang w:bidi="ar"/>
              </w:rPr>
              <w:t>7.72</w:t>
            </w:r>
          </w:p>
        </w:tc>
        <w:tc>
          <w:tcPr>
            <w:tcW w:w="625" w:type="pct"/>
            <w:vAlign w:val="bottom"/>
          </w:tcPr>
          <w:p>
            <w:pPr>
              <w:widowControl/>
              <w:jc w:val="center"/>
              <w:textAlignment w:val="bottom"/>
              <w:rPr>
                <w:color w:val="000000"/>
                <w:kern w:val="0"/>
                <w:szCs w:val="21"/>
                <w:lang w:bidi="ar"/>
              </w:rPr>
            </w:pPr>
            <w:r>
              <w:rPr>
                <w:color w:val="000000"/>
                <w:kern w:val="0"/>
                <w:szCs w:val="21"/>
                <w:lang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31.3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23</w:t>
            </w:r>
          </w:p>
        </w:tc>
        <w:tc>
          <w:tcPr>
            <w:tcW w:w="693" w:type="pct"/>
            <w:vAlign w:val="bottom"/>
          </w:tcPr>
          <w:p>
            <w:pPr>
              <w:widowControl/>
              <w:jc w:val="center"/>
              <w:textAlignment w:val="bottom"/>
              <w:rPr>
                <w:color w:val="000000"/>
                <w:szCs w:val="21"/>
              </w:rPr>
            </w:pPr>
            <w:r>
              <w:rPr>
                <w:color w:val="000000"/>
                <w:kern w:val="0"/>
                <w:szCs w:val="21"/>
                <w:lang w:bidi="ar"/>
              </w:rPr>
              <w:t>0.38</w:t>
            </w:r>
          </w:p>
        </w:tc>
        <w:tc>
          <w:tcPr>
            <w:tcW w:w="625" w:type="pct"/>
            <w:vAlign w:val="bottom"/>
          </w:tcPr>
          <w:p>
            <w:pPr>
              <w:widowControl/>
              <w:jc w:val="center"/>
              <w:textAlignment w:val="bottom"/>
              <w:rPr>
                <w:color w:val="000000"/>
                <w:szCs w:val="21"/>
              </w:rPr>
            </w:pPr>
            <w:r>
              <w:rPr>
                <w:color w:val="000000"/>
                <w:kern w:val="0"/>
                <w:szCs w:val="21"/>
                <w:lang w:bidi="ar"/>
              </w:rPr>
              <w:t>0.41</w:t>
            </w:r>
          </w:p>
        </w:tc>
        <w:tc>
          <w:tcPr>
            <w:tcW w:w="625" w:type="pct"/>
            <w:vAlign w:val="bottom"/>
          </w:tcPr>
          <w:p>
            <w:pPr>
              <w:widowControl/>
              <w:jc w:val="center"/>
              <w:textAlignment w:val="bottom"/>
              <w:rPr>
                <w:color w:val="000000"/>
                <w:szCs w:val="21"/>
              </w:rPr>
            </w:pPr>
            <w:r>
              <w:rPr>
                <w:color w:val="000000"/>
                <w:kern w:val="0"/>
                <w:szCs w:val="21"/>
                <w:lang w:bidi="ar"/>
              </w:rPr>
              <w:t>0.4</w:t>
            </w:r>
          </w:p>
        </w:tc>
        <w:tc>
          <w:tcPr>
            <w:tcW w:w="625" w:type="pct"/>
            <w:vAlign w:val="bottom"/>
          </w:tcPr>
          <w:p>
            <w:pPr>
              <w:widowControl/>
              <w:jc w:val="center"/>
              <w:textAlignment w:val="bottom"/>
              <w:rPr>
                <w:color w:val="000000"/>
                <w:szCs w:val="21"/>
              </w:rPr>
            </w:pPr>
            <w:r>
              <w:rPr>
                <w:color w:val="000000"/>
                <w:kern w:val="0"/>
                <w:szCs w:val="21"/>
                <w:lang w:bidi="ar"/>
              </w:rPr>
              <w:t>7.32</w:t>
            </w:r>
          </w:p>
        </w:tc>
        <w:tc>
          <w:tcPr>
            <w:tcW w:w="624" w:type="pct"/>
            <w:vAlign w:val="bottom"/>
          </w:tcPr>
          <w:p>
            <w:pPr>
              <w:widowControl/>
              <w:jc w:val="center"/>
              <w:textAlignment w:val="bottom"/>
              <w:rPr>
                <w:color w:val="000000"/>
                <w:kern w:val="0"/>
                <w:szCs w:val="21"/>
                <w:lang w:bidi="ar"/>
              </w:rPr>
            </w:pPr>
            <w:r>
              <w:rPr>
                <w:color w:val="000000"/>
                <w:kern w:val="0"/>
                <w:szCs w:val="21"/>
                <w:lang w:bidi="ar"/>
              </w:rPr>
              <w:t>7.22</w:t>
            </w:r>
          </w:p>
        </w:tc>
        <w:tc>
          <w:tcPr>
            <w:tcW w:w="625" w:type="pct"/>
            <w:vAlign w:val="bottom"/>
          </w:tcPr>
          <w:p>
            <w:pPr>
              <w:widowControl/>
              <w:jc w:val="center"/>
              <w:textAlignment w:val="bottom"/>
              <w:rPr>
                <w:color w:val="000000"/>
                <w:kern w:val="0"/>
                <w:szCs w:val="21"/>
                <w:lang w:bidi="ar"/>
              </w:rPr>
            </w:pPr>
            <w:r>
              <w:rPr>
                <w:color w:val="000000"/>
                <w:kern w:val="0"/>
                <w:szCs w:val="21"/>
                <w:lang w:bidi="ar"/>
              </w:rPr>
              <w:t>7.46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32.3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24</w:t>
            </w:r>
          </w:p>
        </w:tc>
        <w:tc>
          <w:tcPr>
            <w:tcW w:w="693" w:type="pct"/>
            <w:vAlign w:val="bottom"/>
          </w:tcPr>
          <w:p>
            <w:pPr>
              <w:widowControl/>
              <w:jc w:val="center"/>
              <w:textAlignment w:val="bottom"/>
              <w:rPr>
                <w:color w:val="000000"/>
                <w:szCs w:val="21"/>
              </w:rPr>
            </w:pPr>
            <w:r>
              <w:rPr>
                <w:color w:val="000000"/>
                <w:kern w:val="0"/>
                <w:szCs w:val="21"/>
                <w:lang w:bidi="ar"/>
              </w:rPr>
              <w:t>0.34</w:t>
            </w:r>
          </w:p>
        </w:tc>
        <w:tc>
          <w:tcPr>
            <w:tcW w:w="625" w:type="pct"/>
            <w:vAlign w:val="bottom"/>
          </w:tcPr>
          <w:p>
            <w:pPr>
              <w:widowControl/>
              <w:jc w:val="center"/>
              <w:textAlignment w:val="bottom"/>
              <w:rPr>
                <w:color w:val="000000"/>
                <w:szCs w:val="21"/>
              </w:rPr>
            </w:pPr>
            <w:r>
              <w:rPr>
                <w:color w:val="000000"/>
                <w:kern w:val="0"/>
                <w:szCs w:val="21"/>
                <w:lang w:bidi="ar"/>
              </w:rPr>
              <w:t>0.38</w:t>
            </w:r>
          </w:p>
        </w:tc>
        <w:tc>
          <w:tcPr>
            <w:tcW w:w="625" w:type="pct"/>
            <w:vAlign w:val="bottom"/>
          </w:tcPr>
          <w:p>
            <w:pPr>
              <w:widowControl/>
              <w:jc w:val="center"/>
              <w:textAlignment w:val="bottom"/>
              <w:rPr>
                <w:color w:val="000000"/>
                <w:szCs w:val="21"/>
              </w:rPr>
            </w:pPr>
            <w:r>
              <w:rPr>
                <w:color w:val="000000"/>
                <w:kern w:val="0"/>
                <w:szCs w:val="21"/>
                <w:lang w:bidi="ar"/>
              </w:rPr>
              <w:t>0.37</w:t>
            </w:r>
          </w:p>
        </w:tc>
        <w:tc>
          <w:tcPr>
            <w:tcW w:w="625" w:type="pct"/>
            <w:vAlign w:val="bottom"/>
          </w:tcPr>
          <w:p>
            <w:pPr>
              <w:widowControl/>
              <w:jc w:val="center"/>
              <w:textAlignment w:val="bottom"/>
              <w:rPr>
                <w:color w:val="000000"/>
                <w:szCs w:val="21"/>
              </w:rPr>
            </w:pPr>
            <w:r>
              <w:rPr>
                <w:color w:val="000000"/>
                <w:kern w:val="0"/>
                <w:szCs w:val="21"/>
                <w:lang w:bidi="ar"/>
              </w:rPr>
              <w:t>6.85</w:t>
            </w:r>
          </w:p>
        </w:tc>
        <w:tc>
          <w:tcPr>
            <w:tcW w:w="624" w:type="pct"/>
            <w:vAlign w:val="bottom"/>
          </w:tcPr>
          <w:p>
            <w:pPr>
              <w:widowControl/>
              <w:jc w:val="center"/>
              <w:textAlignment w:val="bottom"/>
              <w:rPr>
                <w:color w:val="000000"/>
                <w:kern w:val="0"/>
                <w:szCs w:val="21"/>
                <w:lang w:bidi="ar"/>
              </w:rPr>
            </w:pPr>
            <w:r>
              <w:rPr>
                <w:color w:val="000000"/>
                <w:kern w:val="0"/>
                <w:szCs w:val="21"/>
                <w:lang w:bidi="ar"/>
              </w:rPr>
              <w:t>6.77</w:t>
            </w:r>
          </w:p>
        </w:tc>
        <w:tc>
          <w:tcPr>
            <w:tcW w:w="625" w:type="pct"/>
            <w:vAlign w:val="bottom"/>
          </w:tcPr>
          <w:p>
            <w:pPr>
              <w:widowControl/>
              <w:jc w:val="center"/>
              <w:textAlignment w:val="bottom"/>
              <w:rPr>
                <w:color w:val="000000"/>
                <w:kern w:val="0"/>
                <w:szCs w:val="21"/>
                <w:lang w:bidi="ar"/>
              </w:rPr>
            </w:pPr>
            <w:r>
              <w:rPr>
                <w:color w:val="000000"/>
                <w:kern w:val="0"/>
                <w:szCs w:val="21"/>
                <w:lang w:bidi="ar"/>
              </w:rPr>
              <w:t>6.98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33.3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25</w:t>
            </w:r>
          </w:p>
        </w:tc>
        <w:tc>
          <w:tcPr>
            <w:tcW w:w="693" w:type="pct"/>
            <w:vAlign w:val="bottom"/>
          </w:tcPr>
          <w:p>
            <w:pPr>
              <w:widowControl/>
              <w:jc w:val="center"/>
              <w:textAlignment w:val="bottom"/>
              <w:rPr>
                <w:color w:val="000000"/>
                <w:szCs w:val="21"/>
              </w:rPr>
            </w:pPr>
            <w:r>
              <w:rPr>
                <w:color w:val="000000"/>
                <w:kern w:val="0"/>
                <w:szCs w:val="21"/>
                <w:lang w:bidi="ar"/>
              </w:rPr>
              <w:t>0.31</w:t>
            </w:r>
          </w:p>
        </w:tc>
        <w:tc>
          <w:tcPr>
            <w:tcW w:w="625" w:type="pct"/>
            <w:vAlign w:val="bottom"/>
          </w:tcPr>
          <w:p>
            <w:pPr>
              <w:widowControl/>
              <w:jc w:val="center"/>
              <w:textAlignment w:val="bottom"/>
              <w:rPr>
                <w:color w:val="000000"/>
                <w:szCs w:val="21"/>
              </w:rPr>
            </w:pPr>
            <w:r>
              <w:rPr>
                <w:color w:val="000000"/>
                <w:kern w:val="0"/>
                <w:szCs w:val="21"/>
                <w:lang w:bidi="ar"/>
              </w:rPr>
              <w:t>0.34</w:t>
            </w:r>
          </w:p>
        </w:tc>
        <w:tc>
          <w:tcPr>
            <w:tcW w:w="625" w:type="pct"/>
            <w:vAlign w:val="bottom"/>
          </w:tcPr>
          <w:p>
            <w:pPr>
              <w:widowControl/>
              <w:jc w:val="center"/>
              <w:textAlignment w:val="bottom"/>
              <w:rPr>
                <w:color w:val="000000"/>
                <w:szCs w:val="21"/>
              </w:rPr>
            </w:pPr>
            <w:r>
              <w:rPr>
                <w:color w:val="000000"/>
                <w:kern w:val="0"/>
                <w:szCs w:val="21"/>
                <w:lang w:bidi="ar"/>
              </w:rPr>
              <w:t>0.34</w:t>
            </w:r>
          </w:p>
        </w:tc>
        <w:tc>
          <w:tcPr>
            <w:tcW w:w="625" w:type="pct"/>
            <w:vAlign w:val="bottom"/>
          </w:tcPr>
          <w:p>
            <w:pPr>
              <w:widowControl/>
              <w:jc w:val="center"/>
              <w:textAlignment w:val="bottom"/>
              <w:rPr>
                <w:color w:val="000000"/>
                <w:szCs w:val="21"/>
              </w:rPr>
            </w:pPr>
            <w:r>
              <w:rPr>
                <w:color w:val="000000"/>
                <w:kern w:val="0"/>
                <w:szCs w:val="21"/>
                <w:lang w:bidi="ar"/>
              </w:rPr>
              <w:t>6.43</w:t>
            </w:r>
          </w:p>
        </w:tc>
        <w:tc>
          <w:tcPr>
            <w:tcW w:w="624" w:type="pct"/>
            <w:vAlign w:val="bottom"/>
          </w:tcPr>
          <w:p>
            <w:pPr>
              <w:widowControl/>
              <w:jc w:val="center"/>
              <w:textAlignment w:val="bottom"/>
              <w:rPr>
                <w:color w:val="000000"/>
                <w:kern w:val="0"/>
                <w:szCs w:val="21"/>
                <w:lang w:bidi="ar"/>
              </w:rPr>
            </w:pPr>
            <w:r>
              <w:rPr>
                <w:color w:val="000000"/>
                <w:kern w:val="0"/>
                <w:szCs w:val="21"/>
                <w:lang w:bidi="ar"/>
              </w:rPr>
              <w:t>6.35</w:t>
            </w:r>
          </w:p>
        </w:tc>
        <w:tc>
          <w:tcPr>
            <w:tcW w:w="625" w:type="pct"/>
            <w:vAlign w:val="bottom"/>
          </w:tcPr>
          <w:p>
            <w:pPr>
              <w:widowControl/>
              <w:jc w:val="center"/>
              <w:textAlignment w:val="bottom"/>
              <w:rPr>
                <w:color w:val="000000"/>
                <w:kern w:val="0"/>
                <w:szCs w:val="21"/>
                <w:lang w:bidi="ar"/>
              </w:rPr>
            </w:pPr>
            <w:r>
              <w:rPr>
                <w:color w:val="000000"/>
                <w:kern w:val="0"/>
                <w:szCs w:val="21"/>
                <w:lang w:bidi="ar"/>
              </w:rPr>
              <w:t>6.54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34.3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26</w:t>
            </w:r>
          </w:p>
        </w:tc>
        <w:tc>
          <w:tcPr>
            <w:tcW w:w="693" w:type="pct"/>
            <w:vAlign w:val="bottom"/>
          </w:tcPr>
          <w:p>
            <w:pPr>
              <w:widowControl/>
              <w:jc w:val="center"/>
              <w:textAlignment w:val="bottom"/>
              <w:rPr>
                <w:color w:val="000000"/>
                <w:szCs w:val="21"/>
              </w:rPr>
            </w:pPr>
            <w:r>
              <w:rPr>
                <w:color w:val="000000"/>
                <w:kern w:val="0"/>
                <w:szCs w:val="21"/>
                <w:lang w:bidi="ar"/>
              </w:rPr>
              <w:t>0.28</w:t>
            </w:r>
          </w:p>
        </w:tc>
        <w:tc>
          <w:tcPr>
            <w:tcW w:w="625" w:type="pct"/>
            <w:vAlign w:val="bottom"/>
          </w:tcPr>
          <w:p>
            <w:pPr>
              <w:widowControl/>
              <w:jc w:val="center"/>
              <w:textAlignment w:val="bottom"/>
              <w:rPr>
                <w:color w:val="000000"/>
                <w:szCs w:val="21"/>
              </w:rPr>
            </w:pPr>
            <w:r>
              <w:rPr>
                <w:color w:val="000000"/>
                <w:kern w:val="0"/>
                <w:szCs w:val="21"/>
                <w:lang w:bidi="ar"/>
              </w:rPr>
              <w:t>0.31</w:t>
            </w:r>
          </w:p>
        </w:tc>
        <w:tc>
          <w:tcPr>
            <w:tcW w:w="625" w:type="pct"/>
            <w:vAlign w:val="bottom"/>
          </w:tcPr>
          <w:p>
            <w:pPr>
              <w:widowControl/>
              <w:jc w:val="center"/>
              <w:textAlignment w:val="bottom"/>
              <w:rPr>
                <w:color w:val="000000"/>
                <w:szCs w:val="21"/>
              </w:rPr>
            </w:pPr>
            <w:r>
              <w:rPr>
                <w:color w:val="000000"/>
                <w:kern w:val="0"/>
                <w:szCs w:val="21"/>
                <w:lang w:bidi="ar"/>
              </w:rPr>
              <w:t>0.31</w:t>
            </w:r>
          </w:p>
        </w:tc>
        <w:tc>
          <w:tcPr>
            <w:tcW w:w="625" w:type="pct"/>
            <w:vAlign w:val="bottom"/>
          </w:tcPr>
          <w:p>
            <w:pPr>
              <w:widowControl/>
              <w:jc w:val="center"/>
              <w:textAlignment w:val="bottom"/>
              <w:rPr>
                <w:color w:val="000000"/>
                <w:szCs w:val="21"/>
              </w:rPr>
            </w:pPr>
            <w:r>
              <w:rPr>
                <w:color w:val="000000"/>
                <w:kern w:val="0"/>
                <w:szCs w:val="21"/>
                <w:lang w:bidi="ar"/>
              </w:rPr>
              <w:t>6.04</w:t>
            </w:r>
          </w:p>
        </w:tc>
        <w:tc>
          <w:tcPr>
            <w:tcW w:w="624" w:type="pct"/>
            <w:vAlign w:val="bottom"/>
          </w:tcPr>
          <w:p>
            <w:pPr>
              <w:widowControl/>
              <w:jc w:val="center"/>
              <w:textAlignment w:val="bottom"/>
              <w:rPr>
                <w:color w:val="000000"/>
                <w:kern w:val="0"/>
                <w:szCs w:val="21"/>
                <w:lang w:bidi="ar"/>
              </w:rPr>
            </w:pPr>
            <w:r>
              <w:rPr>
                <w:color w:val="000000"/>
                <w:kern w:val="0"/>
                <w:szCs w:val="21"/>
                <w:lang w:bidi="ar"/>
              </w:rPr>
              <w:t>5.98</w:t>
            </w:r>
          </w:p>
        </w:tc>
        <w:tc>
          <w:tcPr>
            <w:tcW w:w="625" w:type="pct"/>
            <w:vAlign w:val="bottom"/>
          </w:tcPr>
          <w:p>
            <w:pPr>
              <w:widowControl/>
              <w:jc w:val="center"/>
              <w:textAlignment w:val="bottom"/>
              <w:rPr>
                <w:color w:val="000000"/>
                <w:kern w:val="0"/>
                <w:szCs w:val="21"/>
                <w:lang w:bidi="ar"/>
              </w:rPr>
            </w:pPr>
            <w:r>
              <w:rPr>
                <w:color w:val="000000"/>
                <w:kern w:val="0"/>
                <w:szCs w:val="21"/>
                <w:lang w:bidi="ar"/>
              </w:rPr>
              <w:t>6.14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35.3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27</w:t>
            </w:r>
          </w:p>
        </w:tc>
        <w:tc>
          <w:tcPr>
            <w:tcW w:w="693" w:type="pct"/>
            <w:vAlign w:val="bottom"/>
          </w:tcPr>
          <w:p>
            <w:pPr>
              <w:widowControl/>
              <w:jc w:val="center"/>
              <w:textAlignment w:val="bottom"/>
              <w:rPr>
                <w:color w:val="000000"/>
                <w:szCs w:val="21"/>
              </w:rPr>
            </w:pPr>
            <w:r>
              <w:rPr>
                <w:color w:val="000000"/>
                <w:kern w:val="0"/>
                <w:szCs w:val="21"/>
                <w:lang w:bidi="ar"/>
              </w:rPr>
              <w:t>0.26</w:t>
            </w:r>
          </w:p>
        </w:tc>
        <w:tc>
          <w:tcPr>
            <w:tcW w:w="625" w:type="pct"/>
            <w:vAlign w:val="bottom"/>
          </w:tcPr>
          <w:p>
            <w:pPr>
              <w:widowControl/>
              <w:jc w:val="center"/>
              <w:textAlignment w:val="bottom"/>
              <w:rPr>
                <w:color w:val="000000"/>
                <w:szCs w:val="21"/>
              </w:rPr>
            </w:pPr>
            <w:r>
              <w:rPr>
                <w:color w:val="000000"/>
                <w:kern w:val="0"/>
                <w:szCs w:val="21"/>
                <w:lang w:bidi="ar"/>
              </w:rPr>
              <w:t>0.29</w:t>
            </w:r>
          </w:p>
        </w:tc>
        <w:tc>
          <w:tcPr>
            <w:tcW w:w="625" w:type="pct"/>
            <w:vAlign w:val="bottom"/>
          </w:tcPr>
          <w:p>
            <w:pPr>
              <w:widowControl/>
              <w:jc w:val="center"/>
              <w:textAlignment w:val="bottom"/>
              <w:rPr>
                <w:color w:val="000000"/>
                <w:szCs w:val="21"/>
              </w:rPr>
            </w:pPr>
            <w:r>
              <w:rPr>
                <w:color w:val="000000"/>
                <w:kern w:val="0"/>
                <w:szCs w:val="21"/>
                <w:lang w:bidi="ar"/>
              </w:rPr>
              <w:t>0.28</w:t>
            </w:r>
          </w:p>
        </w:tc>
        <w:tc>
          <w:tcPr>
            <w:tcW w:w="625" w:type="pct"/>
            <w:vAlign w:val="bottom"/>
          </w:tcPr>
          <w:p>
            <w:pPr>
              <w:widowControl/>
              <w:jc w:val="center"/>
              <w:textAlignment w:val="bottom"/>
              <w:rPr>
                <w:color w:val="000000"/>
                <w:szCs w:val="21"/>
              </w:rPr>
            </w:pPr>
            <w:r>
              <w:rPr>
                <w:color w:val="000000"/>
                <w:kern w:val="0"/>
                <w:szCs w:val="21"/>
                <w:lang w:bidi="ar"/>
              </w:rPr>
              <w:t>5.69</w:t>
            </w:r>
          </w:p>
        </w:tc>
        <w:tc>
          <w:tcPr>
            <w:tcW w:w="624" w:type="pct"/>
            <w:vAlign w:val="bottom"/>
          </w:tcPr>
          <w:p>
            <w:pPr>
              <w:widowControl/>
              <w:jc w:val="center"/>
              <w:textAlignment w:val="bottom"/>
              <w:rPr>
                <w:color w:val="000000"/>
                <w:kern w:val="0"/>
                <w:szCs w:val="21"/>
                <w:lang w:bidi="ar"/>
              </w:rPr>
            </w:pPr>
            <w:r>
              <w:rPr>
                <w:color w:val="000000"/>
                <w:kern w:val="0"/>
                <w:szCs w:val="21"/>
                <w:lang w:bidi="ar"/>
              </w:rPr>
              <w:t>5.63</w:t>
            </w:r>
          </w:p>
        </w:tc>
        <w:tc>
          <w:tcPr>
            <w:tcW w:w="625" w:type="pct"/>
            <w:vAlign w:val="bottom"/>
          </w:tcPr>
          <w:p>
            <w:pPr>
              <w:widowControl/>
              <w:jc w:val="center"/>
              <w:textAlignment w:val="bottom"/>
              <w:rPr>
                <w:color w:val="000000"/>
                <w:kern w:val="0"/>
                <w:szCs w:val="21"/>
                <w:lang w:bidi="ar"/>
              </w:rPr>
            </w:pPr>
            <w:r>
              <w:rPr>
                <w:color w:val="000000"/>
                <w:kern w:val="0"/>
                <w:szCs w:val="21"/>
                <w:lang w:bidi="ar"/>
              </w:rPr>
              <w:t>5.78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szCs w:val="21"/>
              </w:rPr>
            </w:pPr>
            <w:r>
              <w:rPr>
                <w:color w:val="000000"/>
                <w:kern w:val="0"/>
                <w:szCs w:val="21"/>
                <w:lang w:bidi="ar"/>
              </w:rPr>
              <w:t>36.3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28</w:t>
            </w:r>
          </w:p>
        </w:tc>
        <w:tc>
          <w:tcPr>
            <w:tcW w:w="693" w:type="pct"/>
            <w:vAlign w:val="bottom"/>
          </w:tcPr>
          <w:p>
            <w:pPr>
              <w:widowControl/>
              <w:jc w:val="center"/>
              <w:textAlignment w:val="bottom"/>
              <w:rPr>
                <w:color w:val="000000"/>
                <w:szCs w:val="21"/>
              </w:rPr>
            </w:pPr>
            <w:r>
              <w:rPr>
                <w:color w:val="000000"/>
                <w:kern w:val="0"/>
                <w:szCs w:val="21"/>
                <w:lang w:bidi="ar"/>
              </w:rPr>
              <w:t>0.24</w:t>
            </w:r>
          </w:p>
        </w:tc>
        <w:tc>
          <w:tcPr>
            <w:tcW w:w="625" w:type="pct"/>
            <w:vAlign w:val="bottom"/>
          </w:tcPr>
          <w:p>
            <w:pPr>
              <w:widowControl/>
              <w:jc w:val="center"/>
              <w:textAlignment w:val="bottom"/>
              <w:rPr>
                <w:color w:val="000000"/>
                <w:szCs w:val="21"/>
              </w:rPr>
            </w:pPr>
            <w:r>
              <w:rPr>
                <w:color w:val="000000"/>
                <w:kern w:val="0"/>
                <w:szCs w:val="21"/>
                <w:lang w:bidi="ar"/>
              </w:rPr>
              <w:t>0.26</w:t>
            </w:r>
          </w:p>
        </w:tc>
        <w:tc>
          <w:tcPr>
            <w:tcW w:w="625" w:type="pct"/>
            <w:vAlign w:val="bottom"/>
          </w:tcPr>
          <w:p>
            <w:pPr>
              <w:widowControl/>
              <w:jc w:val="center"/>
              <w:textAlignment w:val="bottom"/>
              <w:rPr>
                <w:color w:val="000000"/>
                <w:szCs w:val="21"/>
              </w:rPr>
            </w:pPr>
            <w:r>
              <w:rPr>
                <w:color w:val="000000"/>
                <w:kern w:val="0"/>
                <w:szCs w:val="21"/>
                <w:lang w:bidi="ar"/>
              </w:rPr>
              <w:t>0.26</w:t>
            </w:r>
          </w:p>
        </w:tc>
        <w:tc>
          <w:tcPr>
            <w:tcW w:w="625" w:type="pct"/>
            <w:vAlign w:val="bottom"/>
          </w:tcPr>
          <w:p>
            <w:pPr>
              <w:widowControl/>
              <w:jc w:val="center"/>
              <w:textAlignment w:val="bottom"/>
              <w:rPr>
                <w:color w:val="000000"/>
                <w:szCs w:val="21"/>
              </w:rPr>
            </w:pPr>
            <w:r>
              <w:rPr>
                <w:color w:val="000000"/>
                <w:kern w:val="0"/>
                <w:szCs w:val="21"/>
                <w:lang w:bidi="ar"/>
              </w:rPr>
              <w:t>5.37</w:t>
            </w:r>
          </w:p>
        </w:tc>
        <w:tc>
          <w:tcPr>
            <w:tcW w:w="624" w:type="pct"/>
            <w:vAlign w:val="bottom"/>
          </w:tcPr>
          <w:p>
            <w:pPr>
              <w:widowControl/>
              <w:jc w:val="center"/>
              <w:textAlignment w:val="bottom"/>
              <w:rPr>
                <w:color w:val="000000"/>
                <w:kern w:val="0"/>
                <w:szCs w:val="21"/>
                <w:lang w:bidi="ar"/>
              </w:rPr>
            </w:pPr>
            <w:r>
              <w:rPr>
                <w:color w:val="000000"/>
                <w:kern w:val="0"/>
                <w:szCs w:val="21"/>
                <w:lang w:bidi="ar"/>
              </w:rPr>
              <w:t>5.32</w:t>
            </w:r>
          </w:p>
        </w:tc>
        <w:tc>
          <w:tcPr>
            <w:tcW w:w="625" w:type="pct"/>
            <w:vAlign w:val="bottom"/>
          </w:tcPr>
          <w:p>
            <w:pPr>
              <w:widowControl/>
              <w:jc w:val="center"/>
              <w:textAlignment w:val="bottom"/>
              <w:rPr>
                <w:color w:val="000000"/>
                <w:kern w:val="0"/>
                <w:szCs w:val="21"/>
                <w:lang w:bidi="ar"/>
              </w:rPr>
            </w:pPr>
            <w:r>
              <w:rPr>
                <w:color w:val="000000"/>
                <w:kern w:val="0"/>
                <w:szCs w:val="21"/>
                <w:lang w:bidi="ar"/>
              </w:rPr>
              <w:t>5.45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37.3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29</w:t>
            </w:r>
          </w:p>
        </w:tc>
        <w:tc>
          <w:tcPr>
            <w:tcW w:w="693" w:type="pct"/>
            <w:vAlign w:val="bottom"/>
          </w:tcPr>
          <w:p>
            <w:pPr>
              <w:widowControl/>
              <w:jc w:val="center"/>
              <w:textAlignment w:val="bottom"/>
              <w:rPr>
                <w:color w:val="000000"/>
                <w:szCs w:val="21"/>
              </w:rPr>
            </w:pPr>
            <w:r>
              <w:rPr>
                <w:color w:val="000000"/>
                <w:kern w:val="0"/>
                <w:szCs w:val="21"/>
                <w:lang w:bidi="ar"/>
              </w:rPr>
              <w:t>0.22</w:t>
            </w:r>
          </w:p>
        </w:tc>
        <w:tc>
          <w:tcPr>
            <w:tcW w:w="625" w:type="pct"/>
            <w:vAlign w:val="bottom"/>
          </w:tcPr>
          <w:p>
            <w:pPr>
              <w:widowControl/>
              <w:jc w:val="center"/>
              <w:textAlignment w:val="bottom"/>
              <w:rPr>
                <w:color w:val="000000"/>
                <w:szCs w:val="21"/>
              </w:rPr>
            </w:pPr>
            <w:r>
              <w:rPr>
                <w:color w:val="000000"/>
                <w:kern w:val="0"/>
                <w:szCs w:val="21"/>
                <w:lang w:bidi="ar"/>
              </w:rPr>
              <w:t>0.24</w:t>
            </w:r>
          </w:p>
        </w:tc>
        <w:tc>
          <w:tcPr>
            <w:tcW w:w="625" w:type="pct"/>
            <w:vAlign w:val="bottom"/>
          </w:tcPr>
          <w:p>
            <w:pPr>
              <w:widowControl/>
              <w:jc w:val="center"/>
              <w:textAlignment w:val="bottom"/>
              <w:rPr>
                <w:color w:val="000000"/>
                <w:szCs w:val="21"/>
              </w:rPr>
            </w:pPr>
            <w:r>
              <w:rPr>
                <w:color w:val="000000"/>
                <w:kern w:val="0"/>
                <w:szCs w:val="21"/>
                <w:lang w:bidi="ar"/>
              </w:rPr>
              <w:t>0.24</w:t>
            </w:r>
          </w:p>
        </w:tc>
        <w:tc>
          <w:tcPr>
            <w:tcW w:w="625" w:type="pct"/>
            <w:vAlign w:val="bottom"/>
          </w:tcPr>
          <w:p>
            <w:pPr>
              <w:widowControl/>
              <w:jc w:val="center"/>
              <w:textAlignment w:val="bottom"/>
              <w:rPr>
                <w:color w:val="000000"/>
                <w:szCs w:val="21"/>
              </w:rPr>
            </w:pPr>
            <w:r>
              <w:rPr>
                <w:color w:val="000000"/>
                <w:kern w:val="0"/>
                <w:szCs w:val="21"/>
                <w:lang w:bidi="ar"/>
              </w:rPr>
              <w:t>5.08</w:t>
            </w:r>
          </w:p>
        </w:tc>
        <w:tc>
          <w:tcPr>
            <w:tcW w:w="624" w:type="pct"/>
            <w:vAlign w:val="bottom"/>
          </w:tcPr>
          <w:p>
            <w:pPr>
              <w:widowControl/>
              <w:jc w:val="center"/>
              <w:textAlignment w:val="bottom"/>
              <w:rPr>
                <w:color w:val="000000"/>
                <w:szCs w:val="21"/>
              </w:rPr>
            </w:pPr>
            <w:r>
              <w:rPr>
                <w:color w:val="000000"/>
                <w:kern w:val="0"/>
                <w:szCs w:val="21"/>
                <w:lang w:bidi="ar"/>
              </w:rPr>
              <w:t>5.03</w:t>
            </w:r>
          </w:p>
        </w:tc>
        <w:tc>
          <w:tcPr>
            <w:tcW w:w="625" w:type="pct"/>
            <w:vAlign w:val="bottom"/>
          </w:tcPr>
          <w:p>
            <w:pPr>
              <w:widowControl/>
              <w:jc w:val="center"/>
              <w:textAlignment w:val="bottom"/>
              <w:rPr>
                <w:color w:val="000000"/>
                <w:szCs w:val="21"/>
              </w:rPr>
            </w:pPr>
            <w:r>
              <w:rPr>
                <w:color w:val="000000"/>
                <w:kern w:val="0"/>
                <w:szCs w:val="21"/>
                <w:lang w:bidi="ar"/>
              </w:rPr>
              <w:t>5.14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38.3</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30</w:t>
            </w:r>
          </w:p>
        </w:tc>
        <w:tc>
          <w:tcPr>
            <w:tcW w:w="693" w:type="pct"/>
            <w:vAlign w:val="bottom"/>
          </w:tcPr>
          <w:p>
            <w:pPr>
              <w:widowControl/>
              <w:jc w:val="center"/>
              <w:textAlignment w:val="bottom"/>
              <w:rPr>
                <w:color w:val="000000"/>
                <w:szCs w:val="21"/>
              </w:rPr>
            </w:pPr>
            <w:r>
              <w:rPr>
                <w:color w:val="000000"/>
                <w:kern w:val="0"/>
                <w:szCs w:val="21"/>
                <w:lang w:bidi="ar"/>
              </w:rPr>
              <w:t>0.2</w:t>
            </w:r>
          </w:p>
        </w:tc>
        <w:tc>
          <w:tcPr>
            <w:tcW w:w="625" w:type="pct"/>
            <w:vAlign w:val="bottom"/>
          </w:tcPr>
          <w:p>
            <w:pPr>
              <w:widowControl/>
              <w:jc w:val="center"/>
              <w:textAlignment w:val="bottom"/>
              <w:rPr>
                <w:color w:val="000000"/>
                <w:szCs w:val="21"/>
              </w:rPr>
            </w:pPr>
            <w:r>
              <w:rPr>
                <w:color w:val="000000"/>
                <w:kern w:val="0"/>
                <w:szCs w:val="21"/>
                <w:lang w:bidi="ar"/>
              </w:rPr>
              <w:t>0.23</w:t>
            </w:r>
          </w:p>
        </w:tc>
        <w:tc>
          <w:tcPr>
            <w:tcW w:w="625" w:type="pct"/>
            <w:vAlign w:val="bottom"/>
          </w:tcPr>
          <w:p>
            <w:pPr>
              <w:widowControl/>
              <w:jc w:val="center"/>
              <w:textAlignment w:val="bottom"/>
              <w:rPr>
                <w:color w:val="000000"/>
                <w:szCs w:val="21"/>
              </w:rPr>
            </w:pPr>
            <w:r>
              <w:rPr>
                <w:color w:val="000000"/>
                <w:kern w:val="0"/>
                <w:szCs w:val="21"/>
                <w:lang w:bidi="ar"/>
              </w:rPr>
              <w:t>0.22</w:t>
            </w:r>
          </w:p>
        </w:tc>
        <w:tc>
          <w:tcPr>
            <w:tcW w:w="625" w:type="pct"/>
            <w:vAlign w:val="bottom"/>
          </w:tcPr>
          <w:p>
            <w:pPr>
              <w:widowControl/>
              <w:jc w:val="center"/>
              <w:textAlignment w:val="bottom"/>
              <w:rPr>
                <w:color w:val="000000"/>
                <w:szCs w:val="21"/>
              </w:rPr>
            </w:pPr>
            <w:r>
              <w:rPr>
                <w:color w:val="000000"/>
                <w:kern w:val="0"/>
                <w:szCs w:val="21"/>
                <w:lang w:bidi="ar"/>
              </w:rPr>
              <w:t>4.8</w:t>
            </w:r>
          </w:p>
        </w:tc>
        <w:tc>
          <w:tcPr>
            <w:tcW w:w="624" w:type="pct"/>
            <w:vAlign w:val="bottom"/>
          </w:tcPr>
          <w:p>
            <w:pPr>
              <w:widowControl/>
              <w:jc w:val="center"/>
              <w:textAlignment w:val="bottom"/>
              <w:rPr>
                <w:color w:val="000000"/>
                <w:szCs w:val="21"/>
              </w:rPr>
            </w:pPr>
            <w:r>
              <w:rPr>
                <w:color w:val="000000"/>
                <w:kern w:val="0"/>
                <w:szCs w:val="21"/>
                <w:lang w:bidi="ar"/>
              </w:rPr>
              <w:t>4.76</w:t>
            </w:r>
          </w:p>
        </w:tc>
        <w:tc>
          <w:tcPr>
            <w:tcW w:w="625" w:type="pct"/>
            <w:vAlign w:val="bottom"/>
          </w:tcPr>
          <w:p>
            <w:pPr>
              <w:widowControl/>
              <w:jc w:val="center"/>
              <w:textAlignment w:val="bottom"/>
              <w:rPr>
                <w:color w:val="000000"/>
                <w:szCs w:val="21"/>
              </w:rPr>
            </w:pPr>
            <w:r>
              <w:rPr>
                <w:color w:val="000000"/>
                <w:kern w:val="0"/>
                <w:szCs w:val="21"/>
                <w:lang w:bidi="ar"/>
              </w:rPr>
              <w:t>4.87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39.3</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31</w:t>
            </w:r>
          </w:p>
        </w:tc>
        <w:tc>
          <w:tcPr>
            <w:tcW w:w="693" w:type="pct"/>
            <w:vAlign w:val="bottom"/>
          </w:tcPr>
          <w:p>
            <w:pPr>
              <w:widowControl/>
              <w:jc w:val="center"/>
              <w:textAlignment w:val="bottom"/>
              <w:rPr>
                <w:color w:val="000000"/>
                <w:szCs w:val="21"/>
              </w:rPr>
            </w:pPr>
            <w:r>
              <w:rPr>
                <w:color w:val="000000"/>
                <w:kern w:val="0"/>
                <w:szCs w:val="21"/>
                <w:lang w:bidi="ar"/>
              </w:rPr>
              <w:t>0.19</w:t>
            </w:r>
          </w:p>
        </w:tc>
        <w:tc>
          <w:tcPr>
            <w:tcW w:w="625" w:type="pct"/>
            <w:vAlign w:val="bottom"/>
          </w:tcPr>
          <w:p>
            <w:pPr>
              <w:widowControl/>
              <w:jc w:val="center"/>
              <w:textAlignment w:val="bottom"/>
              <w:rPr>
                <w:color w:val="000000"/>
                <w:szCs w:val="21"/>
              </w:rPr>
            </w:pPr>
            <w:r>
              <w:rPr>
                <w:color w:val="000000"/>
                <w:kern w:val="0"/>
                <w:szCs w:val="21"/>
                <w:lang w:bidi="ar"/>
              </w:rPr>
              <w:t>0.21</w:t>
            </w:r>
          </w:p>
        </w:tc>
        <w:tc>
          <w:tcPr>
            <w:tcW w:w="625" w:type="pct"/>
            <w:vAlign w:val="bottom"/>
          </w:tcPr>
          <w:p>
            <w:pPr>
              <w:widowControl/>
              <w:jc w:val="center"/>
              <w:textAlignment w:val="bottom"/>
              <w:rPr>
                <w:color w:val="000000"/>
                <w:szCs w:val="21"/>
              </w:rPr>
            </w:pPr>
            <w:r>
              <w:rPr>
                <w:color w:val="000000"/>
                <w:kern w:val="0"/>
                <w:szCs w:val="21"/>
                <w:lang w:bidi="ar"/>
              </w:rPr>
              <w:t>0.2</w:t>
            </w:r>
          </w:p>
        </w:tc>
        <w:tc>
          <w:tcPr>
            <w:tcW w:w="625" w:type="pct"/>
            <w:vAlign w:val="bottom"/>
          </w:tcPr>
          <w:p>
            <w:pPr>
              <w:widowControl/>
              <w:jc w:val="center"/>
              <w:textAlignment w:val="bottom"/>
              <w:rPr>
                <w:color w:val="000000"/>
                <w:szCs w:val="21"/>
              </w:rPr>
            </w:pPr>
            <w:r>
              <w:rPr>
                <w:color w:val="000000"/>
                <w:kern w:val="0"/>
                <w:szCs w:val="21"/>
                <w:lang w:bidi="ar"/>
              </w:rPr>
              <w:t>4.56</w:t>
            </w:r>
          </w:p>
        </w:tc>
        <w:tc>
          <w:tcPr>
            <w:tcW w:w="624" w:type="pct"/>
            <w:vAlign w:val="bottom"/>
          </w:tcPr>
          <w:p>
            <w:pPr>
              <w:widowControl/>
              <w:jc w:val="center"/>
              <w:textAlignment w:val="bottom"/>
              <w:rPr>
                <w:color w:val="000000"/>
                <w:szCs w:val="21"/>
              </w:rPr>
            </w:pPr>
            <w:r>
              <w:rPr>
                <w:color w:val="000000"/>
                <w:kern w:val="0"/>
                <w:szCs w:val="21"/>
                <w:lang w:bidi="ar"/>
              </w:rPr>
              <w:t>4.52</w:t>
            </w:r>
          </w:p>
        </w:tc>
        <w:tc>
          <w:tcPr>
            <w:tcW w:w="625" w:type="pct"/>
            <w:vAlign w:val="bottom"/>
          </w:tcPr>
          <w:p>
            <w:pPr>
              <w:widowControl/>
              <w:jc w:val="center"/>
              <w:textAlignment w:val="bottom"/>
              <w:rPr>
                <w:color w:val="000000"/>
                <w:szCs w:val="21"/>
              </w:rPr>
            </w:pPr>
            <w:r>
              <w:rPr>
                <w:color w:val="000000"/>
                <w:kern w:val="0"/>
                <w:szCs w:val="21"/>
                <w:lang w:bidi="ar"/>
              </w:rPr>
              <w:t>4.61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40.3</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32</w:t>
            </w:r>
          </w:p>
        </w:tc>
        <w:tc>
          <w:tcPr>
            <w:tcW w:w="693" w:type="pct"/>
            <w:vAlign w:val="bottom"/>
          </w:tcPr>
          <w:p>
            <w:pPr>
              <w:widowControl/>
              <w:jc w:val="center"/>
              <w:textAlignment w:val="bottom"/>
              <w:rPr>
                <w:color w:val="000000"/>
                <w:szCs w:val="21"/>
              </w:rPr>
            </w:pPr>
            <w:r>
              <w:rPr>
                <w:color w:val="000000"/>
                <w:kern w:val="0"/>
                <w:szCs w:val="21"/>
                <w:lang w:bidi="ar"/>
              </w:rPr>
              <w:t>0.17</w:t>
            </w:r>
          </w:p>
        </w:tc>
        <w:tc>
          <w:tcPr>
            <w:tcW w:w="625" w:type="pct"/>
            <w:vAlign w:val="bottom"/>
          </w:tcPr>
          <w:p>
            <w:pPr>
              <w:widowControl/>
              <w:jc w:val="center"/>
              <w:textAlignment w:val="bottom"/>
              <w:rPr>
                <w:color w:val="000000"/>
                <w:szCs w:val="21"/>
              </w:rPr>
            </w:pPr>
            <w:r>
              <w:rPr>
                <w:color w:val="000000"/>
                <w:kern w:val="0"/>
                <w:szCs w:val="21"/>
                <w:lang w:bidi="ar"/>
              </w:rPr>
              <w:t>0.19</w:t>
            </w:r>
          </w:p>
        </w:tc>
        <w:tc>
          <w:tcPr>
            <w:tcW w:w="625" w:type="pct"/>
            <w:vAlign w:val="bottom"/>
          </w:tcPr>
          <w:p>
            <w:pPr>
              <w:widowControl/>
              <w:jc w:val="center"/>
              <w:textAlignment w:val="bottom"/>
              <w:rPr>
                <w:color w:val="000000"/>
                <w:szCs w:val="21"/>
              </w:rPr>
            </w:pPr>
            <w:r>
              <w:rPr>
                <w:color w:val="000000"/>
                <w:kern w:val="0"/>
                <w:szCs w:val="21"/>
                <w:lang w:bidi="ar"/>
              </w:rPr>
              <w:t>0.19</w:t>
            </w:r>
          </w:p>
        </w:tc>
        <w:tc>
          <w:tcPr>
            <w:tcW w:w="625" w:type="pct"/>
            <w:vAlign w:val="bottom"/>
          </w:tcPr>
          <w:p>
            <w:pPr>
              <w:widowControl/>
              <w:jc w:val="center"/>
              <w:textAlignment w:val="bottom"/>
              <w:rPr>
                <w:color w:val="000000"/>
                <w:szCs w:val="21"/>
              </w:rPr>
            </w:pPr>
            <w:r>
              <w:rPr>
                <w:color w:val="000000"/>
                <w:kern w:val="0"/>
                <w:szCs w:val="21"/>
                <w:lang w:bidi="ar"/>
              </w:rPr>
              <w:t>4.33</w:t>
            </w:r>
          </w:p>
        </w:tc>
        <w:tc>
          <w:tcPr>
            <w:tcW w:w="624" w:type="pct"/>
            <w:vAlign w:val="bottom"/>
          </w:tcPr>
          <w:p>
            <w:pPr>
              <w:widowControl/>
              <w:jc w:val="center"/>
              <w:textAlignment w:val="bottom"/>
              <w:rPr>
                <w:color w:val="000000"/>
                <w:szCs w:val="21"/>
              </w:rPr>
            </w:pPr>
            <w:r>
              <w:rPr>
                <w:color w:val="000000"/>
                <w:kern w:val="0"/>
                <w:szCs w:val="21"/>
                <w:lang w:bidi="ar"/>
              </w:rPr>
              <w:t>4.29</w:t>
            </w:r>
          </w:p>
        </w:tc>
        <w:tc>
          <w:tcPr>
            <w:tcW w:w="625" w:type="pct"/>
            <w:vAlign w:val="bottom"/>
          </w:tcPr>
          <w:p>
            <w:pPr>
              <w:widowControl/>
              <w:jc w:val="center"/>
              <w:textAlignment w:val="bottom"/>
              <w:rPr>
                <w:color w:val="000000"/>
                <w:szCs w:val="21"/>
              </w:rPr>
            </w:pPr>
            <w:r>
              <w:rPr>
                <w:color w:val="000000"/>
                <w:kern w:val="0"/>
                <w:szCs w:val="21"/>
                <w:lang w:bidi="ar"/>
              </w:rPr>
              <w:t>4.37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41.3</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33</w:t>
            </w:r>
          </w:p>
        </w:tc>
        <w:tc>
          <w:tcPr>
            <w:tcW w:w="693" w:type="pct"/>
            <w:vAlign w:val="bottom"/>
          </w:tcPr>
          <w:p>
            <w:pPr>
              <w:widowControl/>
              <w:jc w:val="center"/>
              <w:textAlignment w:val="bottom"/>
              <w:rPr>
                <w:color w:val="000000"/>
                <w:szCs w:val="21"/>
              </w:rPr>
            </w:pPr>
            <w:r>
              <w:rPr>
                <w:color w:val="000000"/>
                <w:kern w:val="0"/>
                <w:szCs w:val="21"/>
                <w:lang w:bidi="ar"/>
              </w:rPr>
              <w:t>0.16</w:t>
            </w:r>
          </w:p>
        </w:tc>
        <w:tc>
          <w:tcPr>
            <w:tcW w:w="625" w:type="pct"/>
            <w:vAlign w:val="bottom"/>
          </w:tcPr>
          <w:p>
            <w:pPr>
              <w:widowControl/>
              <w:jc w:val="center"/>
              <w:textAlignment w:val="bottom"/>
              <w:rPr>
                <w:color w:val="000000"/>
                <w:szCs w:val="21"/>
              </w:rPr>
            </w:pPr>
            <w:r>
              <w:rPr>
                <w:color w:val="000000"/>
                <w:kern w:val="0"/>
                <w:szCs w:val="21"/>
                <w:lang w:bidi="ar"/>
              </w:rPr>
              <w:t>0.18</w:t>
            </w:r>
          </w:p>
        </w:tc>
        <w:tc>
          <w:tcPr>
            <w:tcW w:w="625" w:type="pct"/>
            <w:vAlign w:val="bottom"/>
          </w:tcPr>
          <w:p>
            <w:pPr>
              <w:widowControl/>
              <w:jc w:val="center"/>
              <w:textAlignment w:val="bottom"/>
              <w:rPr>
                <w:color w:val="000000"/>
                <w:szCs w:val="21"/>
              </w:rPr>
            </w:pPr>
            <w:r>
              <w:rPr>
                <w:color w:val="000000"/>
                <w:kern w:val="0"/>
                <w:szCs w:val="21"/>
                <w:lang w:bidi="ar"/>
              </w:rPr>
              <w:t>0.18</w:t>
            </w:r>
          </w:p>
        </w:tc>
        <w:tc>
          <w:tcPr>
            <w:tcW w:w="625" w:type="pct"/>
            <w:vAlign w:val="bottom"/>
          </w:tcPr>
          <w:p>
            <w:pPr>
              <w:widowControl/>
              <w:jc w:val="center"/>
              <w:textAlignment w:val="bottom"/>
              <w:rPr>
                <w:color w:val="000000"/>
                <w:szCs w:val="21"/>
              </w:rPr>
            </w:pPr>
            <w:r>
              <w:rPr>
                <w:color w:val="000000"/>
                <w:kern w:val="0"/>
                <w:szCs w:val="21"/>
                <w:lang w:bidi="ar"/>
              </w:rPr>
              <w:t>4.11</w:t>
            </w:r>
          </w:p>
        </w:tc>
        <w:tc>
          <w:tcPr>
            <w:tcW w:w="624" w:type="pct"/>
            <w:vAlign w:val="bottom"/>
          </w:tcPr>
          <w:p>
            <w:pPr>
              <w:widowControl/>
              <w:jc w:val="center"/>
              <w:textAlignment w:val="bottom"/>
              <w:rPr>
                <w:color w:val="000000"/>
                <w:szCs w:val="21"/>
              </w:rPr>
            </w:pPr>
            <w:r>
              <w:rPr>
                <w:color w:val="000000"/>
                <w:kern w:val="0"/>
                <w:szCs w:val="21"/>
                <w:lang w:bidi="ar"/>
              </w:rPr>
              <w:t>4.08</w:t>
            </w:r>
          </w:p>
        </w:tc>
        <w:tc>
          <w:tcPr>
            <w:tcW w:w="625" w:type="pct"/>
            <w:vAlign w:val="bottom"/>
          </w:tcPr>
          <w:p>
            <w:pPr>
              <w:widowControl/>
              <w:jc w:val="center"/>
              <w:textAlignment w:val="bottom"/>
              <w:rPr>
                <w:color w:val="000000"/>
                <w:szCs w:val="21"/>
              </w:rPr>
            </w:pPr>
            <w:r>
              <w:rPr>
                <w:color w:val="000000"/>
                <w:kern w:val="0"/>
                <w:szCs w:val="21"/>
                <w:lang w:bidi="ar"/>
              </w:rPr>
              <w:t>4.16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42.3</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34</w:t>
            </w:r>
          </w:p>
        </w:tc>
        <w:tc>
          <w:tcPr>
            <w:tcW w:w="693" w:type="pct"/>
            <w:vAlign w:val="bottom"/>
          </w:tcPr>
          <w:p>
            <w:pPr>
              <w:widowControl/>
              <w:jc w:val="center"/>
              <w:textAlignment w:val="bottom"/>
              <w:rPr>
                <w:color w:val="000000"/>
                <w:szCs w:val="21"/>
              </w:rPr>
            </w:pPr>
            <w:r>
              <w:rPr>
                <w:color w:val="000000"/>
                <w:kern w:val="0"/>
                <w:szCs w:val="21"/>
                <w:lang w:bidi="ar"/>
              </w:rPr>
              <w:t>0.15</w:t>
            </w:r>
          </w:p>
        </w:tc>
        <w:tc>
          <w:tcPr>
            <w:tcW w:w="625" w:type="pct"/>
            <w:vAlign w:val="bottom"/>
          </w:tcPr>
          <w:p>
            <w:pPr>
              <w:widowControl/>
              <w:jc w:val="center"/>
              <w:textAlignment w:val="bottom"/>
              <w:rPr>
                <w:color w:val="000000"/>
                <w:szCs w:val="21"/>
              </w:rPr>
            </w:pPr>
            <w:r>
              <w:rPr>
                <w:color w:val="000000"/>
                <w:kern w:val="0"/>
                <w:szCs w:val="21"/>
                <w:lang w:bidi="ar"/>
              </w:rPr>
              <w:t>0.17</w:t>
            </w:r>
          </w:p>
        </w:tc>
        <w:tc>
          <w:tcPr>
            <w:tcW w:w="625" w:type="pct"/>
            <w:vAlign w:val="bottom"/>
          </w:tcPr>
          <w:p>
            <w:pPr>
              <w:widowControl/>
              <w:jc w:val="center"/>
              <w:textAlignment w:val="bottom"/>
              <w:rPr>
                <w:color w:val="000000"/>
                <w:szCs w:val="21"/>
              </w:rPr>
            </w:pPr>
            <w:r>
              <w:rPr>
                <w:color w:val="000000"/>
                <w:kern w:val="0"/>
                <w:szCs w:val="21"/>
                <w:lang w:bidi="ar"/>
              </w:rPr>
              <w:t>0.16</w:t>
            </w:r>
          </w:p>
        </w:tc>
        <w:tc>
          <w:tcPr>
            <w:tcW w:w="625" w:type="pct"/>
            <w:vAlign w:val="bottom"/>
          </w:tcPr>
          <w:p>
            <w:pPr>
              <w:widowControl/>
              <w:jc w:val="center"/>
              <w:textAlignment w:val="bottom"/>
              <w:rPr>
                <w:color w:val="000000"/>
                <w:szCs w:val="21"/>
              </w:rPr>
            </w:pPr>
            <w:r>
              <w:rPr>
                <w:color w:val="000000"/>
                <w:kern w:val="0"/>
                <w:szCs w:val="21"/>
                <w:lang w:bidi="ar"/>
              </w:rPr>
              <w:t>3.91</w:t>
            </w:r>
          </w:p>
        </w:tc>
        <w:tc>
          <w:tcPr>
            <w:tcW w:w="624" w:type="pct"/>
            <w:vAlign w:val="bottom"/>
          </w:tcPr>
          <w:p>
            <w:pPr>
              <w:widowControl/>
              <w:jc w:val="center"/>
              <w:textAlignment w:val="bottom"/>
              <w:rPr>
                <w:color w:val="000000"/>
                <w:szCs w:val="21"/>
              </w:rPr>
            </w:pPr>
            <w:r>
              <w:rPr>
                <w:color w:val="000000"/>
                <w:kern w:val="0"/>
                <w:szCs w:val="21"/>
                <w:lang w:bidi="ar"/>
              </w:rPr>
              <w:t>3.89</w:t>
            </w:r>
          </w:p>
        </w:tc>
        <w:tc>
          <w:tcPr>
            <w:tcW w:w="625" w:type="pct"/>
            <w:vAlign w:val="bottom"/>
          </w:tcPr>
          <w:p>
            <w:pPr>
              <w:widowControl/>
              <w:jc w:val="center"/>
              <w:textAlignment w:val="bottom"/>
              <w:rPr>
                <w:color w:val="000000"/>
                <w:szCs w:val="21"/>
              </w:rPr>
            </w:pPr>
            <w:r>
              <w:rPr>
                <w:color w:val="000000"/>
                <w:kern w:val="0"/>
                <w:szCs w:val="21"/>
                <w:lang w:bidi="ar"/>
              </w:rPr>
              <w:t>3.95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43.3</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35</w:t>
            </w:r>
          </w:p>
        </w:tc>
        <w:tc>
          <w:tcPr>
            <w:tcW w:w="693" w:type="pct"/>
            <w:vAlign w:val="bottom"/>
          </w:tcPr>
          <w:p>
            <w:pPr>
              <w:widowControl/>
              <w:jc w:val="center"/>
              <w:textAlignment w:val="bottom"/>
              <w:rPr>
                <w:color w:val="000000"/>
                <w:szCs w:val="21"/>
              </w:rPr>
            </w:pPr>
            <w:r>
              <w:rPr>
                <w:color w:val="000000"/>
                <w:kern w:val="0"/>
                <w:szCs w:val="21"/>
                <w:lang w:bidi="ar"/>
              </w:rPr>
              <w:t>0.14</w:t>
            </w:r>
          </w:p>
        </w:tc>
        <w:tc>
          <w:tcPr>
            <w:tcW w:w="625" w:type="pct"/>
            <w:vAlign w:val="bottom"/>
          </w:tcPr>
          <w:p>
            <w:pPr>
              <w:widowControl/>
              <w:jc w:val="center"/>
              <w:textAlignment w:val="bottom"/>
              <w:rPr>
                <w:color w:val="000000"/>
                <w:szCs w:val="21"/>
              </w:rPr>
            </w:pPr>
            <w:r>
              <w:rPr>
                <w:color w:val="000000"/>
                <w:kern w:val="0"/>
                <w:szCs w:val="21"/>
                <w:lang w:bidi="ar"/>
              </w:rPr>
              <w:t>0.16</w:t>
            </w:r>
          </w:p>
        </w:tc>
        <w:tc>
          <w:tcPr>
            <w:tcW w:w="625" w:type="pct"/>
            <w:vAlign w:val="bottom"/>
          </w:tcPr>
          <w:p>
            <w:pPr>
              <w:widowControl/>
              <w:jc w:val="center"/>
              <w:textAlignment w:val="bottom"/>
              <w:rPr>
                <w:color w:val="000000"/>
                <w:szCs w:val="21"/>
              </w:rPr>
            </w:pPr>
            <w:r>
              <w:rPr>
                <w:color w:val="000000"/>
                <w:kern w:val="0"/>
                <w:szCs w:val="21"/>
                <w:lang w:bidi="ar"/>
              </w:rPr>
              <w:t>0.15</w:t>
            </w:r>
          </w:p>
        </w:tc>
        <w:tc>
          <w:tcPr>
            <w:tcW w:w="625" w:type="pct"/>
            <w:vAlign w:val="bottom"/>
          </w:tcPr>
          <w:p>
            <w:pPr>
              <w:widowControl/>
              <w:jc w:val="center"/>
              <w:textAlignment w:val="bottom"/>
              <w:rPr>
                <w:color w:val="000000"/>
                <w:szCs w:val="21"/>
              </w:rPr>
            </w:pPr>
            <w:r>
              <w:rPr>
                <w:color w:val="000000"/>
                <w:kern w:val="0"/>
                <w:szCs w:val="21"/>
                <w:lang w:bidi="ar"/>
              </w:rPr>
              <w:t>3.73</w:t>
            </w:r>
          </w:p>
        </w:tc>
        <w:tc>
          <w:tcPr>
            <w:tcW w:w="624" w:type="pct"/>
            <w:vAlign w:val="bottom"/>
          </w:tcPr>
          <w:p>
            <w:pPr>
              <w:widowControl/>
              <w:jc w:val="center"/>
              <w:textAlignment w:val="bottom"/>
              <w:rPr>
                <w:color w:val="000000"/>
                <w:szCs w:val="21"/>
              </w:rPr>
            </w:pPr>
            <w:r>
              <w:rPr>
                <w:color w:val="000000"/>
                <w:kern w:val="0"/>
                <w:szCs w:val="21"/>
                <w:lang w:bidi="ar"/>
              </w:rPr>
              <w:t>3.71</w:t>
            </w:r>
          </w:p>
        </w:tc>
        <w:tc>
          <w:tcPr>
            <w:tcW w:w="625" w:type="pct"/>
            <w:vAlign w:val="bottom"/>
          </w:tcPr>
          <w:p>
            <w:pPr>
              <w:widowControl/>
              <w:jc w:val="center"/>
              <w:textAlignment w:val="bottom"/>
              <w:rPr>
                <w:color w:val="000000"/>
                <w:szCs w:val="21"/>
              </w:rPr>
            </w:pPr>
            <w:r>
              <w:rPr>
                <w:color w:val="000000"/>
                <w:kern w:val="0"/>
                <w:szCs w:val="21"/>
                <w:lang w:bidi="ar"/>
              </w:rPr>
              <w:t>3.77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44.3</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36</w:t>
            </w:r>
          </w:p>
        </w:tc>
        <w:tc>
          <w:tcPr>
            <w:tcW w:w="693" w:type="pct"/>
            <w:vAlign w:val="bottom"/>
          </w:tcPr>
          <w:p>
            <w:pPr>
              <w:widowControl/>
              <w:jc w:val="center"/>
              <w:textAlignment w:val="bottom"/>
              <w:rPr>
                <w:color w:val="000000"/>
                <w:szCs w:val="21"/>
              </w:rPr>
            </w:pPr>
            <w:r>
              <w:rPr>
                <w:color w:val="000000"/>
                <w:kern w:val="0"/>
                <w:szCs w:val="21"/>
                <w:lang w:bidi="ar"/>
              </w:rPr>
              <w:t>0.13</w:t>
            </w:r>
          </w:p>
        </w:tc>
        <w:tc>
          <w:tcPr>
            <w:tcW w:w="625" w:type="pct"/>
            <w:vAlign w:val="bottom"/>
          </w:tcPr>
          <w:p>
            <w:pPr>
              <w:widowControl/>
              <w:jc w:val="center"/>
              <w:textAlignment w:val="bottom"/>
              <w:rPr>
                <w:color w:val="000000"/>
                <w:szCs w:val="21"/>
              </w:rPr>
            </w:pPr>
            <w:r>
              <w:rPr>
                <w:color w:val="000000"/>
                <w:kern w:val="0"/>
                <w:szCs w:val="21"/>
                <w:lang w:bidi="ar"/>
              </w:rPr>
              <w:t>0.15</w:t>
            </w:r>
          </w:p>
        </w:tc>
        <w:tc>
          <w:tcPr>
            <w:tcW w:w="625" w:type="pct"/>
            <w:vAlign w:val="bottom"/>
          </w:tcPr>
          <w:p>
            <w:pPr>
              <w:widowControl/>
              <w:jc w:val="center"/>
              <w:textAlignment w:val="bottom"/>
              <w:rPr>
                <w:color w:val="000000"/>
                <w:szCs w:val="21"/>
              </w:rPr>
            </w:pPr>
            <w:r>
              <w:rPr>
                <w:color w:val="000000"/>
                <w:kern w:val="0"/>
                <w:szCs w:val="21"/>
                <w:lang w:bidi="ar"/>
              </w:rPr>
              <w:t>0.14</w:t>
            </w:r>
          </w:p>
        </w:tc>
        <w:tc>
          <w:tcPr>
            <w:tcW w:w="625" w:type="pct"/>
            <w:vAlign w:val="bottom"/>
          </w:tcPr>
          <w:p>
            <w:pPr>
              <w:widowControl/>
              <w:jc w:val="center"/>
              <w:textAlignment w:val="bottom"/>
              <w:rPr>
                <w:color w:val="000000"/>
                <w:szCs w:val="21"/>
              </w:rPr>
            </w:pPr>
            <w:r>
              <w:rPr>
                <w:color w:val="000000"/>
                <w:kern w:val="0"/>
                <w:szCs w:val="21"/>
                <w:lang w:bidi="ar"/>
              </w:rPr>
              <w:t>3.56</w:t>
            </w:r>
          </w:p>
        </w:tc>
        <w:tc>
          <w:tcPr>
            <w:tcW w:w="624" w:type="pct"/>
            <w:vAlign w:val="bottom"/>
          </w:tcPr>
          <w:p>
            <w:pPr>
              <w:widowControl/>
              <w:jc w:val="center"/>
              <w:textAlignment w:val="bottom"/>
              <w:rPr>
                <w:color w:val="000000"/>
                <w:szCs w:val="21"/>
              </w:rPr>
            </w:pPr>
            <w:r>
              <w:rPr>
                <w:color w:val="000000"/>
                <w:kern w:val="0"/>
                <w:szCs w:val="21"/>
                <w:lang w:bidi="ar"/>
              </w:rPr>
              <w:t>3.54</w:t>
            </w:r>
          </w:p>
        </w:tc>
        <w:tc>
          <w:tcPr>
            <w:tcW w:w="625" w:type="pct"/>
            <w:vAlign w:val="bottom"/>
          </w:tcPr>
          <w:p>
            <w:pPr>
              <w:widowControl/>
              <w:jc w:val="center"/>
              <w:textAlignment w:val="bottom"/>
              <w:rPr>
                <w:color w:val="000000"/>
                <w:szCs w:val="21"/>
              </w:rPr>
            </w:pPr>
            <w:r>
              <w:rPr>
                <w:color w:val="000000"/>
                <w:kern w:val="0"/>
                <w:szCs w:val="21"/>
                <w:lang w:bidi="ar"/>
              </w:rPr>
              <w:t>3.59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45.3</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37</w:t>
            </w:r>
          </w:p>
        </w:tc>
        <w:tc>
          <w:tcPr>
            <w:tcW w:w="693" w:type="pct"/>
            <w:vAlign w:val="bottom"/>
          </w:tcPr>
          <w:p>
            <w:pPr>
              <w:widowControl/>
              <w:jc w:val="center"/>
              <w:textAlignment w:val="bottom"/>
              <w:rPr>
                <w:color w:val="000000"/>
                <w:szCs w:val="21"/>
              </w:rPr>
            </w:pPr>
            <w:r>
              <w:rPr>
                <w:color w:val="000000"/>
                <w:kern w:val="0"/>
                <w:szCs w:val="21"/>
                <w:lang w:bidi="ar"/>
              </w:rPr>
              <w:t>0.12</w:t>
            </w:r>
          </w:p>
        </w:tc>
        <w:tc>
          <w:tcPr>
            <w:tcW w:w="625" w:type="pct"/>
            <w:vAlign w:val="bottom"/>
          </w:tcPr>
          <w:p>
            <w:pPr>
              <w:widowControl/>
              <w:jc w:val="center"/>
              <w:textAlignment w:val="bottom"/>
              <w:rPr>
                <w:color w:val="000000"/>
                <w:szCs w:val="21"/>
              </w:rPr>
            </w:pPr>
            <w:r>
              <w:rPr>
                <w:color w:val="000000"/>
                <w:kern w:val="0"/>
                <w:szCs w:val="21"/>
                <w:lang w:bidi="ar"/>
              </w:rPr>
              <w:t>0.14</w:t>
            </w:r>
          </w:p>
        </w:tc>
        <w:tc>
          <w:tcPr>
            <w:tcW w:w="625" w:type="pct"/>
            <w:vAlign w:val="bottom"/>
          </w:tcPr>
          <w:p>
            <w:pPr>
              <w:widowControl/>
              <w:jc w:val="center"/>
              <w:textAlignment w:val="bottom"/>
              <w:rPr>
                <w:color w:val="000000"/>
                <w:szCs w:val="21"/>
              </w:rPr>
            </w:pPr>
            <w:r>
              <w:rPr>
                <w:color w:val="000000"/>
                <w:kern w:val="0"/>
                <w:szCs w:val="21"/>
                <w:lang w:bidi="ar"/>
              </w:rPr>
              <w:t>0.13</w:t>
            </w:r>
          </w:p>
        </w:tc>
        <w:tc>
          <w:tcPr>
            <w:tcW w:w="625" w:type="pct"/>
            <w:vAlign w:val="bottom"/>
          </w:tcPr>
          <w:p>
            <w:pPr>
              <w:widowControl/>
              <w:jc w:val="center"/>
              <w:textAlignment w:val="bottom"/>
              <w:rPr>
                <w:color w:val="000000"/>
                <w:szCs w:val="21"/>
              </w:rPr>
            </w:pPr>
            <w:r>
              <w:rPr>
                <w:color w:val="000000"/>
                <w:kern w:val="0"/>
                <w:szCs w:val="21"/>
                <w:lang w:bidi="ar"/>
              </w:rPr>
              <w:t>3.4</w:t>
            </w:r>
          </w:p>
        </w:tc>
        <w:tc>
          <w:tcPr>
            <w:tcW w:w="624" w:type="pct"/>
            <w:vAlign w:val="bottom"/>
          </w:tcPr>
          <w:p>
            <w:pPr>
              <w:widowControl/>
              <w:jc w:val="center"/>
              <w:textAlignment w:val="bottom"/>
              <w:rPr>
                <w:color w:val="000000"/>
                <w:szCs w:val="21"/>
              </w:rPr>
            </w:pPr>
            <w:r>
              <w:rPr>
                <w:color w:val="000000"/>
                <w:kern w:val="0"/>
                <w:szCs w:val="21"/>
                <w:lang w:bidi="ar"/>
              </w:rPr>
              <w:t>3.38</w:t>
            </w:r>
          </w:p>
        </w:tc>
        <w:tc>
          <w:tcPr>
            <w:tcW w:w="625" w:type="pct"/>
            <w:vAlign w:val="bottom"/>
          </w:tcPr>
          <w:p>
            <w:pPr>
              <w:widowControl/>
              <w:jc w:val="center"/>
              <w:textAlignment w:val="bottom"/>
              <w:rPr>
                <w:color w:val="000000"/>
                <w:szCs w:val="21"/>
              </w:rPr>
            </w:pPr>
            <w:r>
              <w:rPr>
                <w:color w:val="000000"/>
                <w:kern w:val="0"/>
                <w:szCs w:val="21"/>
                <w:lang w:bidi="ar"/>
              </w:rPr>
              <w:t>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46.3</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38</w:t>
            </w:r>
          </w:p>
        </w:tc>
        <w:tc>
          <w:tcPr>
            <w:tcW w:w="693" w:type="pct"/>
            <w:vAlign w:val="bottom"/>
          </w:tcPr>
          <w:p>
            <w:pPr>
              <w:widowControl/>
              <w:jc w:val="center"/>
              <w:textAlignment w:val="bottom"/>
              <w:rPr>
                <w:color w:val="000000"/>
                <w:szCs w:val="21"/>
              </w:rPr>
            </w:pPr>
            <w:r>
              <w:rPr>
                <w:color w:val="000000"/>
                <w:kern w:val="0"/>
                <w:szCs w:val="21"/>
                <w:lang w:bidi="ar"/>
              </w:rPr>
              <w:t>0.11</w:t>
            </w:r>
          </w:p>
        </w:tc>
        <w:tc>
          <w:tcPr>
            <w:tcW w:w="625" w:type="pct"/>
            <w:vAlign w:val="bottom"/>
          </w:tcPr>
          <w:p>
            <w:pPr>
              <w:widowControl/>
              <w:jc w:val="center"/>
              <w:textAlignment w:val="bottom"/>
              <w:rPr>
                <w:color w:val="000000"/>
                <w:szCs w:val="21"/>
              </w:rPr>
            </w:pPr>
            <w:r>
              <w:rPr>
                <w:color w:val="000000"/>
                <w:kern w:val="0"/>
                <w:szCs w:val="21"/>
                <w:lang w:bidi="ar"/>
              </w:rPr>
              <w:t>0.13</w:t>
            </w:r>
          </w:p>
        </w:tc>
        <w:tc>
          <w:tcPr>
            <w:tcW w:w="625" w:type="pct"/>
            <w:vAlign w:val="bottom"/>
          </w:tcPr>
          <w:p>
            <w:pPr>
              <w:widowControl/>
              <w:jc w:val="center"/>
              <w:textAlignment w:val="bottom"/>
              <w:rPr>
                <w:color w:val="000000"/>
                <w:szCs w:val="21"/>
              </w:rPr>
            </w:pPr>
            <w:r>
              <w:rPr>
                <w:color w:val="000000"/>
                <w:kern w:val="0"/>
                <w:szCs w:val="21"/>
                <w:lang w:bidi="ar"/>
              </w:rPr>
              <w:t>0.13</w:t>
            </w:r>
          </w:p>
        </w:tc>
        <w:tc>
          <w:tcPr>
            <w:tcW w:w="625" w:type="pct"/>
            <w:vAlign w:val="bottom"/>
          </w:tcPr>
          <w:p>
            <w:pPr>
              <w:widowControl/>
              <w:jc w:val="center"/>
              <w:textAlignment w:val="bottom"/>
              <w:rPr>
                <w:color w:val="000000"/>
                <w:szCs w:val="21"/>
              </w:rPr>
            </w:pPr>
            <w:r>
              <w:rPr>
                <w:color w:val="000000"/>
                <w:kern w:val="0"/>
                <w:szCs w:val="21"/>
                <w:lang w:bidi="ar"/>
              </w:rPr>
              <w:t>3.25</w:t>
            </w:r>
          </w:p>
        </w:tc>
        <w:tc>
          <w:tcPr>
            <w:tcW w:w="624" w:type="pct"/>
            <w:vAlign w:val="bottom"/>
          </w:tcPr>
          <w:p>
            <w:pPr>
              <w:widowControl/>
              <w:jc w:val="center"/>
              <w:textAlignment w:val="bottom"/>
              <w:rPr>
                <w:color w:val="000000"/>
                <w:szCs w:val="21"/>
              </w:rPr>
            </w:pPr>
            <w:r>
              <w:rPr>
                <w:color w:val="000000"/>
                <w:kern w:val="0"/>
                <w:szCs w:val="21"/>
                <w:lang w:bidi="ar"/>
              </w:rPr>
              <w:t>3.23</w:t>
            </w:r>
          </w:p>
        </w:tc>
        <w:tc>
          <w:tcPr>
            <w:tcW w:w="625" w:type="pct"/>
            <w:vAlign w:val="bottom"/>
          </w:tcPr>
          <w:p>
            <w:pPr>
              <w:widowControl/>
              <w:jc w:val="center"/>
              <w:textAlignment w:val="bottom"/>
              <w:rPr>
                <w:color w:val="000000"/>
                <w:szCs w:val="21"/>
              </w:rPr>
            </w:pPr>
            <w:r>
              <w:rPr>
                <w:color w:val="000000"/>
                <w:kern w:val="0"/>
                <w:szCs w:val="21"/>
                <w:lang w:bidi="ar"/>
              </w:rPr>
              <w:t>3.28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47.3</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39</w:t>
            </w:r>
          </w:p>
        </w:tc>
        <w:tc>
          <w:tcPr>
            <w:tcW w:w="693" w:type="pct"/>
            <w:vAlign w:val="bottom"/>
          </w:tcPr>
          <w:p>
            <w:pPr>
              <w:widowControl/>
              <w:jc w:val="center"/>
              <w:textAlignment w:val="bottom"/>
              <w:rPr>
                <w:color w:val="000000"/>
                <w:szCs w:val="21"/>
              </w:rPr>
            </w:pPr>
            <w:r>
              <w:rPr>
                <w:color w:val="000000"/>
                <w:kern w:val="0"/>
                <w:szCs w:val="21"/>
                <w:lang w:bidi="ar"/>
              </w:rPr>
              <w:t>0.11</w:t>
            </w:r>
          </w:p>
        </w:tc>
        <w:tc>
          <w:tcPr>
            <w:tcW w:w="625" w:type="pct"/>
            <w:vAlign w:val="bottom"/>
          </w:tcPr>
          <w:p>
            <w:pPr>
              <w:widowControl/>
              <w:jc w:val="center"/>
              <w:textAlignment w:val="bottom"/>
              <w:rPr>
                <w:color w:val="000000"/>
                <w:szCs w:val="21"/>
              </w:rPr>
            </w:pPr>
            <w:r>
              <w:rPr>
                <w:color w:val="000000"/>
                <w:kern w:val="0"/>
                <w:szCs w:val="21"/>
                <w:lang w:bidi="ar"/>
              </w:rPr>
              <w:t>0.12</w:t>
            </w:r>
          </w:p>
        </w:tc>
        <w:tc>
          <w:tcPr>
            <w:tcW w:w="625" w:type="pct"/>
            <w:vAlign w:val="bottom"/>
          </w:tcPr>
          <w:p>
            <w:pPr>
              <w:widowControl/>
              <w:jc w:val="center"/>
              <w:textAlignment w:val="bottom"/>
              <w:rPr>
                <w:color w:val="000000"/>
                <w:szCs w:val="21"/>
              </w:rPr>
            </w:pPr>
            <w:r>
              <w:rPr>
                <w:color w:val="000000"/>
                <w:kern w:val="0"/>
                <w:szCs w:val="21"/>
                <w:lang w:bidi="ar"/>
              </w:rPr>
              <w:t>0.12</w:t>
            </w:r>
          </w:p>
        </w:tc>
        <w:tc>
          <w:tcPr>
            <w:tcW w:w="625" w:type="pct"/>
            <w:vAlign w:val="bottom"/>
          </w:tcPr>
          <w:p>
            <w:pPr>
              <w:widowControl/>
              <w:jc w:val="center"/>
              <w:textAlignment w:val="bottom"/>
              <w:rPr>
                <w:color w:val="000000"/>
                <w:szCs w:val="21"/>
              </w:rPr>
            </w:pPr>
            <w:r>
              <w:rPr>
                <w:color w:val="000000"/>
                <w:kern w:val="0"/>
                <w:szCs w:val="21"/>
                <w:lang w:bidi="ar"/>
              </w:rPr>
              <w:t>3.11</w:t>
            </w:r>
          </w:p>
        </w:tc>
        <w:tc>
          <w:tcPr>
            <w:tcW w:w="624" w:type="pct"/>
            <w:vAlign w:val="bottom"/>
          </w:tcPr>
          <w:p>
            <w:pPr>
              <w:widowControl/>
              <w:jc w:val="center"/>
              <w:textAlignment w:val="bottom"/>
              <w:rPr>
                <w:color w:val="000000"/>
                <w:szCs w:val="21"/>
              </w:rPr>
            </w:pPr>
            <w:r>
              <w:rPr>
                <w:color w:val="000000"/>
                <w:kern w:val="0"/>
                <w:szCs w:val="21"/>
                <w:lang w:bidi="ar"/>
              </w:rPr>
              <w:t>3.1</w:t>
            </w:r>
          </w:p>
        </w:tc>
        <w:tc>
          <w:tcPr>
            <w:tcW w:w="625" w:type="pct"/>
            <w:vAlign w:val="bottom"/>
          </w:tcPr>
          <w:p>
            <w:pPr>
              <w:widowControl/>
              <w:jc w:val="center"/>
              <w:textAlignment w:val="bottom"/>
              <w:rPr>
                <w:color w:val="000000"/>
                <w:szCs w:val="21"/>
              </w:rPr>
            </w:pPr>
            <w:r>
              <w:rPr>
                <w:color w:val="000000"/>
                <w:kern w:val="0"/>
                <w:szCs w:val="21"/>
                <w:lang w:bidi="ar"/>
              </w:rPr>
              <w:t>3.14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48.3</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40</w:t>
            </w:r>
          </w:p>
        </w:tc>
        <w:tc>
          <w:tcPr>
            <w:tcW w:w="693" w:type="pct"/>
            <w:vAlign w:val="bottom"/>
          </w:tcPr>
          <w:p>
            <w:pPr>
              <w:widowControl/>
              <w:jc w:val="center"/>
              <w:textAlignment w:val="bottom"/>
              <w:rPr>
                <w:color w:val="000000"/>
                <w:szCs w:val="21"/>
              </w:rPr>
            </w:pPr>
            <w:r>
              <w:rPr>
                <w:color w:val="000000"/>
                <w:kern w:val="0"/>
                <w:szCs w:val="21"/>
                <w:lang w:bidi="ar"/>
              </w:rPr>
              <w:t>0.1</w:t>
            </w:r>
          </w:p>
        </w:tc>
        <w:tc>
          <w:tcPr>
            <w:tcW w:w="625" w:type="pct"/>
            <w:vAlign w:val="bottom"/>
          </w:tcPr>
          <w:p>
            <w:pPr>
              <w:widowControl/>
              <w:jc w:val="center"/>
              <w:textAlignment w:val="bottom"/>
              <w:rPr>
                <w:color w:val="000000"/>
                <w:szCs w:val="21"/>
              </w:rPr>
            </w:pPr>
            <w:r>
              <w:rPr>
                <w:color w:val="000000"/>
                <w:kern w:val="0"/>
                <w:szCs w:val="21"/>
                <w:lang w:bidi="ar"/>
              </w:rPr>
              <w:t>0.11</w:t>
            </w:r>
          </w:p>
        </w:tc>
        <w:tc>
          <w:tcPr>
            <w:tcW w:w="625" w:type="pct"/>
            <w:vAlign w:val="bottom"/>
          </w:tcPr>
          <w:p>
            <w:pPr>
              <w:widowControl/>
              <w:jc w:val="center"/>
              <w:textAlignment w:val="bottom"/>
              <w:rPr>
                <w:color w:val="000000"/>
                <w:szCs w:val="21"/>
              </w:rPr>
            </w:pPr>
            <w:r>
              <w:rPr>
                <w:color w:val="000000"/>
                <w:kern w:val="0"/>
                <w:szCs w:val="21"/>
                <w:lang w:bidi="ar"/>
              </w:rPr>
              <w:t>0.11</w:t>
            </w:r>
          </w:p>
        </w:tc>
        <w:tc>
          <w:tcPr>
            <w:tcW w:w="625" w:type="pct"/>
            <w:vAlign w:val="bottom"/>
          </w:tcPr>
          <w:p>
            <w:pPr>
              <w:widowControl/>
              <w:jc w:val="center"/>
              <w:textAlignment w:val="bottom"/>
              <w:rPr>
                <w:color w:val="000000"/>
                <w:szCs w:val="21"/>
              </w:rPr>
            </w:pPr>
            <w:r>
              <w:rPr>
                <w:color w:val="000000"/>
                <w:kern w:val="0"/>
                <w:szCs w:val="21"/>
                <w:lang w:bidi="ar"/>
              </w:rPr>
              <w:t>2.98</w:t>
            </w:r>
          </w:p>
        </w:tc>
        <w:tc>
          <w:tcPr>
            <w:tcW w:w="624" w:type="pct"/>
            <w:vAlign w:val="bottom"/>
          </w:tcPr>
          <w:p>
            <w:pPr>
              <w:widowControl/>
              <w:jc w:val="center"/>
              <w:textAlignment w:val="bottom"/>
              <w:rPr>
                <w:color w:val="000000"/>
                <w:szCs w:val="21"/>
              </w:rPr>
            </w:pPr>
            <w:r>
              <w:rPr>
                <w:color w:val="000000"/>
                <w:kern w:val="0"/>
                <w:szCs w:val="21"/>
                <w:lang w:bidi="ar"/>
              </w:rPr>
              <w:t>2.97</w:t>
            </w:r>
          </w:p>
        </w:tc>
        <w:tc>
          <w:tcPr>
            <w:tcW w:w="625" w:type="pct"/>
            <w:vAlign w:val="bottom"/>
          </w:tcPr>
          <w:p>
            <w:pPr>
              <w:widowControl/>
              <w:jc w:val="center"/>
              <w:textAlignment w:val="bottom"/>
              <w:rPr>
                <w:color w:val="000000"/>
                <w:szCs w:val="21"/>
              </w:rPr>
            </w:pPr>
            <w:r>
              <w:rPr>
                <w:color w:val="000000"/>
                <w:kern w:val="0"/>
                <w:szCs w:val="21"/>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180" w:type="pct"/>
            <w:gridSpan w:val="2"/>
            <w:vAlign w:val="center"/>
          </w:tcPr>
          <w:p>
            <w:pPr>
              <w:widowControl/>
              <w:jc w:val="center"/>
              <w:textAlignment w:val="center"/>
              <w:rPr>
                <w:rFonts w:cs="宋体"/>
                <w:color w:val="000000"/>
                <w:szCs w:val="21"/>
              </w:rPr>
            </w:pPr>
            <w:r>
              <w:rPr>
                <w:rFonts w:hint="eastAsia" w:cs="宋体"/>
                <w:color w:val="000000"/>
                <w:kern w:val="0"/>
                <w:szCs w:val="21"/>
                <w:lang w:bidi="ar"/>
              </w:rPr>
              <w:t>最大值</w:t>
            </w:r>
          </w:p>
        </w:tc>
        <w:tc>
          <w:tcPr>
            <w:tcW w:w="693" w:type="pct"/>
            <w:vAlign w:val="center"/>
          </w:tcPr>
          <w:p>
            <w:pPr>
              <w:widowControl/>
              <w:jc w:val="center"/>
              <w:textAlignment w:val="center"/>
              <w:rPr>
                <w:rFonts w:cs="宋体"/>
                <w:b/>
                <w:color w:val="000000"/>
                <w:szCs w:val="21"/>
              </w:rPr>
            </w:pPr>
            <w:r>
              <w:rPr>
                <w:rFonts w:hint="eastAsia" w:cs="宋体"/>
                <w:b/>
                <w:color w:val="000000"/>
                <w:kern w:val="0"/>
                <w:szCs w:val="21"/>
                <w:lang w:bidi="ar"/>
              </w:rPr>
              <w:t>7.46</w:t>
            </w:r>
          </w:p>
        </w:tc>
        <w:tc>
          <w:tcPr>
            <w:tcW w:w="625" w:type="pct"/>
            <w:vAlign w:val="bottom"/>
          </w:tcPr>
          <w:p>
            <w:pPr>
              <w:widowControl/>
              <w:jc w:val="center"/>
              <w:textAlignment w:val="bottom"/>
              <w:rPr>
                <w:b/>
                <w:bCs/>
                <w:color w:val="000000"/>
                <w:szCs w:val="21"/>
              </w:rPr>
            </w:pPr>
            <w:r>
              <w:rPr>
                <w:b/>
                <w:bCs/>
                <w:color w:val="000000"/>
                <w:kern w:val="0"/>
                <w:szCs w:val="21"/>
                <w:lang w:bidi="ar"/>
              </w:rPr>
              <w:t>5.93</w:t>
            </w:r>
          </w:p>
        </w:tc>
        <w:tc>
          <w:tcPr>
            <w:tcW w:w="625" w:type="pct"/>
            <w:vAlign w:val="bottom"/>
          </w:tcPr>
          <w:p>
            <w:pPr>
              <w:widowControl/>
              <w:jc w:val="center"/>
              <w:textAlignment w:val="bottom"/>
              <w:rPr>
                <w:b/>
                <w:bCs/>
                <w:color w:val="000000"/>
                <w:szCs w:val="21"/>
              </w:rPr>
            </w:pPr>
            <w:r>
              <w:rPr>
                <w:b/>
                <w:bCs/>
                <w:color w:val="000000"/>
                <w:kern w:val="0"/>
                <w:szCs w:val="21"/>
                <w:lang w:bidi="ar"/>
              </w:rPr>
              <w:t>10.37</w:t>
            </w:r>
          </w:p>
        </w:tc>
        <w:tc>
          <w:tcPr>
            <w:tcW w:w="625" w:type="pct"/>
            <w:vAlign w:val="bottom"/>
          </w:tcPr>
          <w:p>
            <w:pPr>
              <w:widowControl/>
              <w:jc w:val="center"/>
              <w:textAlignment w:val="bottom"/>
              <w:rPr>
                <w:b/>
                <w:bCs/>
                <w:color w:val="000000"/>
                <w:szCs w:val="21"/>
              </w:rPr>
            </w:pPr>
            <w:r>
              <w:rPr>
                <w:rFonts w:hint="eastAsia"/>
                <w:b/>
                <w:bCs/>
                <w:color w:val="000000"/>
                <w:kern w:val="0"/>
                <w:szCs w:val="21"/>
                <w:lang w:bidi="ar"/>
              </w:rPr>
              <w:t>95.65</w:t>
            </w:r>
          </w:p>
        </w:tc>
        <w:tc>
          <w:tcPr>
            <w:tcW w:w="624" w:type="pct"/>
            <w:vAlign w:val="bottom"/>
          </w:tcPr>
          <w:p>
            <w:pPr>
              <w:widowControl/>
              <w:jc w:val="center"/>
              <w:textAlignment w:val="bottom"/>
              <w:rPr>
                <w:b/>
                <w:bCs/>
                <w:color w:val="000000"/>
                <w:kern w:val="0"/>
                <w:szCs w:val="21"/>
                <w:lang w:bidi="ar"/>
              </w:rPr>
            </w:pPr>
            <w:r>
              <w:rPr>
                <w:rFonts w:hint="eastAsia"/>
                <w:b/>
                <w:bCs/>
                <w:color w:val="000000"/>
                <w:kern w:val="0"/>
                <w:szCs w:val="21"/>
                <w:lang w:bidi="ar"/>
              </w:rPr>
              <w:t>78.34</w:t>
            </w:r>
          </w:p>
        </w:tc>
        <w:tc>
          <w:tcPr>
            <w:tcW w:w="625" w:type="pct"/>
            <w:vAlign w:val="bottom"/>
          </w:tcPr>
          <w:p>
            <w:pPr>
              <w:widowControl/>
              <w:jc w:val="center"/>
              <w:textAlignment w:val="bottom"/>
              <w:rPr>
                <w:b/>
                <w:bCs/>
                <w:color w:val="000000"/>
                <w:kern w:val="0"/>
                <w:szCs w:val="21"/>
                <w:lang w:bidi="ar"/>
              </w:rPr>
            </w:pPr>
            <w:r>
              <w:rPr>
                <w:rFonts w:hint="eastAsia"/>
                <w:b/>
                <w:bCs/>
                <w:color w:val="000000"/>
                <w:kern w:val="0"/>
                <w:szCs w:val="21"/>
                <w:lang w:bidi="ar"/>
              </w:rPr>
              <w:t>157.53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1180" w:type="pct"/>
            <w:gridSpan w:val="2"/>
            <w:vAlign w:val="center"/>
          </w:tcPr>
          <w:p>
            <w:pPr>
              <w:widowControl/>
              <w:jc w:val="center"/>
              <w:textAlignment w:val="center"/>
              <w:rPr>
                <w:rFonts w:cs="宋体"/>
                <w:color w:val="000000"/>
                <w:szCs w:val="21"/>
              </w:rPr>
            </w:pPr>
            <w:r>
              <w:rPr>
                <w:rFonts w:hint="eastAsia" w:cs="宋体"/>
                <w:color w:val="000000"/>
                <w:kern w:val="0"/>
                <w:szCs w:val="21"/>
                <w:lang w:bidi="ar"/>
              </w:rPr>
              <w:t>最大值处距线路中心距离（m）</w:t>
            </w:r>
          </w:p>
        </w:tc>
        <w:tc>
          <w:tcPr>
            <w:tcW w:w="693" w:type="pct"/>
            <w:vAlign w:val="center"/>
          </w:tcPr>
          <w:p>
            <w:pPr>
              <w:widowControl/>
              <w:jc w:val="center"/>
              <w:textAlignment w:val="center"/>
              <w:rPr>
                <w:rFonts w:cs="宋体"/>
                <w:color w:val="000000"/>
                <w:szCs w:val="21"/>
              </w:rPr>
            </w:pPr>
            <w:r>
              <w:rPr>
                <w:rFonts w:hint="eastAsia" w:cs="宋体"/>
                <w:color w:val="000000"/>
                <w:kern w:val="0"/>
                <w:szCs w:val="21"/>
                <w:lang w:bidi="ar"/>
              </w:rPr>
              <w:t>8.3</w:t>
            </w:r>
          </w:p>
        </w:tc>
        <w:tc>
          <w:tcPr>
            <w:tcW w:w="625" w:type="pct"/>
            <w:vAlign w:val="center"/>
          </w:tcPr>
          <w:p>
            <w:pPr>
              <w:widowControl/>
              <w:jc w:val="center"/>
              <w:textAlignment w:val="center"/>
              <w:rPr>
                <w:rFonts w:cs="宋体"/>
                <w:color w:val="000000"/>
                <w:szCs w:val="21"/>
              </w:rPr>
            </w:pPr>
            <w:r>
              <w:rPr>
                <w:rFonts w:hint="eastAsia" w:cs="宋体"/>
                <w:color w:val="000000"/>
                <w:kern w:val="0"/>
                <w:szCs w:val="21"/>
                <w:lang w:bidi="ar"/>
              </w:rPr>
              <w:t>9.3</w:t>
            </w:r>
          </w:p>
        </w:tc>
        <w:tc>
          <w:tcPr>
            <w:tcW w:w="625" w:type="pct"/>
            <w:vAlign w:val="center"/>
          </w:tcPr>
          <w:p>
            <w:pPr>
              <w:widowControl/>
              <w:jc w:val="center"/>
              <w:textAlignment w:val="center"/>
              <w:rPr>
                <w:rFonts w:cs="宋体"/>
                <w:color w:val="000000"/>
                <w:szCs w:val="21"/>
              </w:rPr>
            </w:pPr>
            <w:r>
              <w:rPr>
                <w:rFonts w:hint="eastAsia" w:cs="宋体"/>
                <w:color w:val="000000"/>
                <w:kern w:val="0"/>
                <w:szCs w:val="21"/>
                <w:lang w:bidi="ar"/>
              </w:rPr>
              <w:t>8.0</w:t>
            </w:r>
          </w:p>
        </w:tc>
        <w:tc>
          <w:tcPr>
            <w:tcW w:w="625" w:type="pct"/>
            <w:vAlign w:val="center"/>
          </w:tcPr>
          <w:p>
            <w:pPr>
              <w:widowControl/>
              <w:jc w:val="center"/>
              <w:textAlignment w:val="center"/>
              <w:rPr>
                <w:rFonts w:cs="宋体"/>
                <w:color w:val="000000"/>
                <w:szCs w:val="21"/>
              </w:rPr>
            </w:pPr>
            <w:r>
              <w:rPr>
                <w:rFonts w:hint="eastAsia" w:cs="宋体"/>
                <w:color w:val="000000"/>
                <w:kern w:val="0"/>
                <w:szCs w:val="21"/>
                <w:lang w:bidi="ar"/>
              </w:rPr>
              <w:t>6.0</w:t>
            </w:r>
          </w:p>
        </w:tc>
        <w:tc>
          <w:tcPr>
            <w:tcW w:w="624"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6.0</w:t>
            </w:r>
          </w:p>
        </w:tc>
        <w:tc>
          <w:tcPr>
            <w:tcW w:w="62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7.0</w:t>
            </w:r>
          </w:p>
        </w:tc>
      </w:tr>
    </w:tbl>
    <w:p>
      <w:pPr>
        <w:pStyle w:val="10"/>
        <w:keepNext/>
        <w:spacing w:line="360" w:lineRule="auto"/>
        <w:rPr>
          <w:color w:val="000000" w:themeColor="text1"/>
          <w14:textFill>
            <w14:solidFill>
              <w14:schemeClr w14:val="tx1"/>
            </w14:solidFill>
          </w14:textFill>
        </w:rPr>
      </w:pPr>
      <w:r>
        <w:rPr>
          <w:rFonts w:hint="eastAsia" w:ascii="宋体" w:hAnsi="宋体" w:eastAsia="宋体" w:cs="宋体"/>
          <w:b/>
        </w:rPr>
        <w:t>注：本工程忽略因风偏无法满足净空距离要求导致在该范围内逻辑上存在敏感点而预测结果无意义的预测点，用“/”表示。</w:t>
      </w:r>
    </w:p>
    <w:p>
      <w:pPr>
        <w:pStyle w:val="5"/>
        <w:spacing w:line="240" w:lineRule="auto"/>
        <w:ind w:firstLine="0" w:firstLineChars="0"/>
        <w:rPr>
          <w:color w:val="000000" w:themeColor="text1"/>
          <w:sz w:val="21"/>
          <w14:textFill>
            <w14:solidFill>
              <w14:schemeClr w14:val="tx1"/>
            </w14:solidFill>
          </w14:textFill>
        </w:rPr>
        <w:sectPr>
          <w:pgSz w:w="11906" w:h="16838"/>
          <w:pgMar w:top="1440" w:right="1701" w:bottom="1440" w:left="1701" w:header="851" w:footer="992" w:gutter="0"/>
          <w:cols w:space="720" w:num="1"/>
          <w:docGrid w:type="lines" w:linePitch="326" w:charSpace="0"/>
        </w:sectPr>
      </w:pPr>
    </w:p>
    <w:bookmarkEnd w:id="801"/>
    <w:p>
      <w:pPr>
        <w:keepNext/>
        <w:keepLines/>
        <w:spacing w:line="416" w:lineRule="auto"/>
      </w:pPr>
      <w:r>
        <w:drawing>
          <wp:inline distT="0" distB="0" distL="114300" distR="114300">
            <wp:extent cx="5399405" cy="2627630"/>
            <wp:effectExtent l="0" t="0" r="10795" b="1270"/>
            <wp:docPr id="6"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2"/>
                    <pic:cNvPicPr>
                      <a:picLocks noChangeAspect="1"/>
                    </pic:cNvPicPr>
                  </pic:nvPicPr>
                  <pic:blipFill>
                    <a:blip r:embed="rId132"/>
                    <a:stretch>
                      <a:fillRect/>
                    </a:stretch>
                  </pic:blipFill>
                  <pic:spPr>
                    <a:xfrm>
                      <a:off x="0" y="0"/>
                      <a:ext cx="5399405" cy="2627630"/>
                    </a:xfrm>
                    <a:prstGeom prst="rect">
                      <a:avLst/>
                    </a:prstGeom>
                    <a:noFill/>
                    <a:ln>
                      <a:noFill/>
                    </a:ln>
                  </pic:spPr>
                </pic:pic>
              </a:graphicData>
            </a:graphic>
          </wp:inline>
        </w:drawing>
      </w:r>
    </w:p>
    <w:p>
      <w:pPr>
        <w:tabs>
          <w:tab w:val="left" w:pos="500"/>
        </w:tabs>
        <w:jc w:val="center"/>
      </w:pPr>
      <w:bookmarkStart w:id="803" w:name="_Ref21501"/>
      <w:r>
        <w:rPr>
          <w:rFonts w:hint="eastAsia"/>
          <w:b/>
          <w:color w:val="000000" w:themeColor="text1"/>
          <w:szCs w:val="21"/>
          <w14:textFill>
            <w14:solidFill>
              <w14:schemeClr w14:val="tx1"/>
            </w14:solidFill>
          </w14:textFill>
        </w:rPr>
        <w:t>图</w:t>
      </w:r>
      <w:r>
        <w:rPr>
          <w:b/>
          <w:color w:val="000000" w:themeColor="text1"/>
          <w:szCs w:val="21"/>
          <w14:textFill>
            <w14:solidFill>
              <w14:schemeClr w14:val="tx1"/>
            </w14:solidFill>
          </w14:textFill>
        </w:rPr>
        <w:fldChar w:fldCharType="begin"/>
      </w:r>
      <w:r>
        <w:rPr>
          <w:b/>
          <w:color w:val="000000" w:themeColor="text1"/>
          <w:szCs w:val="21"/>
          <w14:textFill>
            <w14:solidFill>
              <w14:schemeClr w14:val="tx1"/>
            </w14:solidFill>
          </w14:textFill>
        </w:rPr>
        <w:instrText xml:space="preserve"> SEQ </w:instrText>
      </w:r>
      <w:r>
        <w:rPr>
          <w:rFonts w:hint="eastAsia"/>
          <w:b/>
          <w:color w:val="000000" w:themeColor="text1"/>
          <w:szCs w:val="21"/>
          <w14:textFill>
            <w14:solidFill>
              <w14:schemeClr w14:val="tx1"/>
            </w14:solidFill>
          </w14:textFill>
        </w:rPr>
        <w:instrText xml:space="preserve">图</w:instrText>
      </w:r>
      <w:r>
        <w:rPr>
          <w:b/>
          <w:color w:val="000000" w:themeColor="text1"/>
          <w:szCs w:val="21"/>
          <w14:textFill>
            <w14:solidFill>
              <w14:schemeClr w14:val="tx1"/>
            </w14:solidFill>
          </w14:textFill>
        </w:rPr>
        <w:instrText xml:space="preserve"> \* ARABIC </w:instrText>
      </w:r>
      <w:r>
        <w:rPr>
          <w:b/>
          <w:color w:val="000000" w:themeColor="text1"/>
          <w:szCs w:val="21"/>
          <w14:textFill>
            <w14:solidFill>
              <w14:schemeClr w14:val="tx1"/>
            </w14:solidFill>
          </w14:textFill>
        </w:rPr>
        <w:fldChar w:fldCharType="separate"/>
      </w:r>
      <w:r>
        <w:rPr>
          <w:b/>
          <w:color w:val="000000" w:themeColor="text1"/>
          <w:szCs w:val="21"/>
          <w14:textFill>
            <w14:solidFill>
              <w14:schemeClr w14:val="tx1"/>
            </w14:solidFill>
          </w14:textFill>
        </w:rPr>
        <w:t>13</w:t>
      </w:r>
      <w:r>
        <w:rPr>
          <w:b/>
          <w:color w:val="000000" w:themeColor="text1"/>
          <w:szCs w:val="21"/>
          <w14:textFill>
            <w14:solidFill>
              <w14:schemeClr w14:val="tx1"/>
            </w14:solidFill>
          </w14:textFill>
        </w:rPr>
        <w:fldChar w:fldCharType="end"/>
      </w:r>
      <w:bookmarkEnd w:id="803"/>
      <w:r>
        <w:rPr>
          <w:rFonts w:hint="eastAsia"/>
          <w:b/>
          <w:color w:val="000000" w:themeColor="text1"/>
          <w:szCs w:val="21"/>
          <w14:textFill>
            <w14:solidFill>
              <w14:schemeClr w14:val="tx1"/>
            </w14:solidFill>
          </w14:textFill>
        </w:rPr>
        <w:t>单回线路工频电场强度预测结果图（2×JL3/G1A-630/45型导线）</w:t>
      </w:r>
    </w:p>
    <w:p>
      <w:pPr>
        <w:tabs>
          <w:tab w:val="left" w:pos="500"/>
        </w:tabs>
      </w:pPr>
      <w:r>
        <w:drawing>
          <wp:inline distT="0" distB="0" distL="114300" distR="114300">
            <wp:extent cx="5398135" cy="2496185"/>
            <wp:effectExtent l="0" t="0" r="12065" b="18415"/>
            <wp:docPr id="7"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3"/>
                    <pic:cNvPicPr>
                      <a:picLocks noChangeAspect="1"/>
                    </pic:cNvPicPr>
                  </pic:nvPicPr>
                  <pic:blipFill>
                    <a:blip r:embed="rId133"/>
                    <a:stretch>
                      <a:fillRect/>
                    </a:stretch>
                  </pic:blipFill>
                  <pic:spPr>
                    <a:xfrm>
                      <a:off x="0" y="0"/>
                      <a:ext cx="5398135" cy="2496185"/>
                    </a:xfrm>
                    <a:prstGeom prst="rect">
                      <a:avLst/>
                    </a:prstGeom>
                    <a:noFill/>
                    <a:ln>
                      <a:noFill/>
                    </a:ln>
                  </pic:spPr>
                </pic:pic>
              </a:graphicData>
            </a:graphic>
          </wp:inline>
        </w:drawing>
      </w:r>
    </w:p>
    <w:p>
      <w:pPr>
        <w:pStyle w:val="10"/>
        <w:tabs>
          <w:tab w:val="left" w:pos="500"/>
        </w:tabs>
        <w:jc w:val="center"/>
        <w:rPr>
          <w:rFonts w:eastAsia="宋体"/>
        </w:rPr>
      </w:pPr>
      <w:bookmarkStart w:id="804" w:name="_Ref29571"/>
      <w:r>
        <w:rPr>
          <w:rFonts w:ascii="Times New Roman" w:hAnsi="Times New Roman" w:eastAsia="宋体"/>
          <w:b/>
          <w:bCs/>
        </w:rPr>
        <w:t>图</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14</w:t>
      </w:r>
      <w:r>
        <w:rPr>
          <w:rFonts w:ascii="Times New Roman" w:hAnsi="Times New Roman" w:eastAsia="宋体"/>
          <w:b/>
          <w:bCs/>
        </w:rPr>
        <w:fldChar w:fldCharType="end"/>
      </w:r>
      <w:bookmarkEnd w:id="804"/>
      <w:r>
        <w:rPr>
          <w:rFonts w:ascii="Times New Roman" w:hAnsi="Times New Roman" w:eastAsia="宋体"/>
          <w:b/>
          <w:bCs/>
        </w:rPr>
        <w:t>单回线路工频磁感应强度预测结果图（2×JL3/G1A-</w:t>
      </w:r>
      <w:r>
        <w:rPr>
          <w:rFonts w:hint="eastAsia" w:ascii="Times New Roman" w:hAnsi="Times New Roman" w:eastAsia="宋体"/>
          <w:b/>
          <w:bCs/>
        </w:rPr>
        <w:t>630/45</w:t>
      </w:r>
      <w:r>
        <w:rPr>
          <w:rFonts w:ascii="Times New Roman" w:hAnsi="Times New Roman" w:eastAsia="宋体"/>
          <w:b/>
          <w:bCs/>
        </w:rPr>
        <w:t>型导线）</w:t>
      </w:r>
      <w:r>
        <w:rPr>
          <w:rFonts w:hint="eastAsia" w:eastAsia="宋体"/>
        </w:rPr>
        <w:drawing>
          <wp:inline distT="0" distB="0" distL="114300" distR="114300">
            <wp:extent cx="5400040" cy="2845435"/>
            <wp:effectExtent l="0" t="0" r="10160" b="12065"/>
            <wp:docPr id="8" name="图片 8" descr="4000V达标等值线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4000V达标等值线图"/>
                    <pic:cNvPicPr>
                      <a:picLocks noChangeAspect="1"/>
                    </pic:cNvPicPr>
                  </pic:nvPicPr>
                  <pic:blipFill>
                    <a:blip r:embed="rId134"/>
                    <a:stretch>
                      <a:fillRect/>
                    </a:stretch>
                  </pic:blipFill>
                  <pic:spPr>
                    <a:xfrm>
                      <a:off x="0" y="0"/>
                      <a:ext cx="5400040" cy="2845435"/>
                    </a:xfrm>
                    <a:prstGeom prst="rect">
                      <a:avLst/>
                    </a:prstGeom>
                  </pic:spPr>
                </pic:pic>
              </a:graphicData>
            </a:graphic>
          </wp:inline>
        </w:drawing>
      </w:r>
    </w:p>
    <w:p>
      <w:pPr>
        <w:pStyle w:val="10"/>
        <w:jc w:val="center"/>
        <w:rPr>
          <w:rFonts w:eastAsia="宋体"/>
        </w:rPr>
      </w:pPr>
      <w:bookmarkStart w:id="805" w:name="_Ref30939"/>
      <w:r>
        <w:rPr>
          <w:rFonts w:ascii="Times New Roman" w:hAnsi="Times New Roman" w:eastAsia="宋体"/>
          <w:b/>
          <w:bCs/>
        </w:rPr>
        <w:t>图</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15</w:t>
      </w:r>
      <w:r>
        <w:rPr>
          <w:rFonts w:ascii="Times New Roman" w:hAnsi="Times New Roman" w:eastAsia="宋体"/>
          <w:b/>
          <w:bCs/>
        </w:rPr>
        <w:fldChar w:fldCharType="end"/>
      </w:r>
      <w:bookmarkEnd w:id="805"/>
      <w:r>
        <w:rPr>
          <w:rFonts w:ascii="Times New Roman" w:hAnsi="Times New Roman" w:eastAsia="宋体"/>
          <w:b/>
          <w:bCs/>
        </w:rPr>
        <w:t>单回线路工频电场达标等值线图（4</w:t>
      </w:r>
      <w:r>
        <w:rPr>
          <w:rFonts w:hint="eastAsia" w:ascii="Times New Roman" w:hAnsi="Times New Roman" w:eastAsia="宋体"/>
          <w:b/>
          <w:bCs/>
        </w:rPr>
        <w:t>000</w:t>
      </w:r>
      <w:r>
        <w:rPr>
          <w:rFonts w:ascii="Times New Roman" w:hAnsi="Times New Roman" w:eastAsia="宋体"/>
          <w:b/>
          <w:bCs/>
        </w:rPr>
        <w:t>V/m）</w:t>
      </w:r>
    </w:p>
    <w:p>
      <w:pPr>
        <w:pStyle w:val="5"/>
        <w:ind w:firstLine="482"/>
        <w:rPr>
          <w:color w:val="000000" w:themeColor="text1"/>
          <w14:textFill>
            <w14:solidFill>
              <w14:schemeClr w14:val="tx1"/>
            </w14:solidFill>
          </w14:textFill>
        </w:rPr>
      </w:pPr>
      <w:r>
        <w:rPr>
          <w:rFonts w:hint="eastAsia"/>
          <w:b/>
          <w:bCs/>
          <w:color w:val="000000" w:themeColor="text1"/>
          <w14:textFill>
            <w14:solidFill>
              <w14:schemeClr w14:val="tx1"/>
            </w14:solidFill>
          </w14:textFill>
        </w:rPr>
        <w:t>单回线路</w:t>
      </w:r>
      <w:r>
        <w:rPr>
          <w:rFonts w:hint="eastAsia"/>
          <w:b/>
          <w:bCs/>
        </w:rPr>
        <w:t>（2×JL3/G1A-630/45型导线）</w:t>
      </w:r>
      <w:r>
        <w:rPr>
          <w:rFonts w:hint="eastAsia"/>
          <w:b/>
          <w:bCs/>
          <w:color w:val="000000" w:themeColor="text1"/>
          <w14:textFill>
            <w14:solidFill>
              <w14:schemeClr w14:val="tx1"/>
            </w14:solidFill>
          </w14:textFill>
        </w:rPr>
        <w:t>电磁环境预测结果：</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1）非居民区</w:t>
      </w:r>
    </w:p>
    <w:p>
      <w:pPr>
        <w:pStyle w:val="5"/>
      </w:pPr>
      <w:r>
        <w:rPr>
          <w:rFonts w:hint="eastAsia"/>
        </w:rPr>
        <w:t>本工程单回线路（2×JL3/G1A-630/45型导线）经过非居民区，导线弧垂最小对地距离6.5</w:t>
      </w:r>
      <w:r>
        <w:t>m，线路下方距离地面1.5m高度处的工频电场强度最大值为</w:t>
      </w:r>
      <w:r>
        <w:rPr>
          <w:rFonts w:hint="eastAsia"/>
        </w:rPr>
        <w:t>7.46</w:t>
      </w:r>
      <w:r>
        <w:t>kV/m，工频磁感应强度最大值为</w:t>
      </w:r>
      <w:r>
        <w:rPr>
          <w:rFonts w:hint="eastAsia"/>
        </w:rPr>
        <w:t>95.65</w:t>
      </w:r>
      <w:r>
        <w:t>μT，满足《电磁环境控制限值》（GB8702-2014）10kV/m、100μT的控制限值。</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2）居民区</w:t>
      </w:r>
    </w:p>
    <w:p>
      <w:pPr>
        <w:pStyle w:val="107"/>
        <w:wordWrap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本工程单回线路</w:t>
      </w:r>
      <w:r>
        <w:rPr>
          <w:rFonts w:hint="eastAsia"/>
          <w:sz w:val="24"/>
        </w:rPr>
        <w:t>（2×JL3/G1A-630/45型导线）</w:t>
      </w:r>
      <w:r>
        <w:rPr>
          <w:color w:val="000000" w:themeColor="text1"/>
          <w:sz w:val="24"/>
          <w14:textFill>
            <w14:solidFill>
              <w14:schemeClr w14:val="tx1"/>
            </w14:solidFill>
          </w14:textFill>
        </w:rPr>
        <w:t>经过居民区，导线弧垂最小对地距离7.5m，线路下方距离地面1.5m、4.5m高度处的工频电场强度最大值分别为5.93kV/m、10.37kV/m，均不满足《电磁环境控制限值》（GB8702-2014）中4000V/m的控制限值；工频磁感应强度最大值分别为78.34μT、157.53μT，不满足《电磁环境控制限值》（GB8702-2014）中100μT的控制限值。</w:t>
      </w:r>
    </w:p>
    <w:p>
      <w:pPr>
        <w:pStyle w:val="107"/>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3）单回线路电磁环境影响控制措施</w:t>
      </w:r>
    </w:p>
    <w:p>
      <w:pPr>
        <w:pStyle w:val="83"/>
        <w:keepNext/>
        <w:spacing w:before="163" w:beforeLines="50" w:line="360" w:lineRule="auto"/>
        <w:ind w:firstLine="480" w:firstLineChars="200"/>
        <w:jc w:val="both"/>
        <w:rPr>
          <w:szCs w:val="24"/>
        </w:rPr>
      </w:pPr>
      <w:r>
        <w:rPr>
          <w:rFonts w:hint="eastAsia"/>
          <w:szCs w:val="32"/>
        </w:rPr>
        <w:t>由预测结果可知，本工程拟建单回线路（2×JL3/G1A-630/45型导线）经过居民区时，本项目新建220kV单回线路段经过居民区，导线对地距离为11.5m时，距离地面1.5m、4.5m高度处的工频电场强度最大值分别为2.95kV/m、3.85kV/m，均满足《电磁环境控制限值》（GB8702-2014）中4000V/m控制限值要求；距离地面1.5m、4.5m高度处的工频磁感应强度最大值分别为44.63μT、69.87μT，均满足《电磁环境控制限值》（GB8702-2014）100μT的控制限值要求。</w:t>
      </w:r>
      <w:r>
        <w:rPr>
          <w:rFonts w:hint="eastAsia"/>
          <w:szCs w:val="24"/>
        </w:rPr>
        <w:t>本工程拟建单回线路（导线型号：2</w:t>
      </w:r>
      <w:r>
        <w:rPr>
          <w:szCs w:val="24"/>
        </w:rPr>
        <w:t>×</w:t>
      </w:r>
      <w:r>
        <w:rPr>
          <w:rFonts w:hint="eastAsia"/>
          <w:color w:val="000000" w:themeColor="text1"/>
          <w:szCs w:val="24"/>
          <w14:textFill>
            <w14:solidFill>
              <w14:schemeClr w14:val="tx1"/>
            </w14:solidFill>
          </w14:textFill>
        </w:rPr>
        <w:t>JL3/G1A-630/45</w:t>
      </w:r>
      <w:r>
        <w:rPr>
          <w:rFonts w:hint="eastAsia"/>
          <w:szCs w:val="24"/>
        </w:rPr>
        <w:t>）最低线高下的工频电场强度及工频磁感应强度预测计算见</w:t>
      </w:r>
      <w:r>
        <w:rPr>
          <w:rFonts w:hint="eastAsia"/>
          <w:b w:val="0"/>
          <w:bCs w:val="0"/>
          <w:szCs w:val="24"/>
        </w:rPr>
        <w:fldChar w:fldCharType="begin"/>
      </w:r>
      <w:r>
        <w:rPr>
          <w:b w:val="0"/>
          <w:bCs w:val="0"/>
        </w:rPr>
        <w:instrText xml:space="preserve"> REF _Ref17103 \h  \* MERGEFORMAT</w:instrText>
      </w:r>
      <w:r>
        <w:rPr>
          <w:rFonts w:hint="eastAsia"/>
          <w:b w:val="0"/>
          <w:bCs w:val="0"/>
          <w:szCs w:val="24"/>
        </w:rPr>
        <w:fldChar w:fldCharType="separate"/>
      </w:r>
      <w:r>
        <w:rPr>
          <w:rFonts w:ascii="Times New Roman" w:hAnsi="Times New Roman" w:eastAsia="宋体"/>
          <w:b w:val="0"/>
          <w:bCs w:val="0"/>
        </w:rPr>
        <w:t>表45</w:t>
      </w:r>
      <w:r>
        <w:rPr>
          <w:rFonts w:hint="eastAsia"/>
          <w:b w:val="0"/>
          <w:bCs w:val="0"/>
          <w:szCs w:val="24"/>
        </w:rPr>
        <w:fldChar w:fldCharType="end"/>
      </w:r>
      <w:r>
        <w:rPr>
          <w:rFonts w:hint="eastAsia"/>
          <w:szCs w:val="24"/>
        </w:rPr>
        <w:t>，相应变化趋势见</w:t>
      </w:r>
      <w:r>
        <w:rPr>
          <w:rFonts w:hint="eastAsia"/>
          <w:b w:val="0"/>
          <w:bCs w:val="0"/>
          <w:szCs w:val="24"/>
        </w:rPr>
        <w:fldChar w:fldCharType="begin"/>
      </w:r>
      <w:r>
        <w:rPr>
          <w:b w:val="0"/>
          <w:bCs w:val="0"/>
        </w:rPr>
        <w:instrText xml:space="preserve"> REF _Ref18334 \h  \* MERGEFORMAT</w:instrText>
      </w:r>
      <w:r>
        <w:rPr>
          <w:rFonts w:hint="eastAsia"/>
          <w:b w:val="0"/>
          <w:bCs w:val="0"/>
          <w:szCs w:val="24"/>
        </w:rPr>
        <w:fldChar w:fldCharType="separate"/>
      </w:r>
      <w:r>
        <w:rPr>
          <w:rFonts w:ascii="Times New Roman" w:hAnsi="Times New Roman" w:eastAsia="宋体"/>
          <w:b w:val="0"/>
          <w:bCs w:val="0"/>
        </w:rPr>
        <w:t>图16</w:t>
      </w:r>
      <w:r>
        <w:rPr>
          <w:rFonts w:hint="eastAsia"/>
          <w:b w:val="0"/>
          <w:bCs w:val="0"/>
          <w:szCs w:val="24"/>
        </w:rPr>
        <w:fldChar w:fldCharType="end"/>
      </w:r>
      <w:r>
        <w:rPr>
          <w:rFonts w:hint="eastAsia"/>
          <w:b w:val="0"/>
          <w:bCs w:val="0"/>
          <w:szCs w:val="24"/>
        </w:rPr>
        <w:t>~</w:t>
      </w:r>
      <w:r>
        <w:rPr>
          <w:rFonts w:hint="eastAsia"/>
          <w:b w:val="0"/>
          <w:bCs w:val="0"/>
          <w:szCs w:val="24"/>
        </w:rPr>
        <w:fldChar w:fldCharType="begin"/>
      </w:r>
      <w:r>
        <w:rPr>
          <w:b w:val="0"/>
          <w:bCs w:val="0"/>
        </w:rPr>
        <w:instrText xml:space="preserve"> REF _Ref18360 \h  \* MERGEFORMAT</w:instrText>
      </w:r>
      <w:r>
        <w:rPr>
          <w:rFonts w:hint="eastAsia"/>
          <w:b w:val="0"/>
          <w:bCs w:val="0"/>
          <w:szCs w:val="24"/>
        </w:rPr>
        <w:fldChar w:fldCharType="separate"/>
      </w:r>
      <w:r>
        <w:rPr>
          <w:rFonts w:ascii="Times New Roman" w:hAnsi="Times New Roman" w:eastAsia="宋体"/>
          <w:b w:val="0"/>
          <w:bCs w:val="0"/>
        </w:rPr>
        <w:t>图17</w:t>
      </w:r>
      <w:r>
        <w:rPr>
          <w:rFonts w:hint="eastAsia"/>
          <w:b w:val="0"/>
          <w:bCs w:val="0"/>
          <w:szCs w:val="24"/>
        </w:rPr>
        <w:fldChar w:fldCharType="end"/>
      </w:r>
      <w:r>
        <w:rPr>
          <w:rFonts w:hint="eastAsia"/>
          <w:szCs w:val="24"/>
        </w:rPr>
        <w:t>。</w:t>
      </w:r>
    </w:p>
    <w:p>
      <w:pPr>
        <w:pStyle w:val="10"/>
        <w:wordWrap w:val="0"/>
        <w:rPr>
          <w:rFonts w:eastAsia="宋体"/>
        </w:rPr>
      </w:pPr>
      <w:bookmarkStart w:id="806" w:name="_Ref17103"/>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45</w:t>
      </w:r>
      <w:r>
        <w:rPr>
          <w:rFonts w:ascii="Times New Roman" w:hAnsi="Times New Roman" w:eastAsia="宋体"/>
          <w:b/>
          <w:bCs/>
        </w:rPr>
        <w:fldChar w:fldCharType="end"/>
      </w:r>
      <w:bookmarkEnd w:id="806"/>
      <w:r>
        <w:rPr>
          <w:rFonts w:hint="eastAsia" w:ascii="Times New Roman" w:hAnsi="Times New Roman" w:eastAsia="宋体"/>
          <w:b/>
          <w:bCs/>
        </w:rPr>
        <w:t xml:space="preserve"> </w:t>
      </w:r>
      <w:r>
        <w:rPr>
          <w:rFonts w:ascii="Times New Roman" w:hAnsi="Times New Roman" w:eastAsia="宋体"/>
          <w:b/>
          <w:bCs/>
        </w:rPr>
        <w:t>220kV单回线路抬升至11.5m处的工频电场强度及工频磁感应强度预测结果（2×JL3/G1A-630/45型导线）</w:t>
      </w:r>
    </w:p>
    <w:tbl>
      <w:tblPr>
        <w:tblStyle w:val="37"/>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0"/>
        <w:gridCol w:w="1486"/>
        <w:gridCol w:w="1486"/>
        <w:gridCol w:w="1488"/>
        <w:gridCol w:w="1486"/>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trPr>
        <w:tc>
          <w:tcPr>
            <w:tcW w:w="678" w:type="pct"/>
            <w:vMerge w:val="restar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距线路中心的距离(m)</w:t>
            </w:r>
          </w:p>
        </w:tc>
        <w:tc>
          <w:tcPr>
            <w:tcW w:w="854" w:type="pct"/>
            <w:vMerge w:val="restar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距边导线距离(m)</w:t>
            </w:r>
          </w:p>
        </w:tc>
        <w:tc>
          <w:tcPr>
            <w:tcW w:w="1709"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工频电场强度（kV/m）</w:t>
            </w:r>
          </w:p>
        </w:tc>
        <w:tc>
          <w:tcPr>
            <w:tcW w:w="1757"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工频磁感应强度（μT）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blHeader/>
        </w:trPr>
        <w:tc>
          <w:tcPr>
            <w:tcW w:w="678" w:type="pct"/>
            <w:vMerge w:val="continue"/>
            <w:shd w:val="clear" w:color="auto" w:fill="auto"/>
            <w:vAlign w:val="center"/>
          </w:tcPr>
          <w:p>
            <w:pPr>
              <w:widowControl/>
              <w:jc w:val="center"/>
              <w:rPr>
                <w:color w:val="000000" w:themeColor="text1"/>
                <w:kern w:val="0"/>
                <w:szCs w:val="21"/>
                <w14:textFill>
                  <w14:solidFill>
                    <w14:schemeClr w14:val="tx1"/>
                  </w14:solidFill>
                </w14:textFill>
              </w:rPr>
            </w:pPr>
          </w:p>
        </w:tc>
        <w:tc>
          <w:tcPr>
            <w:tcW w:w="854" w:type="pct"/>
            <w:vMerge w:val="continue"/>
            <w:shd w:val="clear" w:color="auto" w:fill="auto"/>
            <w:vAlign w:val="center"/>
          </w:tcPr>
          <w:p>
            <w:pPr>
              <w:widowControl/>
              <w:jc w:val="center"/>
              <w:rPr>
                <w:color w:val="000000" w:themeColor="text1"/>
                <w:kern w:val="0"/>
                <w:szCs w:val="21"/>
                <w14:textFill>
                  <w14:solidFill>
                    <w14:schemeClr w14:val="tx1"/>
                  </w14:solidFill>
                </w14:textFill>
              </w:rPr>
            </w:pPr>
          </w:p>
        </w:tc>
        <w:tc>
          <w:tcPr>
            <w:tcW w:w="1709"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导线对地11.5m</w:t>
            </w:r>
          </w:p>
        </w:tc>
        <w:tc>
          <w:tcPr>
            <w:tcW w:w="1757"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导线对地11.5m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678" w:type="pct"/>
            <w:vMerge w:val="continue"/>
            <w:vAlign w:val="center"/>
          </w:tcPr>
          <w:p>
            <w:pPr>
              <w:widowControl/>
              <w:jc w:val="center"/>
              <w:rPr>
                <w:color w:val="000000" w:themeColor="text1"/>
                <w:kern w:val="0"/>
                <w:szCs w:val="21"/>
                <w14:textFill>
                  <w14:solidFill>
                    <w14:schemeClr w14:val="tx1"/>
                  </w14:solidFill>
                </w14:textFill>
              </w:rPr>
            </w:pPr>
          </w:p>
        </w:tc>
        <w:tc>
          <w:tcPr>
            <w:tcW w:w="854" w:type="pct"/>
            <w:vMerge w:val="continue"/>
            <w:vAlign w:val="center"/>
          </w:tcPr>
          <w:p>
            <w:pPr>
              <w:widowControl/>
              <w:jc w:val="center"/>
              <w:rPr>
                <w:color w:val="000000" w:themeColor="text1"/>
                <w:kern w:val="0"/>
                <w:szCs w:val="21"/>
                <w14:textFill>
                  <w14:solidFill>
                    <w14:schemeClr w14:val="tx1"/>
                  </w14:solidFill>
                </w14:textFill>
              </w:rPr>
            </w:pPr>
          </w:p>
        </w:tc>
        <w:tc>
          <w:tcPr>
            <w:tcW w:w="854" w:type="pct"/>
            <w:shd w:val="clear" w:color="auto" w:fill="auto"/>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距地面1.5m处</w:t>
            </w:r>
          </w:p>
        </w:tc>
        <w:tc>
          <w:tcPr>
            <w:tcW w:w="855" w:type="pct"/>
            <w:shd w:val="clear" w:color="auto" w:fill="auto"/>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距地面4.5m处</w:t>
            </w:r>
          </w:p>
        </w:tc>
        <w:tc>
          <w:tcPr>
            <w:tcW w:w="854" w:type="pct"/>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距地面1.5m处</w:t>
            </w:r>
          </w:p>
        </w:tc>
        <w:tc>
          <w:tcPr>
            <w:tcW w:w="903" w:type="pct"/>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距地面4.5m处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rPr>
            </w:pPr>
            <w:r>
              <w:rPr>
                <w:color w:val="000000"/>
                <w:kern w:val="0"/>
                <w:szCs w:val="21"/>
                <w:lang w:bidi="ar"/>
              </w:rPr>
              <w:t>0.0</w:t>
            </w:r>
          </w:p>
        </w:tc>
        <w:tc>
          <w:tcPr>
            <w:tcW w:w="854" w:type="pct"/>
            <w:vMerge w:val="restar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边导线内</w:t>
            </w:r>
          </w:p>
        </w:tc>
        <w:tc>
          <w:tcPr>
            <w:tcW w:w="854" w:type="pct"/>
            <w:shd w:val="clear" w:color="auto" w:fill="auto"/>
            <w:vAlign w:val="center"/>
          </w:tcPr>
          <w:p>
            <w:pPr>
              <w:widowControl/>
              <w:jc w:val="center"/>
              <w:textAlignment w:val="bottom"/>
              <w:rPr>
                <w:color w:val="000000"/>
                <w:kern w:val="0"/>
                <w:szCs w:val="21"/>
              </w:rPr>
            </w:pPr>
            <w:r>
              <w:rPr>
                <w:color w:val="000000"/>
                <w:kern w:val="0"/>
                <w:szCs w:val="21"/>
                <w:lang w:bidi="ar"/>
              </w:rPr>
              <w:t>1.79</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3.41</w:t>
            </w:r>
          </w:p>
        </w:tc>
        <w:tc>
          <w:tcPr>
            <w:tcW w:w="1456" w:type="dxa"/>
            <w:vAlign w:val="center"/>
          </w:tcPr>
          <w:p>
            <w:pPr>
              <w:widowControl/>
              <w:jc w:val="center"/>
              <w:textAlignment w:val="bottom"/>
              <w:rPr>
                <w:b/>
                <w:bCs/>
                <w:color w:val="000000"/>
                <w:kern w:val="0"/>
                <w:szCs w:val="21"/>
              </w:rPr>
            </w:pPr>
            <w:r>
              <w:rPr>
                <w:b/>
                <w:bCs/>
                <w:color w:val="000000"/>
                <w:kern w:val="0"/>
                <w:szCs w:val="21"/>
                <w:lang w:bidi="ar"/>
              </w:rPr>
              <w:t>44.63</w:t>
            </w:r>
          </w:p>
        </w:tc>
        <w:tc>
          <w:tcPr>
            <w:tcW w:w="1540" w:type="dxa"/>
            <w:vAlign w:val="center"/>
          </w:tcPr>
          <w:p>
            <w:pPr>
              <w:widowControl/>
              <w:jc w:val="center"/>
              <w:textAlignment w:val="bottom"/>
              <w:rPr>
                <w:b/>
                <w:bCs/>
                <w:szCs w:val="21"/>
              </w:rPr>
            </w:pPr>
            <w:r>
              <w:rPr>
                <w:b/>
                <w:bCs/>
                <w:color w:val="000000"/>
                <w:kern w:val="0"/>
                <w:szCs w:val="21"/>
                <w:lang w:bidi="ar"/>
              </w:rPr>
              <w:t>69.87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1.0</w:t>
            </w:r>
          </w:p>
        </w:tc>
        <w:tc>
          <w:tcPr>
            <w:tcW w:w="854" w:type="pct"/>
            <w:vMerge w:val="continue"/>
            <w:shd w:val="clear" w:color="auto" w:fill="auto"/>
            <w:vAlign w:val="center"/>
          </w:tcPr>
          <w:p>
            <w:pPr>
              <w:jc w:val="center"/>
              <w:rPr>
                <w:color w:val="000000" w:themeColor="text1"/>
                <w:kern w:val="0"/>
                <w:szCs w:val="21"/>
                <w14:textFill>
                  <w14:solidFill>
                    <w14:schemeClr w14:val="tx1"/>
                  </w14:solidFill>
                </w14:textFill>
              </w:rPr>
            </w:pP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1.8</w:t>
            </w:r>
          </w:p>
        </w:tc>
        <w:tc>
          <w:tcPr>
            <w:tcW w:w="855" w:type="pct"/>
            <w:shd w:val="clear" w:color="auto" w:fill="auto"/>
            <w:vAlign w:val="center"/>
          </w:tcPr>
          <w:p>
            <w:pPr>
              <w:widowControl/>
              <w:jc w:val="center"/>
              <w:textAlignment w:val="bottom"/>
              <w:rPr>
                <w:szCs w:val="21"/>
              </w:rPr>
            </w:pPr>
            <w:r>
              <w:rPr>
                <w:color w:val="000000"/>
                <w:kern w:val="0"/>
                <w:szCs w:val="21"/>
                <w:lang w:bidi="ar"/>
              </w:rPr>
              <w:t>3.4</w:t>
            </w:r>
          </w:p>
        </w:tc>
        <w:tc>
          <w:tcPr>
            <w:tcW w:w="1456" w:type="dxa"/>
            <w:vAlign w:val="center"/>
          </w:tcPr>
          <w:p>
            <w:pPr>
              <w:widowControl/>
              <w:jc w:val="center"/>
              <w:textAlignment w:val="bottom"/>
              <w:rPr>
                <w:color w:val="000000"/>
                <w:szCs w:val="21"/>
              </w:rPr>
            </w:pPr>
            <w:r>
              <w:rPr>
                <w:color w:val="000000"/>
                <w:kern w:val="0"/>
                <w:szCs w:val="21"/>
                <w:lang w:bidi="ar"/>
              </w:rPr>
              <w:t>44.54</w:t>
            </w:r>
          </w:p>
        </w:tc>
        <w:tc>
          <w:tcPr>
            <w:tcW w:w="1540" w:type="dxa"/>
            <w:vAlign w:val="center"/>
          </w:tcPr>
          <w:p>
            <w:pPr>
              <w:widowControl/>
              <w:jc w:val="center"/>
              <w:textAlignment w:val="bottom"/>
              <w:rPr>
                <w:szCs w:val="21"/>
              </w:rPr>
            </w:pPr>
            <w:r>
              <w:rPr>
                <w:color w:val="000000"/>
                <w:kern w:val="0"/>
                <w:szCs w:val="21"/>
                <w:lang w:bidi="ar"/>
              </w:rPr>
              <w:t>69.75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2.0</w:t>
            </w:r>
          </w:p>
        </w:tc>
        <w:tc>
          <w:tcPr>
            <w:tcW w:w="854" w:type="pct"/>
            <w:vMerge w:val="continue"/>
            <w:shd w:val="clear" w:color="auto" w:fill="auto"/>
            <w:vAlign w:val="center"/>
          </w:tcPr>
          <w:p>
            <w:pPr>
              <w:jc w:val="center"/>
              <w:rPr>
                <w:color w:val="000000" w:themeColor="text1"/>
                <w:kern w:val="0"/>
                <w:szCs w:val="21"/>
                <w14:textFill>
                  <w14:solidFill>
                    <w14:schemeClr w14:val="tx1"/>
                  </w14:solidFill>
                </w14:textFill>
              </w:rPr>
            </w:pP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1.84</w:t>
            </w:r>
          </w:p>
        </w:tc>
        <w:tc>
          <w:tcPr>
            <w:tcW w:w="855" w:type="pct"/>
            <w:shd w:val="clear" w:color="auto" w:fill="auto"/>
            <w:vAlign w:val="center"/>
          </w:tcPr>
          <w:p>
            <w:pPr>
              <w:widowControl/>
              <w:jc w:val="center"/>
              <w:textAlignment w:val="bottom"/>
              <w:rPr>
                <w:szCs w:val="21"/>
              </w:rPr>
            </w:pPr>
            <w:r>
              <w:rPr>
                <w:color w:val="000000"/>
                <w:kern w:val="0"/>
                <w:szCs w:val="21"/>
                <w:lang w:bidi="ar"/>
              </w:rPr>
              <w:t>3.39</w:t>
            </w:r>
          </w:p>
        </w:tc>
        <w:tc>
          <w:tcPr>
            <w:tcW w:w="1456" w:type="dxa"/>
            <w:vAlign w:val="center"/>
          </w:tcPr>
          <w:p>
            <w:pPr>
              <w:widowControl/>
              <w:jc w:val="center"/>
              <w:textAlignment w:val="bottom"/>
              <w:rPr>
                <w:color w:val="000000"/>
                <w:szCs w:val="21"/>
              </w:rPr>
            </w:pPr>
            <w:r>
              <w:rPr>
                <w:color w:val="000000"/>
                <w:kern w:val="0"/>
                <w:szCs w:val="21"/>
                <w:lang w:bidi="ar"/>
              </w:rPr>
              <w:t>44.26</w:t>
            </w:r>
          </w:p>
        </w:tc>
        <w:tc>
          <w:tcPr>
            <w:tcW w:w="1540" w:type="dxa"/>
            <w:vAlign w:val="center"/>
          </w:tcPr>
          <w:p>
            <w:pPr>
              <w:widowControl/>
              <w:jc w:val="center"/>
              <w:textAlignment w:val="bottom"/>
              <w:rPr>
                <w:szCs w:val="21"/>
              </w:rPr>
            </w:pPr>
            <w:r>
              <w:rPr>
                <w:color w:val="000000"/>
                <w:kern w:val="0"/>
                <w:szCs w:val="21"/>
                <w:lang w:bidi="ar"/>
              </w:rPr>
              <w:t>69.38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3.0</w:t>
            </w:r>
          </w:p>
        </w:tc>
        <w:tc>
          <w:tcPr>
            <w:tcW w:w="854" w:type="pct"/>
            <w:vMerge w:val="continue"/>
            <w:shd w:val="clear" w:color="auto" w:fill="auto"/>
            <w:vAlign w:val="center"/>
          </w:tcPr>
          <w:p>
            <w:pPr>
              <w:jc w:val="center"/>
              <w:rPr>
                <w:color w:val="000000" w:themeColor="text1"/>
                <w:kern w:val="0"/>
                <w:szCs w:val="21"/>
                <w14:textFill>
                  <w14:solidFill>
                    <w14:schemeClr w14:val="tx1"/>
                  </w14:solidFill>
                </w14:textFill>
              </w:rPr>
            </w:pP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1.93</w:t>
            </w:r>
          </w:p>
        </w:tc>
        <w:tc>
          <w:tcPr>
            <w:tcW w:w="855" w:type="pct"/>
            <w:shd w:val="clear" w:color="auto" w:fill="auto"/>
            <w:vAlign w:val="center"/>
          </w:tcPr>
          <w:p>
            <w:pPr>
              <w:widowControl/>
              <w:jc w:val="center"/>
              <w:textAlignment w:val="bottom"/>
              <w:rPr>
                <w:szCs w:val="21"/>
              </w:rPr>
            </w:pPr>
            <w:r>
              <w:rPr>
                <w:color w:val="000000"/>
                <w:kern w:val="0"/>
                <w:szCs w:val="21"/>
                <w:lang w:bidi="ar"/>
              </w:rPr>
              <w:t>3.4</w:t>
            </w:r>
          </w:p>
        </w:tc>
        <w:tc>
          <w:tcPr>
            <w:tcW w:w="1456" w:type="dxa"/>
            <w:vAlign w:val="center"/>
          </w:tcPr>
          <w:p>
            <w:pPr>
              <w:widowControl/>
              <w:jc w:val="center"/>
              <w:textAlignment w:val="bottom"/>
              <w:rPr>
                <w:color w:val="000000"/>
                <w:szCs w:val="21"/>
              </w:rPr>
            </w:pPr>
            <w:r>
              <w:rPr>
                <w:color w:val="000000"/>
                <w:kern w:val="0"/>
                <w:szCs w:val="21"/>
                <w:lang w:bidi="ar"/>
              </w:rPr>
              <w:t>43.79</w:t>
            </w:r>
          </w:p>
        </w:tc>
        <w:tc>
          <w:tcPr>
            <w:tcW w:w="1540" w:type="dxa"/>
            <w:vAlign w:val="center"/>
          </w:tcPr>
          <w:p>
            <w:pPr>
              <w:widowControl/>
              <w:jc w:val="center"/>
              <w:textAlignment w:val="bottom"/>
              <w:rPr>
                <w:szCs w:val="21"/>
              </w:rPr>
            </w:pPr>
            <w:r>
              <w:rPr>
                <w:color w:val="000000"/>
                <w:kern w:val="0"/>
                <w:szCs w:val="21"/>
                <w:lang w:bidi="ar"/>
              </w:rPr>
              <w:t>68.81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4.0</w:t>
            </w:r>
          </w:p>
        </w:tc>
        <w:tc>
          <w:tcPr>
            <w:tcW w:w="854" w:type="pct"/>
            <w:vMerge w:val="continue"/>
            <w:shd w:val="clear" w:color="auto" w:fill="auto"/>
            <w:vAlign w:val="center"/>
          </w:tcPr>
          <w:p>
            <w:pPr>
              <w:jc w:val="center"/>
              <w:rPr>
                <w:szCs w:val="21"/>
              </w:rPr>
            </w:pP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2.06</w:t>
            </w:r>
          </w:p>
        </w:tc>
        <w:tc>
          <w:tcPr>
            <w:tcW w:w="855" w:type="pct"/>
            <w:shd w:val="clear" w:color="auto" w:fill="auto"/>
            <w:vAlign w:val="center"/>
          </w:tcPr>
          <w:p>
            <w:pPr>
              <w:widowControl/>
              <w:jc w:val="center"/>
              <w:textAlignment w:val="bottom"/>
              <w:rPr>
                <w:szCs w:val="21"/>
              </w:rPr>
            </w:pPr>
            <w:r>
              <w:rPr>
                <w:color w:val="000000"/>
                <w:kern w:val="0"/>
                <w:szCs w:val="21"/>
                <w:lang w:bidi="ar"/>
              </w:rPr>
              <w:t>3.45</w:t>
            </w:r>
          </w:p>
        </w:tc>
        <w:tc>
          <w:tcPr>
            <w:tcW w:w="1456" w:type="dxa"/>
            <w:vAlign w:val="center"/>
          </w:tcPr>
          <w:p>
            <w:pPr>
              <w:widowControl/>
              <w:jc w:val="center"/>
              <w:textAlignment w:val="bottom"/>
              <w:rPr>
                <w:color w:val="000000"/>
                <w:szCs w:val="21"/>
              </w:rPr>
            </w:pPr>
            <w:r>
              <w:rPr>
                <w:color w:val="000000"/>
                <w:kern w:val="0"/>
                <w:szCs w:val="21"/>
                <w:lang w:bidi="ar"/>
              </w:rPr>
              <w:t>43.11</w:t>
            </w:r>
          </w:p>
        </w:tc>
        <w:tc>
          <w:tcPr>
            <w:tcW w:w="1540" w:type="dxa"/>
            <w:vAlign w:val="center"/>
          </w:tcPr>
          <w:p>
            <w:pPr>
              <w:widowControl/>
              <w:jc w:val="center"/>
              <w:textAlignment w:val="bottom"/>
              <w:rPr>
                <w:szCs w:val="21"/>
              </w:rPr>
            </w:pPr>
            <w:r>
              <w:rPr>
                <w:color w:val="000000"/>
                <w:kern w:val="0"/>
                <w:szCs w:val="21"/>
                <w:lang w:bidi="ar"/>
              </w:rPr>
              <w:t>68.01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5.0</w:t>
            </w:r>
          </w:p>
        </w:tc>
        <w:tc>
          <w:tcPr>
            <w:tcW w:w="854" w:type="pct"/>
            <w:vMerge w:val="continue"/>
            <w:shd w:val="clear" w:color="auto" w:fill="auto"/>
            <w:vAlign w:val="center"/>
          </w:tcPr>
          <w:p>
            <w:pPr>
              <w:jc w:val="center"/>
              <w:rPr>
                <w:szCs w:val="21"/>
              </w:rPr>
            </w:pP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2.25</w:t>
            </w:r>
          </w:p>
        </w:tc>
        <w:tc>
          <w:tcPr>
            <w:tcW w:w="855" w:type="pct"/>
            <w:shd w:val="clear" w:color="auto" w:fill="auto"/>
            <w:vAlign w:val="center"/>
          </w:tcPr>
          <w:p>
            <w:pPr>
              <w:widowControl/>
              <w:jc w:val="center"/>
              <w:textAlignment w:val="bottom"/>
              <w:rPr>
                <w:szCs w:val="21"/>
              </w:rPr>
            </w:pPr>
            <w:r>
              <w:rPr>
                <w:color w:val="000000"/>
                <w:kern w:val="0"/>
                <w:szCs w:val="21"/>
                <w:lang w:bidi="ar"/>
              </w:rPr>
              <w:t>3.54</w:t>
            </w:r>
          </w:p>
        </w:tc>
        <w:tc>
          <w:tcPr>
            <w:tcW w:w="1456" w:type="dxa"/>
            <w:vAlign w:val="center"/>
          </w:tcPr>
          <w:p>
            <w:pPr>
              <w:widowControl/>
              <w:jc w:val="center"/>
              <w:textAlignment w:val="bottom"/>
              <w:rPr>
                <w:color w:val="000000"/>
                <w:szCs w:val="21"/>
              </w:rPr>
            </w:pPr>
            <w:r>
              <w:rPr>
                <w:color w:val="000000"/>
                <w:kern w:val="0"/>
                <w:szCs w:val="21"/>
                <w:lang w:bidi="ar"/>
              </w:rPr>
              <w:t>42.2</w:t>
            </w:r>
          </w:p>
        </w:tc>
        <w:tc>
          <w:tcPr>
            <w:tcW w:w="1540" w:type="dxa"/>
            <w:vAlign w:val="center"/>
          </w:tcPr>
          <w:p>
            <w:pPr>
              <w:widowControl/>
              <w:jc w:val="center"/>
              <w:textAlignment w:val="bottom"/>
              <w:rPr>
                <w:szCs w:val="21"/>
              </w:rPr>
            </w:pPr>
            <w:r>
              <w:rPr>
                <w:color w:val="000000"/>
                <w:kern w:val="0"/>
                <w:szCs w:val="21"/>
                <w:lang w:bidi="ar"/>
              </w:rPr>
              <w:t>66.89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6.0</w:t>
            </w:r>
          </w:p>
        </w:tc>
        <w:tc>
          <w:tcPr>
            <w:tcW w:w="854" w:type="pct"/>
            <w:vMerge w:val="continue"/>
            <w:shd w:val="clear" w:color="auto" w:fill="auto"/>
            <w:vAlign w:val="center"/>
          </w:tcPr>
          <w:p>
            <w:pPr>
              <w:jc w:val="center"/>
              <w:rPr>
                <w:szCs w:val="21"/>
              </w:rPr>
            </w:pP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2.45</w:t>
            </w:r>
          </w:p>
        </w:tc>
        <w:tc>
          <w:tcPr>
            <w:tcW w:w="855" w:type="pct"/>
            <w:shd w:val="clear" w:color="auto" w:fill="auto"/>
            <w:vAlign w:val="center"/>
          </w:tcPr>
          <w:p>
            <w:pPr>
              <w:widowControl/>
              <w:jc w:val="center"/>
              <w:textAlignment w:val="bottom"/>
              <w:rPr>
                <w:szCs w:val="21"/>
              </w:rPr>
            </w:pPr>
            <w:r>
              <w:rPr>
                <w:color w:val="000000"/>
                <w:kern w:val="0"/>
                <w:szCs w:val="21"/>
                <w:lang w:bidi="ar"/>
              </w:rPr>
              <w:t>3.66</w:t>
            </w:r>
          </w:p>
        </w:tc>
        <w:tc>
          <w:tcPr>
            <w:tcW w:w="1456" w:type="dxa"/>
            <w:vAlign w:val="center"/>
          </w:tcPr>
          <w:p>
            <w:pPr>
              <w:widowControl/>
              <w:jc w:val="center"/>
              <w:textAlignment w:val="bottom"/>
              <w:rPr>
                <w:color w:val="000000"/>
                <w:szCs w:val="21"/>
              </w:rPr>
            </w:pPr>
            <w:r>
              <w:rPr>
                <w:color w:val="000000"/>
                <w:kern w:val="0"/>
                <w:szCs w:val="21"/>
                <w:lang w:bidi="ar"/>
              </w:rPr>
              <w:t>41.04</w:t>
            </w:r>
          </w:p>
        </w:tc>
        <w:tc>
          <w:tcPr>
            <w:tcW w:w="1540" w:type="dxa"/>
            <w:vAlign w:val="center"/>
          </w:tcPr>
          <w:p>
            <w:pPr>
              <w:widowControl/>
              <w:jc w:val="center"/>
              <w:textAlignment w:val="bottom"/>
              <w:rPr>
                <w:szCs w:val="21"/>
              </w:rPr>
            </w:pPr>
            <w:r>
              <w:rPr>
                <w:color w:val="000000"/>
                <w:kern w:val="0"/>
                <w:szCs w:val="21"/>
                <w:lang w:bidi="ar"/>
              </w:rPr>
              <w:t>65.3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7.0</w:t>
            </w:r>
          </w:p>
        </w:tc>
        <w:tc>
          <w:tcPr>
            <w:tcW w:w="854" w:type="pct"/>
            <w:vMerge w:val="continue"/>
            <w:shd w:val="clear" w:color="auto" w:fill="auto"/>
            <w:vAlign w:val="center"/>
          </w:tcPr>
          <w:p>
            <w:pPr>
              <w:jc w:val="center"/>
              <w:rPr>
                <w:szCs w:val="21"/>
              </w:rPr>
            </w:pP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2.65</w:t>
            </w:r>
          </w:p>
        </w:tc>
        <w:tc>
          <w:tcPr>
            <w:tcW w:w="855" w:type="pct"/>
            <w:shd w:val="clear" w:color="auto" w:fill="auto"/>
            <w:vAlign w:val="center"/>
          </w:tcPr>
          <w:p>
            <w:pPr>
              <w:widowControl/>
              <w:jc w:val="center"/>
              <w:textAlignment w:val="bottom"/>
              <w:rPr>
                <w:szCs w:val="21"/>
              </w:rPr>
            </w:pPr>
            <w:r>
              <w:rPr>
                <w:color w:val="000000"/>
                <w:kern w:val="0"/>
                <w:szCs w:val="21"/>
                <w:lang w:bidi="ar"/>
              </w:rPr>
              <w:t>3.78</w:t>
            </w:r>
          </w:p>
        </w:tc>
        <w:tc>
          <w:tcPr>
            <w:tcW w:w="1456" w:type="dxa"/>
            <w:vAlign w:val="center"/>
          </w:tcPr>
          <w:p>
            <w:pPr>
              <w:widowControl/>
              <w:jc w:val="center"/>
              <w:textAlignment w:val="bottom"/>
              <w:rPr>
                <w:color w:val="000000"/>
                <w:szCs w:val="21"/>
              </w:rPr>
            </w:pPr>
            <w:r>
              <w:rPr>
                <w:color w:val="000000"/>
                <w:kern w:val="0"/>
                <w:szCs w:val="21"/>
                <w:lang w:bidi="ar"/>
              </w:rPr>
              <w:t>39.62</w:t>
            </w:r>
          </w:p>
        </w:tc>
        <w:tc>
          <w:tcPr>
            <w:tcW w:w="1540" w:type="dxa"/>
            <w:vAlign w:val="center"/>
          </w:tcPr>
          <w:p>
            <w:pPr>
              <w:widowControl/>
              <w:jc w:val="center"/>
              <w:textAlignment w:val="bottom"/>
              <w:rPr>
                <w:szCs w:val="21"/>
              </w:rPr>
            </w:pPr>
            <w:r>
              <w:rPr>
                <w:color w:val="000000"/>
                <w:kern w:val="0"/>
                <w:szCs w:val="21"/>
                <w:lang w:bidi="ar"/>
              </w:rPr>
              <w:t>63.04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8.0</w:t>
            </w:r>
          </w:p>
        </w:tc>
        <w:tc>
          <w:tcPr>
            <w:tcW w:w="854" w:type="pct"/>
            <w:vMerge w:val="continue"/>
            <w:shd w:val="clear" w:color="auto" w:fill="auto"/>
            <w:vAlign w:val="center"/>
          </w:tcPr>
          <w:p>
            <w:pPr>
              <w:jc w:val="center"/>
              <w:rPr>
                <w:rStyle w:val="119"/>
                <w:rFonts w:hint="default" w:ascii="Times New Roman" w:hAnsi="Times New Roman" w:cs="Times New Roman"/>
                <w:color w:val="000000" w:themeColor="text1"/>
                <w:lang w:bidi="ar"/>
                <w14:textFill>
                  <w14:solidFill>
                    <w14:schemeClr w14:val="tx1"/>
                  </w14:solidFill>
                </w14:textFill>
              </w:rPr>
            </w:pP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2.81</w:t>
            </w:r>
          </w:p>
        </w:tc>
        <w:tc>
          <w:tcPr>
            <w:tcW w:w="855" w:type="pct"/>
            <w:shd w:val="clear" w:color="auto" w:fill="auto"/>
            <w:vAlign w:val="center"/>
          </w:tcPr>
          <w:p>
            <w:pPr>
              <w:widowControl/>
              <w:jc w:val="center"/>
              <w:textAlignment w:val="bottom"/>
              <w:rPr>
                <w:szCs w:val="21"/>
              </w:rPr>
            </w:pPr>
            <w:r>
              <w:rPr>
                <w:color w:val="000000"/>
                <w:kern w:val="0"/>
                <w:szCs w:val="21"/>
                <w:lang w:bidi="ar"/>
              </w:rPr>
              <w:t>3.84</w:t>
            </w:r>
          </w:p>
        </w:tc>
        <w:tc>
          <w:tcPr>
            <w:tcW w:w="1456" w:type="dxa"/>
            <w:vAlign w:val="center"/>
          </w:tcPr>
          <w:p>
            <w:pPr>
              <w:widowControl/>
              <w:jc w:val="center"/>
              <w:textAlignment w:val="bottom"/>
              <w:rPr>
                <w:color w:val="000000"/>
                <w:szCs w:val="21"/>
              </w:rPr>
            </w:pPr>
            <w:r>
              <w:rPr>
                <w:color w:val="000000"/>
                <w:kern w:val="0"/>
                <w:szCs w:val="21"/>
                <w:lang w:bidi="ar"/>
              </w:rPr>
              <w:t>37.93</w:t>
            </w:r>
          </w:p>
        </w:tc>
        <w:tc>
          <w:tcPr>
            <w:tcW w:w="1540" w:type="dxa"/>
            <w:vAlign w:val="center"/>
          </w:tcPr>
          <w:p>
            <w:pPr>
              <w:widowControl/>
              <w:jc w:val="center"/>
              <w:textAlignment w:val="bottom"/>
              <w:rPr>
                <w:szCs w:val="21"/>
              </w:rPr>
            </w:pPr>
            <w:r>
              <w:rPr>
                <w:color w:val="000000"/>
                <w:kern w:val="0"/>
                <w:szCs w:val="21"/>
                <w:lang w:bidi="ar"/>
              </w:rPr>
              <w:t>59.99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8.3</w:t>
            </w:r>
          </w:p>
        </w:tc>
        <w:tc>
          <w:tcPr>
            <w:tcW w:w="854" w:type="pc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边导线下</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2.85</w:t>
            </w:r>
          </w:p>
        </w:tc>
        <w:tc>
          <w:tcPr>
            <w:tcW w:w="855" w:type="pct"/>
            <w:shd w:val="clear" w:color="auto" w:fill="auto"/>
            <w:vAlign w:val="center"/>
          </w:tcPr>
          <w:p>
            <w:pPr>
              <w:widowControl/>
              <w:jc w:val="center"/>
              <w:textAlignment w:val="bottom"/>
              <w:rPr>
                <w:szCs w:val="21"/>
              </w:rPr>
            </w:pPr>
            <w:r>
              <w:rPr>
                <w:b/>
                <w:bCs/>
                <w:color w:val="000000"/>
                <w:kern w:val="0"/>
                <w:szCs w:val="21"/>
                <w:lang w:bidi="ar"/>
              </w:rPr>
              <w:t>3.85</w:t>
            </w:r>
          </w:p>
        </w:tc>
        <w:tc>
          <w:tcPr>
            <w:tcW w:w="1456" w:type="dxa"/>
            <w:vAlign w:val="center"/>
          </w:tcPr>
          <w:p>
            <w:pPr>
              <w:widowControl/>
              <w:jc w:val="center"/>
              <w:textAlignment w:val="bottom"/>
              <w:rPr>
                <w:color w:val="000000"/>
                <w:szCs w:val="21"/>
              </w:rPr>
            </w:pPr>
            <w:r>
              <w:rPr>
                <w:color w:val="000000"/>
                <w:kern w:val="0"/>
                <w:szCs w:val="21"/>
                <w:lang w:bidi="ar"/>
              </w:rPr>
              <w:t>37.38</w:t>
            </w:r>
          </w:p>
        </w:tc>
        <w:tc>
          <w:tcPr>
            <w:tcW w:w="1540" w:type="dxa"/>
            <w:vAlign w:val="center"/>
          </w:tcPr>
          <w:p>
            <w:pPr>
              <w:widowControl/>
              <w:jc w:val="center"/>
              <w:textAlignment w:val="bottom"/>
              <w:rPr>
                <w:szCs w:val="21"/>
              </w:rPr>
            </w:pPr>
            <w:r>
              <w:rPr>
                <w:color w:val="000000"/>
                <w:kern w:val="0"/>
                <w:szCs w:val="21"/>
                <w:lang w:bidi="ar"/>
              </w:rPr>
              <w:t>58.91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9.3</w:t>
            </w:r>
          </w:p>
        </w:tc>
        <w:tc>
          <w:tcPr>
            <w:tcW w:w="854" w:type="pct"/>
            <w:shd w:val="clear" w:color="auto" w:fill="auto"/>
            <w:vAlign w:val="center"/>
          </w:tcPr>
          <w:p>
            <w:pPr>
              <w:widowControl/>
              <w:jc w:val="center"/>
              <w:textAlignment w:val="center"/>
              <w:rPr>
                <w:color w:val="000000" w:themeColor="text1"/>
                <w:kern w:val="0"/>
                <w:szCs w:val="21"/>
                <w14:textFill>
                  <w14:solidFill>
                    <w14:schemeClr w14:val="tx1"/>
                  </w14:solidFill>
                </w14:textFill>
              </w:rPr>
            </w:pPr>
            <w:r>
              <w:rPr>
                <w:color w:val="000000"/>
                <w:kern w:val="0"/>
                <w:szCs w:val="21"/>
                <w:lang w:bidi="ar"/>
              </w:rPr>
              <w:t>1</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2.93</w:t>
            </w:r>
          </w:p>
        </w:tc>
        <w:tc>
          <w:tcPr>
            <w:tcW w:w="855" w:type="pct"/>
            <w:shd w:val="clear" w:color="auto" w:fill="auto"/>
            <w:vAlign w:val="center"/>
          </w:tcPr>
          <w:p>
            <w:pPr>
              <w:widowControl/>
              <w:jc w:val="center"/>
              <w:textAlignment w:val="bottom"/>
              <w:rPr>
                <w:szCs w:val="21"/>
              </w:rPr>
            </w:pPr>
            <w:r>
              <w:rPr>
                <w:color w:val="000000"/>
                <w:kern w:val="0"/>
                <w:szCs w:val="21"/>
                <w:lang w:bidi="ar"/>
              </w:rPr>
              <w:t>3.81</w:t>
            </w:r>
          </w:p>
        </w:tc>
        <w:tc>
          <w:tcPr>
            <w:tcW w:w="1456" w:type="dxa"/>
            <w:vAlign w:val="center"/>
          </w:tcPr>
          <w:p>
            <w:pPr>
              <w:widowControl/>
              <w:jc w:val="center"/>
              <w:textAlignment w:val="bottom"/>
              <w:rPr>
                <w:color w:val="000000"/>
                <w:szCs w:val="21"/>
              </w:rPr>
            </w:pPr>
            <w:r>
              <w:rPr>
                <w:color w:val="000000"/>
                <w:kern w:val="0"/>
                <w:szCs w:val="21"/>
                <w:lang w:bidi="ar"/>
              </w:rPr>
              <w:t>35.41</w:t>
            </w:r>
          </w:p>
        </w:tc>
        <w:tc>
          <w:tcPr>
            <w:tcW w:w="1540" w:type="dxa"/>
            <w:vAlign w:val="center"/>
          </w:tcPr>
          <w:p>
            <w:pPr>
              <w:widowControl/>
              <w:jc w:val="center"/>
              <w:textAlignment w:val="bottom"/>
              <w:rPr>
                <w:szCs w:val="21"/>
              </w:rPr>
            </w:pPr>
            <w:r>
              <w:rPr>
                <w:color w:val="000000"/>
                <w:kern w:val="0"/>
                <w:szCs w:val="21"/>
                <w:lang w:bidi="ar"/>
              </w:rPr>
              <w:t>54.88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b/>
                <w:color w:val="000000"/>
                <w:szCs w:val="21"/>
              </w:rPr>
            </w:pPr>
            <w:r>
              <w:rPr>
                <w:color w:val="000000"/>
                <w:kern w:val="0"/>
                <w:szCs w:val="21"/>
                <w:lang w:bidi="ar"/>
              </w:rPr>
              <w:t>10.3</w:t>
            </w:r>
          </w:p>
        </w:tc>
        <w:tc>
          <w:tcPr>
            <w:tcW w:w="854" w:type="pct"/>
            <w:shd w:val="clear" w:color="auto" w:fill="auto"/>
            <w:vAlign w:val="center"/>
          </w:tcPr>
          <w:p>
            <w:pPr>
              <w:widowControl/>
              <w:jc w:val="center"/>
              <w:textAlignment w:val="center"/>
              <w:rPr>
                <w:b/>
                <w:color w:val="000000" w:themeColor="text1"/>
                <w:szCs w:val="21"/>
                <w14:textFill>
                  <w14:solidFill>
                    <w14:schemeClr w14:val="tx1"/>
                  </w14:solidFill>
                </w14:textFill>
              </w:rPr>
            </w:pPr>
            <w:r>
              <w:rPr>
                <w:color w:val="000000"/>
                <w:kern w:val="0"/>
                <w:szCs w:val="21"/>
                <w:lang w:bidi="ar"/>
              </w:rPr>
              <w:t>2</w:t>
            </w:r>
          </w:p>
        </w:tc>
        <w:tc>
          <w:tcPr>
            <w:tcW w:w="854" w:type="pct"/>
            <w:shd w:val="clear" w:color="auto" w:fill="auto"/>
            <w:vAlign w:val="center"/>
          </w:tcPr>
          <w:p>
            <w:pPr>
              <w:widowControl/>
              <w:jc w:val="center"/>
              <w:textAlignment w:val="bottom"/>
              <w:rPr>
                <w:b/>
                <w:color w:val="000000"/>
                <w:szCs w:val="21"/>
              </w:rPr>
            </w:pPr>
            <w:r>
              <w:rPr>
                <w:b/>
                <w:bCs/>
                <w:color w:val="000000"/>
                <w:kern w:val="0"/>
                <w:szCs w:val="21"/>
                <w:lang w:bidi="ar"/>
              </w:rPr>
              <w:t>2.95</w:t>
            </w:r>
          </w:p>
        </w:tc>
        <w:tc>
          <w:tcPr>
            <w:tcW w:w="855" w:type="pct"/>
            <w:shd w:val="clear" w:color="auto" w:fill="auto"/>
            <w:vAlign w:val="center"/>
          </w:tcPr>
          <w:p>
            <w:pPr>
              <w:widowControl/>
              <w:jc w:val="center"/>
              <w:textAlignment w:val="bottom"/>
              <w:rPr>
                <w:b/>
                <w:color w:val="000000"/>
                <w:szCs w:val="21"/>
              </w:rPr>
            </w:pPr>
            <w:r>
              <w:rPr>
                <w:color w:val="000000"/>
                <w:kern w:val="0"/>
                <w:szCs w:val="21"/>
                <w:lang w:bidi="ar"/>
              </w:rPr>
              <w:t>3.69</w:t>
            </w:r>
          </w:p>
        </w:tc>
        <w:tc>
          <w:tcPr>
            <w:tcW w:w="1456" w:type="dxa"/>
            <w:vAlign w:val="center"/>
          </w:tcPr>
          <w:p>
            <w:pPr>
              <w:widowControl/>
              <w:jc w:val="center"/>
              <w:textAlignment w:val="bottom"/>
              <w:rPr>
                <w:b/>
                <w:color w:val="000000"/>
                <w:szCs w:val="21"/>
              </w:rPr>
            </w:pPr>
            <w:r>
              <w:rPr>
                <w:color w:val="000000"/>
                <w:kern w:val="0"/>
                <w:szCs w:val="21"/>
                <w:lang w:bidi="ar"/>
              </w:rPr>
              <w:t>33.27</w:t>
            </w:r>
          </w:p>
        </w:tc>
        <w:tc>
          <w:tcPr>
            <w:tcW w:w="1540" w:type="dxa"/>
            <w:vAlign w:val="center"/>
          </w:tcPr>
          <w:p>
            <w:pPr>
              <w:widowControl/>
              <w:jc w:val="center"/>
              <w:textAlignment w:val="bottom"/>
              <w:rPr>
                <w:b/>
                <w:color w:val="000000"/>
                <w:szCs w:val="21"/>
              </w:rPr>
            </w:pPr>
            <w:r>
              <w:rPr>
                <w:color w:val="000000"/>
                <w:kern w:val="0"/>
                <w:szCs w:val="21"/>
                <w:lang w:bidi="ar"/>
              </w:rPr>
              <w:t>50.34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11.3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3</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2.9</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3.5</w:t>
            </w:r>
          </w:p>
        </w:tc>
        <w:tc>
          <w:tcPr>
            <w:tcW w:w="1456" w:type="dxa"/>
            <w:vAlign w:val="center"/>
          </w:tcPr>
          <w:p>
            <w:pPr>
              <w:widowControl/>
              <w:jc w:val="center"/>
              <w:textAlignment w:val="bottom"/>
              <w:rPr>
                <w:color w:val="000000"/>
                <w:szCs w:val="21"/>
              </w:rPr>
            </w:pPr>
            <w:r>
              <w:rPr>
                <w:color w:val="000000"/>
                <w:kern w:val="0"/>
                <w:szCs w:val="21"/>
                <w:lang w:bidi="ar"/>
              </w:rPr>
              <w:t>31.04</w:t>
            </w:r>
          </w:p>
        </w:tc>
        <w:tc>
          <w:tcPr>
            <w:tcW w:w="1540" w:type="dxa"/>
            <w:vAlign w:val="center"/>
          </w:tcPr>
          <w:p>
            <w:pPr>
              <w:widowControl/>
              <w:jc w:val="center"/>
              <w:textAlignment w:val="bottom"/>
              <w:rPr>
                <w:color w:val="000000"/>
                <w:szCs w:val="21"/>
              </w:rPr>
            </w:pPr>
            <w:r>
              <w:rPr>
                <w:color w:val="000000"/>
                <w:kern w:val="0"/>
                <w:szCs w:val="21"/>
                <w:lang w:bidi="ar"/>
              </w:rPr>
              <w:t>45.58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12.3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4</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2.8</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3.26</w:t>
            </w:r>
          </w:p>
        </w:tc>
        <w:tc>
          <w:tcPr>
            <w:tcW w:w="1456" w:type="dxa"/>
            <w:vAlign w:val="center"/>
          </w:tcPr>
          <w:p>
            <w:pPr>
              <w:widowControl/>
              <w:jc w:val="center"/>
              <w:textAlignment w:val="bottom"/>
              <w:rPr>
                <w:color w:val="000000"/>
                <w:szCs w:val="21"/>
              </w:rPr>
            </w:pPr>
            <w:r>
              <w:rPr>
                <w:color w:val="000000"/>
                <w:kern w:val="0"/>
                <w:szCs w:val="21"/>
                <w:lang w:bidi="ar"/>
              </w:rPr>
              <w:t>28.79</w:t>
            </w:r>
          </w:p>
        </w:tc>
        <w:tc>
          <w:tcPr>
            <w:tcW w:w="1540" w:type="dxa"/>
            <w:vAlign w:val="center"/>
          </w:tcPr>
          <w:p>
            <w:pPr>
              <w:widowControl/>
              <w:jc w:val="center"/>
              <w:textAlignment w:val="bottom"/>
              <w:rPr>
                <w:color w:val="000000"/>
                <w:szCs w:val="21"/>
              </w:rPr>
            </w:pPr>
            <w:r>
              <w:rPr>
                <w:color w:val="000000"/>
                <w:kern w:val="0"/>
                <w:szCs w:val="21"/>
                <w:lang w:bidi="ar"/>
              </w:rPr>
              <w:t>40.91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13.3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5</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2.65</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3</w:t>
            </w:r>
          </w:p>
        </w:tc>
        <w:tc>
          <w:tcPr>
            <w:tcW w:w="1456" w:type="dxa"/>
            <w:vAlign w:val="center"/>
          </w:tcPr>
          <w:p>
            <w:pPr>
              <w:widowControl/>
              <w:jc w:val="center"/>
              <w:textAlignment w:val="bottom"/>
              <w:rPr>
                <w:color w:val="000000"/>
                <w:szCs w:val="21"/>
              </w:rPr>
            </w:pPr>
            <w:r>
              <w:rPr>
                <w:color w:val="000000"/>
                <w:kern w:val="0"/>
                <w:szCs w:val="21"/>
                <w:lang w:bidi="ar"/>
              </w:rPr>
              <w:t>26.58</w:t>
            </w:r>
          </w:p>
        </w:tc>
        <w:tc>
          <w:tcPr>
            <w:tcW w:w="1540" w:type="dxa"/>
            <w:vAlign w:val="center"/>
          </w:tcPr>
          <w:p>
            <w:pPr>
              <w:widowControl/>
              <w:jc w:val="center"/>
              <w:textAlignment w:val="bottom"/>
              <w:rPr>
                <w:color w:val="000000"/>
                <w:szCs w:val="21"/>
              </w:rPr>
            </w:pPr>
            <w:r>
              <w:rPr>
                <w:color w:val="000000"/>
                <w:kern w:val="0"/>
                <w:szCs w:val="21"/>
                <w:lang w:bidi="ar"/>
              </w:rPr>
              <w:t>36.52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14.3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6</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2.49</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2.73</w:t>
            </w:r>
          </w:p>
        </w:tc>
        <w:tc>
          <w:tcPr>
            <w:tcW w:w="1456" w:type="dxa"/>
            <w:vAlign w:val="center"/>
          </w:tcPr>
          <w:p>
            <w:pPr>
              <w:widowControl/>
              <w:jc w:val="center"/>
              <w:textAlignment w:val="bottom"/>
              <w:rPr>
                <w:color w:val="000000"/>
                <w:szCs w:val="21"/>
              </w:rPr>
            </w:pPr>
            <w:r>
              <w:rPr>
                <w:color w:val="000000"/>
                <w:kern w:val="0"/>
                <w:szCs w:val="21"/>
                <w:lang w:bidi="ar"/>
              </w:rPr>
              <w:t>24.46</w:t>
            </w:r>
          </w:p>
        </w:tc>
        <w:tc>
          <w:tcPr>
            <w:tcW w:w="1540" w:type="dxa"/>
            <w:vAlign w:val="center"/>
          </w:tcPr>
          <w:p>
            <w:pPr>
              <w:widowControl/>
              <w:jc w:val="center"/>
              <w:textAlignment w:val="bottom"/>
              <w:rPr>
                <w:color w:val="000000"/>
                <w:szCs w:val="21"/>
              </w:rPr>
            </w:pPr>
            <w:r>
              <w:rPr>
                <w:color w:val="000000"/>
                <w:kern w:val="0"/>
                <w:szCs w:val="21"/>
                <w:lang w:bidi="ar"/>
              </w:rPr>
              <w:t>32.54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15.3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szCs w:val="21"/>
              </w:rPr>
              <w:t>7</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2.3</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2.47</w:t>
            </w:r>
          </w:p>
        </w:tc>
        <w:tc>
          <w:tcPr>
            <w:tcW w:w="1456" w:type="dxa"/>
            <w:vAlign w:val="center"/>
          </w:tcPr>
          <w:p>
            <w:pPr>
              <w:widowControl/>
              <w:jc w:val="center"/>
              <w:textAlignment w:val="bottom"/>
              <w:rPr>
                <w:color w:val="000000"/>
                <w:szCs w:val="21"/>
              </w:rPr>
            </w:pPr>
            <w:r>
              <w:rPr>
                <w:color w:val="000000"/>
                <w:kern w:val="0"/>
                <w:szCs w:val="21"/>
                <w:lang w:bidi="ar"/>
              </w:rPr>
              <w:t>22.46</w:t>
            </w:r>
          </w:p>
        </w:tc>
        <w:tc>
          <w:tcPr>
            <w:tcW w:w="1540" w:type="dxa"/>
            <w:vAlign w:val="center"/>
          </w:tcPr>
          <w:p>
            <w:pPr>
              <w:widowControl/>
              <w:jc w:val="center"/>
              <w:textAlignment w:val="bottom"/>
              <w:rPr>
                <w:color w:val="000000"/>
                <w:szCs w:val="21"/>
              </w:rPr>
            </w:pPr>
            <w:r>
              <w:rPr>
                <w:color w:val="000000"/>
                <w:kern w:val="0"/>
                <w:szCs w:val="21"/>
                <w:lang w:bidi="ar"/>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16.3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8</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2.12</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2.23</w:t>
            </w:r>
          </w:p>
        </w:tc>
        <w:tc>
          <w:tcPr>
            <w:tcW w:w="1456" w:type="dxa"/>
            <w:vAlign w:val="center"/>
          </w:tcPr>
          <w:p>
            <w:pPr>
              <w:widowControl/>
              <w:jc w:val="center"/>
              <w:textAlignment w:val="bottom"/>
              <w:rPr>
                <w:color w:val="000000"/>
                <w:szCs w:val="21"/>
              </w:rPr>
            </w:pPr>
            <w:r>
              <w:rPr>
                <w:color w:val="000000"/>
                <w:kern w:val="0"/>
                <w:szCs w:val="21"/>
                <w:lang w:bidi="ar"/>
              </w:rPr>
              <w:t>20.61</w:t>
            </w:r>
          </w:p>
        </w:tc>
        <w:tc>
          <w:tcPr>
            <w:tcW w:w="1540" w:type="dxa"/>
            <w:vAlign w:val="center"/>
          </w:tcPr>
          <w:p>
            <w:pPr>
              <w:widowControl/>
              <w:jc w:val="center"/>
              <w:textAlignment w:val="bottom"/>
              <w:rPr>
                <w:color w:val="000000"/>
                <w:szCs w:val="21"/>
              </w:rPr>
            </w:pPr>
            <w:r>
              <w:rPr>
                <w:color w:val="000000"/>
                <w:kern w:val="0"/>
                <w:szCs w:val="21"/>
                <w:lang w:bidi="ar"/>
              </w:rPr>
              <w:t>25.9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17.3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9</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1.94</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2</w:t>
            </w:r>
          </w:p>
        </w:tc>
        <w:tc>
          <w:tcPr>
            <w:tcW w:w="1456" w:type="dxa"/>
            <w:vAlign w:val="center"/>
          </w:tcPr>
          <w:p>
            <w:pPr>
              <w:widowControl/>
              <w:jc w:val="center"/>
              <w:textAlignment w:val="bottom"/>
              <w:rPr>
                <w:color w:val="000000"/>
                <w:szCs w:val="21"/>
              </w:rPr>
            </w:pPr>
            <w:r>
              <w:rPr>
                <w:color w:val="000000"/>
                <w:kern w:val="0"/>
                <w:szCs w:val="21"/>
                <w:lang w:bidi="ar"/>
              </w:rPr>
              <w:t>18.9</w:t>
            </w:r>
          </w:p>
        </w:tc>
        <w:tc>
          <w:tcPr>
            <w:tcW w:w="1540" w:type="dxa"/>
            <w:vAlign w:val="center"/>
          </w:tcPr>
          <w:p>
            <w:pPr>
              <w:widowControl/>
              <w:jc w:val="center"/>
              <w:textAlignment w:val="bottom"/>
              <w:rPr>
                <w:color w:val="000000"/>
                <w:szCs w:val="21"/>
              </w:rPr>
            </w:pPr>
            <w:r>
              <w:rPr>
                <w:color w:val="000000"/>
                <w:kern w:val="0"/>
                <w:szCs w:val="21"/>
                <w:lang w:bidi="ar"/>
              </w:rPr>
              <w:t>23.19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18.3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10</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1.76</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1.8</w:t>
            </w:r>
          </w:p>
        </w:tc>
        <w:tc>
          <w:tcPr>
            <w:tcW w:w="1456" w:type="dxa"/>
            <w:vAlign w:val="center"/>
          </w:tcPr>
          <w:p>
            <w:pPr>
              <w:widowControl/>
              <w:jc w:val="center"/>
              <w:textAlignment w:val="bottom"/>
              <w:rPr>
                <w:color w:val="000000"/>
                <w:szCs w:val="21"/>
              </w:rPr>
            </w:pPr>
            <w:r>
              <w:rPr>
                <w:color w:val="000000"/>
                <w:kern w:val="0"/>
                <w:szCs w:val="21"/>
                <w:lang w:bidi="ar"/>
              </w:rPr>
              <w:t>17.35</w:t>
            </w:r>
          </w:p>
        </w:tc>
        <w:tc>
          <w:tcPr>
            <w:tcW w:w="1540" w:type="dxa"/>
            <w:vAlign w:val="center"/>
          </w:tcPr>
          <w:p>
            <w:pPr>
              <w:widowControl/>
              <w:jc w:val="center"/>
              <w:textAlignment w:val="bottom"/>
              <w:rPr>
                <w:color w:val="000000"/>
                <w:szCs w:val="21"/>
              </w:rPr>
            </w:pPr>
            <w:r>
              <w:rPr>
                <w:color w:val="000000"/>
                <w:kern w:val="0"/>
                <w:szCs w:val="21"/>
                <w:lang w:bidi="ar"/>
              </w:rPr>
              <w:t>20.84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19.3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11</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1.6</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1.62</w:t>
            </w:r>
          </w:p>
        </w:tc>
        <w:tc>
          <w:tcPr>
            <w:tcW w:w="1456" w:type="dxa"/>
            <w:vAlign w:val="center"/>
          </w:tcPr>
          <w:p>
            <w:pPr>
              <w:widowControl/>
              <w:jc w:val="center"/>
              <w:textAlignment w:val="bottom"/>
              <w:rPr>
                <w:color w:val="000000"/>
                <w:szCs w:val="21"/>
              </w:rPr>
            </w:pPr>
            <w:r>
              <w:rPr>
                <w:color w:val="000000"/>
                <w:kern w:val="0"/>
                <w:szCs w:val="21"/>
                <w:lang w:bidi="ar"/>
              </w:rPr>
              <w:t>15.95</w:t>
            </w:r>
          </w:p>
        </w:tc>
        <w:tc>
          <w:tcPr>
            <w:tcW w:w="1540" w:type="dxa"/>
            <w:vAlign w:val="center"/>
          </w:tcPr>
          <w:p>
            <w:pPr>
              <w:widowControl/>
              <w:jc w:val="center"/>
              <w:textAlignment w:val="bottom"/>
              <w:rPr>
                <w:color w:val="000000"/>
                <w:szCs w:val="21"/>
              </w:rPr>
            </w:pPr>
            <w:r>
              <w:rPr>
                <w:color w:val="000000"/>
                <w:kern w:val="0"/>
                <w:szCs w:val="21"/>
                <w:lang w:bidi="ar"/>
              </w:rPr>
              <w:t>18.8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20.3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12</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1.45</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1.46</w:t>
            </w:r>
          </w:p>
        </w:tc>
        <w:tc>
          <w:tcPr>
            <w:tcW w:w="1456" w:type="dxa"/>
            <w:vAlign w:val="center"/>
          </w:tcPr>
          <w:p>
            <w:pPr>
              <w:widowControl/>
              <w:jc w:val="center"/>
              <w:textAlignment w:val="bottom"/>
              <w:rPr>
                <w:color w:val="000000"/>
                <w:szCs w:val="21"/>
              </w:rPr>
            </w:pPr>
            <w:r>
              <w:rPr>
                <w:color w:val="000000"/>
                <w:kern w:val="0"/>
                <w:szCs w:val="21"/>
                <w:lang w:bidi="ar"/>
              </w:rPr>
              <w:t>14.68</w:t>
            </w:r>
          </w:p>
        </w:tc>
        <w:tc>
          <w:tcPr>
            <w:tcW w:w="1540" w:type="dxa"/>
            <w:vAlign w:val="center"/>
          </w:tcPr>
          <w:p>
            <w:pPr>
              <w:widowControl/>
              <w:jc w:val="center"/>
              <w:textAlignment w:val="bottom"/>
              <w:rPr>
                <w:color w:val="000000"/>
                <w:szCs w:val="21"/>
              </w:rPr>
            </w:pPr>
            <w:r>
              <w:rPr>
                <w:color w:val="000000"/>
                <w:kern w:val="0"/>
                <w:szCs w:val="21"/>
                <w:lang w:bidi="ar"/>
              </w:rPr>
              <w:t>17.03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21.3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13</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1.31</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1.31</w:t>
            </w:r>
          </w:p>
        </w:tc>
        <w:tc>
          <w:tcPr>
            <w:tcW w:w="1456" w:type="dxa"/>
            <w:vAlign w:val="center"/>
          </w:tcPr>
          <w:p>
            <w:pPr>
              <w:widowControl/>
              <w:jc w:val="center"/>
              <w:textAlignment w:val="bottom"/>
              <w:rPr>
                <w:color w:val="000000"/>
                <w:szCs w:val="21"/>
              </w:rPr>
            </w:pPr>
            <w:r>
              <w:rPr>
                <w:color w:val="000000"/>
                <w:kern w:val="0"/>
                <w:szCs w:val="21"/>
                <w:lang w:bidi="ar"/>
              </w:rPr>
              <w:t>13.54</w:t>
            </w:r>
          </w:p>
        </w:tc>
        <w:tc>
          <w:tcPr>
            <w:tcW w:w="1540" w:type="dxa"/>
            <w:vAlign w:val="center"/>
          </w:tcPr>
          <w:p>
            <w:pPr>
              <w:widowControl/>
              <w:jc w:val="center"/>
              <w:textAlignment w:val="bottom"/>
              <w:rPr>
                <w:color w:val="000000"/>
                <w:szCs w:val="21"/>
              </w:rPr>
            </w:pPr>
            <w:r>
              <w:rPr>
                <w:color w:val="000000"/>
                <w:kern w:val="0"/>
                <w:szCs w:val="21"/>
                <w:lang w:bidi="ar"/>
              </w:rPr>
              <w:t>15.48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22.3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14</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1.19</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1.18</w:t>
            </w:r>
          </w:p>
        </w:tc>
        <w:tc>
          <w:tcPr>
            <w:tcW w:w="1456" w:type="dxa"/>
            <w:vAlign w:val="center"/>
          </w:tcPr>
          <w:p>
            <w:pPr>
              <w:widowControl/>
              <w:jc w:val="center"/>
              <w:textAlignment w:val="bottom"/>
              <w:rPr>
                <w:color w:val="000000"/>
                <w:szCs w:val="21"/>
              </w:rPr>
            </w:pPr>
            <w:r>
              <w:rPr>
                <w:color w:val="000000"/>
                <w:kern w:val="0"/>
                <w:szCs w:val="21"/>
                <w:lang w:bidi="ar"/>
              </w:rPr>
              <w:t>12.51</w:t>
            </w:r>
          </w:p>
        </w:tc>
        <w:tc>
          <w:tcPr>
            <w:tcW w:w="1540" w:type="dxa"/>
            <w:vAlign w:val="center"/>
          </w:tcPr>
          <w:p>
            <w:pPr>
              <w:widowControl/>
              <w:jc w:val="center"/>
              <w:textAlignment w:val="bottom"/>
              <w:rPr>
                <w:color w:val="000000"/>
                <w:szCs w:val="21"/>
              </w:rPr>
            </w:pPr>
            <w:r>
              <w:rPr>
                <w:color w:val="000000"/>
                <w:kern w:val="0"/>
                <w:szCs w:val="21"/>
                <w:lang w:bidi="ar"/>
              </w:rPr>
              <w:t>14.12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23.3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15</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1.08</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1.07</w:t>
            </w:r>
          </w:p>
        </w:tc>
        <w:tc>
          <w:tcPr>
            <w:tcW w:w="1456" w:type="dxa"/>
            <w:vAlign w:val="center"/>
          </w:tcPr>
          <w:p>
            <w:pPr>
              <w:widowControl/>
              <w:jc w:val="center"/>
              <w:textAlignment w:val="bottom"/>
              <w:rPr>
                <w:color w:val="000000"/>
                <w:szCs w:val="21"/>
              </w:rPr>
            </w:pPr>
            <w:r>
              <w:rPr>
                <w:color w:val="000000"/>
                <w:kern w:val="0"/>
                <w:szCs w:val="21"/>
                <w:lang w:bidi="ar"/>
              </w:rPr>
              <w:t>11.58</w:t>
            </w:r>
          </w:p>
        </w:tc>
        <w:tc>
          <w:tcPr>
            <w:tcW w:w="1540" w:type="dxa"/>
            <w:vAlign w:val="center"/>
          </w:tcPr>
          <w:p>
            <w:pPr>
              <w:widowControl/>
              <w:jc w:val="center"/>
              <w:textAlignment w:val="bottom"/>
              <w:rPr>
                <w:color w:val="000000"/>
                <w:szCs w:val="21"/>
              </w:rPr>
            </w:pPr>
            <w:r>
              <w:rPr>
                <w:color w:val="000000"/>
                <w:kern w:val="0"/>
                <w:szCs w:val="21"/>
                <w:lang w:bidi="ar"/>
              </w:rPr>
              <w:t>12.93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24.3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16</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0.98</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0.97</w:t>
            </w:r>
          </w:p>
        </w:tc>
        <w:tc>
          <w:tcPr>
            <w:tcW w:w="1456" w:type="dxa"/>
            <w:vAlign w:val="center"/>
          </w:tcPr>
          <w:p>
            <w:pPr>
              <w:widowControl/>
              <w:jc w:val="center"/>
              <w:textAlignment w:val="bottom"/>
              <w:rPr>
                <w:color w:val="000000"/>
                <w:szCs w:val="21"/>
              </w:rPr>
            </w:pPr>
            <w:r>
              <w:rPr>
                <w:color w:val="000000"/>
                <w:kern w:val="0"/>
                <w:szCs w:val="21"/>
                <w:lang w:bidi="ar"/>
              </w:rPr>
              <w:t>10.74</w:t>
            </w:r>
          </w:p>
        </w:tc>
        <w:tc>
          <w:tcPr>
            <w:tcW w:w="1540" w:type="dxa"/>
            <w:vAlign w:val="center"/>
          </w:tcPr>
          <w:p>
            <w:pPr>
              <w:widowControl/>
              <w:jc w:val="center"/>
              <w:textAlignment w:val="bottom"/>
              <w:rPr>
                <w:color w:val="000000"/>
                <w:szCs w:val="21"/>
              </w:rPr>
            </w:pPr>
            <w:r>
              <w:rPr>
                <w:color w:val="000000"/>
                <w:kern w:val="0"/>
                <w:szCs w:val="21"/>
                <w:lang w:bidi="ar"/>
              </w:rPr>
              <w:t>11.88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25.3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17</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0.89</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0.88</w:t>
            </w:r>
          </w:p>
        </w:tc>
        <w:tc>
          <w:tcPr>
            <w:tcW w:w="1456" w:type="dxa"/>
            <w:vAlign w:val="center"/>
          </w:tcPr>
          <w:p>
            <w:pPr>
              <w:widowControl/>
              <w:jc w:val="center"/>
              <w:textAlignment w:val="bottom"/>
              <w:rPr>
                <w:color w:val="000000"/>
                <w:szCs w:val="21"/>
              </w:rPr>
            </w:pPr>
            <w:r>
              <w:rPr>
                <w:color w:val="000000"/>
                <w:kern w:val="0"/>
                <w:szCs w:val="21"/>
                <w:lang w:bidi="ar"/>
              </w:rPr>
              <w:t>9.98</w:t>
            </w:r>
          </w:p>
        </w:tc>
        <w:tc>
          <w:tcPr>
            <w:tcW w:w="1540" w:type="dxa"/>
            <w:vAlign w:val="center"/>
          </w:tcPr>
          <w:p>
            <w:pPr>
              <w:widowControl/>
              <w:jc w:val="center"/>
              <w:textAlignment w:val="bottom"/>
              <w:rPr>
                <w:color w:val="000000"/>
                <w:szCs w:val="21"/>
              </w:rPr>
            </w:pPr>
            <w:r>
              <w:rPr>
                <w:color w:val="000000"/>
                <w:kern w:val="0"/>
                <w:szCs w:val="21"/>
                <w:lang w:bidi="ar"/>
              </w:rPr>
              <w:t>10.95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26.3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18</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0.81</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0.8</w:t>
            </w:r>
          </w:p>
        </w:tc>
        <w:tc>
          <w:tcPr>
            <w:tcW w:w="1456" w:type="dxa"/>
            <w:vAlign w:val="center"/>
          </w:tcPr>
          <w:p>
            <w:pPr>
              <w:widowControl/>
              <w:jc w:val="center"/>
              <w:textAlignment w:val="bottom"/>
              <w:rPr>
                <w:color w:val="000000"/>
                <w:szCs w:val="21"/>
              </w:rPr>
            </w:pPr>
            <w:r>
              <w:rPr>
                <w:color w:val="000000"/>
                <w:kern w:val="0"/>
                <w:szCs w:val="21"/>
                <w:lang w:bidi="ar"/>
              </w:rPr>
              <w:t>9.3</w:t>
            </w:r>
          </w:p>
        </w:tc>
        <w:tc>
          <w:tcPr>
            <w:tcW w:w="1540" w:type="dxa"/>
            <w:vAlign w:val="center"/>
          </w:tcPr>
          <w:p>
            <w:pPr>
              <w:widowControl/>
              <w:jc w:val="center"/>
              <w:textAlignment w:val="bottom"/>
              <w:rPr>
                <w:color w:val="000000"/>
                <w:szCs w:val="21"/>
              </w:rPr>
            </w:pPr>
            <w:r>
              <w:rPr>
                <w:color w:val="000000"/>
                <w:kern w:val="0"/>
                <w:szCs w:val="21"/>
                <w:lang w:bidi="ar"/>
              </w:rPr>
              <w:t>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27.3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19</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0.74</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0.73</w:t>
            </w:r>
          </w:p>
        </w:tc>
        <w:tc>
          <w:tcPr>
            <w:tcW w:w="1456" w:type="dxa"/>
            <w:vAlign w:val="center"/>
          </w:tcPr>
          <w:p>
            <w:pPr>
              <w:widowControl/>
              <w:jc w:val="center"/>
              <w:textAlignment w:val="bottom"/>
              <w:rPr>
                <w:color w:val="000000"/>
                <w:szCs w:val="21"/>
              </w:rPr>
            </w:pPr>
            <w:r>
              <w:rPr>
                <w:color w:val="000000"/>
                <w:kern w:val="0"/>
                <w:szCs w:val="21"/>
                <w:lang w:bidi="ar"/>
              </w:rPr>
              <w:t>8.68</w:t>
            </w:r>
          </w:p>
        </w:tc>
        <w:tc>
          <w:tcPr>
            <w:tcW w:w="1540" w:type="dxa"/>
            <w:vAlign w:val="center"/>
          </w:tcPr>
          <w:p>
            <w:pPr>
              <w:widowControl/>
              <w:jc w:val="center"/>
              <w:textAlignment w:val="bottom"/>
              <w:rPr>
                <w:color w:val="000000"/>
                <w:szCs w:val="21"/>
              </w:rPr>
            </w:pPr>
            <w:r>
              <w:rPr>
                <w:color w:val="000000"/>
                <w:kern w:val="0"/>
                <w:szCs w:val="21"/>
                <w:lang w:bidi="ar"/>
              </w:rPr>
              <w:t>9.38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28.3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20</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0.67</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0.66</w:t>
            </w:r>
          </w:p>
        </w:tc>
        <w:tc>
          <w:tcPr>
            <w:tcW w:w="1456" w:type="dxa"/>
            <w:vAlign w:val="center"/>
          </w:tcPr>
          <w:p>
            <w:pPr>
              <w:widowControl/>
              <w:jc w:val="center"/>
              <w:textAlignment w:val="bottom"/>
              <w:rPr>
                <w:color w:val="000000"/>
                <w:szCs w:val="21"/>
              </w:rPr>
            </w:pPr>
            <w:r>
              <w:rPr>
                <w:color w:val="000000"/>
                <w:kern w:val="0"/>
                <w:szCs w:val="21"/>
                <w:lang w:bidi="ar"/>
              </w:rPr>
              <w:t>8.11</w:t>
            </w:r>
          </w:p>
        </w:tc>
        <w:tc>
          <w:tcPr>
            <w:tcW w:w="1540" w:type="dxa"/>
            <w:vAlign w:val="center"/>
          </w:tcPr>
          <w:p>
            <w:pPr>
              <w:widowControl/>
              <w:jc w:val="center"/>
              <w:textAlignment w:val="bottom"/>
              <w:rPr>
                <w:color w:val="000000"/>
                <w:szCs w:val="21"/>
              </w:rPr>
            </w:pPr>
            <w:r>
              <w:rPr>
                <w:color w:val="000000"/>
                <w:kern w:val="0"/>
                <w:szCs w:val="21"/>
                <w:lang w:bidi="ar"/>
              </w:rPr>
              <w:t>8.72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29.3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21</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0.62</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0.61</w:t>
            </w:r>
          </w:p>
        </w:tc>
        <w:tc>
          <w:tcPr>
            <w:tcW w:w="1456" w:type="dxa"/>
            <w:vAlign w:val="center"/>
          </w:tcPr>
          <w:p>
            <w:pPr>
              <w:widowControl/>
              <w:jc w:val="center"/>
              <w:textAlignment w:val="bottom"/>
              <w:rPr>
                <w:color w:val="000000"/>
                <w:szCs w:val="21"/>
              </w:rPr>
            </w:pPr>
            <w:r>
              <w:rPr>
                <w:color w:val="000000"/>
                <w:kern w:val="0"/>
                <w:szCs w:val="21"/>
                <w:lang w:bidi="ar"/>
              </w:rPr>
              <w:t>7.6</w:t>
            </w:r>
          </w:p>
        </w:tc>
        <w:tc>
          <w:tcPr>
            <w:tcW w:w="1540" w:type="dxa"/>
            <w:vAlign w:val="center"/>
          </w:tcPr>
          <w:p>
            <w:pPr>
              <w:widowControl/>
              <w:jc w:val="center"/>
              <w:textAlignment w:val="bottom"/>
              <w:rPr>
                <w:color w:val="000000"/>
                <w:szCs w:val="21"/>
              </w:rPr>
            </w:pPr>
            <w:r>
              <w:rPr>
                <w:color w:val="000000"/>
                <w:kern w:val="0"/>
                <w:szCs w:val="21"/>
                <w:lang w:bidi="ar"/>
              </w:rPr>
              <w:t>8.13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30.3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22</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0.56</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0.55</w:t>
            </w:r>
          </w:p>
        </w:tc>
        <w:tc>
          <w:tcPr>
            <w:tcW w:w="1456" w:type="dxa"/>
            <w:vAlign w:val="center"/>
          </w:tcPr>
          <w:p>
            <w:pPr>
              <w:widowControl/>
              <w:jc w:val="center"/>
              <w:textAlignment w:val="bottom"/>
              <w:rPr>
                <w:color w:val="000000"/>
                <w:szCs w:val="21"/>
              </w:rPr>
            </w:pPr>
            <w:r>
              <w:rPr>
                <w:color w:val="000000"/>
                <w:kern w:val="0"/>
                <w:szCs w:val="21"/>
                <w:lang w:bidi="ar"/>
              </w:rPr>
              <w:t>7.13</w:t>
            </w:r>
          </w:p>
        </w:tc>
        <w:tc>
          <w:tcPr>
            <w:tcW w:w="1540" w:type="dxa"/>
            <w:vAlign w:val="center"/>
          </w:tcPr>
          <w:p>
            <w:pPr>
              <w:widowControl/>
              <w:jc w:val="center"/>
              <w:textAlignment w:val="bottom"/>
              <w:rPr>
                <w:color w:val="000000"/>
                <w:szCs w:val="21"/>
              </w:rPr>
            </w:pPr>
            <w:r>
              <w:rPr>
                <w:color w:val="000000"/>
                <w:kern w:val="0"/>
                <w:szCs w:val="21"/>
                <w:lang w:bidi="ar"/>
              </w:rPr>
              <w:t>7.59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31.3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23</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0.52</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0.51</w:t>
            </w:r>
          </w:p>
        </w:tc>
        <w:tc>
          <w:tcPr>
            <w:tcW w:w="1456" w:type="dxa"/>
            <w:vAlign w:val="center"/>
          </w:tcPr>
          <w:p>
            <w:pPr>
              <w:widowControl/>
              <w:jc w:val="center"/>
              <w:textAlignment w:val="bottom"/>
              <w:rPr>
                <w:color w:val="000000"/>
                <w:szCs w:val="21"/>
              </w:rPr>
            </w:pPr>
            <w:r>
              <w:rPr>
                <w:color w:val="000000"/>
                <w:kern w:val="0"/>
                <w:szCs w:val="21"/>
                <w:lang w:bidi="ar"/>
              </w:rPr>
              <w:t>6.71</w:t>
            </w:r>
          </w:p>
        </w:tc>
        <w:tc>
          <w:tcPr>
            <w:tcW w:w="1540" w:type="dxa"/>
            <w:vAlign w:val="center"/>
          </w:tcPr>
          <w:p>
            <w:pPr>
              <w:widowControl/>
              <w:jc w:val="center"/>
              <w:textAlignment w:val="bottom"/>
              <w:rPr>
                <w:color w:val="000000"/>
                <w:szCs w:val="21"/>
              </w:rPr>
            </w:pPr>
            <w:r>
              <w:rPr>
                <w:color w:val="000000"/>
                <w:kern w:val="0"/>
                <w:szCs w:val="21"/>
                <w:lang w:bidi="ar"/>
              </w:rPr>
              <w:t>7.11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32.3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24</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0.48</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0.47</w:t>
            </w:r>
          </w:p>
        </w:tc>
        <w:tc>
          <w:tcPr>
            <w:tcW w:w="1456" w:type="dxa"/>
            <w:vAlign w:val="center"/>
          </w:tcPr>
          <w:p>
            <w:pPr>
              <w:widowControl/>
              <w:jc w:val="center"/>
              <w:textAlignment w:val="bottom"/>
              <w:rPr>
                <w:color w:val="000000"/>
                <w:szCs w:val="21"/>
              </w:rPr>
            </w:pPr>
            <w:r>
              <w:rPr>
                <w:color w:val="000000"/>
                <w:kern w:val="0"/>
                <w:szCs w:val="21"/>
                <w:lang w:bidi="ar"/>
              </w:rPr>
              <w:t>6.31</w:t>
            </w:r>
          </w:p>
        </w:tc>
        <w:tc>
          <w:tcPr>
            <w:tcW w:w="1540" w:type="dxa"/>
            <w:vAlign w:val="center"/>
          </w:tcPr>
          <w:p>
            <w:pPr>
              <w:widowControl/>
              <w:jc w:val="center"/>
              <w:textAlignment w:val="bottom"/>
              <w:rPr>
                <w:color w:val="000000"/>
                <w:szCs w:val="21"/>
              </w:rPr>
            </w:pPr>
            <w:r>
              <w:rPr>
                <w:color w:val="000000"/>
                <w:kern w:val="0"/>
                <w:szCs w:val="21"/>
                <w:lang w:bidi="ar"/>
              </w:rPr>
              <w:t>6.67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33.3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25</w:t>
            </w:r>
          </w:p>
        </w:tc>
        <w:tc>
          <w:tcPr>
            <w:tcW w:w="854" w:type="pct"/>
            <w:shd w:val="clear" w:color="auto" w:fill="auto"/>
            <w:vAlign w:val="center"/>
          </w:tcPr>
          <w:p>
            <w:pPr>
              <w:widowControl/>
              <w:jc w:val="center"/>
              <w:textAlignment w:val="bottom"/>
              <w:rPr>
                <w:color w:val="000000"/>
                <w:szCs w:val="21"/>
              </w:rPr>
            </w:pPr>
            <w:r>
              <w:rPr>
                <w:color w:val="000000"/>
                <w:kern w:val="0"/>
                <w:szCs w:val="21"/>
                <w:lang w:bidi="ar"/>
              </w:rPr>
              <w:t>0.44</w:t>
            </w:r>
          </w:p>
        </w:tc>
        <w:tc>
          <w:tcPr>
            <w:tcW w:w="855" w:type="pct"/>
            <w:shd w:val="clear" w:color="auto" w:fill="auto"/>
            <w:vAlign w:val="center"/>
          </w:tcPr>
          <w:p>
            <w:pPr>
              <w:widowControl/>
              <w:jc w:val="center"/>
              <w:textAlignment w:val="bottom"/>
              <w:rPr>
                <w:color w:val="000000"/>
                <w:szCs w:val="21"/>
              </w:rPr>
            </w:pPr>
            <w:r>
              <w:rPr>
                <w:color w:val="000000"/>
                <w:kern w:val="0"/>
                <w:szCs w:val="21"/>
                <w:lang w:bidi="ar"/>
              </w:rPr>
              <w:t>0.43</w:t>
            </w:r>
          </w:p>
        </w:tc>
        <w:tc>
          <w:tcPr>
            <w:tcW w:w="1456" w:type="dxa"/>
            <w:vAlign w:val="center"/>
          </w:tcPr>
          <w:p>
            <w:pPr>
              <w:widowControl/>
              <w:jc w:val="center"/>
              <w:textAlignment w:val="bottom"/>
              <w:rPr>
                <w:color w:val="000000"/>
                <w:szCs w:val="21"/>
              </w:rPr>
            </w:pPr>
            <w:r>
              <w:rPr>
                <w:color w:val="000000"/>
                <w:kern w:val="0"/>
                <w:szCs w:val="21"/>
                <w:lang w:bidi="ar"/>
              </w:rPr>
              <w:t>5.96</w:t>
            </w:r>
          </w:p>
        </w:tc>
        <w:tc>
          <w:tcPr>
            <w:tcW w:w="1540" w:type="dxa"/>
            <w:vAlign w:val="center"/>
          </w:tcPr>
          <w:p>
            <w:pPr>
              <w:widowControl/>
              <w:jc w:val="center"/>
              <w:textAlignment w:val="bottom"/>
              <w:rPr>
                <w:color w:val="000000"/>
                <w:szCs w:val="21"/>
              </w:rPr>
            </w:pPr>
            <w:r>
              <w:rPr>
                <w:color w:val="000000"/>
                <w:kern w:val="0"/>
                <w:szCs w:val="21"/>
                <w:lang w:bidi="ar"/>
              </w:rPr>
              <w:t>6.27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34.3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26</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0.4</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0.4</w:t>
            </w:r>
          </w:p>
        </w:tc>
        <w:tc>
          <w:tcPr>
            <w:tcW w:w="1456" w:type="dxa"/>
            <w:vAlign w:val="center"/>
          </w:tcPr>
          <w:p>
            <w:pPr>
              <w:widowControl/>
              <w:jc w:val="center"/>
              <w:textAlignment w:val="bottom"/>
              <w:rPr>
                <w:color w:val="000000"/>
                <w:kern w:val="0"/>
                <w:szCs w:val="21"/>
                <w:lang w:bidi="ar"/>
              </w:rPr>
            </w:pPr>
            <w:r>
              <w:rPr>
                <w:color w:val="000000"/>
                <w:kern w:val="0"/>
                <w:szCs w:val="21"/>
                <w:lang w:bidi="ar"/>
              </w:rPr>
              <w:t>5.63</w:t>
            </w:r>
          </w:p>
        </w:tc>
        <w:tc>
          <w:tcPr>
            <w:tcW w:w="1540" w:type="dxa"/>
            <w:vAlign w:val="center"/>
          </w:tcPr>
          <w:p>
            <w:pPr>
              <w:widowControl/>
              <w:jc w:val="center"/>
              <w:textAlignment w:val="bottom"/>
              <w:rPr>
                <w:color w:val="000000"/>
                <w:kern w:val="0"/>
                <w:szCs w:val="21"/>
                <w:lang w:bidi="ar"/>
              </w:rPr>
            </w:pPr>
            <w:r>
              <w:rPr>
                <w:color w:val="000000"/>
                <w:kern w:val="0"/>
                <w:szCs w:val="21"/>
                <w:lang w:bidi="ar"/>
              </w:rPr>
              <w:t>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35.3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27</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0.37</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0.37</w:t>
            </w:r>
          </w:p>
        </w:tc>
        <w:tc>
          <w:tcPr>
            <w:tcW w:w="1456" w:type="dxa"/>
            <w:vAlign w:val="center"/>
          </w:tcPr>
          <w:p>
            <w:pPr>
              <w:widowControl/>
              <w:jc w:val="center"/>
              <w:textAlignment w:val="bottom"/>
              <w:rPr>
                <w:color w:val="000000"/>
                <w:kern w:val="0"/>
                <w:szCs w:val="21"/>
                <w:lang w:bidi="ar"/>
              </w:rPr>
            </w:pPr>
            <w:r>
              <w:rPr>
                <w:color w:val="000000"/>
                <w:kern w:val="0"/>
                <w:szCs w:val="21"/>
                <w:lang w:bidi="ar"/>
              </w:rPr>
              <w:t>5.32</w:t>
            </w:r>
          </w:p>
        </w:tc>
        <w:tc>
          <w:tcPr>
            <w:tcW w:w="1540" w:type="dxa"/>
            <w:vAlign w:val="center"/>
          </w:tcPr>
          <w:p>
            <w:pPr>
              <w:widowControl/>
              <w:jc w:val="center"/>
              <w:textAlignment w:val="bottom"/>
              <w:rPr>
                <w:color w:val="000000"/>
                <w:kern w:val="0"/>
                <w:szCs w:val="21"/>
                <w:lang w:bidi="ar"/>
              </w:rPr>
            </w:pPr>
            <w:r>
              <w:rPr>
                <w:color w:val="000000"/>
                <w:kern w:val="0"/>
                <w:szCs w:val="21"/>
                <w:lang w:bidi="ar"/>
              </w:rPr>
              <w:t>5.57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36.3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28</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0.35</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0.34</w:t>
            </w:r>
          </w:p>
        </w:tc>
        <w:tc>
          <w:tcPr>
            <w:tcW w:w="1456" w:type="dxa"/>
            <w:vAlign w:val="center"/>
          </w:tcPr>
          <w:p>
            <w:pPr>
              <w:widowControl/>
              <w:jc w:val="center"/>
              <w:textAlignment w:val="bottom"/>
              <w:rPr>
                <w:color w:val="000000"/>
                <w:kern w:val="0"/>
                <w:szCs w:val="21"/>
                <w:lang w:bidi="ar"/>
              </w:rPr>
            </w:pPr>
            <w:r>
              <w:rPr>
                <w:color w:val="000000"/>
                <w:kern w:val="0"/>
                <w:szCs w:val="21"/>
                <w:lang w:bidi="ar"/>
              </w:rPr>
              <w:t>5.04</w:t>
            </w:r>
          </w:p>
        </w:tc>
        <w:tc>
          <w:tcPr>
            <w:tcW w:w="1540" w:type="dxa"/>
            <w:vAlign w:val="center"/>
          </w:tcPr>
          <w:p>
            <w:pPr>
              <w:widowControl/>
              <w:jc w:val="center"/>
              <w:textAlignment w:val="bottom"/>
              <w:rPr>
                <w:color w:val="000000"/>
                <w:kern w:val="0"/>
                <w:szCs w:val="21"/>
                <w:lang w:bidi="ar"/>
              </w:rPr>
            </w:pPr>
            <w:r>
              <w:rPr>
                <w:color w:val="000000"/>
                <w:kern w:val="0"/>
                <w:szCs w:val="21"/>
                <w:lang w:bidi="ar"/>
              </w:rPr>
              <w:t>5.26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37.3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29</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0.32</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0.32</w:t>
            </w:r>
          </w:p>
        </w:tc>
        <w:tc>
          <w:tcPr>
            <w:tcW w:w="1456" w:type="dxa"/>
            <w:vAlign w:val="center"/>
          </w:tcPr>
          <w:p>
            <w:pPr>
              <w:widowControl/>
              <w:jc w:val="center"/>
              <w:textAlignment w:val="bottom"/>
              <w:rPr>
                <w:color w:val="000000"/>
                <w:kern w:val="0"/>
                <w:szCs w:val="21"/>
                <w:lang w:bidi="ar"/>
              </w:rPr>
            </w:pPr>
            <w:r>
              <w:rPr>
                <w:color w:val="000000"/>
                <w:kern w:val="0"/>
                <w:szCs w:val="21"/>
                <w:lang w:bidi="ar"/>
              </w:rPr>
              <w:t>4.78</w:t>
            </w:r>
          </w:p>
        </w:tc>
        <w:tc>
          <w:tcPr>
            <w:tcW w:w="1540" w:type="dxa"/>
            <w:vAlign w:val="center"/>
          </w:tcPr>
          <w:p>
            <w:pPr>
              <w:widowControl/>
              <w:jc w:val="center"/>
              <w:textAlignment w:val="bottom"/>
              <w:rPr>
                <w:color w:val="000000"/>
                <w:kern w:val="0"/>
                <w:szCs w:val="21"/>
                <w:lang w:bidi="ar"/>
              </w:rPr>
            </w:pPr>
            <w:r>
              <w:rPr>
                <w:color w:val="000000"/>
                <w:kern w:val="0"/>
                <w:szCs w:val="21"/>
                <w:lang w:bidi="ar"/>
              </w:rPr>
              <w:t>4.98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38.3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30</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0.3</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0.29</w:t>
            </w:r>
          </w:p>
        </w:tc>
        <w:tc>
          <w:tcPr>
            <w:tcW w:w="1456" w:type="dxa"/>
            <w:vAlign w:val="center"/>
          </w:tcPr>
          <w:p>
            <w:pPr>
              <w:widowControl/>
              <w:jc w:val="center"/>
              <w:textAlignment w:val="bottom"/>
              <w:rPr>
                <w:color w:val="000000"/>
                <w:kern w:val="0"/>
                <w:szCs w:val="21"/>
                <w:lang w:bidi="ar"/>
              </w:rPr>
            </w:pPr>
            <w:r>
              <w:rPr>
                <w:color w:val="000000"/>
                <w:kern w:val="0"/>
                <w:szCs w:val="21"/>
                <w:lang w:bidi="ar"/>
              </w:rPr>
              <w:t>4.54</w:t>
            </w:r>
          </w:p>
        </w:tc>
        <w:tc>
          <w:tcPr>
            <w:tcW w:w="1540" w:type="dxa"/>
            <w:vAlign w:val="center"/>
          </w:tcPr>
          <w:p>
            <w:pPr>
              <w:widowControl/>
              <w:jc w:val="center"/>
              <w:textAlignment w:val="bottom"/>
              <w:rPr>
                <w:color w:val="000000"/>
                <w:kern w:val="0"/>
                <w:szCs w:val="21"/>
                <w:lang w:bidi="ar"/>
              </w:rPr>
            </w:pPr>
            <w:r>
              <w:rPr>
                <w:color w:val="000000"/>
                <w:kern w:val="0"/>
                <w:szCs w:val="21"/>
                <w:lang w:bidi="ar"/>
              </w:rPr>
              <w:t>4.72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39.3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31</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0.28</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0.27</w:t>
            </w:r>
          </w:p>
        </w:tc>
        <w:tc>
          <w:tcPr>
            <w:tcW w:w="1456" w:type="dxa"/>
            <w:vAlign w:val="center"/>
          </w:tcPr>
          <w:p>
            <w:pPr>
              <w:widowControl/>
              <w:jc w:val="center"/>
              <w:textAlignment w:val="bottom"/>
              <w:rPr>
                <w:color w:val="000000"/>
                <w:kern w:val="0"/>
                <w:szCs w:val="21"/>
                <w:lang w:bidi="ar"/>
              </w:rPr>
            </w:pPr>
            <w:r>
              <w:rPr>
                <w:color w:val="000000"/>
                <w:kern w:val="0"/>
                <w:szCs w:val="21"/>
                <w:lang w:bidi="ar"/>
              </w:rPr>
              <w:t>4.32</w:t>
            </w:r>
          </w:p>
        </w:tc>
        <w:tc>
          <w:tcPr>
            <w:tcW w:w="1540" w:type="dxa"/>
            <w:vAlign w:val="center"/>
          </w:tcPr>
          <w:p>
            <w:pPr>
              <w:widowControl/>
              <w:jc w:val="center"/>
              <w:textAlignment w:val="bottom"/>
              <w:rPr>
                <w:color w:val="000000"/>
                <w:kern w:val="0"/>
                <w:szCs w:val="21"/>
                <w:lang w:bidi="ar"/>
              </w:rPr>
            </w:pPr>
            <w:r>
              <w:rPr>
                <w:color w:val="000000"/>
                <w:kern w:val="0"/>
                <w:szCs w:val="21"/>
                <w:lang w:bidi="ar"/>
              </w:rPr>
              <w:t>4.48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40.3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32</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0.26</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0.26</w:t>
            </w:r>
          </w:p>
        </w:tc>
        <w:tc>
          <w:tcPr>
            <w:tcW w:w="1456" w:type="dxa"/>
            <w:vAlign w:val="center"/>
          </w:tcPr>
          <w:p>
            <w:pPr>
              <w:widowControl/>
              <w:jc w:val="center"/>
              <w:textAlignment w:val="bottom"/>
              <w:rPr>
                <w:color w:val="000000"/>
                <w:kern w:val="0"/>
                <w:szCs w:val="21"/>
                <w:lang w:bidi="ar"/>
              </w:rPr>
            </w:pPr>
            <w:r>
              <w:rPr>
                <w:color w:val="000000"/>
                <w:kern w:val="0"/>
                <w:szCs w:val="21"/>
                <w:lang w:bidi="ar"/>
              </w:rPr>
              <w:t>4.11</w:t>
            </w:r>
          </w:p>
        </w:tc>
        <w:tc>
          <w:tcPr>
            <w:tcW w:w="1540" w:type="dxa"/>
            <w:vAlign w:val="center"/>
          </w:tcPr>
          <w:p>
            <w:pPr>
              <w:widowControl/>
              <w:jc w:val="center"/>
              <w:textAlignment w:val="bottom"/>
              <w:rPr>
                <w:color w:val="000000"/>
                <w:kern w:val="0"/>
                <w:szCs w:val="21"/>
                <w:lang w:bidi="ar"/>
              </w:rPr>
            </w:pPr>
            <w:r>
              <w:rPr>
                <w:color w:val="000000"/>
                <w:kern w:val="0"/>
                <w:szCs w:val="21"/>
                <w:lang w:bidi="ar"/>
              </w:rPr>
              <w:t>4.25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41.3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33</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0.24</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0.24</w:t>
            </w:r>
          </w:p>
        </w:tc>
        <w:tc>
          <w:tcPr>
            <w:tcW w:w="1456" w:type="dxa"/>
            <w:vAlign w:val="center"/>
          </w:tcPr>
          <w:p>
            <w:pPr>
              <w:widowControl/>
              <w:jc w:val="center"/>
              <w:textAlignment w:val="bottom"/>
              <w:rPr>
                <w:color w:val="000000"/>
                <w:kern w:val="0"/>
                <w:szCs w:val="21"/>
                <w:lang w:bidi="ar"/>
              </w:rPr>
            </w:pPr>
            <w:r>
              <w:rPr>
                <w:color w:val="000000"/>
                <w:kern w:val="0"/>
                <w:szCs w:val="21"/>
                <w:lang w:bidi="ar"/>
              </w:rPr>
              <w:t>3.92</w:t>
            </w:r>
          </w:p>
        </w:tc>
        <w:tc>
          <w:tcPr>
            <w:tcW w:w="1540" w:type="dxa"/>
            <w:vAlign w:val="center"/>
          </w:tcPr>
          <w:p>
            <w:pPr>
              <w:widowControl/>
              <w:jc w:val="center"/>
              <w:textAlignment w:val="bottom"/>
              <w:rPr>
                <w:color w:val="000000"/>
                <w:kern w:val="0"/>
                <w:szCs w:val="21"/>
                <w:lang w:bidi="ar"/>
              </w:rPr>
            </w:pPr>
            <w:r>
              <w:rPr>
                <w:color w:val="000000"/>
                <w:kern w:val="0"/>
                <w:szCs w:val="21"/>
                <w:lang w:bidi="ar"/>
              </w:rPr>
              <w:t>4.05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42.3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34</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0.23</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0.22</w:t>
            </w:r>
          </w:p>
        </w:tc>
        <w:tc>
          <w:tcPr>
            <w:tcW w:w="1456" w:type="dxa"/>
            <w:vAlign w:val="center"/>
          </w:tcPr>
          <w:p>
            <w:pPr>
              <w:widowControl/>
              <w:jc w:val="center"/>
              <w:textAlignment w:val="bottom"/>
              <w:rPr>
                <w:color w:val="000000"/>
                <w:kern w:val="0"/>
                <w:szCs w:val="21"/>
                <w:lang w:bidi="ar"/>
              </w:rPr>
            </w:pPr>
            <w:r>
              <w:rPr>
                <w:color w:val="000000"/>
                <w:kern w:val="0"/>
                <w:szCs w:val="21"/>
                <w:lang w:bidi="ar"/>
              </w:rPr>
              <w:t>3.74</w:t>
            </w:r>
          </w:p>
        </w:tc>
        <w:tc>
          <w:tcPr>
            <w:tcW w:w="1540" w:type="dxa"/>
            <w:vAlign w:val="center"/>
          </w:tcPr>
          <w:p>
            <w:pPr>
              <w:widowControl/>
              <w:jc w:val="center"/>
              <w:textAlignment w:val="bottom"/>
              <w:rPr>
                <w:color w:val="000000"/>
                <w:kern w:val="0"/>
                <w:szCs w:val="21"/>
                <w:lang w:bidi="ar"/>
              </w:rPr>
            </w:pPr>
            <w:r>
              <w:rPr>
                <w:color w:val="000000"/>
                <w:kern w:val="0"/>
                <w:szCs w:val="21"/>
                <w:lang w:bidi="ar"/>
              </w:rPr>
              <w:t>3.86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43.3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35</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0.21</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0.21</w:t>
            </w:r>
          </w:p>
        </w:tc>
        <w:tc>
          <w:tcPr>
            <w:tcW w:w="1456" w:type="dxa"/>
            <w:vAlign w:val="center"/>
          </w:tcPr>
          <w:p>
            <w:pPr>
              <w:widowControl/>
              <w:jc w:val="center"/>
              <w:textAlignment w:val="bottom"/>
              <w:rPr>
                <w:color w:val="000000"/>
                <w:kern w:val="0"/>
                <w:szCs w:val="21"/>
                <w:lang w:bidi="ar"/>
              </w:rPr>
            </w:pPr>
            <w:r>
              <w:rPr>
                <w:color w:val="000000"/>
                <w:kern w:val="0"/>
                <w:szCs w:val="21"/>
                <w:lang w:bidi="ar"/>
              </w:rPr>
              <w:t>3.57</w:t>
            </w:r>
          </w:p>
        </w:tc>
        <w:tc>
          <w:tcPr>
            <w:tcW w:w="1540" w:type="dxa"/>
            <w:vAlign w:val="center"/>
          </w:tcPr>
          <w:p>
            <w:pPr>
              <w:widowControl/>
              <w:jc w:val="center"/>
              <w:textAlignment w:val="bottom"/>
              <w:rPr>
                <w:color w:val="000000"/>
                <w:kern w:val="0"/>
                <w:szCs w:val="21"/>
                <w:lang w:bidi="ar"/>
              </w:rPr>
            </w:pPr>
            <w:r>
              <w:rPr>
                <w:color w:val="000000"/>
                <w:kern w:val="0"/>
                <w:szCs w:val="21"/>
                <w:lang w:bidi="ar"/>
              </w:rPr>
              <w:t>3.68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44.3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36</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0.2</w:t>
            </w:r>
          </w:p>
        </w:tc>
        <w:tc>
          <w:tcPr>
            <w:tcW w:w="1456" w:type="dxa"/>
            <w:vAlign w:val="center"/>
          </w:tcPr>
          <w:p>
            <w:pPr>
              <w:widowControl/>
              <w:jc w:val="center"/>
              <w:textAlignment w:val="bottom"/>
              <w:rPr>
                <w:color w:val="000000"/>
                <w:kern w:val="0"/>
                <w:szCs w:val="21"/>
                <w:lang w:bidi="ar"/>
              </w:rPr>
            </w:pPr>
            <w:r>
              <w:rPr>
                <w:color w:val="000000"/>
                <w:kern w:val="0"/>
                <w:szCs w:val="21"/>
                <w:lang w:bidi="ar"/>
              </w:rPr>
              <w:t>3.42</w:t>
            </w:r>
          </w:p>
        </w:tc>
        <w:tc>
          <w:tcPr>
            <w:tcW w:w="1540" w:type="dxa"/>
            <w:vAlign w:val="center"/>
          </w:tcPr>
          <w:p>
            <w:pPr>
              <w:widowControl/>
              <w:jc w:val="center"/>
              <w:textAlignment w:val="bottom"/>
              <w:rPr>
                <w:color w:val="000000"/>
                <w:kern w:val="0"/>
                <w:szCs w:val="21"/>
                <w:lang w:bidi="ar"/>
              </w:rPr>
            </w:pPr>
            <w:r>
              <w:rPr>
                <w:color w:val="000000"/>
                <w:kern w:val="0"/>
                <w:szCs w:val="21"/>
                <w:lang w:bidi="ar"/>
              </w:rPr>
              <w:t>3.51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45.3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37</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0.19</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0.18</w:t>
            </w:r>
          </w:p>
        </w:tc>
        <w:tc>
          <w:tcPr>
            <w:tcW w:w="1456" w:type="dxa"/>
            <w:vAlign w:val="center"/>
          </w:tcPr>
          <w:p>
            <w:pPr>
              <w:widowControl/>
              <w:jc w:val="center"/>
              <w:textAlignment w:val="bottom"/>
              <w:rPr>
                <w:color w:val="000000"/>
                <w:kern w:val="0"/>
                <w:szCs w:val="21"/>
                <w:lang w:bidi="ar"/>
              </w:rPr>
            </w:pPr>
            <w:r>
              <w:rPr>
                <w:color w:val="000000"/>
                <w:kern w:val="0"/>
                <w:szCs w:val="21"/>
                <w:lang w:bidi="ar"/>
              </w:rPr>
              <w:t>3.27</w:t>
            </w:r>
          </w:p>
        </w:tc>
        <w:tc>
          <w:tcPr>
            <w:tcW w:w="1540" w:type="dxa"/>
            <w:vAlign w:val="center"/>
          </w:tcPr>
          <w:p>
            <w:pPr>
              <w:widowControl/>
              <w:jc w:val="center"/>
              <w:textAlignment w:val="bottom"/>
              <w:rPr>
                <w:color w:val="000000"/>
                <w:kern w:val="0"/>
                <w:szCs w:val="21"/>
                <w:lang w:bidi="ar"/>
              </w:rPr>
            </w:pPr>
            <w:r>
              <w:rPr>
                <w:color w:val="000000"/>
                <w:kern w:val="0"/>
                <w:szCs w:val="21"/>
                <w:lang w:bidi="ar"/>
              </w:rPr>
              <w:t>3.36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46.3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38</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0.17</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0.17</w:t>
            </w:r>
          </w:p>
        </w:tc>
        <w:tc>
          <w:tcPr>
            <w:tcW w:w="1456" w:type="dxa"/>
            <w:vAlign w:val="center"/>
          </w:tcPr>
          <w:p>
            <w:pPr>
              <w:widowControl/>
              <w:jc w:val="center"/>
              <w:textAlignment w:val="bottom"/>
              <w:rPr>
                <w:color w:val="000000"/>
                <w:kern w:val="0"/>
                <w:szCs w:val="21"/>
                <w:lang w:bidi="ar"/>
              </w:rPr>
            </w:pPr>
            <w:r>
              <w:rPr>
                <w:color w:val="000000"/>
                <w:kern w:val="0"/>
                <w:szCs w:val="21"/>
                <w:lang w:bidi="ar"/>
              </w:rPr>
              <w:t>3.13</w:t>
            </w:r>
          </w:p>
        </w:tc>
        <w:tc>
          <w:tcPr>
            <w:tcW w:w="1540" w:type="dxa"/>
            <w:vAlign w:val="center"/>
          </w:tcPr>
          <w:p>
            <w:pPr>
              <w:widowControl/>
              <w:jc w:val="center"/>
              <w:textAlignment w:val="bottom"/>
              <w:rPr>
                <w:color w:val="000000"/>
                <w:kern w:val="0"/>
                <w:szCs w:val="21"/>
                <w:lang w:bidi="ar"/>
              </w:rPr>
            </w:pPr>
            <w:r>
              <w:rPr>
                <w:color w:val="000000"/>
                <w:kern w:val="0"/>
                <w:szCs w:val="21"/>
                <w:lang w:bidi="ar"/>
              </w:rPr>
              <w:t>3.21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47.3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39</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0.16</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0.16</w:t>
            </w:r>
          </w:p>
        </w:tc>
        <w:tc>
          <w:tcPr>
            <w:tcW w:w="1456" w:type="dxa"/>
            <w:vAlign w:val="center"/>
          </w:tcPr>
          <w:p>
            <w:pPr>
              <w:widowControl/>
              <w:jc w:val="center"/>
              <w:textAlignment w:val="bottom"/>
              <w:rPr>
                <w:color w:val="000000"/>
                <w:kern w:val="0"/>
                <w:szCs w:val="21"/>
                <w:lang w:bidi="ar"/>
              </w:rPr>
            </w:pPr>
            <w:r>
              <w:rPr>
                <w:color w:val="000000"/>
                <w:kern w:val="0"/>
                <w:szCs w:val="21"/>
                <w:lang w:bidi="ar"/>
              </w:rPr>
              <w:t>3</w:t>
            </w:r>
          </w:p>
        </w:tc>
        <w:tc>
          <w:tcPr>
            <w:tcW w:w="1540" w:type="dxa"/>
            <w:vAlign w:val="center"/>
          </w:tcPr>
          <w:p>
            <w:pPr>
              <w:widowControl/>
              <w:jc w:val="center"/>
              <w:textAlignment w:val="bottom"/>
              <w:rPr>
                <w:color w:val="000000"/>
                <w:kern w:val="0"/>
                <w:szCs w:val="21"/>
                <w:lang w:bidi="ar"/>
              </w:rPr>
            </w:pPr>
            <w:r>
              <w:rPr>
                <w:color w:val="000000"/>
                <w:kern w:val="0"/>
                <w:szCs w:val="21"/>
                <w:lang w:bidi="ar"/>
              </w:rPr>
              <w:t>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48.3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40</w:t>
            </w:r>
          </w:p>
        </w:tc>
        <w:tc>
          <w:tcPr>
            <w:tcW w:w="854" w:type="pct"/>
            <w:shd w:val="clear" w:color="auto" w:fill="auto"/>
            <w:vAlign w:val="center"/>
          </w:tcPr>
          <w:p>
            <w:pPr>
              <w:widowControl/>
              <w:jc w:val="center"/>
              <w:textAlignment w:val="bottom"/>
              <w:rPr>
                <w:color w:val="000000"/>
                <w:kern w:val="0"/>
                <w:szCs w:val="21"/>
                <w:lang w:bidi="ar"/>
              </w:rPr>
            </w:pPr>
            <w:r>
              <w:rPr>
                <w:color w:val="000000"/>
                <w:kern w:val="0"/>
                <w:szCs w:val="21"/>
                <w:lang w:bidi="ar"/>
              </w:rPr>
              <w:t>0.15</w:t>
            </w:r>
          </w:p>
        </w:tc>
        <w:tc>
          <w:tcPr>
            <w:tcW w:w="855" w:type="pct"/>
            <w:shd w:val="clear" w:color="auto" w:fill="auto"/>
            <w:vAlign w:val="center"/>
          </w:tcPr>
          <w:p>
            <w:pPr>
              <w:widowControl/>
              <w:jc w:val="center"/>
              <w:textAlignment w:val="bottom"/>
              <w:rPr>
                <w:color w:val="000000"/>
                <w:kern w:val="0"/>
                <w:szCs w:val="21"/>
                <w:lang w:bidi="ar"/>
              </w:rPr>
            </w:pPr>
            <w:r>
              <w:rPr>
                <w:color w:val="000000"/>
                <w:kern w:val="0"/>
                <w:szCs w:val="21"/>
                <w:lang w:bidi="ar"/>
              </w:rPr>
              <w:t>0.15</w:t>
            </w:r>
          </w:p>
        </w:tc>
        <w:tc>
          <w:tcPr>
            <w:tcW w:w="1456" w:type="dxa"/>
            <w:vAlign w:val="center"/>
          </w:tcPr>
          <w:p>
            <w:pPr>
              <w:widowControl/>
              <w:jc w:val="center"/>
              <w:textAlignment w:val="bottom"/>
              <w:rPr>
                <w:color w:val="000000"/>
                <w:kern w:val="0"/>
                <w:szCs w:val="21"/>
                <w:lang w:bidi="ar"/>
              </w:rPr>
            </w:pPr>
            <w:r>
              <w:rPr>
                <w:color w:val="000000"/>
                <w:kern w:val="0"/>
                <w:szCs w:val="21"/>
                <w:lang w:bidi="ar"/>
              </w:rPr>
              <w:t>2.88</w:t>
            </w:r>
          </w:p>
        </w:tc>
        <w:tc>
          <w:tcPr>
            <w:tcW w:w="1540" w:type="dxa"/>
            <w:vAlign w:val="center"/>
          </w:tcPr>
          <w:p>
            <w:pPr>
              <w:widowControl/>
              <w:jc w:val="center"/>
              <w:textAlignment w:val="bottom"/>
              <w:rPr>
                <w:color w:val="000000"/>
                <w:kern w:val="0"/>
                <w:szCs w:val="21"/>
                <w:lang w:bidi="ar"/>
              </w:rPr>
            </w:pPr>
            <w:r>
              <w:rPr>
                <w:color w:val="000000"/>
                <w:kern w:val="0"/>
                <w:szCs w:val="21"/>
                <w:lang w:bidi="ar"/>
              </w:rPr>
              <w:t>2.95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32" w:type="pct"/>
            <w:gridSpan w:val="2"/>
            <w:shd w:val="clear" w:color="auto" w:fill="auto"/>
            <w:vAlign w:val="center"/>
          </w:tcPr>
          <w:p>
            <w:pPr>
              <w:jc w:val="center"/>
              <w:rPr>
                <w:color w:val="000000"/>
                <w:szCs w:val="21"/>
              </w:rPr>
            </w:pPr>
            <w:r>
              <w:rPr>
                <w:rFonts w:hint="eastAsia" w:cs="宋体"/>
                <w:color w:val="000000"/>
                <w:kern w:val="0"/>
                <w:szCs w:val="21"/>
                <w:lang w:bidi="ar"/>
              </w:rPr>
              <w:t>最大值</w:t>
            </w:r>
          </w:p>
        </w:tc>
        <w:tc>
          <w:tcPr>
            <w:tcW w:w="854" w:type="pct"/>
            <w:shd w:val="clear" w:color="auto" w:fill="auto"/>
            <w:vAlign w:val="center"/>
          </w:tcPr>
          <w:p>
            <w:pPr>
              <w:widowControl/>
              <w:jc w:val="center"/>
              <w:textAlignment w:val="bottom"/>
              <w:rPr>
                <w:b/>
                <w:bCs/>
                <w:color w:val="000000"/>
                <w:kern w:val="0"/>
                <w:szCs w:val="21"/>
                <w:lang w:bidi="ar"/>
              </w:rPr>
            </w:pPr>
            <w:r>
              <w:rPr>
                <w:b/>
                <w:bCs/>
                <w:color w:val="000000"/>
                <w:kern w:val="0"/>
                <w:szCs w:val="21"/>
                <w:lang w:bidi="ar"/>
              </w:rPr>
              <w:t>2.95</w:t>
            </w:r>
          </w:p>
        </w:tc>
        <w:tc>
          <w:tcPr>
            <w:tcW w:w="855" w:type="pct"/>
            <w:shd w:val="clear" w:color="auto" w:fill="auto"/>
            <w:vAlign w:val="center"/>
          </w:tcPr>
          <w:p>
            <w:pPr>
              <w:widowControl/>
              <w:jc w:val="center"/>
              <w:textAlignment w:val="bottom"/>
              <w:rPr>
                <w:b/>
                <w:bCs/>
                <w:color w:val="000000"/>
                <w:kern w:val="0"/>
                <w:szCs w:val="21"/>
                <w:lang w:bidi="ar"/>
              </w:rPr>
            </w:pPr>
            <w:r>
              <w:rPr>
                <w:b/>
                <w:bCs/>
                <w:color w:val="000000"/>
                <w:kern w:val="0"/>
                <w:szCs w:val="21"/>
                <w:lang w:bidi="ar"/>
              </w:rPr>
              <w:t>3.85</w:t>
            </w:r>
          </w:p>
        </w:tc>
        <w:tc>
          <w:tcPr>
            <w:tcW w:w="1456" w:type="dxa"/>
            <w:vAlign w:val="center"/>
          </w:tcPr>
          <w:p>
            <w:pPr>
              <w:widowControl/>
              <w:jc w:val="center"/>
              <w:textAlignment w:val="bottom"/>
              <w:rPr>
                <w:b/>
                <w:bCs/>
                <w:color w:val="000000"/>
                <w:kern w:val="0"/>
                <w:szCs w:val="21"/>
                <w:lang w:bidi="ar"/>
              </w:rPr>
            </w:pPr>
            <w:r>
              <w:rPr>
                <w:b/>
                <w:bCs/>
                <w:color w:val="000000"/>
                <w:kern w:val="0"/>
                <w:szCs w:val="21"/>
                <w:lang w:bidi="ar"/>
              </w:rPr>
              <w:t>44.63</w:t>
            </w:r>
          </w:p>
        </w:tc>
        <w:tc>
          <w:tcPr>
            <w:tcW w:w="1540" w:type="dxa"/>
            <w:vAlign w:val="center"/>
          </w:tcPr>
          <w:p>
            <w:pPr>
              <w:widowControl/>
              <w:jc w:val="center"/>
              <w:textAlignment w:val="bottom"/>
              <w:rPr>
                <w:b/>
                <w:bCs/>
                <w:color w:val="000000"/>
                <w:kern w:val="0"/>
                <w:szCs w:val="21"/>
                <w:lang w:bidi="ar"/>
              </w:rPr>
            </w:pPr>
            <w:r>
              <w:rPr>
                <w:b/>
                <w:bCs/>
                <w:color w:val="000000"/>
                <w:kern w:val="0"/>
                <w:szCs w:val="21"/>
                <w:lang w:bidi="ar"/>
              </w:rPr>
              <w:t>69.87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32" w:type="pct"/>
            <w:gridSpan w:val="2"/>
            <w:shd w:val="clear" w:color="auto" w:fill="auto"/>
            <w:vAlign w:val="center"/>
          </w:tcPr>
          <w:p>
            <w:pPr>
              <w:jc w:val="center"/>
              <w:rPr>
                <w:color w:val="000000"/>
                <w:szCs w:val="21"/>
              </w:rPr>
            </w:pPr>
            <w:r>
              <w:rPr>
                <w:rFonts w:hint="eastAsia" w:cs="宋体"/>
                <w:color w:val="000000"/>
                <w:kern w:val="0"/>
                <w:szCs w:val="21"/>
                <w:lang w:bidi="ar"/>
              </w:rPr>
              <w:t>最大值处距线路中心距离（m）</w:t>
            </w:r>
          </w:p>
        </w:tc>
        <w:tc>
          <w:tcPr>
            <w:tcW w:w="854" w:type="pct"/>
            <w:shd w:val="clear" w:color="auto" w:fill="auto"/>
            <w:vAlign w:val="center"/>
          </w:tcPr>
          <w:p>
            <w:pPr>
              <w:widowControl/>
              <w:jc w:val="center"/>
              <w:textAlignment w:val="bottom"/>
              <w:rPr>
                <w:color w:val="000000"/>
                <w:kern w:val="0"/>
                <w:szCs w:val="21"/>
                <w:lang w:bidi="ar"/>
              </w:rPr>
            </w:pPr>
            <w:r>
              <w:rPr>
                <w:rFonts w:hint="eastAsia"/>
                <w:color w:val="000000"/>
                <w:kern w:val="0"/>
                <w:szCs w:val="21"/>
                <w:lang w:bidi="ar"/>
              </w:rPr>
              <w:t>10.3</w:t>
            </w:r>
          </w:p>
        </w:tc>
        <w:tc>
          <w:tcPr>
            <w:tcW w:w="855" w:type="pct"/>
            <w:shd w:val="clear" w:color="auto" w:fill="auto"/>
            <w:vAlign w:val="center"/>
          </w:tcPr>
          <w:p>
            <w:pPr>
              <w:widowControl/>
              <w:jc w:val="center"/>
              <w:textAlignment w:val="bottom"/>
              <w:rPr>
                <w:color w:val="000000"/>
                <w:kern w:val="0"/>
                <w:szCs w:val="21"/>
                <w:lang w:bidi="ar"/>
              </w:rPr>
            </w:pPr>
            <w:r>
              <w:rPr>
                <w:rFonts w:hint="eastAsia"/>
                <w:color w:val="000000"/>
                <w:kern w:val="0"/>
                <w:szCs w:val="21"/>
                <w:lang w:bidi="ar"/>
              </w:rPr>
              <w:t>8.3</w:t>
            </w:r>
          </w:p>
        </w:tc>
        <w:tc>
          <w:tcPr>
            <w:tcW w:w="854" w:type="pct"/>
            <w:vAlign w:val="center"/>
          </w:tcPr>
          <w:p>
            <w:pPr>
              <w:widowControl/>
              <w:jc w:val="center"/>
              <w:textAlignment w:val="bottom"/>
              <w:rPr>
                <w:color w:val="000000"/>
                <w:kern w:val="0"/>
                <w:szCs w:val="21"/>
                <w:lang w:bidi="ar"/>
              </w:rPr>
            </w:pPr>
            <w:r>
              <w:rPr>
                <w:rFonts w:hint="eastAsia"/>
                <w:color w:val="000000"/>
                <w:kern w:val="0"/>
                <w:szCs w:val="21"/>
                <w:lang w:bidi="ar"/>
              </w:rPr>
              <w:t>0</w:t>
            </w:r>
          </w:p>
        </w:tc>
        <w:tc>
          <w:tcPr>
            <w:tcW w:w="903" w:type="pct"/>
            <w:vAlign w:val="center"/>
          </w:tcPr>
          <w:p>
            <w:pPr>
              <w:widowControl/>
              <w:jc w:val="center"/>
              <w:textAlignment w:val="bottom"/>
              <w:rPr>
                <w:color w:val="000000"/>
                <w:kern w:val="0"/>
                <w:szCs w:val="21"/>
                <w:lang w:bidi="ar"/>
              </w:rPr>
            </w:pPr>
            <w:r>
              <w:rPr>
                <w:rFonts w:hint="eastAsia"/>
                <w:color w:val="000000"/>
                <w:kern w:val="0"/>
                <w:szCs w:val="21"/>
                <w:lang w:bidi="ar"/>
              </w:rPr>
              <w:t>0</w:t>
            </w:r>
          </w:p>
        </w:tc>
      </w:tr>
    </w:tbl>
    <w:p>
      <w:pPr>
        <w:pStyle w:val="83"/>
        <w:keepNext/>
        <w:spacing w:before="163" w:beforeLines="50" w:line="360" w:lineRule="auto"/>
        <w:jc w:val="both"/>
      </w:pPr>
      <w:r>
        <w:drawing>
          <wp:inline distT="0" distB="0" distL="114300" distR="114300">
            <wp:extent cx="5390515" cy="2084070"/>
            <wp:effectExtent l="0" t="0" r="635" b="11430"/>
            <wp:docPr id="12"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0"/>
                    <pic:cNvPicPr>
                      <a:picLocks noChangeAspect="1"/>
                    </pic:cNvPicPr>
                  </pic:nvPicPr>
                  <pic:blipFill>
                    <a:blip r:embed="rId135"/>
                    <a:stretch>
                      <a:fillRect/>
                    </a:stretch>
                  </pic:blipFill>
                  <pic:spPr>
                    <a:xfrm>
                      <a:off x="0" y="0"/>
                      <a:ext cx="5390515" cy="2084070"/>
                    </a:xfrm>
                    <a:prstGeom prst="rect">
                      <a:avLst/>
                    </a:prstGeom>
                    <a:noFill/>
                    <a:ln>
                      <a:noFill/>
                    </a:ln>
                  </pic:spPr>
                </pic:pic>
              </a:graphicData>
            </a:graphic>
          </wp:inline>
        </w:drawing>
      </w:r>
    </w:p>
    <w:p>
      <w:pPr>
        <w:pStyle w:val="10"/>
        <w:keepNext/>
        <w:spacing w:before="163" w:beforeLines="50" w:line="360" w:lineRule="auto"/>
        <w:jc w:val="center"/>
        <w:rPr>
          <w:rFonts w:ascii="Times New Roman" w:hAnsi="Times New Roman" w:eastAsia="宋体"/>
          <w:b/>
          <w:bCs/>
        </w:rPr>
      </w:pPr>
      <w:bookmarkStart w:id="807" w:name="_Ref18334"/>
      <w:r>
        <w:rPr>
          <w:rFonts w:ascii="Times New Roman" w:hAnsi="Times New Roman" w:eastAsia="宋体"/>
          <w:b/>
          <w:bCs/>
        </w:rPr>
        <w:t>图</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16</w:t>
      </w:r>
      <w:r>
        <w:rPr>
          <w:rFonts w:ascii="Times New Roman" w:hAnsi="Times New Roman" w:eastAsia="宋体"/>
          <w:b/>
          <w:bCs/>
        </w:rPr>
        <w:fldChar w:fldCharType="end"/>
      </w:r>
      <w:bookmarkEnd w:id="807"/>
      <w:r>
        <w:rPr>
          <w:rFonts w:ascii="Times New Roman" w:hAnsi="Times New Roman" w:eastAsia="宋体"/>
          <w:b/>
          <w:bCs/>
        </w:rPr>
        <w:t>单回线路</w:t>
      </w:r>
      <w:r>
        <w:rPr>
          <w:rFonts w:hint="eastAsia" w:ascii="Times New Roman" w:hAnsi="Times New Roman" w:eastAsia="宋体"/>
          <w:b/>
          <w:bCs/>
        </w:rPr>
        <w:t>经过居民区抬升至11.5m</w:t>
      </w:r>
      <w:r>
        <w:rPr>
          <w:rFonts w:ascii="Times New Roman" w:hAnsi="Times New Roman" w:eastAsia="宋体"/>
          <w:b/>
          <w:bCs/>
        </w:rPr>
        <w:t>工频电场强度预测结果图（2×JL3/G1A-630/45型导线）</w:t>
      </w:r>
    </w:p>
    <w:p>
      <w:r>
        <w:drawing>
          <wp:inline distT="0" distB="0" distL="114300" distR="114300">
            <wp:extent cx="5393690" cy="2268220"/>
            <wp:effectExtent l="0" t="0" r="16510" b="17780"/>
            <wp:docPr id="13"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1"/>
                    <pic:cNvPicPr>
                      <a:picLocks noChangeAspect="1"/>
                    </pic:cNvPicPr>
                  </pic:nvPicPr>
                  <pic:blipFill>
                    <a:blip r:embed="rId136"/>
                    <a:stretch>
                      <a:fillRect/>
                    </a:stretch>
                  </pic:blipFill>
                  <pic:spPr>
                    <a:xfrm>
                      <a:off x="0" y="0"/>
                      <a:ext cx="5393690" cy="2268220"/>
                    </a:xfrm>
                    <a:prstGeom prst="rect">
                      <a:avLst/>
                    </a:prstGeom>
                    <a:noFill/>
                    <a:ln>
                      <a:noFill/>
                    </a:ln>
                  </pic:spPr>
                </pic:pic>
              </a:graphicData>
            </a:graphic>
          </wp:inline>
        </w:drawing>
      </w:r>
    </w:p>
    <w:p>
      <w:pPr>
        <w:pStyle w:val="10"/>
        <w:rPr>
          <w:rFonts w:eastAsia="宋体"/>
        </w:rPr>
      </w:pPr>
      <w:bookmarkStart w:id="808" w:name="_Ref18360"/>
      <w:r>
        <w:rPr>
          <w:rFonts w:ascii="Times New Roman" w:hAnsi="Times New Roman" w:eastAsia="宋体"/>
          <w:b/>
          <w:bCs/>
        </w:rPr>
        <w:t>图</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17</w:t>
      </w:r>
      <w:r>
        <w:rPr>
          <w:rFonts w:ascii="Times New Roman" w:hAnsi="Times New Roman" w:eastAsia="宋体"/>
          <w:b/>
          <w:bCs/>
        </w:rPr>
        <w:fldChar w:fldCharType="end"/>
      </w:r>
      <w:bookmarkEnd w:id="808"/>
      <w:r>
        <w:rPr>
          <w:rFonts w:ascii="Times New Roman" w:hAnsi="Times New Roman" w:eastAsia="宋体"/>
          <w:b/>
          <w:bCs/>
        </w:rPr>
        <w:t>单回线路经过居民区抬升至11.5m工频</w:t>
      </w:r>
      <w:r>
        <w:rPr>
          <w:rFonts w:hint="eastAsia" w:ascii="Times New Roman" w:hAnsi="Times New Roman" w:eastAsia="宋体"/>
          <w:b/>
          <w:bCs/>
        </w:rPr>
        <w:t>磁感应</w:t>
      </w:r>
      <w:r>
        <w:rPr>
          <w:rFonts w:ascii="Times New Roman" w:hAnsi="Times New Roman" w:eastAsia="宋体"/>
          <w:b/>
          <w:bCs/>
        </w:rPr>
        <w:t>强度预测结果图（2×JL3/G1A-630/45型导线）</w:t>
      </w:r>
    </w:p>
    <w:p>
      <w:pPr>
        <w:pStyle w:val="83"/>
        <w:keepNext/>
        <w:spacing w:before="163" w:beforeLines="50" w:line="360" w:lineRule="auto"/>
        <w:ind w:firstLine="480" w:firstLineChars="200"/>
        <w:jc w:val="both"/>
      </w:pPr>
      <w:r>
        <w:rPr>
          <w:bCs/>
        </w:rPr>
        <w:t>（2）</w:t>
      </w:r>
      <w:r>
        <w:rPr>
          <w:rFonts w:hint="eastAsia"/>
        </w:rPr>
        <w:t>本工程拟建单回线路（导线型号：2</w:t>
      </w:r>
      <w:r>
        <w:t>×</w:t>
      </w:r>
      <w:r>
        <w:rPr>
          <w:rFonts w:hint="eastAsia"/>
          <w:color w:val="000000" w:themeColor="text1"/>
          <w14:textFill>
            <w14:solidFill>
              <w14:schemeClr w14:val="tx1"/>
            </w14:solidFill>
          </w14:textFill>
        </w:rPr>
        <w:t>JL3/G1A-400/35</w:t>
      </w:r>
      <w:r>
        <w:rPr>
          <w:rFonts w:hint="eastAsia"/>
        </w:rPr>
        <w:t>）最低线高下的工频电场强度及工频磁感应强度预测计算见</w:t>
      </w:r>
      <w:r>
        <w:rPr>
          <w:rFonts w:hint="eastAsia"/>
          <w:b w:val="0"/>
          <w:bCs w:val="0"/>
        </w:rPr>
        <w:fldChar w:fldCharType="begin"/>
      </w:r>
      <w:r>
        <w:rPr>
          <w:b w:val="0"/>
          <w:bCs w:val="0"/>
        </w:rPr>
        <w:instrText xml:space="preserve"> REF _Ref29787 \h  \* MERGEFORMAT</w:instrText>
      </w:r>
      <w:r>
        <w:rPr>
          <w:rFonts w:hint="eastAsia"/>
          <w:b w:val="0"/>
          <w:bCs w:val="0"/>
        </w:rPr>
        <w:fldChar w:fldCharType="separate"/>
      </w:r>
      <w:r>
        <w:rPr>
          <w:rFonts w:ascii="Times New Roman" w:hAnsi="Times New Roman" w:eastAsia="宋体"/>
          <w:b w:val="0"/>
          <w:bCs w:val="0"/>
        </w:rPr>
        <w:t>表46</w:t>
      </w:r>
      <w:r>
        <w:rPr>
          <w:rFonts w:hint="eastAsia"/>
          <w:b w:val="0"/>
          <w:bCs w:val="0"/>
        </w:rPr>
        <w:fldChar w:fldCharType="end"/>
      </w:r>
      <w:r>
        <w:rPr>
          <w:rFonts w:hint="eastAsia"/>
        </w:rPr>
        <w:t>，相应变化趋势见</w:t>
      </w:r>
      <w:r>
        <w:rPr>
          <w:rFonts w:hint="eastAsia"/>
          <w:b w:val="0"/>
          <w:bCs w:val="0"/>
        </w:rPr>
        <w:fldChar w:fldCharType="begin"/>
      </w:r>
      <w:r>
        <w:rPr>
          <w:b w:val="0"/>
          <w:bCs w:val="0"/>
        </w:rPr>
        <w:instrText xml:space="preserve"> REF _Ref21863 \h  \* MERGEFORMAT</w:instrText>
      </w:r>
      <w:r>
        <w:rPr>
          <w:rFonts w:hint="eastAsia"/>
          <w:b w:val="0"/>
          <w:bCs w:val="0"/>
        </w:rPr>
        <w:fldChar w:fldCharType="separate"/>
      </w:r>
      <w:r>
        <w:rPr>
          <w:rFonts w:hint="eastAsia"/>
          <w:b w:val="0"/>
          <w:bCs w:val="0"/>
          <w:color w:val="000000" w:themeColor="text1"/>
          <w:szCs w:val="21"/>
          <w14:textFill>
            <w14:solidFill>
              <w14:schemeClr w14:val="tx1"/>
            </w14:solidFill>
          </w14:textFill>
        </w:rPr>
        <w:t>图</w:t>
      </w:r>
      <w:r>
        <w:rPr>
          <w:b w:val="0"/>
          <w:bCs w:val="0"/>
          <w:color w:val="000000" w:themeColor="text1"/>
          <w:szCs w:val="21"/>
          <w14:textFill>
            <w14:solidFill>
              <w14:schemeClr w14:val="tx1"/>
            </w14:solidFill>
          </w14:textFill>
        </w:rPr>
        <w:t>18</w:t>
      </w:r>
      <w:r>
        <w:rPr>
          <w:rFonts w:hint="eastAsia"/>
          <w:b w:val="0"/>
          <w:bCs w:val="0"/>
        </w:rPr>
        <w:fldChar w:fldCharType="end"/>
      </w:r>
      <w:r>
        <w:rPr>
          <w:rFonts w:hint="eastAsia"/>
          <w:b w:val="0"/>
          <w:bCs w:val="0"/>
        </w:rPr>
        <w:t>~</w:t>
      </w:r>
      <w:r>
        <w:rPr>
          <w:rFonts w:hint="eastAsia"/>
          <w:b w:val="0"/>
          <w:bCs w:val="0"/>
        </w:rPr>
        <w:fldChar w:fldCharType="begin"/>
      </w:r>
      <w:r>
        <w:rPr>
          <w:b w:val="0"/>
          <w:bCs w:val="0"/>
        </w:rPr>
        <w:instrText xml:space="preserve"> REF _Ref30048 \h  \* MERGEFORMAT</w:instrText>
      </w:r>
      <w:r>
        <w:rPr>
          <w:rFonts w:hint="eastAsia"/>
          <w:b w:val="0"/>
          <w:bCs w:val="0"/>
        </w:rPr>
        <w:fldChar w:fldCharType="separate"/>
      </w:r>
      <w:r>
        <w:rPr>
          <w:rFonts w:ascii="Times New Roman" w:hAnsi="Times New Roman" w:eastAsia="宋体"/>
          <w:b w:val="0"/>
          <w:bCs w:val="0"/>
        </w:rPr>
        <w:t>图19</w:t>
      </w:r>
      <w:r>
        <w:rPr>
          <w:rFonts w:hint="eastAsia"/>
          <w:b w:val="0"/>
          <w:bCs w:val="0"/>
        </w:rPr>
        <w:fldChar w:fldCharType="end"/>
      </w:r>
      <w:r>
        <w:rPr>
          <w:rFonts w:hint="eastAsia"/>
        </w:rPr>
        <w:t>。</w:t>
      </w:r>
    </w:p>
    <w:p>
      <w:pPr>
        <w:pStyle w:val="10"/>
        <w:rPr>
          <w:rFonts w:ascii="Times New Roman" w:hAnsi="Times New Roman" w:eastAsia="宋体"/>
          <w:b/>
          <w:bCs/>
        </w:rPr>
      </w:pPr>
      <w:bookmarkStart w:id="809" w:name="_Ref29787"/>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46</w:t>
      </w:r>
      <w:r>
        <w:rPr>
          <w:rFonts w:ascii="Times New Roman" w:hAnsi="Times New Roman" w:eastAsia="宋体"/>
          <w:b/>
          <w:bCs/>
        </w:rPr>
        <w:fldChar w:fldCharType="end"/>
      </w:r>
      <w:bookmarkEnd w:id="809"/>
      <w:r>
        <w:rPr>
          <w:rFonts w:hint="eastAsia" w:ascii="Times New Roman" w:hAnsi="Times New Roman" w:eastAsia="宋体"/>
          <w:b/>
          <w:bCs/>
        </w:rPr>
        <w:t xml:space="preserve"> </w:t>
      </w:r>
      <w:r>
        <w:rPr>
          <w:rFonts w:ascii="Times New Roman" w:hAnsi="Times New Roman" w:eastAsia="宋体"/>
          <w:b/>
          <w:bCs/>
        </w:rPr>
        <w:t>220kV</w:t>
      </w:r>
      <w:r>
        <w:rPr>
          <w:rFonts w:hint="eastAsia" w:ascii="Times New Roman" w:hAnsi="Times New Roman" w:eastAsia="宋体"/>
          <w:b/>
          <w:bCs/>
        </w:rPr>
        <w:t>单</w:t>
      </w:r>
      <w:r>
        <w:rPr>
          <w:rFonts w:ascii="Times New Roman" w:hAnsi="Times New Roman" w:eastAsia="宋体"/>
          <w:b/>
          <w:bCs/>
        </w:rPr>
        <w:t>回线路工频电场强度及工频磁感应强度预测结果</w:t>
      </w:r>
      <w:r>
        <w:rPr>
          <w:rFonts w:hint="eastAsia" w:ascii="Times New Roman" w:hAnsi="Times New Roman" w:eastAsia="宋体"/>
          <w:b/>
          <w:bCs/>
        </w:rPr>
        <w:t>（2×JL3/G1A-400/35型导线）</w:t>
      </w:r>
    </w:p>
    <w:tbl>
      <w:tblPr>
        <w:tblStyle w:val="37"/>
        <w:tblW w:w="50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116"/>
        <w:gridCol w:w="1217"/>
        <w:gridCol w:w="1098"/>
        <w:gridCol w:w="1099"/>
        <w:gridCol w:w="1098"/>
        <w:gridCol w:w="1095"/>
        <w:gridCol w:w="10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180" w:type="pct"/>
            <w:gridSpan w:val="2"/>
            <w:tcBorders>
              <w:tl2br w:val="single" w:color="auto" w:sz="4" w:space="0"/>
            </w:tcBorders>
            <w:shd w:val="clear" w:color="auto" w:fill="auto"/>
          </w:tcPr>
          <w:p>
            <w:pPr>
              <w:widowControl/>
              <w:jc w:val="right"/>
              <w:rPr>
                <w:b/>
                <w:bCs/>
                <w:color w:val="000000"/>
                <w:kern w:val="0"/>
                <w:szCs w:val="21"/>
              </w:rPr>
            </w:pPr>
            <w:r>
              <w:rPr>
                <w:rFonts w:hint="eastAsia"/>
                <w:b/>
                <w:bCs/>
                <w:color w:val="000000"/>
                <w:kern w:val="0"/>
                <w:szCs w:val="21"/>
              </w:rPr>
              <w:t>项目</w:t>
            </w:r>
          </w:p>
          <w:p>
            <w:pPr>
              <w:pStyle w:val="36"/>
              <w:spacing w:after="0"/>
              <w:ind w:left="0" w:leftChars="0" w:firstLine="0"/>
            </w:pPr>
            <w:r>
              <w:rPr>
                <w:rFonts w:hint="eastAsia"/>
                <w:b/>
                <w:bCs/>
                <w:color w:val="000000"/>
                <w:sz w:val="21"/>
                <w:szCs w:val="21"/>
              </w:rPr>
              <w:t>与线路关系</w:t>
            </w:r>
          </w:p>
        </w:tc>
        <w:tc>
          <w:tcPr>
            <w:tcW w:w="1944" w:type="pct"/>
            <w:gridSpan w:val="3"/>
            <w:shd w:val="clear" w:color="auto" w:fill="auto"/>
            <w:vAlign w:val="center"/>
          </w:tcPr>
          <w:p>
            <w:pPr>
              <w:widowControl/>
              <w:jc w:val="center"/>
              <w:rPr>
                <w:b/>
                <w:bCs/>
                <w:color w:val="000000"/>
                <w:kern w:val="0"/>
                <w:szCs w:val="21"/>
              </w:rPr>
            </w:pPr>
            <w:r>
              <w:rPr>
                <w:rFonts w:hint="eastAsia"/>
                <w:b/>
                <w:bCs/>
                <w:color w:val="000000"/>
                <w:kern w:val="0"/>
                <w:szCs w:val="21"/>
              </w:rPr>
              <w:t>工频电场强度（</w:t>
            </w:r>
            <w:r>
              <w:rPr>
                <w:rFonts w:cs="ˎ̥"/>
                <w:b/>
                <w:bCs/>
                <w:color w:val="000000"/>
                <w:szCs w:val="21"/>
              </w:rPr>
              <w:t>kV</w:t>
            </w:r>
            <w:r>
              <w:rPr>
                <w:rFonts w:hint="eastAsia" w:cs="ˎ̥"/>
                <w:b/>
                <w:bCs/>
                <w:color w:val="000000"/>
                <w:szCs w:val="21"/>
              </w:rPr>
              <w:t>/m)</w:t>
            </w:r>
          </w:p>
        </w:tc>
        <w:tc>
          <w:tcPr>
            <w:tcW w:w="1875" w:type="pct"/>
            <w:gridSpan w:val="3"/>
            <w:shd w:val="clear" w:color="auto" w:fill="auto"/>
            <w:vAlign w:val="center"/>
          </w:tcPr>
          <w:p>
            <w:pPr>
              <w:widowControl/>
              <w:jc w:val="center"/>
              <w:rPr>
                <w:b/>
                <w:bCs/>
                <w:color w:val="000000"/>
                <w:kern w:val="0"/>
                <w:szCs w:val="21"/>
              </w:rPr>
            </w:pPr>
            <w:r>
              <w:rPr>
                <w:rFonts w:hint="eastAsia"/>
                <w:b/>
                <w:bCs/>
                <w:color w:val="000000"/>
                <w:kern w:val="0"/>
                <w:szCs w:val="21"/>
              </w:rPr>
              <w:t>工频磁感应强度（</w:t>
            </w:r>
            <w:r>
              <w:rPr>
                <w:rFonts w:hint="eastAsia"/>
                <w:color w:val="000000"/>
                <w:szCs w:val="21"/>
              </w:rPr>
              <w:t>µT）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545" w:type="pct"/>
            <w:vMerge w:val="restart"/>
            <w:shd w:val="clear" w:color="auto" w:fill="auto"/>
            <w:vAlign w:val="center"/>
          </w:tcPr>
          <w:p>
            <w:pPr>
              <w:widowControl/>
              <w:jc w:val="center"/>
              <w:rPr>
                <w:b/>
                <w:bCs/>
                <w:color w:val="000000"/>
                <w:kern w:val="0"/>
                <w:szCs w:val="21"/>
              </w:rPr>
            </w:pPr>
            <w:r>
              <w:rPr>
                <w:rFonts w:hint="eastAsia"/>
                <w:b/>
                <w:bCs/>
                <w:color w:val="000000"/>
                <w:kern w:val="0"/>
                <w:szCs w:val="21"/>
              </w:rPr>
              <w:t>距线路中心的距离</w:t>
            </w:r>
            <w:r>
              <w:rPr>
                <w:b/>
                <w:bCs/>
                <w:color w:val="000000"/>
                <w:kern w:val="0"/>
                <w:szCs w:val="21"/>
              </w:rPr>
              <w:t>(m)</w:t>
            </w:r>
          </w:p>
        </w:tc>
        <w:tc>
          <w:tcPr>
            <w:tcW w:w="634" w:type="pct"/>
            <w:vMerge w:val="restart"/>
            <w:shd w:val="clear" w:color="auto" w:fill="auto"/>
            <w:vAlign w:val="center"/>
          </w:tcPr>
          <w:p>
            <w:pPr>
              <w:widowControl/>
              <w:jc w:val="center"/>
              <w:rPr>
                <w:b/>
                <w:bCs/>
                <w:color w:val="000000"/>
                <w:kern w:val="0"/>
                <w:szCs w:val="21"/>
              </w:rPr>
            </w:pPr>
            <w:r>
              <w:rPr>
                <w:rFonts w:hint="eastAsia"/>
                <w:b/>
                <w:bCs/>
                <w:color w:val="000000"/>
                <w:kern w:val="0"/>
                <w:szCs w:val="21"/>
              </w:rPr>
              <w:t>距边导线距离</w:t>
            </w:r>
            <w:r>
              <w:rPr>
                <w:b/>
                <w:bCs/>
                <w:color w:val="000000"/>
                <w:kern w:val="0"/>
                <w:szCs w:val="21"/>
              </w:rPr>
              <w:t>(m)</w:t>
            </w:r>
          </w:p>
        </w:tc>
        <w:tc>
          <w:tcPr>
            <w:tcW w:w="693" w:type="pct"/>
            <w:shd w:val="clear" w:color="auto" w:fill="auto"/>
            <w:vAlign w:val="center"/>
          </w:tcPr>
          <w:p>
            <w:pPr>
              <w:widowControl/>
              <w:jc w:val="center"/>
              <w:rPr>
                <w:b/>
                <w:bCs/>
                <w:color w:val="000000"/>
                <w:kern w:val="0"/>
                <w:szCs w:val="21"/>
              </w:rPr>
            </w:pPr>
            <w:r>
              <w:rPr>
                <w:rFonts w:hint="eastAsia"/>
                <w:color w:val="000000"/>
                <w:szCs w:val="21"/>
              </w:rPr>
              <w:t>导线对地</w:t>
            </w:r>
            <w:r>
              <w:rPr>
                <w:color w:val="000000"/>
                <w:szCs w:val="21"/>
              </w:rPr>
              <w:t>6</w:t>
            </w:r>
            <w:r>
              <w:rPr>
                <w:rFonts w:hint="eastAsia"/>
                <w:color w:val="000000"/>
                <w:szCs w:val="21"/>
              </w:rPr>
              <w:t>.5</w:t>
            </w:r>
            <w:r>
              <w:rPr>
                <w:color w:val="000000"/>
                <w:szCs w:val="21"/>
              </w:rPr>
              <w:t>m</w:t>
            </w:r>
          </w:p>
        </w:tc>
        <w:tc>
          <w:tcPr>
            <w:tcW w:w="1251" w:type="pct"/>
            <w:gridSpan w:val="2"/>
            <w:shd w:val="clear" w:color="auto" w:fill="auto"/>
            <w:vAlign w:val="center"/>
          </w:tcPr>
          <w:p>
            <w:pPr>
              <w:widowControl/>
              <w:jc w:val="center"/>
              <w:rPr>
                <w:b/>
                <w:bCs/>
                <w:color w:val="000000"/>
                <w:kern w:val="0"/>
                <w:szCs w:val="21"/>
              </w:rPr>
            </w:pPr>
            <w:r>
              <w:rPr>
                <w:rFonts w:hint="eastAsia"/>
                <w:color w:val="000000"/>
                <w:szCs w:val="21"/>
              </w:rPr>
              <w:t>导线对地</w:t>
            </w:r>
            <w:r>
              <w:rPr>
                <w:color w:val="000000"/>
                <w:szCs w:val="21"/>
              </w:rPr>
              <w:t>7</w:t>
            </w:r>
            <w:r>
              <w:rPr>
                <w:rFonts w:hint="eastAsia"/>
                <w:color w:val="000000"/>
                <w:szCs w:val="21"/>
              </w:rPr>
              <w:t>.5</w:t>
            </w:r>
            <w:r>
              <w:rPr>
                <w:color w:val="000000"/>
                <w:szCs w:val="21"/>
              </w:rPr>
              <w:t>m</w:t>
            </w:r>
          </w:p>
        </w:tc>
        <w:tc>
          <w:tcPr>
            <w:tcW w:w="625" w:type="pct"/>
            <w:shd w:val="clear" w:color="auto" w:fill="auto"/>
            <w:vAlign w:val="center"/>
          </w:tcPr>
          <w:p>
            <w:pPr>
              <w:widowControl/>
              <w:jc w:val="center"/>
              <w:rPr>
                <w:b/>
                <w:bCs/>
                <w:color w:val="000000"/>
                <w:kern w:val="0"/>
                <w:szCs w:val="21"/>
              </w:rPr>
            </w:pPr>
            <w:r>
              <w:rPr>
                <w:rFonts w:hint="eastAsia"/>
                <w:color w:val="000000"/>
                <w:szCs w:val="21"/>
              </w:rPr>
              <w:t>导线对地</w:t>
            </w:r>
            <w:r>
              <w:rPr>
                <w:color w:val="000000"/>
                <w:szCs w:val="21"/>
              </w:rPr>
              <w:t>6</w:t>
            </w:r>
            <w:r>
              <w:rPr>
                <w:rFonts w:hint="eastAsia"/>
                <w:color w:val="000000"/>
                <w:szCs w:val="21"/>
              </w:rPr>
              <w:t>.5</w:t>
            </w:r>
            <w:r>
              <w:rPr>
                <w:color w:val="000000"/>
                <w:szCs w:val="21"/>
              </w:rPr>
              <w:t>m</w:t>
            </w:r>
          </w:p>
        </w:tc>
        <w:tc>
          <w:tcPr>
            <w:tcW w:w="1249" w:type="pct"/>
            <w:gridSpan w:val="2"/>
            <w:vAlign w:val="center"/>
          </w:tcPr>
          <w:p>
            <w:pPr>
              <w:widowControl/>
              <w:jc w:val="center"/>
              <w:rPr>
                <w:b/>
                <w:bCs/>
                <w:color w:val="000000"/>
                <w:kern w:val="0"/>
                <w:szCs w:val="21"/>
              </w:rPr>
            </w:pPr>
            <w:r>
              <w:rPr>
                <w:rFonts w:hint="eastAsia"/>
                <w:color w:val="000000"/>
                <w:szCs w:val="21"/>
              </w:rPr>
              <w:t>导线对地</w:t>
            </w:r>
            <w:r>
              <w:rPr>
                <w:color w:val="000000"/>
                <w:szCs w:val="21"/>
              </w:rPr>
              <w:t>7</w:t>
            </w:r>
            <w:r>
              <w:rPr>
                <w:rFonts w:hint="eastAsia"/>
                <w:color w:val="000000"/>
                <w:szCs w:val="21"/>
              </w:rPr>
              <w:t>.5</w:t>
            </w:r>
            <w:r>
              <w:rPr>
                <w:color w:val="000000"/>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Merge w:val="continue"/>
            <w:shd w:val="clear" w:color="auto" w:fill="auto"/>
            <w:vAlign w:val="center"/>
          </w:tcPr>
          <w:p>
            <w:pPr>
              <w:widowControl/>
              <w:jc w:val="center"/>
              <w:rPr>
                <w:b/>
                <w:bCs/>
                <w:color w:val="000000"/>
                <w:kern w:val="0"/>
                <w:szCs w:val="21"/>
              </w:rPr>
            </w:pPr>
          </w:p>
        </w:tc>
        <w:tc>
          <w:tcPr>
            <w:tcW w:w="634" w:type="pct"/>
            <w:vMerge w:val="continue"/>
            <w:shd w:val="clear" w:color="auto" w:fill="auto"/>
            <w:vAlign w:val="center"/>
          </w:tcPr>
          <w:p>
            <w:pPr>
              <w:widowControl/>
              <w:jc w:val="center"/>
              <w:rPr>
                <w:b/>
                <w:bCs/>
                <w:color w:val="000000"/>
                <w:kern w:val="0"/>
                <w:szCs w:val="21"/>
              </w:rPr>
            </w:pPr>
          </w:p>
        </w:tc>
        <w:tc>
          <w:tcPr>
            <w:tcW w:w="693" w:type="pct"/>
            <w:shd w:val="clear" w:color="auto" w:fill="auto"/>
            <w:vAlign w:val="center"/>
          </w:tcPr>
          <w:p>
            <w:pPr>
              <w:widowControl/>
              <w:jc w:val="center"/>
              <w:rPr>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5" w:type="pct"/>
            <w:vAlign w:val="center"/>
          </w:tcPr>
          <w:p>
            <w:pPr>
              <w:widowControl/>
              <w:jc w:val="center"/>
              <w:rPr>
                <w:b/>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5" w:type="pct"/>
            <w:vAlign w:val="center"/>
          </w:tcPr>
          <w:p>
            <w:pPr>
              <w:widowControl/>
              <w:jc w:val="center"/>
              <w:rPr>
                <w:b/>
                <w:bCs/>
                <w:color w:val="000000"/>
                <w:kern w:val="0"/>
                <w:szCs w:val="21"/>
              </w:rPr>
            </w:pPr>
            <w:r>
              <w:rPr>
                <w:bCs/>
                <w:color w:val="000000"/>
                <w:kern w:val="0"/>
                <w:szCs w:val="21"/>
              </w:rPr>
              <w:t>地面4.5m</w:t>
            </w:r>
          </w:p>
        </w:tc>
        <w:tc>
          <w:tcPr>
            <w:tcW w:w="625" w:type="pct"/>
            <w:vAlign w:val="center"/>
          </w:tcPr>
          <w:p>
            <w:pPr>
              <w:widowControl/>
              <w:jc w:val="center"/>
              <w:rPr>
                <w:b/>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4" w:type="pct"/>
            <w:vAlign w:val="center"/>
          </w:tcPr>
          <w:p>
            <w:pPr>
              <w:widowControl/>
              <w:jc w:val="center"/>
              <w:rPr>
                <w:b/>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5" w:type="pct"/>
            <w:vAlign w:val="center"/>
          </w:tcPr>
          <w:p>
            <w:pPr>
              <w:widowControl/>
              <w:jc w:val="center"/>
              <w:rPr>
                <w:b/>
                <w:bCs/>
                <w:color w:val="000000"/>
                <w:kern w:val="0"/>
                <w:szCs w:val="21"/>
              </w:rPr>
            </w:pPr>
            <w:r>
              <w:rPr>
                <w:bCs/>
                <w:color w:val="000000"/>
                <w:kern w:val="0"/>
                <w:szCs w:val="21"/>
              </w:rPr>
              <w:t>地面4.5m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0.0</w:t>
            </w:r>
          </w:p>
        </w:tc>
        <w:tc>
          <w:tcPr>
            <w:tcW w:w="634" w:type="pct"/>
            <w:vMerge w:val="restart"/>
            <w:vAlign w:val="center"/>
          </w:tcPr>
          <w:p>
            <w:pPr>
              <w:widowControl/>
              <w:jc w:val="center"/>
              <w:rPr>
                <w:b/>
                <w:bCs/>
                <w:color w:val="000000"/>
                <w:kern w:val="0"/>
                <w:szCs w:val="21"/>
              </w:rPr>
            </w:pPr>
            <w:r>
              <w:rPr>
                <w:rFonts w:hint="eastAsia" w:cs="宋体"/>
                <w:color w:val="000000"/>
                <w:kern w:val="0"/>
                <w:szCs w:val="21"/>
                <w:lang w:bidi="ar"/>
              </w:rPr>
              <w:t>边导线内</w:t>
            </w:r>
          </w:p>
        </w:tc>
        <w:tc>
          <w:tcPr>
            <w:tcW w:w="693"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b/>
                <w:color w:val="000000"/>
                <w:szCs w:val="21"/>
              </w:rPr>
            </w:pPr>
            <w:r>
              <w:rPr>
                <w:rFonts w:hint="eastAsia"/>
                <w:b/>
                <w:color w:val="000000"/>
                <w:szCs w:val="21"/>
              </w:rPr>
              <w:t>/</w:t>
            </w:r>
          </w:p>
        </w:tc>
        <w:tc>
          <w:tcPr>
            <w:tcW w:w="624" w:type="pct"/>
            <w:vAlign w:val="bottom"/>
          </w:tcPr>
          <w:p>
            <w:pPr>
              <w:widowControl/>
              <w:jc w:val="center"/>
              <w:textAlignment w:val="bottom"/>
              <w:rPr>
                <w:b/>
                <w:bCs/>
                <w:color w:val="000000"/>
                <w:kern w:val="0"/>
                <w:szCs w:val="21"/>
                <w:lang w:bidi="ar"/>
              </w:rPr>
            </w:pPr>
            <w:r>
              <w:rPr>
                <w:rFonts w:hint="eastAsia"/>
                <w:b/>
                <w:color w:val="000000"/>
                <w:szCs w:val="21"/>
              </w:rPr>
              <w:t>/</w:t>
            </w:r>
          </w:p>
        </w:tc>
        <w:tc>
          <w:tcPr>
            <w:tcW w:w="625" w:type="pct"/>
            <w:vAlign w:val="bottom"/>
          </w:tcPr>
          <w:p>
            <w:pPr>
              <w:widowControl/>
              <w:jc w:val="center"/>
              <w:textAlignment w:val="bottom"/>
              <w:rPr>
                <w:b/>
                <w:bCs/>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1.0</w:t>
            </w:r>
          </w:p>
        </w:tc>
        <w:tc>
          <w:tcPr>
            <w:tcW w:w="634"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5"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2.0</w:t>
            </w:r>
          </w:p>
        </w:tc>
        <w:tc>
          <w:tcPr>
            <w:tcW w:w="634"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5"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3.0</w:t>
            </w:r>
          </w:p>
        </w:tc>
        <w:tc>
          <w:tcPr>
            <w:tcW w:w="634"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5"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4.0</w:t>
            </w:r>
          </w:p>
        </w:tc>
        <w:tc>
          <w:tcPr>
            <w:tcW w:w="634"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5"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5.0</w:t>
            </w:r>
          </w:p>
        </w:tc>
        <w:tc>
          <w:tcPr>
            <w:tcW w:w="634"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5"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6.0</w:t>
            </w:r>
          </w:p>
        </w:tc>
        <w:tc>
          <w:tcPr>
            <w:tcW w:w="634"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kern w:val="0"/>
                <w:szCs w:val="21"/>
                <w:lang w:bidi="ar"/>
              </w:rPr>
            </w:pPr>
            <w:r>
              <w:rPr>
                <w:color w:val="000000"/>
                <w:kern w:val="0"/>
                <w:szCs w:val="21"/>
                <w:lang w:bidi="ar"/>
              </w:rPr>
              <w:t>5.98</w:t>
            </w:r>
          </w:p>
        </w:tc>
        <w:tc>
          <w:tcPr>
            <w:tcW w:w="625" w:type="pct"/>
            <w:vAlign w:val="bottom"/>
          </w:tcPr>
          <w:p>
            <w:pPr>
              <w:widowControl/>
              <w:jc w:val="center"/>
              <w:textAlignment w:val="bottom"/>
              <w:rPr>
                <w:color w:val="000000"/>
                <w:kern w:val="0"/>
                <w:szCs w:val="21"/>
                <w:lang w:bidi="ar"/>
              </w:rPr>
            </w:pPr>
            <w:r>
              <w:rPr>
                <w:color w:val="000000"/>
                <w:kern w:val="0"/>
                <w:szCs w:val="21"/>
                <w:lang w:bidi="ar"/>
              </w:rPr>
              <w:t>4.82</w:t>
            </w:r>
          </w:p>
        </w:tc>
        <w:tc>
          <w:tcPr>
            <w:tcW w:w="625" w:type="pct"/>
            <w:vAlign w:val="bottom"/>
          </w:tcPr>
          <w:p>
            <w:pPr>
              <w:widowControl/>
              <w:jc w:val="center"/>
              <w:textAlignment w:val="bottom"/>
              <w:rPr>
                <w:color w:val="000000"/>
                <w:kern w:val="0"/>
                <w:szCs w:val="21"/>
                <w:lang w:bidi="ar"/>
              </w:rPr>
            </w:pPr>
            <w:r>
              <w:rPr>
                <w:color w:val="000000"/>
                <w:kern w:val="0"/>
                <w:szCs w:val="21"/>
                <w:lang w:bidi="ar"/>
              </w:rPr>
              <w:t>8.88</w:t>
            </w:r>
          </w:p>
        </w:tc>
        <w:tc>
          <w:tcPr>
            <w:tcW w:w="625" w:type="pct"/>
            <w:vAlign w:val="bottom"/>
          </w:tcPr>
          <w:p>
            <w:pPr>
              <w:widowControl/>
              <w:jc w:val="center"/>
              <w:textAlignment w:val="bottom"/>
              <w:rPr>
                <w:color w:val="000000"/>
                <w:kern w:val="0"/>
                <w:szCs w:val="21"/>
                <w:lang w:bidi="ar"/>
              </w:rPr>
            </w:pPr>
            <w:r>
              <w:rPr>
                <w:b/>
                <w:bCs/>
                <w:color w:val="000000"/>
                <w:kern w:val="0"/>
                <w:szCs w:val="21"/>
                <w:lang w:bidi="ar"/>
              </w:rPr>
              <w:t>60.97</w:t>
            </w:r>
          </w:p>
        </w:tc>
        <w:tc>
          <w:tcPr>
            <w:tcW w:w="624" w:type="pct"/>
            <w:vAlign w:val="bottom"/>
          </w:tcPr>
          <w:p>
            <w:pPr>
              <w:widowControl/>
              <w:jc w:val="center"/>
              <w:textAlignment w:val="bottom"/>
              <w:rPr>
                <w:color w:val="000000"/>
                <w:kern w:val="0"/>
                <w:szCs w:val="21"/>
                <w:lang w:bidi="ar"/>
              </w:rPr>
            </w:pPr>
            <w:r>
              <w:rPr>
                <w:b/>
                <w:bCs/>
                <w:color w:val="000000"/>
                <w:kern w:val="0"/>
                <w:szCs w:val="21"/>
                <w:lang w:bidi="ar"/>
              </w:rPr>
              <w:t>49.56</w:t>
            </w:r>
          </w:p>
        </w:tc>
        <w:tc>
          <w:tcPr>
            <w:tcW w:w="625" w:type="pct"/>
            <w:vAlign w:val="bottom"/>
          </w:tcPr>
          <w:p>
            <w:pPr>
              <w:widowControl/>
              <w:jc w:val="center"/>
              <w:textAlignment w:val="bottom"/>
              <w:rPr>
                <w:color w:val="000000"/>
                <w:kern w:val="0"/>
                <w:szCs w:val="21"/>
                <w:lang w:bidi="ar"/>
              </w:rPr>
            </w:pPr>
            <w:r>
              <w:rPr>
                <w:color w:val="000000"/>
                <w:kern w:val="0"/>
                <w:szCs w:val="21"/>
                <w:lang w:bidi="ar"/>
              </w:rPr>
              <w:t>99.61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7.0</w:t>
            </w:r>
          </w:p>
        </w:tc>
        <w:tc>
          <w:tcPr>
            <w:tcW w:w="634" w:type="pct"/>
            <w:vMerge w:val="continue"/>
            <w:vAlign w:val="center"/>
          </w:tcPr>
          <w:p>
            <w:pPr>
              <w:widowControl/>
              <w:jc w:val="center"/>
              <w:textAlignment w:val="center"/>
              <w:rPr>
                <w:rFonts w:cs="宋体"/>
                <w:color w:val="000000"/>
                <w:szCs w:val="21"/>
              </w:rPr>
            </w:pPr>
          </w:p>
        </w:tc>
        <w:tc>
          <w:tcPr>
            <w:tcW w:w="693" w:type="pct"/>
            <w:vAlign w:val="bottom"/>
          </w:tcPr>
          <w:p>
            <w:pPr>
              <w:widowControl/>
              <w:jc w:val="center"/>
              <w:textAlignment w:val="bottom"/>
              <w:rPr>
                <w:b/>
                <w:color w:val="000000"/>
                <w:szCs w:val="21"/>
              </w:rPr>
            </w:pPr>
            <w:r>
              <w:rPr>
                <w:color w:val="000000"/>
                <w:kern w:val="0"/>
                <w:szCs w:val="21"/>
                <w:lang w:bidi="ar"/>
              </w:rPr>
              <w:t>6.67</w:t>
            </w:r>
          </w:p>
        </w:tc>
        <w:tc>
          <w:tcPr>
            <w:tcW w:w="625" w:type="pct"/>
            <w:vAlign w:val="bottom"/>
          </w:tcPr>
          <w:p>
            <w:pPr>
              <w:widowControl/>
              <w:jc w:val="center"/>
              <w:textAlignment w:val="bottom"/>
              <w:rPr>
                <w:color w:val="000000"/>
                <w:szCs w:val="21"/>
              </w:rPr>
            </w:pPr>
            <w:r>
              <w:rPr>
                <w:color w:val="000000"/>
                <w:kern w:val="0"/>
                <w:szCs w:val="21"/>
                <w:lang w:bidi="ar"/>
              </w:rPr>
              <w:t>5.29</w:t>
            </w:r>
          </w:p>
        </w:tc>
        <w:tc>
          <w:tcPr>
            <w:tcW w:w="625" w:type="pct"/>
            <w:vAlign w:val="bottom"/>
          </w:tcPr>
          <w:p>
            <w:pPr>
              <w:widowControl/>
              <w:jc w:val="center"/>
              <w:textAlignment w:val="bottom"/>
              <w:rPr>
                <w:color w:val="000000"/>
                <w:szCs w:val="21"/>
              </w:rPr>
            </w:pPr>
            <w:r>
              <w:rPr>
                <w:color w:val="000000"/>
                <w:kern w:val="0"/>
                <w:szCs w:val="21"/>
                <w:lang w:bidi="ar"/>
              </w:rPr>
              <w:t>9.67</w:t>
            </w:r>
          </w:p>
        </w:tc>
        <w:tc>
          <w:tcPr>
            <w:tcW w:w="625" w:type="pct"/>
            <w:vAlign w:val="bottom"/>
          </w:tcPr>
          <w:p>
            <w:pPr>
              <w:widowControl/>
              <w:jc w:val="center"/>
              <w:textAlignment w:val="bottom"/>
              <w:rPr>
                <w:color w:val="000000"/>
                <w:szCs w:val="21"/>
              </w:rPr>
            </w:pPr>
            <w:r>
              <w:rPr>
                <w:color w:val="000000"/>
                <w:kern w:val="0"/>
                <w:szCs w:val="21"/>
                <w:lang w:bidi="ar"/>
              </w:rPr>
              <w:t>58.97</w:t>
            </w:r>
          </w:p>
        </w:tc>
        <w:tc>
          <w:tcPr>
            <w:tcW w:w="624" w:type="pct"/>
            <w:vAlign w:val="bottom"/>
          </w:tcPr>
          <w:p>
            <w:pPr>
              <w:widowControl/>
              <w:jc w:val="center"/>
              <w:textAlignment w:val="bottom"/>
              <w:rPr>
                <w:color w:val="000000"/>
                <w:kern w:val="0"/>
                <w:szCs w:val="21"/>
                <w:lang w:bidi="ar"/>
              </w:rPr>
            </w:pPr>
            <w:r>
              <w:rPr>
                <w:color w:val="000000"/>
                <w:kern w:val="0"/>
                <w:szCs w:val="21"/>
                <w:lang w:bidi="ar"/>
              </w:rPr>
              <w:t>47.62</w:t>
            </w:r>
          </w:p>
        </w:tc>
        <w:tc>
          <w:tcPr>
            <w:tcW w:w="625" w:type="pct"/>
            <w:vAlign w:val="bottom"/>
          </w:tcPr>
          <w:p>
            <w:pPr>
              <w:widowControl/>
              <w:jc w:val="center"/>
              <w:textAlignment w:val="bottom"/>
              <w:rPr>
                <w:color w:val="000000"/>
                <w:kern w:val="0"/>
                <w:szCs w:val="21"/>
                <w:lang w:bidi="ar"/>
              </w:rPr>
            </w:pPr>
            <w:r>
              <w:rPr>
                <w:b/>
                <w:bCs/>
                <w:color w:val="000000"/>
                <w:kern w:val="0"/>
                <w:szCs w:val="21"/>
                <w:lang w:bidi="ar"/>
              </w:rPr>
              <w:t>101.85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7.9</w:t>
            </w:r>
          </w:p>
        </w:tc>
        <w:tc>
          <w:tcPr>
            <w:tcW w:w="634" w:type="pct"/>
            <w:vAlign w:val="center"/>
          </w:tcPr>
          <w:p>
            <w:pPr>
              <w:widowControl/>
              <w:jc w:val="center"/>
              <w:textAlignment w:val="center"/>
              <w:rPr>
                <w:rFonts w:cs="宋体"/>
                <w:color w:val="000000"/>
                <w:szCs w:val="21"/>
              </w:rPr>
            </w:pPr>
            <w:r>
              <w:rPr>
                <w:rFonts w:hint="eastAsia" w:cs="宋体"/>
                <w:color w:val="000000"/>
                <w:szCs w:val="21"/>
              </w:rPr>
              <w:t>边导线下</w:t>
            </w:r>
          </w:p>
        </w:tc>
        <w:tc>
          <w:tcPr>
            <w:tcW w:w="693" w:type="pct"/>
            <w:vAlign w:val="bottom"/>
          </w:tcPr>
          <w:p>
            <w:pPr>
              <w:widowControl/>
              <w:jc w:val="center"/>
              <w:textAlignment w:val="bottom"/>
              <w:rPr>
                <w:color w:val="000000"/>
                <w:szCs w:val="21"/>
              </w:rPr>
            </w:pPr>
            <w:r>
              <w:rPr>
                <w:b/>
                <w:bCs/>
                <w:color w:val="000000"/>
                <w:kern w:val="0"/>
                <w:szCs w:val="21"/>
                <w:lang w:bidi="ar"/>
              </w:rPr>
              <w:t>7.02</w:t>
            </w:r>
          </w:p>
        </w:tc>
        <w:tc>
          <w:tcPr>
            <w:tcW w:w="625" w:type="pct"/>
            <w:vAlign w:val="bottom"/>
          </w:tcPr>
          <w:p>
            <w:pPr>
              <w:widowControl/>
              <w:jc w:val="center"/>
              <w:textAlignment w:val="bottom"/>
              <w:rPr>
                <w:color w:val="000000"/>
                <w:szCs w:val="21"/>
              </w:rPr>
            </w:pPr>
            <w:r>
              <w:rPr>
                <w:color w:val="000000"/>
                <w:kern w:val="0"/>
                <w:szCs w:val="21"/>
                <w:lang w:bidi="ar"/>
              </w:rPr>
              <w:t>5.55</w:t>
            </w:r>
          </w:p>
        </w:tc>
        <w:tc>
          <w:tcPr>
            <w:tcW w:w="625" w:type="pct"/>
            <w:vAlign w:val="bottom"/>
          </w:tcPr>
          <w:p>
            <w:pPr>
              <w:widowControl/>
              <w:jc w:val="center"/>
              <w:textAlignment w:val="bottom"/>
              <w:rPr>
                <w:b/>
                <w:bCs/>
                <w:color w:val="000000"/>
                <w:szCs w:val="21"/>
              </w:rPr>
            </w:pPr>
            <w:r>
              <w:rPr>
                <w:b/>
                <w:bCs/>
                <w:color w:val="000000"/>
                <w:kern w:val="0"/>
                <w:szCs w:val="21"/>
                <w:lang w:bidi="ar"/>
              </w:rPr>
              <w:t>9.84</w:t>
            </w:r>
          </w:p>
        </w:tc>
        <w:tc>
          <w:tcPr>
            <w:tcW w:w="625" w:type="pct"/>
            <w:vAlign w:val="bottom"/>
          </w:tcPr>
          <w:p>
            <w:pPr>
              <w:widowControl/>
              <w:jc w:val="center"/>
              <w:textAlignment w:val="bottom"/>
              <w:rPr>
                <w:color w:val="000000"/>
                <w:szCs w:val="21"/>
              </w:rPr>
            </w:pPr>
            <w:r>
              <w:rPr>
                <w:color w:val="000000"/>
                <w:kern w:val="0"/>
                <w:szCs w:val="21"/>
                <w:lang w:bidi="ar"/>
              </w:rPr>
              <w:t>55.86</w:t>
            </w:r>
          </w:p>
        </w:tc>
        <w:tc>
          <w:tcPr>
            <w:tcW w:w="624" w:type="pct"/>
            <w:vAlign w:val="bottom"/>
          </w:tcPr>
          <w:p>
            <w:pPr>
              <w:widowControl/>
              <w:jc w:val="center"/>
              <w:textAlignment w:val="bottom"/>
              <w:rPr>
                <w:color w:val="000000"/>
                <w:kern w:val="0"/>
                <w:szCs w:val="21"/>
                <w:lang w:bidi="ar"/>
              </w:rPr>
            </w:pPr>
            <w:r>
              <w:rPr>
                <w:color w:val="000000"/>
                <w:kern w:val="0"/>
                <w:szCs w:val="21"/>
                <w:lang w:bidi="ar"/>
              </w:rPr>
              <w:t>45.15</w:t>
            </w:r>
          </w:p>
        </w:tc>
        <w:tc>
          <w:tcPr>
            <w:tcW w:w="625" w:type="pct"/>
            <w:vAlign w:val="bottom"/>
          </w:tcPr>
          <w:p>
            <w:pPr>
              <w:widowControl/>
              <w:jc w:val="center"/>
              <w:textAlignment w:val="bottom"/>
              <w:rPr>
                <w:color w:val="000000"/>
                <w:kern w:val="0"/>
                <w:szCs w:val="21"/>
                <w:lang w:bidi="ar"/>
              </w:rPr>
            </w:pPr>
            <w:r>
              <w:rPr>
                <w:color w:val="000000"/>
                <w:kern w:val="0"/>
                <w:szCs w:val="21"/>
                <w:lang w:bidi="ar"/>
              </w:rPr>
              <w:t>97.97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8.9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w:t>
            </w:r>
          </w:p>
        </w:tc>
        <w:tc>
          <w:tcPr>
            <w:tcW w:w="693" w:type="pct"/>
            <w:vAlign w:val="bottom"/>
          </w:tcPr>
          <w:p>
            <w:pPr>
              <w:widowControl/>
              <w:jc w:val="center"/>
              <w:textAlignment w:val="bottom"/>
              <w:rPr>
                <w:color w:val="000000"/>
                <w:szCs w:val="21"/>
              </w:rPr>
            </w:pPr>
            <w:r>
              <w:rPr>
                <w:color w:val="000000"/>
                <w:kern w:val="0"/>
                <w:szCs w:val="21"/>
                <w:lang w:bidi="ar"/>
              </w:rPr>
              <w:t>6.97</w:t>
            </w:r>
          </w:p>
        </w:tc>
        <w:tc>
          <w:tcPr>
            <w:tcW w:w="625" w:type="pct"/>
            <w:vAlign w:val="bottom"/>
          </w:tcPr>
          <w:p>
            <w:pPr>
              <w:widowControl/>
              <w:jc w:val="center"/>
              <w:textAlignment w:val="bottom"/>
              <w:rPr>
                <w:b/>
                <w:color w:val="000000"/>
                <w:szCs w:val="21"/>
              </w:rPr>
            </w:pPr>
            <w:r>
              <w:rPr>
                <w:b/>
                <w:bCs/>
                <w:color w:val="000000"/>
                <w:kern w:val="0"/>
                <w:szCs w:val="21"/>
                <w:lang w:bidi="ar"/>
              </w:rPr>
              <w:t>5.58</w:t>
            </w:r>
          </w:p>
        </w:tc>
        <w:tc>
          <w:tcPr>
            <w:tcW w:w="625" w:type="pct"/>
            <w:vAlign w:val="bottom"/>
          </w:tcPr>
          <w:p>
            <w:pPr>
              <w:widowControl/>
              <w:jc w:val="center"/>
              <w:textAlignment w:val="bottom"/>
              <w:rPr>
                <w:b/>
                <w:color w:val="000000"/>
                <w:szCs w:val="21"/>
              </w:rPr>
            </w:pPr>
            <w:r>
              <w:rPr>
                <w:color w:val="000000"/>
                <w:kern w:val="0"/>
                <w:szCs w:val="21"/>
                <w:lang w:bidi="ar"/>
              </w:rPr>
              <w:t>9.1</w:t>
            </w:r>
          </w:p>
        </w:tc>
        <w:tc>
          <w:tcPr>
            <w:tcW w:w="625" w:type="pct"/>
            <w:vAlign w:val="bottom"/>
          </w:tcPr>
          <w:p>
            <w:pPr>
              <w:widowControl/>
              <w:jc w:val="center"/>
              <w:textAlignment w:val="bottom"/>
              <w:rPr>
                <w:color w:val="000000"/>
                <w:szCs w:val="21"/>
              </w:rPr>
            </w:pPr>
            <w:r>
              <w:rPr>
                <w:color w:val="000000"/>
                <w:kern w:val="0"/>
                <w:szCs w:val="21"/>
                <w:lang w:bidi="ar"/>
              </w:rPr>
              <w:t>50.98</w:t>
            </w:r>
          </w:p>
        </w:tc>
        <w:tc>
          <w:tcPr>
            <w:tcW w:w="624" w:type="pct"/>
            <w:vAlign w:val="bottom"/>
          </w:tcPr>
          <w:p>
            <w:pPr>
              <w:widowControl/>
              <w:jc w:val="center"/>
              <w:textAlignment w:val="bottom"/>
              <w:rPr>
                <w:b/>
                <w:color w:val="000000"/>
                <w:kern w:val="0"/>
                <w:szCs w:val="21"/>
                <w:lang w:bidi="ar"/>
              </w:rPr>
            </w:pPr>
            <w:r>
              <w:rPr>
                <w:color w:val="000000"/>
                <w:kern w:val="0"/>
                <w:szCs w:val="21"/>
                <w:lang w:bidi="ar"/>
              </w:rPr>
              <w:t>41.65</w:t>
            </w:r>
          </w:p>
        </w:tc>
        <w:tc>
          <w:tcPr>
            <w:tcW w:w="625" w:type="pct"/>
            <w:vAlign w:val="bottom"/>
          </w:tcPr>
          <w:p>
            <w:pPr>
              <w:widowControl/>
              <w:jc w:val="center"/>
              <w:textAlignment w:val="bottom"/>
              <w:rPr>
                <w:b/>
                <w:color w:val="000000"/>
                <w:kern w:val="0"/>
                <w:szCs w:val="21"/>
                <w:lang w:bidi="ar"/>
              </w:rPr>
            </w:pPr>
            <w:r>
              <w:rPr>
                <w:color w:val="000000"/>
                <w:kern w:val="0"/>
                <w:szCs w:val="21"/>
                <w:lang w:bidi="ar"/>
              </w:rPr>
              <w:t>85.69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9.9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w:t>
            </w:r>
          </w:p>
        </w:tc>
        <w:tc>
          <w:tcPr>
            <w:tcW w:w="693" w:type="pct"/>
            <w:vAlign w:val="bottom"/>
          </w:tcPr>
          <w:p>
            <w:pPr>
              <w:widowControl/>
              <w:jc w:val="center"/>
              <w:textAlignment w:val="bottom"/>
              <w:rPr>
                <w:color w:val="000000"/>
                <w:szCs w:val="21"/>
              </w:rPr>
            </w:pPr>
            <w:r>
              <w:rPr>
                <w:color w:val="000000"/>
                <w:kern w:val="0"/>
                <w:szCs w:val="21"/>
                <w:lang w:bidi="ar"/>
              </w:rPr>
              <w:t>6.52</w:t>
            </w:r>
          </w:p>
        </w:tc>
        <w:tc>
          <w:tcPr>
            <w:tcW w:w="625" w:type="pct"/>
            <w:vAlign w:val="bottom"/>
          </w:tcPr>
          <w:p>
            <w:pPr>
              <w:widowControl/>
              <w:jc w:val="center"/>
              <w:textAlignment w:val="bottom"/>
              <w:rPr>
                <w:color w:val="000000"/>
                <w:szCs w:val="21"/>
              </w:rPr>
            </w:pPr>
            <w:r>
              <w:rPr>
                <w:color w:val="000000"/>
                <w:kern w:val="0"/>
                <w:szCs w:val="21"/>
                <w:lang w:bidi="ar"/>
              </w:rPr>
              <w:t>5.35</w:t>
            </w:r>
          </w:p>
        </w:tc>
        <w:tc>
          <w:tcPr>
            <w:tcW w:w="625" w:type="pct"/>
            <w:vAlign w:val="bottom"/>
          </w:tcPr>
          <w:p>
            <w:pPr>
              <w:widowControl/>
              <w:jc w:val="center"/>
              <w:textAlignment w:val="bottom"/>
              <w:rPr>
                <w:color w:val="000000"/>
                <w:szCs w:val="21"/>
              </w:rPr>
            </w:pPr>
            <w:r>
              <w:rPr>
                <w:color w:val="000000"/>
                <w:kern w:val="0"/>
                <w:szCs w:val="21"/>
                <w:lang w:bidi="ar"/>
              </w:rPr>
              <w:t>7.76</w:t>
            </w:r>
          </w:p>
        </w:tc>
        <w:tc>
          <w:tcPr>
            <w:tcW w:w="625" w:type="pct"/>
            <w:vAlign w:val="bottom"/>
          </w:tcPr>
          <w:p>
            <w:pPr>
              <w:widowControl/>
              <w:jc w:val="center"/>
              <w:textAlignment w:val="bottom"/>
              <w:rPr>
                <w:color w:val="000000"/>
                <w:szCs w:val="21"/>
              </w:rPr>
            </w:pPr>
            <w:r>
              <w:rPr>
                <w:color w:val="000000"/>
                <w:kern w:val="0"/>
                <w:szCs w:val="21"/>
                <w:lang w:bidi="ar"/>
              </w:rPr>
              <w:t>45.17</w:t>
            </w:r>
          </w:p>
        </w:tc>
        <w:tc>
          <w:tcPr>
            <w:tcW w:w="624" w:type="pct"/>
            <w:vAlign w:val="bottom"/>
          </w:tcPr>
          <w:p>
            <w:pPr>
              <w:widowControl/>
              <w:jc w:val="center"/>
              <w:textAlignment w:val="bottom"/>
              <w:rPr>
                <w:color w:val="000000"/>
                <w:kern w:val="0"/>
                <w:szCs w:val="21"/>
                <w:lang w:bidi="ar"/>
              </w:rPr>
            </w:pPr>
            <w:r>
              <w:rPr>
                <w:color w:val="000000"/>
                <w:kern w:val="0"/>
                <w:szCs w:val="21"/>
                <w:lang w:bidi="ar"/>
              </w:rPr>
              <w:t>37.63</w:t>
            </w:r>
          </w:p>
        </w:tc>
        <w:tc>
          <w:tcPr>
            <w:tcW w:w="625" w:type="pct"/>
            <w:vAlign w:val="bottom"/>
          </w:tcPr>
          <w:p>
            <w:pPr>
              <w:widowControl/>
              <w:jc w:val="center"/>
              <w:textAlignment w:val="bottom"/>
              <w:rPr>
                <w:color w:val="000000"/>
                <w:kern w:val="0"/>
                <w:szCs w:val="21"/>
                <w:lang w:bidi="ar"/>
              </w:rPr>
            </w:pPr>
            <w:r>
              <w:rPr>
                <w:color w:val="000000"/>
                <w:kern w:val="0"/>
                <w:szCs w:val="21"/>
                <w:lang w:bidi="ar"/>
              </w:rPr>
              <w:t>69.85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10.9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3</w:t>
            </w:r>
          </w:p>
        </w:tc>
        <w:tc>
          <w:tcPr>
            <w:tcW w:w="693" w:type="pct"/>
            <w:vAlign w:val="bottom"/>
          </w:tcPr>
          <w:p>
            <w:pPr>
              <w:widowControl/>
              <w:jc w:val="center"/>
              <w:textAlignment w:val="bottom"/>
              <w:rPr>
                <w:color w:val="000000"/>
                <w:szCs w:val="21"/>
              </w:rPr>
            </w:pPr>
            <w:r>
              <w:rPr>
                <w:color w:val="000000"/>
                <w:kern w:val="0"/>
                <w:szCs w:val="21"/>
                <w:lang w:bidi="ar"/>
              </w:rPr>
              <w:t>5.82</w:t>
            </w:r>
          </w:p>
        </w:tc>
        <w:tc>
          <w:tcPr>
            <w:tcW w:w="625" w:type="pct"/>
            <w:vAlign w:val="bottom"/>
          </w:tcPr>
          <w:p>
            <w:pPr>
              <w:widowControl/>
              <w:jc w:val="center"/>
              <w:textAlignment w:val="bottom"/>
              <w:rPr>
                <w:color w:val="000000"/>
                <w:szCs w:val="21"/>
              </w:rPr>
            </w:pPr>
            <w:r>
              <w:rPr>
                <w:color w:val="000000"/>
                <w:kern w:val="0"/>
                <w:szCs w:val="21"/>
                <w:lang w:bidi="ar"/>
              </w:rPr>
              <w:t>4.94</w:t>
            </w:r>
          </w:p>
        </w:tc>
        <w:tc>
          <w:tcPr>
            <w:tcW w:w="625" w:type="pct"/>
            <w:vAlign w:val="bottom"/>
          </w:tcPr>
          <w:p>
            <w:pPr>
              <w:widowControl/>
              <w:jc w:val="center"/>
              <w:textAlignment w:val="bottom"/>
              <w:rPr>
                <w:color w:val="000000"/>
                <w:szCs w:val="21"/>
              </w:rPr>
            </w:pPr>
            <w:r>
              <w:rPr>
                <w:color w:val="000000"/>
                <w:kern w:val="0"/>
                <w:szCs w:val="21"/>
                <w:lang w:bidi="ar"/>
              </w:rPr>
              <w:t>6.37</w:t>
            </w:r>
          </w:p>
        </w:tc>
        <w:tc>
          <w:tcPr>
            <w:tcW w:w="625" w:type="pct"/>
            <w:vAlign w:val="bottom"/>
          </w:tcPr>
          <w:p>
            <w:pPr>
              <w:widowControl/>
              <w:jc w:val="center"/>
              <w:textAlignment w:val="bottom"/>
              <w:rPr>
                <w:color w:val="000000"/>
                <w:szCs w:val="21"/>
              </w:rPr>
            </w:pPr>
            <w:r>
              <w:rPr>
                <w:color w:val="000000"/>
                <w:kern w:val="0"/>
                <w:szCs w:val="21"/>
                <w:lang w:bidi="ar"/>
              </w:rPr>
              <w:t>39.23</w:t>
            </w:r>
          </w:p>
        </w:tc>
        <w:tc>
          <w:tcPr>
            <w:tcW w:w="624" w:type="pct"/>
            <w:vAlign w:val="bottom"/>
          </w:tcPr>
          <w:p>
            <w:pPr>
              <w:widowControl/>
              <w:jc w:val="center"/>
              <w:textAlignment w:val="bottom"/>
              <w:rPr>
                <w:color w:val="000000"/>
                <w:kern w:val="0"/>
                <w:szCs w:val="21"/>
                <w:lang w:bidi="ar"/>
              </w:rPr>
            </w:pPr>
            <w:r>
              <w:rPr>
                <w:color w:val="000000"/>
                <w:kern w:val="0"/>
                <w:szCs w:val="21"/>
                <w:lang w:bidi="ar"/>
              </w:rPr>
              <w:t>33.47</w:t>
            </w:r>
          </w:p>
        </w:tc>
        <w:tc>
          <w:tcPr>
            <w:tcW w:w="625" w:type="pct"/>
            <w:vAlign w:val="bottom"/>
          </w:tcPr>
          <w:p>
            <w:pPr>
              <w:widowControl/>
              <w:jc w:val="center"/>
              <w:textAlignment w:val="bottom"/>
              <w:rPr>
                <w:color w:val="000000"/>
                <w:kern w:val="0"/>
                <w:szCs w:val="21"/>
                <w:lang w:bidi="ar"/>
              </w:rPr>
            </w:pPr>
            <w:r>
              <w:rPr>
                <w:color w:val="000000"/>
                <w:kern w:val="0"/>
                <w:szCs w:val="21"/>
                <w:lang w:bidi="ar"/>
              </w:rPr>
              <w:t>55.53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11.9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4</w:t>
            </w:r>
          </w:p>
        </w:tc>
        <w:tc>
          <w:tcPr>
            <w:tcW w:w="693" w:type="pct"/>
            <w:vAlign w:val="bottom"/>
          </w:tcPr>
          <w:p>
            <w:pPr>
              <w:widowControl/>
              <w:jc w:val="center"/>
              <w:textAlignment w:val="bottom"/>
              <w:rPr>
                <w:color w:val="000000"/>
                <w:szCs w:val="21"/>
              </w:rPr>
            </w:pPr>
            <w:r>
              <w:rPr>
                <w:color w:val="000000"/>
                <w:kern w:val="0"/>
                <w:szCs w:val="21"/>
                <w:lang w:bidi="ar"/>
              </w:rPr>
              <w:t>5.04</w:t>
            </w:r>
          </w:p>
        </w:tc>
        <w:tc>
          <w:tcPr>
            <w:tcW w:w="625" w:type="pct"/>
            <w:vAlign w:val="bottom"/>
          </w:tcPr>
          <w:p>
            <w:pPr>
              <w:widowControl/>
              <w:jc w:val="center"/>
              <w:textAlignment w:val="bottom"/>
              <w:rPr>
                <w:color w:val="000000"/>
                <w:szCs w:val="21"/>
              </w:rPr>
            </w:pPr>
            <w:r>
              <w:rPr>
                <w:color w:val="000000"/>
                <w:kern w:val="0"/>
                <w:szCs w:val="21"/>
                <w:lang w:bidi="ar"/>
              </w:rPr>
              <w:t>4.42</w:t>
            </w:r>
          </w:p>
        </w:tc>
        <w:tc>
          <w:tcPr>
            <w:tcW w:w="625" w:type="pct"/>
            <w:vAlign w:val="bottom"/>
          </w:tcPr>
          <w:p>
            <w:pPr>
              <w:widowControl/>
              <w:jc w:val="center"/>
              <w:textAlignment w:val="bottom"/>
              <w:rPr>
                <w:color w:val="000000"/>
                <w:szCs w:val="21"/>
              </w:rPr>
            </w:pPr>
            <w:r>
              <w:rPr>
                <w:color w:val="000000"/>
                <w:kern w:val="0"/>
                <w:szCs w:val="21"/>
                <w:lang w:bidi="ar"/>
              </w:rPr>
              <w:t>5.2</w:t>
            </w:r>
          </w:p>
        </w:tc>
        <w:tc>
          <w:tcPr>
            <w:tcW w:w="625" w:type="pct"/>
            <w:vAlign w:val="bottom"/>
          </w:tcPr>
          <w:p>
            <w:pPr>
              <w:widowControl/>
              <w:jc w:val="center"/>
              <w:textAlignment w:val="bottom"/>
              <w:rPr>
                <w:color w:val="000000"/>
                <w:szCs w:val="21"/>
              </w:rPr>
            </w:pPr>
            <w:r>
              <w:rPr>
                <w:color w:val="000000"/>
                <w:kern w:val="0"/>
                <w:szCs w:val="21"/>
                <w:lang w:bidi="ar"/>
              </w:rPr>
              <w:t>33.74</w:t>
            </w:r>
          </w:p>
        </w:tc>
        <w:tc>
          <w:tcPr>
            <w:tcW w:w="624" w:type="pct"/>
            <w:vAlign w:val="bottom"/>
          </w:tcPr>
          <w:p>
            <w:pPr>
              <w:widowControl/>
              <w:jc w:val="center"/>
              <w:textAlignment w:val="bottom"/>
              <w:rPr>
                <w:color w:val="000000"/>
                <w:kern w:val="0"/>
                <w:szCs w:val="21"/>
                <w:lang w:bidi="ar"/>
              </w:rPr>
            </w:pPr>
            <w:r>
              <w:rPr>
                <w:color w:val="000000"/>
                <w:kern w:val="0"/>
                <w:szCs w:val="21"/>
                <w:lang w:bidi="ar"/>
              </w:rPr>
              <w:t>29.47</w:t>
            </w:r>
          </w:p>
        </w:tc>
        <w:tc>
          <w:tcPr>
            <w:tcW w:w="625" w:type="pct"/>
            <w:vAlign w:val="bottom"/>
          </w:tcPr>
          <w:p>
            <w:pPr>
              <w:widowControl/>
              <w:jc w:val="center"/>
              <w:textAlignment w:val="bottom"/>
              <w:rPr>
                <w:color w:val="000000"/>
                <w:kern w:val="0"/>
                <w:szCs w:val="21"/>
                <w:lang w:bidi="ar"/>
              </w:rPr>
            </w:pPr>
            <w:r>
              <w:rPr>
                <w:color w:val="000000"/>
                <w:kern w:val="0"/>
                <w:szCs w:val="21"/>
                <w:lang w:bidi="ar"/>
              </w:rPr>
              <w:t>44.32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12.9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5</w:t>
            </w:r>
          </w:p>
        </w:tc>
        <w:tc>
          <w:tcPr>
            <w:tcW w:w="693" w:type="pct"/>
            <w:vAlign w:val="bottom"/>
          </w:tcPr>
          <w:p>
            <w:pPr>
              <w:widowControl/>
              <w:jc w:val="center"/>
              <w:textAlignment w:val="bottom"/>
              <w:rPr>
                <w:color w:val="000000"/>
                <w:szCs w:val="21"/>
              </w:rPr>
            </w:pPr>
            <w:r>
              <w:rPr>
                <w:color w:val="000000"/>
                <w:kern w:val="0"/>
                <w:szCs w:val="21"/>
                <w:lang w:bidi="ar"/>
              </w:rPr>
              <w:t>4.28</w:t>
            </w:r>
          </w:p>
        </w:tc>
        <w:tc>
          <w:tcPr>
            <w:tcW w:w="625" w:type="pct"/>
            <w:vAlign w:val="bottom"/>
          </w:tcPr>
          <w:p>
            <w:pPr>
              <w:widowControl/>
              <w:jc w:val="center"/>
              <w:textAlignment w:val="bottom"/>
              <w:rPr>
                <w:color w:val="000000"/>
                <w:szCs w:val="21"/>
              </w:rPr>
            </w:pPr>
            <w:r>
              <w:rPr>
                <w:color w:val="000000"/>
                <w:kern w:val="0"/>
                <w:szCs w:val="21"/>
                <w:lang w:bidi="ar"/>
              </w:rPr>
              <w:t>3.88</w:t>
            </w:r>
          </w:p>
        </w:tc>
        <w:tc>
          <w:tcPr>
            <w:tcW w:w="625" w:type="pct"/>
            <w:vAlign w:val="bottom"/>
          </w:tcPr>
          <w:p>
            <w:pPr>
              <w:widowControl/>
              <w:jc w:val="center"/>
              <w:textAlignment w:val="bottom"/>
              <w:rPr>
                <w:color w:val="000000"/>
                <w:szCs w:val="21"/>
              </w:rPr>
            </w:pPr>
            <w:r>
              <w:rPr>
                <w:color w:val="000000"/>
                <w:kern w:val="0"/>
                <w:szCs w:val="21"/>
                <w:lang w:bidi="ar"/>
              </w:rPr>
              <w:t>4.26</w:t>
            </w:r>
          </w:p>
        </w:tc>
        <w:tc>
          <w:tcPr>
            <w:tcW w:w="625" w:type="pct"/>
            <w:vAlign w:val="bottom"/>
          </w:tcPr>
          <w:p>
            <w:pPr>
              <w:widowControl/>
              <w:jc w:val="center"/>
              <w:textAlignment w:val="bottom"/>
              <w:rPr>
                <w:color w:val="000000"/>
                <w:szCs w:val="21"/>
              </w:rPr>
            </w:pPr>
            <w:r>
              <w:rPr>
                <w:color w:val="000000"/>
                <w:kern w:val="0"/>
                <w:szCs w:val="21"/>
                <w:lang w:bidi="ar"/>
              </w:rPr>
              <w:t>28.95</w:t>
            </w:r>
          </w:p>
        </w:tc>
        <w:tc>
          <w:tcPr>
            <w:tcW w:w="624" w:type="pct"/>
            <w:vAlign w:val="bottom"/>
          </w:tcPr>
          <w:p>
            <w:pPr>
              <w:widowControl/>
              <w:jc w:val="center"/>
              <w:textAlignment w:val="bottom"/>
              <w:rPr>
                <w:color w:val="000000"/>
                <w:kern w:val="0"/>
                <w:szCs w:val="21"/>
                <w:lang w:bidi="ar"/>
              </w:rPr>
            </w:pPr>
            <w:r>
              <w:rPr>
                <w:color w:val="000000"/>
                <w:kern w:val="0"/>
                <w:szCs w:val="21"/>
                <w:lang w:bidi="ar"/>
              </w:rPr>
              <w:t>25.84</w:t>
            </w:r>
          </w:p>
        </w:tc>
        <w:tc>
          <w:tcPr>
            <w:tcW w:w="625" w:type="pct"/>
            <w:vAlign w:val="bottom"/>
          </w:tcPr>
          <w:p>
            <w:pPr>
              <w:widowControl/>
              <w:jc w:val="center"/>
              <w:textAlignment w:val="bottom"/>
              <w:rPr>
                <w:color w:val="000000"/>
                <w:kern w:val="0"/>
                <w:szCs w:val="21"/>
                <w:lang w:bidi="ar"/>
              </w:rPr>
            </w:pPr>
            <w:r>
              <w:rPr>
                <w:color w:val="000000"/>
                <w:kern w:val="0"/>
                <w:szCs w:val="21"/>
                <w:lang w:bidi="ar"/>
              </w:rPr>
              <w:t>35.9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13.9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6</w:t>
            </w:r>
          </w:p>
        </w:tc>
        <w:tc>
          <w:tcPr>
            <w:tcW w:w="693" w:type="pct"/>
            <w:vAlign w:val="bottom"/>
          </w:tcPr>
          <w:p>
            <w:pPr>
              <w:widowControl/>
              <w:jc w:val="center"/>
              <w:textAlignment w:val="bottom"/>
              <w:rPr>
                <w:color w:val="000000"/>
                <w:szCs w:val="21"/>
              </w:rPr>
            </w:pPr>
            <w:r>
              <w:rPr>
                <w:color w:val="000000"/>
                <w:kern w:val="0"/>
                <w:szCs w:val="21"/>
                <w:lang w:bidi="ar"/>
              </w:rPr>
              <w:t>3.61</w:t>
            </w:r>
          </w:p>
        </w:tc>
        <w:tc>
          <w:tcPr>
            <w:tcW w:w="625" w:type="pct"/>
            <w:vAlign w:val="bottom"/>
          </w:tcPr>
          <w:p>
            <w:pPr>
              <w:widowControl/>
              <w:jc w:val="center"/>
              <w:textAlignment w:val="bottom"/>
              <w:rPr>
                <w:color w:val="000000"/>
                <w:szCs w:val="21"/>
              </w:rPr>
            </w:pPr>
            <w:r>
              <w:rPr>
                <w:color w:val="000000"/>
                <w:kern w:val="0"/>
                <w:szCs w:val="21"/>
                <w:lang w:bidi="ar"/>
              </w:rPr>
              <w:t>3.37</w:t>
            </w:r>
          </w:p>
        </w:tc>
        <w:tc>
          <w:tcPr>
            <w:tcW w:w="625" w:type="pct"/>
            <w:vAlign w:val="bottom"/>
          </w:tcPr>
          <w:p>
            <w:pPr>
              <w:widowControl/>
              <w:jc w:val="center"/>
              <w:textAlignment w:val="bottom"/>
              <w:rPr>
                <w:color w:val="000000"/>
                <w:szCs w:val="21"/>
              </w:rPr>
            </w:pPr>
            <w:r>
              <w:rPr>
                <w:color w:val="000000"/>
                <w:kern w:val="0"/>
                <w:szCs w:val="21"/>
                <w:lang w:bidi="ar"/>
              </w:rPr>
              <w:t>3.53</w:t>
            </w:r>
          </w:p>
        </w:tc>
        <w:tc>
          <w:tcPr>
            <w:tcW w:w="625" w:type="pct"/>
            <w:vAlign w:val="bottom"/>
          </w:tcPr>
          <w:p>
            <w:pPr>
              <w:widowControl/>
              <w:jc w:val="center"/>
              <w:textAlignment w:val="bottom"/>
              <w:rPr>
                <w:color w:val="000000"/>
                <w:szCs w:val="21"/>
              </w:rPr>
            </w:pPr>
            <w:r>
              <w:rPr>
                <w:color w:val="000000"/>
                <w:kern w:val="0"/>
                <w:szCs w:val="21"/>
                <w:lang w:bidi="ar"/>
              </w:rPr>
              <w:t>24.92</w:t>
            </w:r>
          </w:p>
        </w:tc>
        <w:tc>
          <w:tcPr>
            <w:tcW w:w="624" w:type="pct"/>
            <w:vAlign w:val="bottom"/>
          </w:tcPr>
          <w:p>
            <w:pPr>
              <w:widowControl/>
              <w:jc w:val="center"/>
              <w:textAlignment w:val="bottom"/>
              <w:rPr>
                <w:color w:val="000000"/>
                <w:kern w:val="0"/>
                <w:szCs w:val="21"/>
                <w:lang w:bidi="ar"/>
              </w:rPr>
            </w:pPr>
            <w:r>
              <w:rPr>
                <w:color w:val="000000"/>
                <w:kern w:val="0"/>
                <w:szCs w:val="21"/>
                <w:lang w:bidi="ar"/>
              </w:rPr>
              <w:t>22.64</w:t>
            </w:r>
          </w:p>
        </w:tc>
        <w:tc>
          <w:tcPr>
            <w:tcW w:w="625" w:type="pct"/>
            <w:vAlign w:val="bottom"/>
          </w:tcPr>
          <w:p>
            <w:pPr>
              <w:widowControl/>
              <w:jc w:val="center"/>
              <w:textAlignment w:val="bottom"/>
              <w:rPr>
                <w:color w:val="000000"/>
                <w:kern w:val="0"/>
                <w:szCs w:val="21"/>
                <w:lang w:bidi="ar"/>
              </w:rPr>
            </w:pPr>
            <w:r>
              <w:rPr>
                <w:color w:val="000000"/>
                <w:kern w:val="0"/>
                <w:szCs w:val="21"/>
                <w:lang w:bidi="ar"/>
              </w:rPr>
              <w:t>29.59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14.9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szCs w:val="21"/>
              </w:rPr>
              <w:t>7</w:t>
            </w:r>
          </w:p>
        </w:tc>
        <w:tc>
          <w:tcPr>
            <w:tcW w:w="693" w:type="pct"/>
            <w:vAlign w:val="bottom"/>
          </w:tcPr>
          <w:p>
            <w:pPr>
              <w:widowControl/>
              <w:jc w:val="center"/>
              <w:textAlignment w:val="bottom"/>
              <w:rPr>
                <w:color w:val="000000"/>
                <w:szCs w:val="21"/>
              </w:rPr>
            </w:pPr>
            <w:r>
              <w:rPr>
                <w:color w:val="000000"/>
                <w:kern w:val="0"/>
                <w:szCs w:val="21"/>
                <w:lang w:bidi="ar"/>
              </w:rPr>
              <w:t>3.03</w:t>
            </w:r>
          </w:p>
        </w:tc>
        <w:tc>
          <w:tcPr>
            <w:tcW w:w="625" w:type="pct"/>
            <w:vAlign w:val="bottom"/>
          </w:tcPr>
          <w:p>
            <w:pPr>
              <w:widowControl/>
              <w:jc w:val="center"/>
              <w:textAlignment w:val="bottom"/>
              <w:rPr>
                <w:color w:val="000000"/>
                <w:szCs w:val="21"/>
              </w:rPr>
            </w:pPr>
            <w:r>
              <w:rPr>
                <w:color w:val="000000"/>
                <w:kern w:val="0"/>
                <w:szCs w:val="21"/>
                <w:lang w:bidi="ar"/>
              </w:rPr>
              <w:t>2.91</w:t>
            </w:r>
          </w:p>
        </w:tc>
        <w:tc>
          <w:tcPr>
            <w:tcW w:w="625" w:type="pct"/>
            <w:vAlign w:val="bottom"/>
          </w:tcPr>
          <w:p>
            <w:pPr>
              <w:widowControl/>
              <w:jc w:val="center"/>
              <w:textAlignment w:val="bottom"/>
              <w:rPr>
                <w:color w:val="000000"/>
                <w:szCs w:val="21"/>
              </w:rPr>
            </w:pPr>
            <w:r>
              <w:rPr>
                <w:color w:val="000000"/>
                <w:kern w:val="0"/>
                <w:szCs w:val="21"/>
                <w:lang w:bidi="ar"/>
              </w:rPr>
              <w:t>2.94</w:t>
            </w:r>
          </w:p>
        </w:tc>
        <w:tc>
          <w:tcPr>
            <w:tcW w:w="625" w:type="pct"/>
            <w:vAlign w:val="bottom"/>
          </w:tcPr>
          <w:p>
            <w:pPr>
              <w:widowControl/>
              <w:jc w:val="center"/>
              <w:textAlignment w:val="bottom"/>
              <w:rPr>
                <w:color w:val="000000"/>
                <w:szCs w:val="21"/>
              </w:rPr>
            </w:pPr>
            <w:r>
              <w:rPr>
                <w:color w:val="000000"/>
                <w:kern w:val="0"/>
                <w:szCs w:val="21"/>
                <w:lang w:bidi="ar"/>
              </w:rPr>
              <w:t>21.57</w:t>
            </w:r>
          </w:p>
        </w:tc>
        <w:tc>
          <w:tcPr>
            <w:tcW w:w="624" w:type="pct"/>
            <w:vAlign w:val="bottom"/>
          </w:tcPr>
          <w:p>
            <w:pPr>
              <w:widowControl/>
              <w:jc w:val="center"/>
              <w:textAlignment w:val="bottom"/>
              <w:rPr>
                <w:color w:val="000000"/>
                <w:kern w:val="0"/>
                <w:szCs w:val="21"/>
                <w:lang w:bidi="ar"/>
              </w:rPr>
            </w:pPr>
            <w:r>
              <w:rPr>
                <w:color w:val="000000"/>
                <w:kern w:val="0"/>
                <w:szCs w:val="21"/>
                <w:lang w:bidi="ar"/>
              </w:rPr>
              <w:t>19.89</w:t>
            </w:r>
          </w:p>
        </w:tc>
        <w:tc>
          <w:tcPr>
            <w:tcW w:w="625" w:type="pct"/>
            <w:vAlign w:val="bottom"/>
          </w:tcPr>
          <w:p>
            <w:pPr>
              <w:widowControl/>
              <w:jc w:val="center"/>
              <w:textAlignment w:val="bottom"/>
              <w:rPr>
                <w:color w:val="000000"/>
                <w:kern w:val="0"/>
                <w:szCs w:val="21"/>
                <w:lang w:bidi="ar"/>
              </w:rPr>
            </w:pPr>
            <w:r>
              <w:rPr>
                <w:color w:val="000000"/>
                <w:kern w:val="0"/>
                <w:szCs w:val="21"/>
                <w:lang w:bidi="ar"/>
              </w:rPr>
              <w:t>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15.9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8</w:t>
            </w:r>
          </w:p>
        </w:tc>
        <w:tc>
          <w:tcPr>
            <w:tcW w:w="693" w:type="pct"/>
            <w:vAlign w:val="bottom"/>
          </w:tcPr>
          <w:p>
            <w:pPr>
              <w:widowControl/>
              <w:jc w:val="center"/>
              <w:textAlignment w:val="bottom"/>
              <w:rPr>
                <w:color w:val="000000"/>
                <w:szCs w:val="21"/>
              </w:rPr>
            </w:pPr>
            <w:r>
              <w:rPr>
                <w:color w:val="000000"/>
                <w:kern w:val="0"/>
                <w:szCs w:val="21"/>
                <w:lang w:bidi="ar"/>
              </w:rPr>
              <w:t>2.55</w:t>
            </w:r>
          </w:p>
        </w:tc>
        <w:tc>
          <w:tcPr>
            <w:tcW w:w="625" w:type="pct"/>
            <w:vAlign w:val="bottom"/>
          </w:tcPr>
          <w:p>
            <w:pPr>
              <w:widowControl/>
              <w:jc w:val="center"/>
              <w:textAlignment w:val="bottom"/>
              <w:rPr>
                <w:color w:val="000000"/>
                <w:szCs w:val="21"/>
              </w:rPr>
            </w:pPr>
            <w:r>
              <w:rPr>
                <w:color w:val="000000"/>
                <w:kern w:val="0"/>
                <w:szCs w:val="21"/>
                <w:lang w:bidi="ar"/>
              </w:rPr>
              <w:t>2.5</w:t>
            </w:r>
          </w:p>
        </w:tc>
        <w:tc>
          <w:tcPr>
            <w:tcW w:w="625" w:type="pct"/>
            <w:vAlign w:val="bottom"/>
          </w:tcPr>
          <w:p>
            <w:pPr>
              <w:widowControl/>
              <w:jc w:val="center"/>
              <w:textAlignment w:val="bottom"/>
              <w:rPr>
                <w:color w:val="000000"/>
                <w:szCs w:val="21"/>
              </w:rPr>
            </w:pPr>
            <w:r>
              <w:rPr>
                <w:color w:val="000000"/>
                <w:kern w:val="0"/>
                <w:szCs w:val="21"/>
                <w:lang w:bidi="ar"/>
              </w:rPr>
              <w:t>2.48</w:t>
            </w:r>
          </w:p>
        </w:tc>
        <w:tc>
          <w:tcPr>
            <w:tcW w:w="625" w:type="pct"/>
            <w:vAlign w:val="bottom"/>
          </w:tcPr>
          <w:p>
            <w:pPr>
              <w:widowControl/>
              <w:jc w:val="center"/>
              <w:textAlignment w:val="bottom"/>
              <w:rPr>
                <w:color w:val="000000"/>
                <w:szCs w:val="21"/>
              </w:rPr>
            </w:pPr>
            <w:r>
              <w:rPr>
                <w:color w:val="000000"/>
                <w:kern w:val="0"/>
                <w:szCs w:val="21"/>
                <w:lang w:bidi="ar"/>
              </w:rPr>
              <w:t>18.8</w:t>
            </w:r>
          </w:p>
        </w:tc>
        <w:tc>
          <w:tcPr>
            <w:tcW w:w="624" w:type="pct"/>
            <w:vAlign w:val="bottom"/>
          </w:tcPr>
          <w:p>
            <w:pPr>
              <w:widowControl/>
              <w:jc w:val="center"/>
              <w:textAlignment w:val="bottom"/>
              <w:rPr>
                <w:color w:val="000000"/>
                <w:kern w:val="0"/>
                <w:szCs w:val="21"/>
                <w:lang w:bidi="ar"/>
              </w:rPr>
            </w:pPr>
            <w:r>
              <w:rPr>
                <w:color w:val="000000"/>
                <w:kern w:val="0"/>
                <w:szCs w:val="21"/>
                <w:lang w:bidi="ar"/>
              </w:rPr>
              <w:t>17.55</w:t>
            </w:r>
          </w:p>
        </w:tc>
        <w:tc>
          <w:tcPr>
            <w:tcW w:w="625" w:type="pct"/>
            <w:vAlign w:val="bottom"/>
          </w:tcPr>
          <w:p>
            <w:pPr>
              <w:widowControl/>
              <w:jc w:val="center"/>
              <w:textAlignment w:val="bottom"/>
              <w:rPr>
                <w:color w:val="000000"/>
                <w:kern w:val="0"/>
                <w:szCs w:val="21"/>
                <w:lang w:bidi="ar"/>
              </w:rPr>
            </w:pPr>
            <w:r>
              <w:rPr>
                <w:color w:val="000000"/>
                <w:kern w:val="0"/>
                <w:szCs w:val="21"/>
                <w:lang w:bidi="ar"/>
              </w:rPr>
              <w:t>21.09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16.9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9</w:t>
            </w:r>
          </w:p>
        </w:tc>
        <w:tc>
          <w:tcPr>
            <w:tcW w:w="693" w:type="pct"/>
            <w:vAlign w:val="bottom"/>
          </w:tcPr>
          <w:p>
            <w:pPr>
              <w:widowControl/>
              <w:jc w:val="center"/>
              <w:textAlignment w:val="bottom"/>
              <w:rPr>
                <w:color w:val="000000"/>
                <w:szCs w:val="21"/>
              </w:rPr>
            </w:pPr>
            <w:r>
              <w:rPr>
                <w:color w:val="000000"/>
                <w:kern w:val="0"/>
                <w:szCs w:val="21"/>
                <w:lang w:bidi="ar"/>
              </w:rPr>
              <w:t>2.16</w:t>
            </w:r>
          </w:p>
        </w:tc>
        <w:tc>
          <w:tcPr>
            <w:tcW w:w="625" w:type="pct"/>
            <w:vAlign w:val="bottom"/>
          </w:tcPr>
          <w:p>
            <w:pPr>
              <w:widowControl/>
              <w:jc w:val="center"/>
              <w:textAlignment w:val="bottom"/>
              <w:rPr>
                <w:color w:val="000000"/>
                <w:szCs w:val="21"/>
              </w:rPr>
            </w:pPr>
            <w:r>
              <w:rPr>
                <w:color w:val="000000"/>
                <w:kern w:val="0"/>
                <w:szCs w:val="21"/>
                <w:lang w:bidi="ar"/>
              </w:rPr>
              <w:t>2.15</w:t>
            </w:r>
          </w:p>
        </w:tc>
        <w:tc>
          <w:tcPr>
            <w:tcW w:w="625" w:type="pct"/>
            <w:vAlign w:val="bottom"/>
          </w:tcPr>
          <w:p>
            <w:pPr>
              <w:widowControl/>
              <w:jc w:val="center"/>
              <w:textAlignment w:val="bottom"/>
              <w:rPr>
                <w:color w:val="000000"/>
                <w:szCs w:val="21"/>
              </w:rPr>
            </w:pPr>
            <w:r>
              <w:rPr>
                <w:color w:val="000000"/>
                <w:kern w:val="0"/>
                <w:szCs w:val="21"/>
                <w:lang w:bidi="ar"/>
              </w:rPr>
              <w:t>2.1</w:t>
            </w:r>
          </w:p>
        </w:tc>
        <w:tc>
          <w:tcPr>
            <w:tcW w:w="625" w:type="pct"/>
            <w:vAlign w:val="bottom"/>
          </w:tcPr>
          <w:p>
            <w:pPr>
              <w:widowControl/>
              <w:jc w:val="center"/>
              <w:textAlignment w:val="bottom"/>
              <w:rPr>
                <w:color w:val="000000"/>
                <w:szCs w:val="21"/>
              </w:rPr>
            </w:pPr>
            <w:r>
              <w:rPr>
                <w:color w:val="000000"/>
                <w:kern w:val="0"/>
                <w:szCs w:val="21"/>
                <w:lang w:bidi="ar"/>
              </w:rPr>
              <w:t>16.5</w:t>
            </w:r>
          </w:p>
        </w:tc>
        <w:tc>
          <w:tcPr>
            <w:tcW w:w="624" w:type="pct"/>
            <w:vAlign w:val="bottom"/>
          </w:tcPr>
          <w:p>
            <w:pPr>
              <w:widowControl/>
              <w:jc w:val="center"/>
              <w:textAlignment w:val="bottom"/>
              <w:rPr>
                <w:color w:val="000000"/>
                <w:kern w:val="0"/>
                <w:szCs w:val="21"/>
                <w:lang w:bidi="ar"/>
              </w:rPr>
            </w:pPr>
            <w:r>
              <w:rPr>
                <w:color w:val="000000"/>
                <w:kern w:val="0"/>
                <w:szCs w:val="21"/>
                <w:lang w:bidi="ar"/>
              </w:rPr>
              <w:t>15.55</w:t>
            </w:r>
          </w:p>
        </w:tc>
        <w:tc>
          <w:tcPr>
            <w:tcW w:w="625" w:type="pct"/>
            <w:vAlign w:val="bottom"/>
          </w:tcPr>
          <w:p>
            <w:pPr>
              <w:widowControl/>
              <w:jc w:val="center"/>
              <w:textAlignment w:val="bottom"/>
              <w:rPr>
                <w:color w:val="000000"/>
                <w:kern w:val="0"/>
                <w:szCs w:val="21"/>
                <w:lang w:bidi="ar"/>
              </w:rPr>
            </w:pPr>
            <w:r>
              <w:rPr>
                <w:color w:val="000000"/>
                <w:kern w:val="0"/>
                <w:szCs w:val="21"/>
                <w:lang w:bidi="ar"/>
              </w:rPr>
              <w:t>18.16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17.9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10</w:t>
            </w:r>
          </w:p>
        </w:tc>
        <w:tc>
          <w:tcPr>
            <w:tcW w:w="693" w:type="pct"/>
            <w:vAlign w:val="bottom"/>
          </w:tcPr>
          <w:p>
            <w:pPr>
              <w:widowControl/>
              <w:jc w:val="center"/>
              <w:textAlignment w:val="bottom"/>
              <w:rPr>
                <w:color w:val="000000"/>
                <w:szCs w:val="21"/>
              </w:rPr>
            </w:pPr>
            <w:r>
              <w:rPr>
                <w:color w:val="000000"/>
                <w:kern w:val="0"/>
                <w:szCs w:val="21"/>
                <w:lang w:bidi="ar"/>
              </w:rPr>
              <w:t>1.83</w:t>
            </w:r>
          </w:p>
        </w:tc>
        <w:tc>
          <w:tcPr>
            <w:tcW w:w="625" w:type="pct"/>
            <w:vAlign w:val="bottom"/>
          </w:tcPr>
          <w:p>
            <w:pPr>
              <w:widowControl/>
              <w:jc w:val="center"/>
              <w:textAlignment w:val="bottom"/>
              <w:rPr>
                <w:color w:val="000000"/>
                <w:szCs w:val="21"/>
              </w:rPr>
            </w:pPr>
            <w:r>
              <w:rPr>
                <w:color w:val="000000"/>
                <w:kern w:val="0"/>
                <w:szCs w:val="21"/>
                <w:lang w:bidi="ar"/>
              </w:rPr>
              <w:t>1.86</w:t>
            </w:r>
          </w:p>
        </w:tc>
        <w:tc>
          <w:tcPr>
            <w:tcW w:w="625" w:type="pct"/>
            <w:vAlign w:val="bottom"/>
          </w:tcPr>
          <w:p>
            <w:pPr>
              <w:widowControl/>
              <w:jc w:val="center"/>
              <w:textAlignment w:val="bottom"/>
              <w:rPr>
                <w:color w:val="000000"/>
                <w:szCs w:val="21"/>
              </w:rPr>
            </w:pPr>
            <w:r>
              <w:rPr>
                <w:color w:val="000000"/>
                <w:kern w:val="0"/>
                <w:szCs w:val="21"/>
                <w:lang w:bidi="ar"/>
              </w:rPr>
              <w:t>1.8</w:t>
            </w:r>
          </w:p>
        </w:tc>
        <w:tc>
          <w:tcPr>
            <w:tcW w:w="625" w:type="pct"/>
            <w:vAlign w:val="bottom"/>
          </w:tcPr>
          <w:p>
            <w:pPr>
              <w:widowControl/>
              <w:jc w:val="center"/>
              <w:textAlignment w:val="bottom"/>
              <w:rPr>
                <w:color w:val="000000"/>
                <w:szCs w:val="21"/>
              </w:rPr>
            </w:pPr>
            <w:r>
              <w:rPr>
                <w:color w:val="000000"/>
                <w:kern w:val="0"/>
                <w:szCs w:val="21"/>
                <w:lang w:bidi="ar"/>
              </w:rPr>
              <w:t>14.58</w:t>
            </w:r>
          </w:p>
        </w:tc>
        <w:tc>
          <w:tcPr>
            <w:tcW w:w="624" w:type="pct"/>
            <w:vAlign w:val="bottom"/>
          </w:tcPr>
          <w:p>
            <w:pPr>
              <w:widowControl/>
              <w:jc w:val="center"/>
              <w:textAlignment w:val="bottom"/>
              <w:rPr>
                <w:color w:val="000000"/>
                <w:kern w:val="0"/>
                <w:szCs w:val="21"/>
                <w:lang w:bidi="ar"/>
              </w:rPr>
            </w:pPr>
            <w:r>
              <w:rPr>
                <w:color w:val="000000"/>
                <w:kern w:val="0"/>
                <w:szCs w:val="21"/>
                <w:lang w:bidi="ar"/>
              </w:rPr>
              <w:t>13.85</w:t>
            </w:r>
          </w:p>
        </w:tc>
        <w:tc>
          <w:tcPr>
            <w:tcW w:w="625" w:type="pct"/>
            <w:vAlign w:val="bottom"/>
          </w:tcPr>
          <w:p>
            <w:pPr>
              <w:widowControl/>
              <w:jc w:val="center"/>
              <w:textAlignment w:val="bottom"/>
              <w:rPr>
                <w:color w:val="000000"/>
                <w:kern w:val="0"/>
                <w:szCs w:val="21"/>
                <w:lang w:bidi="ar"/>
              </w:rPr>
            </w:pPr>
            <w:r>
              <w:rPr>
                <w:color w:val="000000"/>
                <w:kern w:val="0"/>
                <w:szCs w:val="21"/>
                <w:lang w:bidi="ar"/>
              </w:rPr>
              <w:t>15.82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18.9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11</w:t>
            </w:r>
          </w:p>
        </w:tc>
        <w:tc>
          <w:tcPr>
            <w:tcW w:w="693" w:type="pct"/>
            <w:vAlign w:val="bottom"/>
          </w:tcPr>
          <w:p>
            <w:pPr>
              <w:widowControl/>
              <w:jc w:val="center"/>
              <w:textAlignment w:val="bottom"/>
              <w:rPr>
                <w:color w:val="000000"/>
                <w:szCs w:val="21"/>
              </w:rPr>
            </w:pPr>
            <w:r>
              <w:rPr>
                <w:color w:val="000000"/>
                <w:kern w:val="0"/>
                <w:szCs w:val="21"/>
                <w:lang w:bidi="ar"/>
              </w:rPr>
              <w:t>1.56</w:t>
            </w:r>
          </w:p>
        </w:tc>
        <w:tc>
          <w:tcPr>
            <w:tcW w:w="625" w:type="pct"/>
            <w:vAlign w:val="bottom"/>
          </w:tcPr>
          <w:p>
            <w:pPr>
              <w:widowControl/>
              <w:jc w:val="center"/>
              <w:textAlignment w:val="bottom"/>
              <w:rPr>
                <w:color w:val="000000"/>
                <w:szCs w:val="21"/>
              </w:rPr>
            </w:pPr>
            <w:r>
              <w:rPr>
                <w:color w:val="000000"/>
                <w:kern w:val="0"/>
                <w:szCs w:val="21"/>
                <w:lang w:bidi="ar"/>
              </w:rPr>
              <w:t>1.61</w:t>
            </w:r>
          </w:p>
        </w:tc>
        <w:tc>
          <w:tcPr>
            <w:tcW w:w="625" w:type="pct"/>
            <w:vAlign w:val="bottom"/>
          </w:tcPr>
          <w:p>
            <w:pPr>
              <w:widowControl/>
              <w:jc w:val="center"/>
              <w:textAlignment w:val="bottom"/>
              <w:rPr>
                <w:color w:val="000000"/>
                <w:szCs w:val="21"/>
              </w:rPr>
            </w:pPr>
            <w:r>
              <w:rPr>
                <w:color w:val="000000"/>
                <w:kern w:val="0"/>
                <w:szCs w:val="21"/>
                <w:lang w:bidi="ar"/>
              </w:rPr>
              <w:t>1.55</w:t>
            </w:r>
          </w:p>
        </w:tc>
        <w:tc>
          <w:tcPr>
            <w:tcW w:w="625" w:type="pct"/>
            <w:vAlign w:val="bottom"/>
          </w:tcPr>
          <w:p>
            <w:pPr>
              <w:widowControl/>
              <w:jc w:val="center"/>
              <w:textAlignment w:val="bottom"/>
              <w:rPr>
                <w:color w:val="000000"/>
                <w:szCs w:val="21"/>
              </w:rPr>
            </w:pPr>
            <w:r>
              <w:rPr>
                <w:color w:val="000000"/>
                <w:kern w:val="0"/>
                <w:szCs w:val="21"/>
                <w:lang w:bidi="ar"/>
              </w:rPr>
              <w:t>12.97</w:t>
            </w:r>
          </w:p>
        </w:tc>
        <w:tc>
          <w:tcPr>
            <w:tcW w:w="624" w:type="pct"/>
            <w:vAlign w:val="bottom"/>
          </w:tcPr>
          <w:p>
            <w:pPr>
              <w:widowControl/>
              <w:jc w:val="center"/>
              <w:textAlignment w:val="bottom"/>
              <w:rPr>
                <w:color w:val="000000"/>
                <w:kern w:val="0"/>
                <w:szCs w:val="21"/>
                <w:lang w:bidi="ar"/>
              </w:rPr>
            </w:pPr>
            <w:r>
              <w:rPr>
                <w:color w:val="000000"/>
                <w:kern w:val="0"/>
                <w:szCs w:val="21"/>
                <w:lang w:bidi="ar"/>
              </w:rPr>
              <w:t>12.4</w:t>
            </w:r>
          </w:p>
        </w:tc>
        <w:tc>
          <w:tcPr>
            <w:tcW w:w="625" w:type="pct"/>
            <w:vAlign w:val="bottom"/>
          </w:tcPr>
          <w:p>
            <w:pPr>
              <w:widowControl/>
              <w:jc w:val="center"/>
              <w:textAlignment w:val="bottom"/>
              <w:rPr>
                <w:color w:val="000000"/>
                <w:kern w:val="0"/>
                <w:szCs w:val="21"/>
                <w:lang w:bidi="ar"/>
              </w:rPr>
            </w:pPr>
            <w:r>
              <w:rPr>
                <w:color w:val="000000"/>
                <w:kern w:val="0"/>
                <w:szCs w:val="21"/>
                <w:lang w:bidi="ar"/>
              </w:rPr>
              <w:t>13.91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19.9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12</w:t>
            </w:r>
          </w:p>
        </w:tc>
        <w:tc>
          <w:tcPr>
            <w:tcW w:w="693" w:type="pct"/>
            <w:vAlign w:val="bottom"/>
          </w:tcPr>
          <w:p>
            <w:pPr>
              <w:widowControl/>
              <w:jc w:val="center"/>
              <w:textAlignment w:val="bottom"/>
              <w:rPr>
                <w:color w:val="000000"/>
                <w:szCs w:val="21"/>
              </w:rPr>
            </w:pPr>
            <w:r>
              <w:rPr>
                <w:color w:val="000000"/>
                <w:kern w:val="0"/>
                <w:szCs w:val="21"/>
                <w:lang w:bidi="ar"/>
              </w:rPr>
              <w:t>1.34</w:t>
            </w:r>
          </w:p>
        </w:tc>
        <w:tc>
          <w:tcPr>
            <w:tcW w:w="625" w:type="pct"/>
            <w:vAlign w:val="bottom"/>
          </w:tcPr>
          <w:p>
            <w:pPr>
              <w:widowControl/>
              <w:jc w:val="center"/>
              <w:textAlignment w:val="bottom"/>
              <w:rPr>
                <w:color w:val="000000"/>
                <w:szCs w:val="21"/>
              </w:rPr>
            </w:pPr>
            <w:r>
              <w:rPr>
                <w:color w:val="000000"/>
                <w:kern w:val="0"/>
                <w:szCs w:val="21"/>
                <w:lang w:bidi="ar"/>
              </w:rPr>
              <w:t>1.39</w:t>
            </w:r>
          </w:p>
        </w:tc>
        <w:tc>
          <w:tcPr>
            <w:tcW w:w="625" w:type="pct"/>
            <w:vAlign w:val="bottom"/>
          </w:tcPr>
          <w:p>
            <w:pPr>
              <w:widowControl/>
              <w:jc w:val="center"/>
              <w:textAlignment w:val="bottom"/>
              <w:rPr>
                <w:color w:val="000000"/>
                <w:szCs w:val="21"/>
              </w:rPr>
            </w:pPr>
            <w:r>
              <w:rPr>
                <w:color w:val="000000"/>
                <w:kern w:val="0"/>
                <w:szCs w:val="21"/>
                <w:lang w:bidi="ar"/>
              </w:rPr>
              <w:t>1.34</w:t>
            </w:r>
          </w:p>
        </w:tc>
        <w:tc>
          <w:tcPr>
            <w:tcW w:w="625" w:type="pct"/>
            <w:vAlign w:val="bottom"/>
          </w:tcPr>
          <w:p>
            <w:pPr>
              <w:widowControl/>
              <w:jc w:val="center"/>
              <w:textAlignment w:val="bottom"/>
              <w:rPr>
                <w:color w:val="000000"/>
                <w:szCs w:val="21"/>
              </w:rPr>
            </w:pPr>
            <w:r>
              <w:rPr>
                <w:color w:val="000000"/>
                <w:kern w:val="0"/>
                <w:szCs w:val="21"/>
                <w:lang w:bidi="ar"/>
              </w:rPr>
              <w:t>11.6</w:t>
            </w:r>
          </w:p>
        </w:tc>
        <w:tc>
          <w:tcPr>
            <w:tcW w:w="624" w:type="pct"/>
            <w:vAlign w:val="bottom"/>
          </w:tcPr>
          <w:p>
            <w:pPr>
              <w:widowControl/>
              <w:jc w:val="center"/>
              <w:textAlignment w:val="bottom"/>
              <w:rPr>
                <w:color w:val="000000"/>
                <w:kern w:val="0"/>
                <w:szCs w:val="21"/>
                <w:lang w:bidi="ar"/>
              </w:rPr>
            </w:pPr>
            <w:r>
              <w:rPr>
                <w:color w:val="000000"/>
                <w:kern w:val="0"/>
                <w:szCs w:val="21"/>
                <w:lang w:bidi="ar"/>
              </w:rPr>
              <w:t>11.16</w:t>
            </w:r>
          </w:p>
        </w:tc>
        <w:tc>
          <w:tcPr>
            <w:tcW w:w="625" w:type="pct"/>
            <w:vAlign w:val="bottom"/>
          </w:tcPr>
          <w:p>
            <w:pPr>
              <w:widowControl/>
              <w:jc w:val="center"/>
              <w:textAlignment w:val="bottom"/>
              <w:rPr>
                <w:color w:val="000000"/>
                <w:kern w:val="0"/>
                <w:szCs w:val="21"/>
                <w:lang w:bidi="ar"/>
              </w:rPr>
            </w:pPr>
            <w:r>
              <w:rPr>
                <w:color w:val="000000"/>
                <w:kern w:val="0"/>
                <w:szCs w:val="21"/>
                <w:lang w:bidi="ar"/>
              </w:rPr>
              <w:t>12.33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20.9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13</w:t>
            </w:r>
          </w:p>
        </w:tc>
        <w:tc>
          <w:tcPr>
            <w:tcW w:w="693" w:type="pct"/>
            <w:vAlign w:val="bottom"/>
          </w:tcPr>
          <w:p>
            <w:pPr>
              <w:widowControl/>
              <w:jc w:val="center"/>
              <w:textAlignment w:val="bottom"/>
              <w:rPr>
                <w:color w:val="000000"/>
                <w:szCs w:val="21"/>
              </w:rPr>
            </w:pPr>
            <w:r>
              <w:rPr>
                <w:color w:val="000000"/>
                <w:kern w:val="0"/>
                <w:szCs w:val="21"/>
                <w:lang w:bidi="ar"/>
              </w:rPr>
              <w:t>1.16</w:t>
            </w:r>
          </w:p>
        </w:tc>
        <w:tc>
          <w:tcPr>
            <w:tcW w:w="625" w:type="pct"/>
            <w:vAlign w:val="bottom"/>
          </w:tcPr>
          <w:p>
            <w:pPr>
              <w:widowControl/>
              <w:jc w:val="center"/>
              <w:textAlignment w:val="bottom"/>
              <w:rPr>
                <w:color w:val="000000"/>
                <w:szCs w:val="21"/>
              </w:rPr>
            </w:pPr>
            <w:r>
              <w:rPr>
                <w:color w:val="000000"/>
                <w:kern w:val="0"/>
                <w:szCs w:val="21"/>
                <w:lang w:bidi="ar"/>
              </w:rPr>
              <w:t>1.22</w:t>
            </w:r>
          </w:p>
        </w:tc>
        <w:tc>
          <w:tcPr>
            <w:tcW w:w="625" w:type="pct"/>
            <w:vAlign w:val="bottom"/>
          </w:tcPr>
          <w:p>
            <w:pPr>
              <w:widowControl/>
              <w:jc w:val="center"/>
              <w:textAlignment w:val="bottom"/>
              <w:rPr>
                <w:color w:val="000000"/>
                <w:szCs w:val="21"/>
              </w:rPr>
            </w:pPr>
            <w:r>
              <w:rPr>
                <w:color w:val="000000"/>
                <w:kern w:val="0"/>
                <w:szCs w:val="21"/>
                <w:lang w:bidi="ar"/>
              </w:rPr>
              <w:t>1.17</w:t>
            </w:r>
          </w:p>
        </w:tc>
        <w:tc>
          <w:tcPr>
            <w:tcW w:w="625" w:type="pct"/>
            <w:vAlign w:val="bottom"/>
          </w:tcPr>
          <w:p>
            <w:pPr>
              <w:widowControl/>
              <w:jc w:val="center"/>
              <w:textAlignment w:val="bottom"/>
              <w:rPr>
                <w:color w:val="000000"/>
                <w:szCs w:val="21"/>
              </w:rPr>
            </w:pPr>
            <w:r>
              <w:rPr>
                <w:color w:val="000000"/>
                <w:kern w:val="0"/>
                <w:szCs w:val="21"/>
                <w:lang w:bidi="ar"/>
              </w:rPr>
              <w:t>10.44</w:t>
            </w:r>
          </w:p>
        </w:tc>
        <w:tc>
          <w:tcPr>
            <w:tcW w:w="624" w:type="pct"/>
            <w:vAlign w:val="bottom"/>
          </w:tcPr>
          <w:p>
            <w:pPr>
              <w:widowControl/>
              <w:jc w:val="center"/>
              <w:textAlignment w:val="bottom"/>
              <w:rPr>
                <w:color w:val="000000"/>
                <w:kern w:val="0"/>
                <w:szCs w:val="21"/>
                <w:lang w:bidi="ar"/>
              </w:rPr>
            </w:pPr>
            <w:r>
              <w:rPr>
                <w:color w:val="000000"/>
                <w:kern w:val="0"/>
                <w:szCs w:val="21"/>
                <w:lang w:bidi="ar"/>
              </w:rPr>
              <w:t>10.09</w:t>
            </w:r>
          </w:p>
        </w:tc>
        <w:tc>
          <w:tcPr>
            <w:tcW w:w="625" w:type="pct"/>
            <w:vAlign w:val="bottom"/>
          </w:tcPr>
          <w:p>
            <w:pPr>
              <w:widowControl/>
              <w:jc w:val="center"/>
              <w:textAlignment w:val="bottom"/>
              <w:rPr>
                <w:color w:val="000000"/>
                <w:kern w:val="0"/>
                <w:szCs w:val="21"/>
                <w:lang w:bidi="ar"/>
              </w:rPr>
            </w:pPr>
            <w:r>
              <w:rPr>
                <w:color w:val="000000"/>
                <w:kern w:val="0"/>
                <w:szCs w:val="21"/>
                <w:lang w:bidi="ar"/>
              </w:rPr>
              <w:t>11.02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21.9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14</w:t>
            </w:r>
          </w:p>
        </w:tc>
        <w:tc>
          <w:tcPr>
            <w:tcW w:w="693" w:type="pct"/>
            <w:vAlign w:val="bottom"/>
          </w:tcPr>
          <w:p>
            <w:pPr>
              <w:widowControl/>
              <w:jc w:val="center"/>
              <w:textAlignment w:val="bottom"/>
              <w:rPr>
                <w:color w:val="000000"/>
                <w:szCs w:val="21"/>
              </w:rPr>
            </w:pPr>
            <w:r>
              <w:rPr>
                <w:color w:val="000000"/>
                <w:kern w:val="0"/>
                <w:szCs w:val="21"/>
                <w:lang w:bidi="ar"/>
              </w:rPr>
              <w:t>1.01</w:t>
            </w:r>
          </w:p>
        </w:tc>
        <w:tc>
          <w:tcPr>
            <w:tcW w:w="625" w:type="pct"/>
            <w:vAlign w:val="bottom"/>
          </w:tcPr>
          <w:p>
            <w:pPr>
              <w:widowControl/>
              <w:jc w:val="center"/>
              <w:textAlignment w:val="bottom"/>
              <w:rPr>
                <w:color w:val="000000"/>
                <w:szCs w:val="21"/>
              </w:rPr>
            </w:pPr>
            <w:r>
              <w:rPr>
                <w:color w:val="000000"/>
                <w:kern w:val="0"/>
                <w:szCs w:val="21"/>
                <w:lang w:bidi="ar"/>
              </w:rPr>
              <w:t>1.07</w:t>
            </w:r>
          </w:p>
        </w:tc>
        <w:tc>
          <w:tcPr>
            <w:tcW w:w="625" w:type="pct"/>
            <w:vAlign w:val="bottom"/>
          </w:tcPr>
          <w:p>
            <w:pPr>
              <w:widowControl/>
              <w:jc w:val="center"/>
              <w:textAlignment w:val="bottom"/>
              <w:rPr>
                <w:color w:val="000000"/>
                <w:szCs w:val="21"/>
              </w:rPr>
            </w:pPr>
            <w:r>
              <w:rPr>
                <w:color w:val="000000"/>
                <w:kern w:val="0"/>
                <w:szCs w:val="21"/>
                <w:lang w:bidi="ar"/>
              </w:rPr>
              <w:t>1.02</w:t>
            </w:r>
          </w:p>
        </w:tc>
        <w:tc>
          <w:tcPr>
            <w:tcW w:w="625" w:type="pct"/>
            <w:vAlign w:val="bottom"/>
          </w:tcPr>
          <w:p>
            <w:pPr>
              <w:widowControl/>
              <w:jc w:val="center"/>
              <w:textAlignment w:val="bottom"/>
              <w:rPr>
                <w:color w:val="000000"/>
                <w:szCs w:val="21"/>
              </w:rPr>
            </w:pPr>
            <w:r>
              <w:rPr>
                <w:color w:val="000000"/>
                <w:kern w:val="0"/>
                <w:szCs w:val="21"/>
                <w:lang w:bidi="ar"/>
              </w:rPr>
              <w:t>9.45</w:t>
            </w:r>
          </w:p>
        </w:tc>
        <w:tc>
          <w:tcPr>
            <w:tcW w:w="624" w:type="pct"/>
            <w:vAlign w:val="bottom"/>
          </w:tcPr>
          <w:p>
            <w:pPr>
              <w:widowControl/>
              <w:jc w:val="center"/>
              <w:textAlignment w:val="bottom"/>
              <w:rPr>
                <w:color w:val="000000"/>
                <w:kern w:val="0"/>
                <w:szCs w:val="21"/>
                <w:lang w:bidi="ar"/>
              </w:rPr>
            </w:pPr>
            <w:r>
              <w:rPr>
                <w:color w:val="000000"/>
                <w:kern w:val="0"/>
                <w:szCs w:val="21"/>
                <w:lang w:bidi="ar"/>
              </w:rPr>
              <w:t>9.16</w:t>
            </w:r>
          </w:p>
        </w:tc>
        <w:tc>
          <w:tcPr>
            <w:tcW w:w="625" w:type="pct"/>
            <w:vAlign w:val="bottom"/>
          </w:tcPr>
          <w:p>
            <w:pPr>
              <w:widowControl/>
              <w:jc w:val="center"/>
              <w:textAlignment w:val="bottom"/>
              <w:rPr>
                <w:color w:val="000000"/>
                <w:kern w:val="0"/>
                <w:szCs w:val="21"/>
                <w:lang w:bidi="ar"/>
              </w:rPr>
            </w:pPr>
            <w:r>
              <w:rPr>
                <w:color w:val="000000"/>
                <w:kern w:val="0"/>
                <w:szCs w:val="21"/>
                <w:lang w:bidi="ar"/>
              </w:rPr>
              <w:t>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22.9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15</w:t>
            </w:r>
          </w:p>
        </w:tc>
        <w:tc>
          <w:tcPr>
            <w:tcW w:w="693" w:type="pct"/>
            <w:vAlign w:val="bottom"/>
          </w:tcPr>
          <w:p>
            <w:pPr>
              <w:widowControl/>
              <w:jc w:val="center"/>
              <w:textAlignment w:val="bottom"/>
              <w:rPr>
                <w:color w:val="000000"/>
                <w:szCs w:val="21"/>
              </w:rPr>
            </w:pPr>
            <w:r>
              <w:rPr>
                <w:color w:val="000000"/>
                <w:kern w:val="0"/>
                <w:szCs w:val="21"/>
                <w:lang w:bidi="ar"/>
              </w:rPr>
              <w:t>0.88</w:t>
            </w:r>
          </w:p>
        </w:tc>
        <w:tc>
          <w:tcPr>
            <w:tcW w:w="625" w:type="pct"/>
            <w:vAlign w:val="bottom"/>
          </w:tcPr>
          <w:p>
            <w:pPr>
              <w:widowControl/>
              <w:jc w:val="center"/>
              <w:textAlignment w:val="bottom"/>
              <w:rPr>
                <w:color w:val="000000"/>
                <w:szCs w:val="21"/>
              </w:rPr>
            </w:pPr>
            <w:r>
              <w:rPr>
                <w:color w:val="000000"/>
                <w:kern w:val="0"/>
                <w:szCs w:val="21"/>
                <w:lang w:bidi="ar"/>
              </w:rPr>
              <w:t>0.94</w:t>
            </w:r>
          </w:p>
        </w:tc>
        <w:tc>
          <w:tcPr>
            <w:tcW w:w="625" w:type="pct"/>
            <w:vAlign w:val="bottom"/>
          </w:tcPr>
          <w:p>
            <w:pPr>
              <w:widowControl/>
              <w:jc w:val="center"/>
              <w:textAlignment w:val="bottom"/>
              <w:rPr>
                <w:color w:val="000000"/>
                <w:szCs w:val="21"/>
              </w:rPr>
            </w:pPr>
            <w:r>
              <w:rPr>
                <w:color w:val="000000"/>
                <w:kern w:val="0"/>
                <w:szCs w:val="21"/>
                <w:lang w:bidi="ar"/>
              </w:rPr>
              <w:t>0.9</w:t>
            </w:r>
          </w:p>
        </w:tc>
        <w:tc>
          <w:tcPr>
            <w:tcW w:w="625" w:type="pct"/>
            <w:vAlign w:val="bottom"/>
          </w:tcPr>
          <w:p>
            <w:pPr>
              <w:widowControl/>
              <w:jc w:val="center"/>
              <w:textAlignment w:val="bottom"/>
              <w:rPr>
                <w:color w:val="000000"/>
                <w:szCs w:val="21"/>
              </w:rPr>
            </w:pPr>
            <w:r>
              <w:rPr>
                <w:color w:val="000000"/>
                <w:kern w:val="0"/>
                <w:szCs w:val="21"/>
                <w:lang w:bidi="ar"/>
              </w:rPr>
              <w:t>8.59</w:t>
            </w:r>
          </w:p>
        </w:tc>
        <w:tc>
          <w:tcPr>
            <w:tcW w:w="624" w:type="pct"/>
            <w:vAlign w:val="bottom"/>
          </w:tcPr>
          <w:p>
            <w:pPr>
              <w:widowControl/>
              <w:jc w:val="center"/>
              <w:textAlignment w:val="bottom"/>
              <w:rPr>
                <w:color w:val="000000"/>
                <w:kern w:val="0"/>
                <w:szCs w:val="21"/>
                <w:lang w:bidi="ar"/>
              </w:rPr>
            </w:pPr>
            <w:r>
              <w:rPr>
                <w:color w:val="000000"/>
                <w:kern w:val="0"/>
                <w:szCs w:val="21"/>
                <w:lang w:bidi="ar"/>
              </w:rPr>
              <w:t>8.36</w:t>
            </w:r>
          </w:p>
        </w:tc>
        <w:tc>
          <w:tcPr>
            <w:tcW w:w="625" w:type="pct"/>
            <w:vAlign w:val="bottom"/>
          </w:tcPr>
          <w:p>
            <w:pPr>
              <w:widowControl/>
              <w:jc w:val="center"/>
              <w:textAlignment w:val="bottom"/>
              <w:rPr>
                <w:color w:val="000000"/>
                <w:kern w:val="0"/>
                <w:szCs w:val="21"/>
                <w:lang w:bidi="ar"/>
              </w:rPr>
            </w:pPr>
            <w:r>
              <w:rPr>
                <w:color w:val="000000"/>
                <w:kern w:val="0"/>
                <w:szCs w:val="21"/>
                <w:lang w:bidi="ar"/>
              </w:rPr>
              <w:t>8.96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23.9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16</w:t>
            </w:r>
          </w:p>
        </w:tc>
        <w:tc>
          <w:tcPr>
            <w:tcW w:w="693" w:type="pct"/>
            <w:vAlign w:val="bottom"/>
          </w:tcPr>
          <w:p>
            <w:pPr>
              <w:widowControl/>
              <w:jc w:val="center"/>
              <w:textAlignment w:val="bottom"/>
              <w:rPr>
                <w:color w:val="000000"/>
                <w:szCs w:val="21"/>
              </w:rPr>
            </w:pPr>
            <w:r>
              <w:rPr>
                <w:color w:val="000000"/>
                <w:kern w:val="0"/>
                <w:szCs w:val="21"/>
                <w:lang w:bidi="ar"/>
              </w:rPr>
              <w:t>0.77</w:t>
            </w:r>
          </w:p>
        </w:tc>
        <w:tc>
          <w:tcPr>
            <w:tcW w:w="625" w:type="pct"/>
            <w:vAlign w:val="bottom"/>
          </w:tcPr>
          <w:p>
            <w:pPr>
              <w:widowControl/>
              <w:jc w:val="center"/>
              <w:textAlignment w:val="bottom"/>
              <w:rPr>
                <w:color w:val="000000"/>
                <w:szCs w:val="21"/>
              </w:rPr>
            </w:pPr>
            <w:r>
              <w:rPr>
                <w:color w:val="000000"/>
                <w:kern w:val="0"/>
                <w:szCs w:val="21"/>
                <w:lang w:bidi="ar"/>
              </w:rPr>
              <w:t>0.83</w:t>
            </w:r>
          </w:p>
        </w:tc>
        <w:tc>
          <w:tcPr>
            <w:tcW w:w="625" w:type="pct"/>
            <w:vAlign w:val="bottom"/>
          </w:tcPr>
          <w:p>
            <w:pPr>
              <w:widowControl/>
              <w:jc w:val="center"/>
              <w:textAlignment w:val="bottom"/>
              <w:rPr>
                <w:color w:val="000000"/>
                <w:szCs w:val="21"/>
              </w:rPr>
            </w:pPr>
            <w:r>
              <w:rPr>
                <w:color w:val="000000"/>
                <w:kern w:val="0"/>
                <w:szCs w:val="21"/>
                <w:lang w:bidi="ar"/>
              </w:rPr>
              <w:t>0.8</w:t>
            </w:r>
          </w:p>
        </w:tc>
        <w:tc>
          <w:tcPr>
            <w:tcW w:w="625" w:type="pct"/>
            <w:vAlign w:val="bottom"/>
          </w:tcPr>
          <w:p>
            <w:pPr>
              <w:widowControl/>
              <w:jc w:val="center"/>
              <w:textAlignment w:val="bottom"/>
              <w:rPr>
                <w:color w:val="000000"/>
                <w:szCs w:val="21"/>
              </w:rPr>
            </w:pPr>
            <w:r>
              <w:rPr>
                <w:color w:val="000000"/>
                <w:kern w:val="0"/>
                <w:szCs w:val="21"/>
                <w:lang w:bidi="ar"/>
              </w:rPr>
              <w:t>7.84</w:t>
            </w:r>
          </w:p>
        </w:tc>
        <w:tc>
          <w:tcPr>
            <w:tcW w:w="624" w:type="pct"/>
            <w:vAlign w:val="bottom"/>
          </w:tcPr>
          <w:p>
            <w:pPr>
              <w:widowControl/>
              <w:jc w:val="center"/>
              <w:textAlignment w:val="bottom"/>
              <w:rPr>
                <w:color w:val="000000"/>
                <w:kern w:val="0"/>
                <w:szCs w:val="21"/>
                <w:lang w:bidi="ar"/>
              </w:rPr>
            </w:pPr>
            <w:r>
              <w:rPr>
                <w:color w:val="000000"/>
                <w:kern w:val="0"/>
                <w:szCs w:val="21"/>
                <w:lang w:bidi="ar"/>
              </w:rPr>
              <w:t>7.65</w:t>
            </w:r>
          </w:p>
        </w:tc>
        <w:tc>
          <w:tcPr>
            <w:tcW w:w="625" w:type="pct"/>
            <w:vAlign w:val="bottom"/>
          </w:tcPr>
          <w:p>
            <w:pPr>
              <w:widowControl/>
              <w:jc w:val="center"/>
              <w:textAlignment w:val="bottom"/>
              <w:rPr>
                <w:color w:val="000000"/>
                <w:kern w:val="0"/>
                <w:szCs w:val="21"/>
                <w:lang w:bidi="ar"/>
              </w:rPr>
            </w:pPr>
            <w:r>
              <w:rPr>
                <w:color w:val="000000"/>
                <w:kern w:val="0"/>
                <w:szCs w:val="21"/>
                <w:lang w:bidi="ar"/>
              </w:rPr>
              <w:t>8.14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24.9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17</w:t>
            </w:r>
          </w:p>
        </w:tc>
        <w:tc>
          <w:tcPr>
            <w:tcW w:w="693" w:type="pct"/>
            <w:vAlign w:val="bottom"/>
          </w:tcPr>
          <w:p>
            <w:pPr>
              <w:widowControl/>
              <w:jc w:val="center"/>
              <w:textAlignment w:val="bottom"/>
              <w:rPr>
                <w:color w:val="000000"/>
                <w:szCs w:val="21"/>
              </w:rPr>
            </w:pPr>
            <w:r>
              <w:rPr>
                <w:color w:val="000000"/>
                <w:kern w:val="0"/>
                <w:szCs w:val="21"/>
                <w:lang w:bidi="ar"/>
              </w:rPr>
              <w:t>0.68</w:t>
            </w:r>
          </w:p>
        </w:tc>
        <w:tc>
          <w:tcPr>
            <w:tcW w:w="625" w:type="pct"/>
            <w:vAlign w:val="bottom"/>
          </w:tcPr>
          <w:p>
            <w:pPr>
              <w:widowControl/>
              <w:jc w:val="center"/>
              <w:textAlignment w:val="bottom"/>
              <w:rPr>
                <w:color w:val="000000"/>
                <w:szCs w:val="21"/>
              </w:rPr>
            </w:pPr>
            <w:r>
              <w:rPr>
                <w:color w:val="000000"/>
                <w:kern w:val="0"/>
                <w:szCs w:val="21"/>
                <w:lang w:bidi="ar"/>
              </w:rPr>
              <w:t>0.73</w:t>
            </w:r>
          </w:p>
        </w:tc>
        <w:tc>
          <w:tcPr>
            <w:tcW w:w="625" w:type="pct"/>
            <w:vAlign w:val="bottom"/>
          </w:tcPr>
          <w:p>
            <w:pPr>
              <w:widowControl/>
              <w:jc w:val="center"/>
              <w:textAlignment w:val="bottom"/>
              <w:rPr>
                <w:color w:val="000000"/>
                <w:szCs w:val="21"/>
              </w:rPr>
            </w:pPr>
            <w:r>
              <w:rPr>
                <w:color w:val="000000"/>
                <w:kern w:val="0"/>
                <w:szCs w:val="21"/>
                <w:lang w:bidi="ar"/>
              </w:rPr>
              <w:t>0.71</w:t>
            </w:r>
          </w:p>
        </w:tc>
        <w:tc>
          <w:tcPr>
            <w:tcW w:w="625" w:type="pct"/>
            <w:vAlign w:val="bottom"/>
          </w:tcPr>
          <w:p>
            <w:pPr>
              <w:widowControl/>
              <w:jc w:val="center"/>
              <w:textAlignment w:val="bottom"/>
              <w:rPr>
                <w:color w:val="000000"/>
                <w:szCs w:val="21"/>
              </w:rPr>
            </w:pPr>
            <w:r>
              <w:rPr>
                <w:color w:val="000000"/>
                <w:kern w:val="0"/>
                <w:szCs w:val="21"/>
                <w:lang w:bidi="ar"/>
              </w:rPr>
              <w:t>7.19</w:t>
            </w:r>
          </w:p>
        </w:tc>
        <w:tc>
          <w:tcPr>
            <w:tcW w:w="624" w:type="pct"/>
            <w:vAlign w:val="bottom"/>
          </w:tcPr>
          <w:p>
            <w:pPr>
              <w:widowControl/>
              <w:jc w:val="center"/>
              <w:textAlignment w:val="bottom"/>
              <w:rPr>
                <w:color w:val="000000"/>
                <w:kern w:val="0"/>
                <w:szCs w:val="21"/>
                <w:lang w:bidi="ar"/>
              </w:rPr>
            </w:pPr>
            <w:r>
              <w:rPr>
                <w:color w:val="000000"/>
                <w:kern w:val="0"/>
                <w:szCs w:val="21"/>
                <w:lang w:bidi="ar"/>
              </w:rPr>
              <w:t>7.03</w:t>
            </w:r>
          </w:p>
        </w:tc>
        <w:tc>
          <w:tcPr>
            <w:tcW w:w="625" w:type="pct"/>
            <w:vAlign w:val="bottom"/>
          </w:tcPr>
          <w:p>
            <w:pPr>
              <w:widowControl/>
              <w:jc w:val="center"/>
              <w:textAlignment w:val="bottom"/>
              <w:rPr>
                <w:color w:val="000000"/>
                <w:kern w:val="0"/>
                <w:szCs w:val="21"/>
                <w:lang w:bidi="ar"/>
              </w:rPr>
            </w:pPr>
            <w:r>
              <w:rPr>
                <w:color w:val="000000"/>
                <w:kern w:val="0"/>
                <w:szCs w:val="21"/>
                <w:lang w:bidi="ar"/>
              </w:rPr>
              <w:t>7.44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25.9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18</w:t>
            </w:r>
          </w:p>
        </w:tc>
        <w:tc>
          <w:tcPr>
            <w:tcW w:w="693" w:type="pct"/>
            <w:vAlign w:val="bottom"/>
          </w:tcPr>
          <w:p>
            <w:pPr>
              <w:widowControl/>
              <w:jc w:val="center"/>
              <w:textAlignment w:val="bottom"/>
              <w:rPr>
                <w:color w:val="000000"/>
                <w:szCs w:val="21"/>
              </w:rPr>
            </w:pPr>
            <w:r>
              <w:rPr>
                <w:color w:val="000000"/>
                <w:kern w:val="0"/>
                <w:szCs w:val="21"/>
                <w:lang w:bidi="ar"/>
              </w:rPr>
              <w:t>0.6</w:t>
            </w:r>
          </w:p>
        </w:tc>
        <w:tc>
          <w:tcPr>
            <w:tcW w:w="625" w:type="pct"/>
            <w:vAlign w:val="bottom"/>
          </w:tcPr>
          <w:p>
            <w:pPr>
              <w:widowControl/>
              <w:jc w:val="center"/>
              <w:textAlignment w:val="bottom"/>
              <w:rPr>
                <w:color w:val="000000"/>
                <w:szCs w:val="21"/>
              </w:rPr>
            </w:pPr>
            <w:r>
              <w:rPr>
                <w:color w:val="000000"/>
                <w:kern w:val="0"/>
                <w:szCs w:val="21"/>
                <w:lang w:bidi="ar"/>
              </w:rPr>
              <w:t>0.65</w:t>
            </w:r>
          </w:p>
        </w:tc>
        <w:tc>
          <w:tcPr>
            <w:tcW w:w="625" w:type="pct"/>
            <w:vAlign w:val="bottom"/>
          </w:tcPr>
          <w:p>
            <w:pPr>
              <w:widowControl/>
              <w:jc w:val="center"/>
              <w:textAlignment w:val="bottom"/>
              <w:rPr>
                <w:color w:val="000000"/>
                <w:szCs w:val="21"/>
              </w:rPr>
            </w:pPr>
            <w:r>
              <w:rPr>
                <w:color w:val="000000"/>
                <w:kern w:val="0"/>
                <w:szCs w:val="21"/>
                <w:lang w:bidi="ar"/>
              </w:rPr>
              <w:t>0.63</w:t>
            </w:r>
          </w:p>
        </w:tc>
        <w:tc>
          <w:tcPr>
            <w:tcW w:w="625" w:type="pct"/>
            <w:vAlign w:val="bottom"/>
          </w:tcPr>
          <w:p>
            <w:pPr>
              <w:widowControl/>
              <w:jc w:val="center"/>
              <w:textAlignment w:val="bottom"/>
              <w:rPr>
                <w:color w:val="000000"/>
                <w:szCs w:val="21"/>
              </w:rPr>
            </w:pPr>
            <w:r>
              <w:rPr>
                <w:color w:val="000000"/>
                <w:kern w:val="0"/>
                <w:szCs w:val="21"/>
                <w:lang w:bidi="ar"/>
              </w:rPr>
              <w:t>6.61</w:t>
            </w:r>
          </w:p>
        </w:tc>
        <w:tc>
          <w:tcPr>
            <w:tcW w:w="624" w:type="pct"/>
            <w:vAlign w:val="bottom"/>
          </w:tcPr>
          <w:p>
            <w:pPr>
              <w:widowControl/>
              <w:jc w:val="center"/>
              <w:textAlignment w:val="bottom"/>
              <w:rPr>
                <w:color w:val="000000"/>
                <w:kern w:val="0"/>
                <w:szCs w:val="21"/>
                <w:lang w:bidi="ar"/>
              </w:rPr>
            </w:pPr>
            <w:r>
              <w:rPr>
                <w:color w:val="000000"/>
                <w:kern w:val="0"/>
                <w:szCs w:val="21"/>
                <w:lang w:bidi="ar"/>
              </w:rPr>
              <w:t>6.48</w:t>
            </w:r>
          </w:p>
        </w:tc>
        <w:tc>
          <w:tcPr>
            <w:tcW w:w="625" w:type="pct"/>
            <w:vAlign w:val="bottom"/>
          </w:tcPr>
          <w:p>
            <w:pPr>
              <w:widowControl/>
              <w:jc w:val="center"/>
              <w:textAlignment w:val="bottom"/>
              <w:rPr>
                <w:color w:val="000000"/>
                <w:kern w:val="0"/>
                <w:szCs w:val="21"/>
                <w:lang w:bidi="ar"/>
              </w:rPr>
            </w:pPr>
            <w:r>
              <w:rPr>
                <w:color w:val="000000"/>
                <w:kern w:val="0"/>
                <w:szCs w:val="21"/>
                <w:lang w:bidi="ar"/>
              </w:rPr>
              <w:t>6.82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26.9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19</w:t>
            </w:r>
          </w:p>
        </w:tc>
        <w:tc>
          <w:tcPr>
            <w:tcW w:w="693" w:type="pct"/>
            <w:vAlign w:val="bottom"/>
          </w:tcPr>
          <w:p>
            <w:pPr>
              <w:widowControl/>
              <w:jc w:val="center"/>
              <w:textAlignment w:val="bottom"/>
              <w:rPr>
                <w:color w:val="000000"/>
                <w:szCs w:val="21"/>
              </w:rPr>
            </w:pPr>
            <w:r>
              <w:rPr>
                <w:color w:val="000000"/>
                <w:kern w:val="0"/>
                <w:szCs w:val="21"/>
                <w:lang w:bidi="ar"/>
              </w:rPr>
              <w:t>0.54</w:t>
            </w:r>
          </w:p>
        </w:tc>
        <w:tc>
          <w:tcPr>
            <w:tcW w:w="625" w:type="pct"/>
            <w:vAlign w:val="bottom"/>
          </w:tcPr>
          <w:p>
            <w:pPr>
              <w:widowControl/>
              <w:jc w:val="center"/>
              <w:textAlignment w:val="bottom"/>
              <w:rPr>
                <w:color w:val="000000"/>
                <w:szCs w:val="21"/>
              </w:rPr>
            </w:pPr>
            <w:r>
              <w:rPr>
                <w:color w:val="000000"/>
                <w:kern w:val="0"/>
                <w:szCs w:val="21"/>
                <w:lang w:bidi="ar"/>
              </w:rPr>
              <w:t>0.59</w:t>
            </w:r>
          </w:p>
        </w:tc>
        <w:tc>
          <w:tcPr>
            <w:tcW w:w="625" w:type="pct"/>
            <w:vAlign w:val="bottom"/>
          </w:tcPr>
          <w:p>
            <w:pPr>
              <w:widowControl/>
              <w:jc w:val="center"/>
              <w:textAlignment w:val="bottom"/>
              <w:rPr>
                <w:color w:val="000000"/>
                <w:szCs w:val="21"/>
              </w:rPr>
            </w:pPr>
            <w:r>
              <w:rPr>
                <w:color w:val="000000"/>
                <w:kern w:val="0"/>
                <w:szCs w:val="21"/>
                <w:lang w:bidi="ar"/>
              </w:rPr>
              <w:t>0.57</w:t>
            </w:r>
          </w:p>
        </w:tc>
        <w:tc>
          <w:tcPr>
            <w:tcW w:w="625" w:type="pct"/>
            <w:vAlign w:val="bottom"/>
          </w:tcPr>
          <w:p>
            <w:pPr>
              <w:widowControl/>
              <w:jc w:val="center"/>
              <w:textAlignment w:val="bottom"/>
              <w:rPr>
                <w:color w:val="000000"/>
                <w:szCs w:val="21"/>
              </w:rPr>
            </w:pPr>
            <w:r>
              <w:rPr>
                <w:color w:val="000000"/>
                <w:kern w:val="0"/>
                <w:szCs w:val="21"/>
                <w:lang w:bidi="ar"/>
              </w:rPr>
              <w:t>6.11</w:t>
            </w:r>
          </w:p>
        </w:tc>
        <w:tc>
          <w:tcPr>
            <w:tcW w:w="624" w:type="pct"/>
            <w:vAlign w:val="bottom"/>
          </w:tcPr>
          <w:p>
            <w:pPr>
              <w:widowControl/>
              <w:jc w:val="center"/>
              <w:textAlignment w:val="bottom"/>
              <w:rPr>
                <w:color w:val="000000"/>
                <w:kern w:val="0"/>
                <w:szCs w:val="21"/>
                <w:lang w:bidi="ar"/>
              </w:rPr>
            </w:pPr>
            <w:r>
              <w:rPr>
                <w:color w:val="000000"/>
                <w:kern w:val="0"/>
                <w:szCs w:val="21"/>
                <w:lang w:bidi="ar"/>
              </w:rPr>
              <w:t>5.99</w:t>
            </w:r>
          </w:p>
        </w:tc>
        <w:tc>
          <w:tcPr>
            <w:tcW w:w="625" w:type="pct"/>
            <w:vAlign w:val="bottom"/>
          </w:tcPr>
          <w:p>
            <w:pPr>
              <w:widowControl/>
              <w:jc w:val="center"/>
              <w:textAlignment w:val="bottom"/>
              <w:rPr>
                <w:color w:val="000000"/>
                <w:kern w:val="0"/>
                <w:szCs w:val="21"/>
                <w:lang w:bidi="ar"/>
              </w:rPr>
            </w:pPr>
            <w:r>
              <w:rPr>
                <w:color w:val="000000"/>
                <w:kern w:val="0"/>
                <w:szCs w:val="21"/>
                <w:lang w:bidi="ar"/>
              </w:rPr>
              <w:t>6.28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27.9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20</w:t>
            </w:r>
          </w:p>
        </w:tc>
        <w:tc>
          <w:tcPr>
            <w:tcW w:w="693" w:type="pct"/>
            <w:vAlign w:val="bottom"/>
          </w:tcPr>
          <w:p>
            <w:pPr>
              <w:widowControl/>
              <w:jc w:val="center"/>
              <w:textAlignment w:val="bottom"/>
              <w:rPr>
                <w:color w:val="000000"/>
                <w:szCs w:val="21"/>
              </w:rPr>
            </w:pPr>
            <w:r>
              <w:rPr>
                <w:color w:val="000000"/>
                <w:kern w:val="0"/>
                <w:szCs w:val="21"/>
                <w:lang w:bidi="ar"/>
              </w:rPr>
              <w:t>0.48</w:t>
            </w:r>
          </w:p>
        </w:tc>
        <w:tc>
          <w:tcPr>
            <w:tcW w:w="625" w:type="pct"/>
            <w:vAlign w:val="bottom"/>
          </w:tcPr>
          <w:p>
            <w:pPr>
              <w:widowControl/>
              <w:jc w:val="center"/>
              <w:textAlignment w:val="bottom"/>
              <w:rPr>
                <w:color w:val="000000"/>
                <w:szCs w:val="21"/>
              </w:rPr>
            </w:pPr>
            <w:r>
              <w:rPr>
                <w:color w:val="000000"/>
                <w:kern w:val="0"/>
                <w:szCs w:val="21"/>
                <w:lang w:bidi="ar"/>
              </w:rPr>
              <w:t>0.53</w:t>
            </w:r>
          </w:p>
        </w:tc>
        <w:tc>
          <w:tcPr>
            <w:tcW w:w="625" w:type="pct"/>
            <w:vAlign w:val="bottom"/>
          </w:tcPr>
          <w:p>
            <w:pPr>
              <w:widowControl/>
              <w:jc w:val="center"/>
              <w:textAlignment w:val="bottom"/>
              <w:rPr>
                <w:color w:val="000000"/>
                <w:szCs w:val="21"/>
              </w:rPr>
            </w:pPr>
            <w:r>
              <w:rPr>
                <w:color w:val="000000"/>
                <w:kern w:val="0"/>
                <w:szCs w:val="21"/>
                <w:lang w:bidi="ar"/>
              </w:rPr>
              <w:t>0.51</w:t>
            </w:r>
          </w:p>
        </w:tc>
        <w:tc>
          <w:tcPr>
            <w:tcW w:w="625" w:type="pct"/>
            <w:vAlign w:val="bottom"/>
          </w:tcPr>
          <w:p>
            <w:pPr>
              <w:widowControl/>
              <w:jc w:val="center"/>
              <w:textAlignment w:val="bottom"/>
              <w:rPr>
                <w:color w:val="000000"/>
                <w:szCs w:val="21"/>
              </w:rPr>
            </w:pPr>
            <w:r>
              <w:rPr>
                <w:color w:val="000000"/>
                <w:kern w:val="0"/>
                <w:szCs w:val="21"/>
                <w:lang w:bidi="ar"/>
              </w:rPr>
              <w:t>5.65</w:t>
            </w:r>
          </w:p>
        </w:tc>
        <w:tc>
          <w:tcPr>
            <w:tcW w:w="624" w:type="pct"/>
            <w:vAlign w:val="bottom"/>
          </w:tcPr>
          <w:p>
            <w:pPr>
              <w:widowControl/>
              <w:jc w:val="center"/>
              <w:textAlignment w:val="bottom"/>
              <w:rPr>
                <w:color w:val="000000"/>
                <w:kern w:val="0"/>
                <w:szCs w:val="21"/>
                <w:lang w:bidi="ar"/>
              </w:rPr>
            </w:pPr>
            <w:r>
              <w:rPr>
                <w:color w:val="000000"/>
                <w:kern w:val="0"/>
                <w:szCs w:val="21"/>
                <w:lang w:bidi="ar"/>
              </w:rPr>
              <w:t>5.56</w:t>
            </w:r>
          </w:p>
        </w:tc>
        <w:tc>
          <w:tcPr>
            <w:tcW w:w="625" w:type="pct"/>
            <w:vAlign w:val="bottom"/>
          </w:tcPr>
          <w:p>
            <w:pPr>
              <w:widowControl/>
              <w:jc w:val="center"/>
              <w:textAlignment w:val="bottom"/>
              <w:rPr>
                <w:color w:val="000000"/>
                <w:kern w:val="0"/>
                <w:szCs w:val="21"/>
                <w:lang w:bidi="ar"/>
              </w:rPr>
            </w:pPr>
            <w:r>
              <w:rPr>
                <w:color w:val="000000"/>
                <w:kern w:val="0"/>
                <w:szCs w:val="21"/>
                <w:lang w:bidi="ar"/>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28.9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21</w:t>
            </w:r>
          </w:p>
        </w:tc>
        <w:tc>
          <w:tcPr>
            <w:tcW w:w="693" w:type="pct"/>
            <w:vAlign w:val="bottom"/>
          </w:tcPr>
          <w:p>
            <w:pPr>
              <w:widowControl/>
              <w:jc w:val="center"/>
              <w:textAlignment w:val="bottom"/>
              <w:rPr>
                <w:color w:val="000000"/>
                <w:szCs w:val="21"/>
              </w:rPr>
            </w:pPr>
            <w:r>
              <w:rPr>
                <w:color w:val="000000"/>
                <w:kern w:val="0"/>
                <w:szCs w:val="21"/>
                <w:lang w:bidi="ar"/>
              </w:rPr>
              <w:t>0.43</w:t>
            </w:r>
          </w:p>
        </w:tc>
        <w:tc>
          <w:tcPr>
            <w:tcW w:w="625" w:type="pct"/>
            <w:vAlign w:val="bottom"/>
          </w:tcPr>
          <w:p>
            <w:pPr>
              <w:widowControl/>
              <w:jc w:val="center"/>
              <w:textAlignment w:val="bottom"/>
              <w:rPr>
                <w:color w:val="000000"/>
                <w:szCs w:val="21"/>
              </w:rPr>
            </w:pPr>
            <w:r>
              <w:rPr>
                <w:color w:val="000000"/>
                <w:kern w:val="0"/>
                <w:szCs w:val="21"/>
                <w:lang w:bidi="ar"/>
              </w:rPr>
              <w:t>0.47</w:t>
            </w:r>
          </w:p>
        </w:tc>
        <w:tc>
          <w:tcPr>
            <w:tcW w:w="625" w:type="pct"/>
            <w:vAlign w:val="bottom"/>
          </w:tcPr>
          <w:p>
            <w:pPr>
              <w:widowControl/>
              <w:jc w:val="center"/>
              <w:textAlignment w:val="bottom"/>
              <w:rPr>
                <w:color w:val="000000"/>
                <w:szCs w:val="21"/>
              </w:rPr>
            </w:pPr>
            <w:r>
              <w:rPr>
                <w:color w:val="000000"/>
                <w:kern w:val="0"/>
                <w:szCs w:val="21"/>
                <w:lang w:bidi="ar"/>
              </w:rPr>
              <w:t>0.46</w:t>
            </w:r>
          </w:p>
        </w:tc>
        <w:tc>
          <w:tcPr>
            <w:tcW w:w="625" w:type="pct"/>
            <w:vAlign w:val="bottom"/>
          </w:tcPr>
          <w:p>
            <w:pPr>
              <w:widowControl/>
              <w:jc w:val="center"/>
              <w:textAlignment w:val="bottom"/>
              <w:rPr>
                <w:color w:val="000000"/>
                <w:szCs w:val="21"/>
              </w:rPr>
            </w:pPr>
            <w:r>
              <w:rPr>
                <w:color w:val="000000"/>
                <w:kern w:val="0"/>
                <w:szCs w:val="21"/>
                <w:lang w:bidi="ar"/>
              </w:rPr>
              <w:t>5.25</w:t>
            </w:r>
          </w:p>
        </w:tc>
        <w:tc>
          <w:tcPr>
            <w:tcW w:w="624" w:type="pct"/>
            <w:vAlign w:val="bottom"/>
          </w:tcPr>
          <w:p>
            <w:pPr>
              <w:widowControl/>
              <w:jc w:val="center"/>
              <w:textAlignment w:val="bottom"/>
              <w:rPr>
                <w:color w:val="000000"/>
                <w:kern w:val="0"/>
                <w:szCs w:val="21"/>
                <w:lang w:bidi="ar"/>
              </w:rPr>
            </w:pPr>
            <w:r>
              <w:rPr>
                <w:color w:val="000000"/>
                <w:kern w:val="0"/>
                <w:szCs w:val="21"/>
                <w:lang w:bidi="ar"/>
              </w:rPr>
              <w:t>5.17</w:t>
            </w:r>
          </w:p>
        </w:tc>
        <w:tc>
          <w:tcPr>
            <w:tcW w:w="625" w:type="pct"/>
            <w:vAlign w:val="bottom"/>
          </w:tcPr>
          <w:p>
            <w:pPr>
              <w:widowControl/>
              <w:jc w:val="center"/>
              <w:textAlignment w:val="bottom"/>
              <w:rPr>
                <w:color w:val="000000"/>
                <w:kern w:val="0"/>
                <w:szCs w:val="21"/>
                <w:lang w:bidi="ar"/>
              </w:rPr>
            </w:pPr>
            <w:r>
              <w:rPr>
                <w:color w:val="000000"/>
                <w:kern w:val="0"/>
                <w:szCs w:val="21"/>
                <w:lang w:bidi="ar"/>
              </w:rPr>
              <w:t>5.38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29.9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22</w:t>
            </w:r>
          </w:p>
        </w:tc>
        <w:tc>
          <w:tcPr>
            <w:tcW w:w="693" w:type="pct"/>
            <w:vAlign w:val="bottom"/>
          </w:tcPr>
          <w:p>
            <w:pPr>
              <w:widowControl/>
              <w:jc w:val="center"/>
              <w:textAlignment w:val="bottom"/>
              <w:rPr>
                <w:color w:val="000000"/>
                <w:szCs w:val="21"/>
              </w:rPr>
            </w:pPr>
            <w:r>
              <w:rPr>
                <w:color w:val="000000"/>
                <w:kern w:val="0"/>
                <w:szCs w:val="21"/>
                <w:lang w:bidi="ar"/>
              </w:rPr>
              <w:t>0.39</w:t>
            </w:r>
          </w:p>
        </w:tc>
        <w:tc>
          <w:tcPr>
            <w:tcW w:w="625" w:type="pct"/>
            <w:vAlign w:val="bottom"/>
          </w:tcPr>
          <w:p>
            <w:pPr>
              <w:widowControl/>
              <w:jc w:val="center"/>
              <w:textAlignment w:val="bottom"/>
              <w:rPr>
                <w:color w:val="000000"/>
                <w:szCs w:val="21"/>
              </w:rPr>
            </w:pPr>
            <w:r>
              <w:rPr>
                <w:color w:val="000000"/>
                <w:kern w:val="0"/>
                <w:szCs w:val="21"/>
                <w:lang w:bidi="ar"/>
              </w:rPr>
              <w:t>0.43</w:t>
            </w:r>
          </w:p>
        </w:tc>
        <w:tc>
          <w:tcPr>
            <w:tcW w:w="625" w:type="pct"/>
            <w:vAlign w:val="bottom"/>
          </w:tcPr>
          <w:p>
            <w:pPr>
              <w:widowControl/>
              <w:jc w:val="center"/>
              <w:textAlignment w:val="bottom"/>
              <w:rPr>
                <w:color w:val="000000"/>
                <w:szCs w:val="21"/>
              </w:rPr>
            </w:pPr>
            <w:r>
              <w:rPr>
                <w:color w:val="000000"/>
                <w:kern w:val="0"/>
                <w:szCs w:val="21"/>
                <w:lang w:bidi="ar"/>
              </w:rPr>
              <w:t>0.42</w:t>
            </w:r>
          </w:p>
        </w:tc>
        <w:tc>
          <w:tcPr>
            <w:tcW w:w="625" w:type="pct"/>
            <w:vAlign w:val="bottom"/>
          </w:tcPr>
          <w:p>
            <w:pPr>
              <w:widowControl/>
              <w:jc w:val="center"/>
              <w:textAlignment w:val="bottom"/>
              <w:rPr>
                <w:color w:val="000000"/>
                <w:szCs w:val="21"/>
              </w:rPr>
            </w:pPr>
            <w:r>
              <w:rPr>
                <w:color w:val="000000"/>
                <w:kern w:val="0"/>
                <w:szCs w:val="21"/>
                <w:lang w:bidi="ar"/>
              </w:rPr>
              <w:t>4.89</w:t>
            </w:r>
          </w:p>
        </w:tc>
        <w:tc>
          <w:tcPr>
            <w:tcW w:w="624" w:type="pct"/>
            <w:vAlign w:val="bottom"/>
          </w:tcPr>
          <w:p>
            <w:pPr>
              <w:widowControl/>
              <w:jc w:val="center"/>
              <w:textAlignment w:val="bottom"/>
              <w:rPr>
                <w:color w:val="000000"/>
                <w:kern w:val="0"/>
                <w:szCs w:val="21"/>
                <w:lang w:bidi="ar"/>
              </w:rPr>
            </w:pPr>
            <w:r>
              <w:rPr>
                <w:color w:val="000000"/>
                <w:kern w:val="0"/>
                <w:szCs w:val="21"/>
                <w:lang w:bidi="ar"/>
              </w:rPr>
              <w:t>4.82</w:t>
            </w:r>
          </w:p>
        </w:tc>
        <w:tc>
          <w:tcPr>
            <w:tcW w:w="625" w:type="pct"/>
            <w:vAlign w:val="bottom"/>
          </w:tcPr>
          <w:p>
            <w:pPr>
              <w:widowControl/>
              <w:jc w:val="center"/>
              <w:textAlignment w:val="bottom"/>
              <w:rPr>
                <w:color w:val="000000"/>
                <w:kern w:val="0"/>
                <w:szCs w:val="21"/>
                <w:lang w:bidi="ar"/>
              </w:rPr>
            </w:pPr>
            <w:r>
              <w:rPr>
                <w:color w:val="000000"/>
                <w:kern w:val="0"/>
                <w:szCs w:val="21"/>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30.9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23</w:t>
            </w:r>
          </w:p>
        </w:tc>
        <w:tc>
          <w:tcPr>
            <w:tcW w:w="693" w:type="pct"/>
            <w:vAlign w:val="bottom"/>
          </w:tcPr>
          <w:p>
            <w:pPr>
              <w:widowControl/>
              <w:jc w:val="center"/>
              <w:textAlignment w:val="bottom"/>
              <w:rPr>
                <w:color w:val="000000"/>
                <w:szCs w:val="21"/>
              </w:rPr>
            </w:pPr>
            <w:r>
              <w:rPr>
                <w:color w:val="000000"/>
                <w:kern w:val="0"/>
                <w:szCs w:val="21"/>
                <w:lang w:bidi="ar"/>
              </w:rPr>
              <w:t>0.35</w:t>
            </w:r>
          </w:p>
        </w:tc>
        <w:tc>
          <w:tcPr>
            <w:tcW w:w="625" w:type="pct"/>
            <w:vAlign w:val="bottom"/>
          </w:tcPr>
          <w:p>
            <w:pPr>
              <w:widowControl/>
              <w:jc w:val="center"/>
              <w:textAlignment w:val="bottom"/>
              <w:rPr>
                <w:color w:val="000000"/>
                <w:szCs w:val="21"/>
              </w:rPr>
            </w:pPr>
            <w:r>
              <w:rPr>
                <w:color w:val="000000"/>
                <w:kern w:val="0"/>
                <w:szCs w:val="21"/>
                <w:lang w:bidi="ar"/>
              </w:rPr>
              <w:t>0.39</w:t>
            </w:r>
          </w:p>
        </w:tc>
        <w:tc>
          <w:tcPr>
            <w:tcW w:w="625" w:type="pct"/>
            <w:vAlign w:val="bottom"/>
          </w:tcPr>
          <w:p>
            <w:pPr>
              <w:widowControl/>
              <w:jc w:val="center"/>
              <w:textAlignment w:val="bottom"/>
              <w:rPr>
                <w:color w:val="000000"/>
                <w:szCs w:val="21"/>
              </w:rPr>
            </w:pPr>
            <w:r>
              <w:rPr>
                <w:color w:val="000000"/>
                <w:kern w:val="0"/>
                <w:szCs w:val="21"/>
                <w:lang w:bidi="ar"/>
              </w:rPr>
              <w:t>0.38</w:t>
            </w:r>
          </w:p>
        </w:tc>
        <w:tc>
          <w:tcPr>
            <w:tcW w:w="625" w:type="pct"/>
            <w:vAlign w:val="bottom"/>
          </w:tcPr>
          <w:p>
            <w:pPr>
              <w:widowControl/>
              <w:jc w:val="center"/>
              <w:textAlignment w:val="bottom"/>
              <w:rPr>
                <w:color w:val="000000"/>
                <w:szCs w:val="21"/>
              </w:rPr>
            </w:pPr>
            <w:r>
              <w:rPr>
                <w:color w:val="000000"/>
                <w:kern w:val="0"/>
                <w:szCs w:val="21"/>
                <w:lang w:bidi="ar"/>
              </w:rPr>
              <w:t>4.57</w:t>
            </w:r>
          </w:p>
        </w:tc>
        <w:tc>
          <w:tcPr>
            <w:tcW w:w="624" w:type="pct"/>
            <w:vAlign w:val="bottom"/>
          </w:tcPr>
          <w:p>
            <w:pPr>
              <w:widowControl/>
              <w:jc w:val="center"/>
              <w:textAlignment w:val="bottom"/>
              <w:rPr>
                <w:color w:val="000000"/>
                <w:kern w:val="0"/>
                <w:szCs w:val="21"/>
                <w:lang w:bidi="ar"/>
              </w:rPr>
            </w:pPr>
            <w:r>
              <w:rPr>
                <w:color w:val="000000"/>
                <w:kern w:val="0"/>
                <w:szCs w:val="21"/>
                <w:lang w:bidi="ar"/>
              </w:rPr>
              <w:t>4.5</w:t>
            </w:r>
          </w:p>
        </w:tc>
        <w:tc>
          <w:tcPr>
            <w:tcW w:w="625" w:type="pct"/>
            <w:vAlign w:val="bottom"/>
          </w:tcPr>
          <w:p>
            <w:pPr>
              <w:widowControl/>
              <w:jc w:val="center"/>
              <w:textAlignment w:val="bottom"/>
              <w:rPr>
                <w:color w:val="000000"/>
                <w:kern w:val="0"/>
                <w:szCs w:val="21"/>
                <w:lang w:bidi="ar"/>
              </w:rPr>
            </w:pPr>
            <w:r>
              <w:rPr>
                <w:color w:val="000000"/>
                <w:kern w:val="0"/>
                <w:szCs w:val="21"/>
                <w:lang w:bidi="ar"/>
              </w:rPr>
              <w:t>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31.9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24</w:t>
            </w:r>
          </w:p>
        </w:tc>
        <w:tc>
          <w:tcPr>
            <w:tcW w:w="693" w:type="pct"/>
            <w:vAlign w:val="bottom"/>
          </w:tcPr>
          <w:p>
            <w:pPr>
              <w:widowControl/>
              <w:jc w:val="center"/>
              <w:textAlignment w:val="bottom"/>
              <w:rPr>
                <w:color w:val="000000"/>
                <w:szCs w:val="21"/>
              </w:rPr>
            </w:pPr>
            <w:r>
              <w:rPr>
                <w:color w:val="000000"/>
                <w:kern w:val="0"/>
                <w:szCs w:val="21"/>
                <w:lang w:bidi="ar"/>
              </w:rPr>
              <w:t>0.32</w:t>
            </w:r>
          </w:p>
        </w:tc>
        <w:tc>
          <w:tcPr>
            <w:tcW w:w="625" w:type="pct"/>
            <w:vAlign w:val="bottom"/>
          </w:tcPr>
          <w:p>
            <w:pPr>
              <w:widowControl/>
              <w:jc w:val="center"/>
              <w:textAlignment w:val="bottom"/>
              <w:rPr>
                <w:color w:val="000000"/>
                <w:szCs w:val="21"/>
              </w:rPr>
            </w:pPr>
            <w:r>
              <w:rPr>
                <w:color w:val="000000"/>
                <w:kern w:val="0"/>
                <w:szCs w:val="21"/>
                <w:lang w:bidi="ar"/>
              </w:rPr>
              <w:t>0.35</w:t>
            </w:r>
          </w:p>
        </w:tc>
        <w:tc>
          <w:tcPr>
            <w:tcW w:w="625" w:type="pct"/>
            <w:vAlign w:val="bottom"/>
          </w:tcPr>
          <w:p>
            <w:pPr>
              <w:widowControl/>
              <w:jc w:val="center"/>
              <w:textAlignment w:val="bottom"/>
              <w:rPr>
                <w:color w:val="000000"/>
                <w:szCs w:val="21"/>
              </w:rPr>
            </w:pPr>
            <w:r>
              <w:rPr>
                <w:color w:val="000000"/>
                <w:kern w:val="0"/>
                <w:szCs w:val="21"/>
                <w:lang w:bidi="ar"/>
              </w:rPr>
              <w:t>0.34</w:t>
            </w:r>
          </w:p>
        </w:tc>
        <w:tc>
          <w:tcPr>
            <w:tcW w:w="625" w:type="pct"/>
            <w:vAlign w:val="bottom"/>
          </w:tcPr>
          <w:p>
            <w:pPr>
              <w:widowControl/>
              <w:jc w:val="center"/>
              <w:textAlignment w:val="bottom"/>
              <w:rPr>
                <w:color w:val="000000"/>
                <w:szCs w:val="21"/>
              </w:rPr>
            </w:pPr>
            <w:r>
              <w:rPr>
                <w:color w:val="000000"/>
                <w:kern w:val="0"/>
                <w:szCs w:val="21"/>
                <w:lang w:bidi="ar"/>
              </w:rPr>
              <w:t>4.27</w:t>
            </w:r>
          </w:p>
        </w:tc>
        <w:tc>
          <w:tcPr>
            <w:tcW w:w="624" w:type="pct"/>
            <w:vAlign w:val="bottom"/>
          </w:tcPr>
          <w:p>
            <w:pPr>
              <w:widowControl/>
              <w:jc w:val="center"/>
              <w:textAlignment w:val="bottom"/>
              <w:rPr>
                <w:color w:val="000000"/>
                <w:kern w:val="0"/>
                <w:szCs w:val="21"/>
                <w:lang w:bidi="ar"/>
              </w:rPr>
            </w:pPr>
            <w:r>
              <w:rPr>
                <w:color w:val="000000"/>
                <w:kern w:val="0"/>
                <w:szCs w:val="21"/>
                <w:lang w:bidi="ar"/>
              </w:rPr>
              <w:t>4.22</w:t>
            </w:r>
          </w:p>
        </w:tc>
        <w:tc>
          <w:tcPr>
            <w:tcW w:w="625" w:type="pct"/>
            <w:vAlign w:val="bottom"/>
          </w:tcPr>
          <w:p>
            <w:pPr>
              <w:widowControl/>
              <w:jc w:val="center"/>
              <w:textAlignment w:val="bottom"/>
              <w:rPr>
                <w:color w:val="000000"/>
                <w:kern w:val="0"/>
                <w:szCs w:val="21"/>
                <w:lang w:bidi="ar"/>
              </w:rPr>
            </w:pPr>
            <w:r>
              <w:rPr>
                <w:color w:val="000000"/>
                <w:kern w:val="0"/>
                <w:szCs w:val="21"/>
                <w:lang w:bidi="ar"/>
              </w:rPr>
              <w:t>4.35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32.9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25</w:t>
            </w:r>
          </w:p>
        </w:tc>
        <w:tc>
          <w:tcPr>
            <w:tcW w:w="693" w:type="pct"/>
            <w:vAlign w:val="bottom"/>
          </w:tcPr>
          <w:p>
            <w:pPr>
              <w:widowControl/>
              <w:jc w:val="center"/>
              <w:textAlignment w:val="bottom"/>
              <w:rPr>
                <w:color w:val="000000"/>
                <w:szCs w:val="21"/>
              </w:rPr>
            </w:pPr>
            <w:r>
              <w:rPr>
                <w:color w:val="000000"/>
                <w:kern w:val="0"/>
                <w:szCs w:val="21"/>
                <w:lang w:bidi="ar"/>
              </w:rPr>
              <w:t>0.29</w:t>
            </w:r>
          </w:p>
        </w:tc>
        <w:tc>
          <w:tcPr>
            <w:tcW w:w="625" w:type="pct"/>
            <w:vAlign w:val="bottom"/>
          </w:tcPr>
          <w:p>
            <w:pPr>
              <w:widowControl/>
              <w:jc w:val="center"/>
              <w:textAlignment w:val="bottom"/>
              <w:rPr>
                <w:color w:val="000000"/>
                <w:szCs w:val="21"/>
              </w:rPr>
            </w:pPr>
            <w:r>
              <w:rPr>
                <w:color w:val="000000"/>
                <w:kern w:val="0"/>
                <w:szCs w:val="21"/>
                <w:lang w:bidi="ar"/>
              </w:rPr>
              <w:t>0.32</w:t>
            </w:r>
          </w:p>
        </w:tc>
        <w:tc>
          <w:tcPr>
            <w:tcW w:w="625" w:type="pct"/>
            <w:vAlign w:val="bottom"/>
          </w:tcPr>
          <w:p>
            <w:pPr>
              <w:widowControl/>
              <w:jc w:val="center"/>
              <w:textAlignment w:val="bottom"/>
              <w:rPr>
                <w:color w:val="000000"/>
                <w:szCs w:val="21"/>
              </w:rPr>
            </w:pPr>
            <w:r>
              <w:rPr>
                <w:color w:val="000000"/>
                <w:kern w:val="0"/>
                <w:szCs w:val="21"/>
                <w:lang w:bidi="ar"/>
              </w:rPr>
              <w:t>0.31</w:t>
            </w:r>
          </w:p>
        </w:tc>
        <w:tc>
          <w:tcPr>
            <w:tcW w:w="625" w:type="pct"/>
            <w:vAlign w:val="bottom"/>
          </w:tcPr>
          <w:p>
            <w:pPr>
              <w:widowControl/>
              <w:jc w:val="center"/>
              <w:textAlignment w:val="bottom"/>
              <w:rPr>
                <w:color w:val="000000"/>
                <w:szCs w:val="21"/>
              </w:rPr>
            </w:pPr>
            <w:r>
              <w:rPr>
                <w:color w:val="000000"/>
                <w:kern w:val="0"/>
                <w:szCs w:val="21"/>
                <w:lang w:bidi="ar"/>
              </w:rPr>
              <w:t>4.01</w:t>
            </w:r>
          </w:p>
        </w:tc>
        <w:tc>
          <w:tcPr>
            <w:tcW w:w="624" w:type="pct"/>
            <w:vAlign w:val="bottom"/>
          </w:tcPr>
          <w:p>
            <w:pPr>
              <w:widowControl/>
              <w:jc w:val="center"/>
              <w:textAlignment w:val="bottom"/>
              <w:rPr>
                <w:color w:val="000000"/>
                <w:kern w:val="0"/>
                <w:szCs w:val="21"/>
                <w:lang w:bidi="ar"/>
              </w:rPr>
            </w:pPr>
            <w:r>
              <w:rPr>
                <w:color w:val="000000"/>
                <w:kern w:val="0"/>
                <w:szCs w:val="21"/>
                <w:lang w:bidi="ar"/>
              </w:rPr>
              <w:t>3.96</w:t>
            </w:r>
          </w:p>
        </w:tc>
        <w:tc>
          <w:tcPr>
            <w:tcW w:w="625" w:type="pct"/>
            <w:vAlign w:val="bottom"/>
          </w:tcPr>
          <w:p>
            <w:pPr>
              <w:widowControl/>
              <w:jc w:val="center"/>
              <w:textAlignment w:val="bottom"/>
              <w:rPr>
                <w:color w:val="000000"/>
                <w:kern w:val="0"/>
                <w:szCs w:val="21"/>
                <w:lang w:bidi="ar"/>
              </w:rPr>
            </w:pPr>
            <w:r>
              <w:rPr>
                <w:color w:val="000000"/>
                <w:kern w:val="0"/>
                <w:szCs w:val="21"/>
                <w:lang w:bidi="ar"/>
              </w:rPr>
              <w:t>4.08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33.9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26</w:t>
            </w:r>
          </w:p>
        </w:tc>
        <w:tc>
          <w:tcPr>
            <w:tcW w:w="693" w:type="pct"/>
            <w:vAlign w:val="bottom"/>
          </w:tcPr>
          <w:p>
            <w:pPr>
              <w:widowControl/>
              <w:jc w:val="center"/>
              <w:textAlignment w:val="bottom"/>
              <w:rPr>
                <w:color w:val="000000"/>
                <w:szCs w:val="21"/>
              </w:rPr>
            </w:pPr>
            <w:r>
              <w:rPr>
                <w:color w:val="000000"/>
                <w:kern w:val="0"/>
                <w:szCs w:val="21"/>
                <w:lang w:bidi="ar"/>
              </w:rPr>
              <w:t>0.27</w:t>
            </w:r>
          </w:p>
        </w:tc>
        <w:tc>
          <w:tcPr>
            <w:tcW w:w="625" w:type="pct"/>
            <w:vAlign w:val="bottom"/>
          </w:tcPr>
          <w:p>
            <w:pPr>
              <w:widowControl/>
              <w:jc w:val="center"/>
              <w:textAlignment w:val="bottom"/>
              <w:rPr>
                <w:color w:val="000000"/>
                <w:szCs w:val="21"/>
              </w:rPr>
            </w:pPr>
            <w:r>
              <w:rPr>
                <w:color w:val="000000"/>
                <w:kern w:val="0"/>
                <w:szCs w:val="21"/>
                <w:lang w:bidi="ar"/>
              </w:rPr>
              <w:t>0.29</w:t>
            </w:r>
          </w:p>
        </w:tc>
        <w:tc>
          <w:tcPr>
            <w:tcW w:w="625" w:type="pct"/>
            <w:vAlign w:val="bottom"/>
          </w:tcPr>
          <w:p>
            <w:pPr>
              <w:widowControl/>
              <w:jc w:val="center"/>
              <w:textAlignment w:val="bottom"/>
              <w:rPr>
                <w:color w:val="000000"/>
                <w:szCs w:val="21"/>
              </w:rPr>
            </w:pPr>
            <w:r>
              <w:rPr>
                <w:color w:val="000000"/>
                <w:kern w:val="0"/>
                <w:szCs w:val="21"/>
                <w:lang w:bidi="ar"/>
              </w:rPr>
              <w:t>0.29</w:t>
            </w:r>
          </w:p>
        </w:tc>
        <w:tc>
          <w:tcPr>
            <w:tcW w:w="625" w:type="pct"/>
            <w:vAlign w:val="bottom"/>
          </w:tcPr>
          <w:p>
            <w:pPr>
              <w:widowControl/>
              <w:jc w:val="center"/>
              <w:textAlignment w:val="bottom"/>
              <w:rPr>
                <w:color w:val="000000"/>
                <w:szCs w:val="21"/>
              </w:rPr>
            </w:pPr>
            <w:r>
              <w:rPr>
                <w:color w:val="000000"/>
                <w:kern w:val="0"/>
                <w:szCs w:val="21"/>
                <w:lang w:bidi="ar"/>
              </w:rPr>
              <w:t>3.76</w:t>
            </w:r>
          </w:p>
        </w:tc>
        <w:tc>
          <w:tcPr>
            <w:tcW w:w="624" w:type="pct"/>
            <w:vAlign w:val="bottom"/>
          </w:tcPr>
          <w:p>
            <w:pPr>
              <w:widowControl/>
              <w:jc w:val="center"/>
              <w:textAlignment w:val="bottom"/>
              <w:rPr>
                <w:color w:val="000000"/>
                <w:kern w:val="0"/>
                <w:szCs w:val="21"/>
                <w:lang w:bidi="ar"/>
              </w:rPr>
            </w:pPr>
            <w:r>
              <w:rPr>
                <w:color w:val="000000"/>
                <w:kern w:val="0"/>
                <w:szCs w:val="21"/>
                <w:lang w:bidi="ar"/>
              </w:rPr>
              <w:t>3.72</w:t>
            </w:r>
          </w:p>
        </w:tc>
        <w:tc>
          <w:tcPr>
            <w:tcW w:w="625" w:type="pct"/>
            <w:vAlign w:val="bottom"/>
          </w:tcPr>
          <w:p>
            <w:pPr>
              <w:widowControl/>
              <w:jc w:val="center"/>
              <w:textAlignment w:val="bottom"/>
              <w:rPr>
                <w:color w:val="000000"/>
                <w:kern w:val="0"/>
                <w:szCs w:val="21"/>
                <w:lang w:bidi="ar"/>
              </w:rPr>
            </w:pPr>
            <w:r>
              <w:rPr>
                <w:color w:val="000000"/>
                <w:kern w:val="0"/>
                <w:szCs w:val="21"/>
                <w:lang w:bidi="ar"/>
              </w:rPr>
              <w:t>3.83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34.9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27</w:t>
            </w:r>
          </w:p>
        </w:tc>
        <w:tc>
          <w:tcPr>
            <w:tcW w:w="693" w:type="pct"/>
            <w:vAlign w:val="bottom"/>
          </w:tcPr>
          <w:p>
            <w:pPr>
              <w:widowControl/>
              <w:jc w:val="center"/>
              <w:textAlignment w:val="bottom"/>
              <w:rPr>
                <w:color w:val="000000"/>
                <w:szCs w:val="21"/>
              </w:rPr>
            </w:pPr>
            <w:r>
              <w:rPr>
                <w:color w:val="000000"/>
                <w:kern w:val="0"/>
                <w:szCs w:val="21"/>
                <w:lang w:bidi="ar"/>
              </w:rPr>
              <w:t>0.24</w:t>
            </w:r>
          </w:p>
        </w:tc>
        <w:tc>
          <w:tcPr>
            <w:tcW w:w="625" w:type="pct"/>
            <w:vAlign w:val="bottom"/>
          </w:tcPr>
          <w:p>
            <w:pPr>
              <w:widowControl/>
              <w:jc w:val="center"/>
              <w:textAlignment w:val="bottom"/>
              <w:rPr>
                <w:color w:val="000000"/>
                <w:szCs w:val="21"/>
              </w:rPr>
            </w:pPr>
            <w:r>
              <w:rPr>
                <w:color w:val="000000"/>
                <w:kern w:val="0"/>
                <w:szCs w:val="21"/>
                <w:lang w:bidi="ar"/>
              </w:rPr>
              <w:t>0.27</w:t>
            </w:r>
          </w:p>
        </w:tc>
        <w:tc>
          <w:tcPr>
            <w:tcW w:w="625" w:type="pct"/>
            <w:vAlign w:val="bottom"/>
          </w:tcPr>
          <w:p>
            <w:pPr>
              <w:widowControl/>
              <w:jc w:val="center"/>
              <w:textAlignment w:val="bottom"/>
              <w:rPr>
                <w:color w:val="000000"/>
                <w:szCs w:val="21"/>
              </w:rPr>
            </w:pPr>
            <w:r>
              <w:rPr>
                <w:color w:val="000000"/>
                <w:kern w:val="0"/>
                <w:szCs w:val="21"/>
                <w:lang w:bidi="ar"/>
              </w:rPr>
              <w:t>0.26</w:t>
            </w:r>
          </w:p>
        </w:tc>
        <w:tc>
          <w:tcPr>
            <w:tcW w:w="625" w:type="pct"/>
            <w:vAlign w:val="bottom"/>
          </w:tcPr>
          <w:p>
            <w:pPr>
              <w:widowControl/>
              <w:jc w:val="center"/>
              <w:textAlignment w:val="bottom"/>
              <w:rPr>
                <w:color w:val="000000"/>
                <w:szCs w:val="21"/>
              </w:rPr>
            </w:pPr>
            <w:r>
              <w:rPr>
                <w:color w:val="000000"/>
                <w:kern w:val="0"/>
                <w:szCs w:val="21"/>
                <w:lang w:bidi="ar"/>
              </w:rPr>
              <w:t>3.54</w:t>
            </w:r>
          </w:p>
        </w:tc>
        <w:tc>
          <w:tcPr>
            <w:tcW w:w="624" w:type="pct"/>
            <w:vAlign w:val="bottom"/>
          </w:tcPr>
          <w:p>
            <w:pPr>
              <w:widowControl/>
              <w:jc w:val="center"/>
              <w:textAlignment w:val="bottom"/>
              <w:rPr>
                <w:color w:val="000000"/>
                <w:kern w:val="0"/>
                <w:szCs w:val="21"/>
                <w:lang w:bidi="ar"/>
              </w:rPr>
            </w:pPr>
            <w:r>
              <w:rPr>
                <w:color w:val="000000"/>
                <w:kern w:val="0"/>
                <w:szCs w:val="21"/>
                <w:lang w:bidi="ar"/>
              </w:rPr>
              <w:t>3.51</w:t>
            </w:r>
          </w:p>
        </w:tc>
        <w:tc>
          <w:tcPr>
            <w:tcW w:w="625" w:type="pct"/>
            <w:vAlign w:val="bottom"/>
          </w:tcPr>
          <w:p>
            <w:pPr>
              <w:widowControl/>
              <w:jc w:val="center"/>
              <w:textAlignment w:val="bottom"/>
              <w:rPr>
                <w:color w:val="000000"/>
                <w:kern w:val="0"/>
                <w:szCs w:val="21"/>
                <w:lang w:bidi="ar"/>
              </w:rPr>
            </w:pPr>
            <w:r>
              <w:rPr>
                <w:color w:val="000000"/>
                <w:kern w:val="0"/>
                <w:szCs w:val="21"/>
                <w:lang w:bidi="ar"/>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35.9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28</w:t>
            </w:r>
          </w:p>
        </w:tc>
        <w:tc>
          <w:tcPr>
            <w:tcW w:w="693" w:type="pct"/>
            <w:vAlign w:val="bottom"/>
          </w:tcPr>
          <w:p>
            <w:pPr>
              <w:widowControl/>
              <w:jc w:val="center"/>
              <w:textAlignment w:val="bottom"/>
              <w:rPr>
                <w:color w:val="000000"/>
                <w:szCs w:val="21"/>
              </w:rPr>
            </w:pPr>
            <w:r>
              <w:rPr>
                <w:color w:val="000000"/>
                <w:kern w:val="0"/>
                <w:szCs w:val="21"/>
                <w:lang w:bidi="ar"/>
              </w:rPr>
              <w:t>0.22</w:t>
            </w:r>
          </w:p>
        </w:tc>
        <w:tc>
          <w:tcPr>
            <w:tcW w:w="625" w:type="pct"/>
            <w:vAlign w:val="bottom"/>
          </w:tcPr>
          <w:p>
            <w:pPr>
              <w:widowControl/>
              <w:jc w:val="center"/>
              <w:textAlignment w:val="bottom"/>
              <w:rPr>
                <w:color w:val="000000"/>
                <w:szCs w:val="21"/>
              </w:rPr>
            </w:pPr>
            <w:r>
              <w:rPr>
                <w:color w:val="000000"/>
                <w:kern w:val="0"/>
                <w:szCs w:val="21"/>
                <w:lang w:bidi="ar"/>
              </w:rPr>
              <w:t>0.25</w:t>
            </w:r>
          </w:p>
        </w:tc>
        <w:tc>
          <w:tcPr>
            <w:tcW w:w="625" w:type="pct"/>
            <w:vAlign w:val="bottom"/>
          </w:tcPr>
          <w:p>
            <w:pPr>
              <w:widowControl/>
              <w:jc w:val="center"/>
              <w:textAlignment w:val="bottom"/>
              <w:rPr>
                <w:color w:val="000000"/>
                <w:szCs w:val="21"/>
              </w:rPr>
            </w:pPr>
            <w:r>
              <w:rPr>
                <w:color w:val="000000"/>
                <w:kern w:val="0"/>
                <w:szCs w:val="21"/>
                <w:lang w:bidi="ar"/>
              </w:rPr>
              <w:t>0.24</w:t>
            </w:r>
          </w:p>
        </w:tc>
        <w:tc>
          <w:tcPr>
            <w:tcW w:w="625" w:type="pct"/>
            <w:vAlign w:val="bottom"/>
          </w:tcPr>
          <w:p>
            <w:pPr>
              <w:widowControl/>
              <w:jc w:val="center"/>
              <w:textAlignment w:val="bottom"/>
              <w:rPr>
                <w:color w:val="000000"/>
                <w:szCs w:val="21"/>
              </w:rPr>
            </w:pPr>
            <w:r>
              <w:rPr>
                <w:color w:val="000000"/>
                <w:kern w:val="0"/>
                <w:szCs w:val="21"/>
                <w:lang w:bidi="ar"/>
              </w:rPr>
              <w:t>3.34</w:t>
            </w:r>
          </w:p>
        </w:tc>
        <w:tc>
          <w:tcPr>
            <w:tcW w:w="624" w:type="pct"/>
            <w:vAlign w:val="bottom"/>
          </w:tcPr>
          <w:p>
            <w:pPr>
              <w:widowControl/>
              <w:jc w:val="center"/>
              <w:textAlignment w:val="bottom"/>
              <w:rPr>
                <w:color w:val="000000"/>
                <w:kern w:val="0"/>
                <w:szCs w:val="21"/>
                <w:lang w:bidi="ar"/>
              </w:rPr>
            </w:pPr>
            <w:r>
              <w:rPr>
                <w:color w:val="000000"/>
                <w:kern w:val="0"/>
                <w:szCs w:val="21"/>
                <w:lang w:bidi="ar"/>
              </w:rPr>
              <w:t>3.31</w:t>
            </w:r>
          </w:p>
        </w:tc>
        <w:tc>
          <w:tcPr>
            <w:tcW w:w="625" w:type="pct"/>
            <w:vAlign w:val="bottom"/>
          </w:tcPr>
          <w:p>
            <w:pPr>
              <w:widowControl/>
              <w:jc w:val="center"/>
              <w:textAlignment w:val="bottom"/>
              <w:rPr>
                <w:color w:val="000000"/>
                <w:kern w:val="0"/>
                <w:szCs w:val="21"/>
                <w:lang w:bidi="ar"/>
              </w:rPr>
            </w:pPr>
            <w:r>
              <w:rPr>
                <w:color w:val="000000"/>
                <w:kern w:val="0"/>
                <w:szCs w:val="21"/>
                <w:lang w:bidi="ar"/>
              </w:rPr>
              <w:t>3.39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szCs w:val="21"/>
              </w:rPr>
            </w:pPr>
            <w:r>
              <w:rPr>
                <w:color w:val="000000"/>
                <w:kern w:val="0"/>
                <w:szCs w:val="21"/>
                <w:lang w:bidi="ar"/>
              </w:rPr>
              <w:t>36.9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29</w:t>
            </w:r>
          </w:p>
        </w:tc>
        <w:tc>
          <w:tcPr>
            <w:tcW w:w="693" w:type="pct"/>
            <w:vAlign w:val="bottom"/>
          </w:tcPr>
          <w:p>
            <w:pPr>
              <w:widowControl/>
              <w:jc w:val="center"/>
              <w:textAlignment w:val="bottom"/>
              <w:rPr>
                <w:color w:val="000000"/>
                <w:szCs w:val="21"/>
              </w:rPr>
            </w:pPr>
            <w:r>
              <w:rPr>
                <w:color w:val="000000"/>
                <w:kern w:val="0"/>
                <w:szCs w:val="21"/>
                <w:lang w:bidi="ar"/>
              </w:rPr>
              <w:t>0.2</w:t>
            </w:r>
          </w:p>
        </w:tc>
        <w:tc>
          <w:tcPr>
            <w:tcW w:w="625" w:type="pct"/>
            <w:vAlign w:val="bottom"/>
          </w:tcPr>
          <w:p>
            <w:pPr>
              <w:widowControl/>
              <w:jc w:val="center"/>
              <w:textAlignment w:val="bottom"/>
              <w:rPr>
                <w:color w:val="000000"/>
                <w:szCs w:val="21"/>
              </w:rPr>
            </w:pPr>
            <w:r>
              <w:rPr>
                <w:color w:val="000000"/>
                <w:kern w:val="0"/>
                <w:szCs w:val="21"/>
                <w:lang w:bidi="ar"/>
              </w:rPr>
              <w:t>0.23</w:t>
            </w:r>
          </w:p>
        </w:tc>
        <w:tc>
          <w:tcPr>
            <w:tcW w:w="625" w:type="pct"/>
            <w:vAlign w:val="bottom"/>
          </w:tcPr>
          <w:p>
            <w:pPr>
              <w:widowControl/>
              <w:jc w:val="center"/>
              <w:textAlignment w:val="bottom"/>
              <w:rPr>
                <w:color w:val="000000"/>
                <w:szCs w:val="21"/>
              </w:rPr>
            </w:pPr>
            <w:r>
              <w:rPr>
                <w:color w:val="000000"/>
                <w:kern w:val="0"/>
                <w:szCs w:val="21"/>
                <w:lang w:bidi="ar"/>
              </w:rPr>
              <w:t>0.22</w:t>
            </w:r>
          </w:p>
        </w:tc>
        <w:tc>
          <w:tcPr>
            <w:tcW w:w="625" w:type="pct"/>
            <w:vAlign w:val="bottom"/>
          </w:tcPr>
          <w:p>
            <w:pPr>
              <w:widowControl/>
              <w:jc w:val="center"/>
              <w:textAlignment w:val="bottom"/>
              <w:rPr>
                <w:color w:val="000000"/>
                <w:szCs w:val="21"/>
              </w:rPr>
            </w:pPr>
            <w:r>
              <w:rPr>
                <w:color w:val="000000"/>
                <w:kern w:val="0"/>
                <w:szCs w:val="21"/>
                <w:lang w:bidi="ar"/>
              </w:rPr>
              <w:t>3.16</w:t>
            </w:r>
          </w:p>
        </w:tc>
        <w:tc>
          <w:tcPr>
            <w:tcW w:w="624" w:type="pct"/>
            <w:vAlign w:val="bottom"/>
          </w:tcPr>
          <w:p>
            <w:pPr>
              <w:widowControl/>
              <w:jc w:val="center"/>
              <w:textAlignment w:val="bottom"/>
              <w:rPr>
                <w:color w:val="000000"/>
                <w:kern w:val="0"/>
                <w:szCs w:val="21"/>
                <w:lang w:bidi="ar"/>
              </w:rPr>
            </w:pPr>
            <w:r>
              <w:rPr>
                <w:color w:val="000000"/>
                <w:kern w:val="0"/>
                <w:szCs w:val="21"/>
                <w:lang w:bidi="ar"/>
              </w:rPr>
              <w:t>3.13</w:t>
            </w:r>
          </w:p>
        </w:tc>
        <w:tc>
          <w:tcPr>
            <w:tcW w:w="625" w:type="pct"/>
            <w:vAlign w:val="bottom"/>
          </w:tcPr>
          <w:p>
            <w:pPr>
              <w:widowControl/>
              <w:jc w:val="center"/>
              <w:textAlignment w:val="bottom"/>
              <w:rPr>
                <w:color w:val="000000"/>
                <w:kern w:val="0"/>
                <w:szCs w:val="21"/>
                <w:lang w:bidi="ar"/>
              </w:rPr>
            </w:pPr>
            <w:r>
              <w:rPr>
                <w:color w:val="000000"/>
                <w:kern w:val="0"/>
                <w:szCs w:val="21"/>
                <w:lang w:bidi="ar"/>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37.9</w:t>
            </w:r>
          </w:p>
        </w:tc>
        <w:tc>
          <w:tcPr>
            <w:tcW w:w="634"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30</w:t>
            </w:r>
          </w:p>
        </w:tc>
        <w:tc>
          <w:tcPr>
            <w:tcW w:w="693" w:type="pct"/>
            <w:vAlign w:val="bottom"/>
          </w:tcPr>
          <w:p>
            <w:pPr>
              <w:widowControl/>
              <w:jc w:val="center"/>
              <w:textAlignment w:val="bottom"/>
              <w:rPr>
                <w:color w:val="000000"/>
                <w:szCs w:val="21"/>
              </w:rPr>
            </w:pPr>
            <w:r>
              <w:rPr>
                <w:color w:val="000000"/>
                <w:kern w:val="0"/>
                <w:szCs w:val="21"/>
                <w:lang w:bidi="ar"/>
              </w:rPr>
              <w:t>0.19</w:t>
            </w:r>
          </w:p>
        </w:tc>
        <w:tc>
          <w:tcPr>
            <w:tcW w:w="625" w:type="pct"/>
            <w:vAlign w:val="bottom"/>
          </w:tcPr>
          <w:p>
            <w:pPr>
              <w:widowControl/>
              <w:jc w:val="center"/>
              <w:textAlignment w:val="bottom"/>
              <w:rPr>
                <w:color w:val="000000"/>
                <w:szCs w:val="21"/>
              </w:rPr>
            </w:pPr>
            <w:r>
              <w:rPr>
                <w:color w:val="000000"/>
                <w:kern w:val="0"/>
                <w:szCs w:val="21"/>
                <w:lang w:bidi="ar"/>
              </w:rPr>
              <w:t>0.21</w:t>
            </w:r>
          </w:p>
        </w:tc>
        <w:tc>
          <w:tcPr>
            <w:tcW w:w="625" w:type="pct"/>
            <w:vAlign w:val="bottom"/>
          </w:tcPr>
          <w:p>
            <w:pPr>
              <w:widowControl/>
              <w:jc w:val="center"/>
              <w:textAlignment w:val="bottom"/>
              <w:rPr>
                <w:color w:val="000000"/>
                <w:szCs w:val="21"/>
              </w:rPr>
            </w:pPr>
            <w:r>
              <w:rPr>
                <w:color w:val="000000"/>
                <w:kern w:val="0"/>
                <w:szCs w:val="21"/>
                <w:lang w:bidi="ar"/>
              </w:rPr>
              <w:t>0.21</w:t>
            </w:r>
          </w:p>
        </w:tc>
        <w:tc>
          <w:tcPr>
            <w:tcW w:w="625" w:type="pct"/>
            <w:vAlign w:val="bottom"/>
          </w:tcPr>
          <w:p>
            <w:pPr>
              <w:widowControl/>
              <w:jc w:val="center"/>
              <w:textAlignment w:val="bottom"/>
              <w:rPr>
                <w:color w:val="000000"/>
                <w:szCs w:val="21"/>
              </w:rPr>
            </w:pPr>
            <w:r>
              <w:rPr>
                <w:color w:val="000000"/>
                <w:kern w:val="0"/>
                <w:szCs w:val="21"/>
                <w:lang w:bidi="ar"/>
              </w:rPr>
              <w:t>2.99</w:t>
            </w:r>
          </w:p>
        </w:tc>
        <w:tc>
          <w:tcPr>
            <w:tcW w:w="624" w:type="pct"/>
            <w:vAlign w:val="bottom"/>
          </w:tcPr>
          <w:p>
            <w:pPr>
              <w:widowControl/>
              <w:jc w:val="center"/>
              <w:textAlignment w:val="bottom"/>
              <w:rPr>
                <w:color w:val="000000"/>
                <w:szCs w:val="21"/>
              </w:rPr>
            </w:pPr>
            <w:r>
              <w:rPr>
                <w:color w:val="000000"/>
                <w:kern w:val="0"/>
                <w:szCs w:val="21"/>
                <w:lang w:bidi="ar"/>
              </w:rPr>
              <w:t>2.96</w:t>
            </w:r>
          </w:p>
        </w:tc>
        <w:tc>
          <w:tcPr>
            <w:tcW w:w="625" w:type="pct"/>
            <w:vAlign w:val="bottom"/>
          </w:tcPr>
          <w:p>
            <w:pPr>
              <w:widowControl/>
              <w:jc w:val="center"/>
              <w:textAlignment w:val="bottom"/>
              <w:rPr>
                <w:color w:val="000000"/>
                <w:szCs w:val="21"/>
              </w:rPr>
            </w:pPr>
            <w:r>
              <w:rPr>
                <w:color w:val="000000"/>
                <w:kern w:val="0"/>
                <w:szCs w:val="21"/>
                <w:lang w:bidi="ar"/>
              </w:rPr>
              <w:t>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38.9</w:t>
            </w:r>
          </w:p>
        </w:tc>
        <w:tc>
          <w:tcPr>
            <w:tcW w:w="634"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31</w:t>
            </w:r>
          </w:p>
        </w:tc>
        <w:tc>
          <w:tcPr>
            <w:tcW w:w="693" w:type="pct"/>
            <w:vAlign w:val="bottom"/>
          </w:tcPr>
          <w:p>
            <w:pPr>
              <w:widowControl/>
              <w:jc w:val="center"/>
              <w:textAlignment w:val="bottom"/>
              <w:rPr>
                <w:color w:val="000000"/>
                <w:szCs w:val="21"/>
              </w:rPr>
            </w:pPr>
            <w:r>
              <w:rPr>
                <w:color w:val="000000"/>
                <w:kern w:val="0"/>
                <w:szCs w:val="21"/>
                <w:lang w:bidi="ar"/>
              </w:rPr>
              <w:t>0.17</w:t>
            </w:r>
          </w:p>
        </w:tc>
        <w:tc>
          <w:tcPr>
            <w:tcW w:w="625" w:type="pct"/>
            <w:vAlign w:val="bottom"/>
          </w:tcPr>
          <w:p>
            <w:pPr>
              <w:widowControl/>
              <w:jc w:val="center"/>
              <w:textAlignment w:val="bottom"/>
              <w:rPr>
                <w:color w:val="000000"/>
                <w:szCs w:val="21"/>
              </w:rPr>
            </w:pPr>
            <w:r>
              <w:rPr>
                <w:color w:val="000000"/>
                <w:kern w:val="0"/>
                <w:szCs w:val="21"/>
                <w:lang w:bidi="ar"/>
              </w:rPr>
              <w:t>0.19</w:t>
            </w:r>
          </w:p>
        </w:tc>
        <w:tc>
          <w:tcPr>
            <w:tcW w:w="625" w:type="pct"/>
            <w:vAlign w:val="bottom"/>
          </w:tcPr>
          <w:p>
            <w:pPr>
              <w:widowControl/>
              <w:jc w:val="center"/>
              <w:textAlignment w:val="bottom"/>
              <w:rPr>
                <w:color w:val="000000"/>
                <w:szCs w:val="21"/>
              </w:rPr>
            </w:pPr>
            <w:r>
              <w:rPr>
                <w:color w:val="000000"/>
                <w:kern w:val="0"/>
                <w:szCs w:val="21"/>
                <w:lang w:bidi="ar"/>
              </w:rPr>
              <w:t>0.19</w:t>
            </w:r>
          </w:p>
        </w:tc>
        <w:tc>
          <w:tcPr>
            <w:tcW w:w="625" w:type="pct"/>
            <w:vAlign w:val="bottom"/>
          </w:tcPr>
          <w:p>
            <w:pPr>
              <w:widowControl/>
              <w:jc w:val="center"/>
              <w:textAlignment w:val="bottom"/>
              <w:rPr>
                <w:color w:val="000000"/>
                <w:szCs w:val="21"/>
              </w:rPr>
            </w:pPr>
            <w:r>
              <w:rPr>
                <w:color w:val="000000"/>
                <w:kern w:val="0"/>
                <w:szCs w:val="21"/>
                <w:lang w:bidi="ar"/>
              </w:rPr>
              <w:t>2.83</w:t>
            </w:r>
          </w:p>
        </w:tc>
        <w:tc>
          <w:tcPr>
            <w:tcW w:w="624" w:type="pct"/>
            <w:vAlign w:val="bottom"/>
          </w:tcPr>
          <w:p>
            <w:pPr>
              <w:widowControl/>
              <w:jc w:val="center"/>
              <w:textAlignment w:val="bottom"/>
              <w:rPr>
                <w:color w:val="000000"/>
                <w:szCs w:val="21"/>
              </w:rPr>
            </w:pPr>
            <w:r>
              <w:rPr>
                <w:color w:val="000000"/>
                <w:kern w:val="0"/>
                <w:szCs w:val="21"/>
                <w:lang w:bidi="ar"/>
              </w:rPr>
              <w:t>2.81</w:t>
            </w:r>
          </w:p>
        </w:tc>
        <w:tc>
          <w:tcPr>
            <w:tcW w:w="625" w:type="pct"/>
            <w:vAlign w:val="bottom"/>
          </w:tcPr>
          <w:p>
            <w:pPr>
              <w:widowControl/>
              <w:jc w:val="center"/>
              <w:textAlignment w:val="bottom"/>
              <w:rPr>
                <w:color w:val="000000"/>
                <w:szCs w:val="21"/>
              </w:rPr>
            </w:pPr>
            <w:r>
              <w:rPr>
                <w:color w:val="000000"/>
                <w:kern w:val="0"/>
                <w:szCs w:val="21"/>
                <w:lang w:bidi="ar"/>
              </w:rPr>
              <w:t>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39.9</w:t>
            </w:r>
          </w:p>
        </w:tc>
        <w:tc>
          <w:tcPr>
            <w:tcW w:w="634"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32</w:t>
            </w:r>
          </w:p>
        </w:tc>
        <w:tc>
          <w:tcPr>
            <w:tcW w:w="693" w:type="pct"/>
            <w:vAlign w:val="bottom"/>
          </w:tcPr>
          <w:p>
            <w:pPr>
              <w:widowControl/>
              <w:jc w:val="center"/>
              <w:textAlignment w:val="bottom"/>
              <w:rPr>
                <w:color w:val="000000"/>
                <w:szCs w:val="21"/>
              </w:rPr>
            </w:pPr>
            <w:r>
              <w:rPr>
                <w:color w:val="000000"/>
                <w:kern w:val="0"/>
                <w:szCs w:val="21"/>
                <w:lang w:bidi="ar"/>
              </w:rPr>
              <w:t>0.16</w:t>
            </w:r>
          </w:p>
        </w:tc>
        <w:tc>
          <w:tcPr>
            <w:tcW w:w="625" w:type="pct"/>
            <w:vAlign w:val="bottom"/>
          </w:tcPr>
          <w:p>
            <w:pPr>
              <w:widowControl/>
              <w:jc w:val="center"/>
              <w:textAlignment w:val="bottom"/>
              <w:rPr>
                <w:color w:val="000000"/>
                <w:szCs w:val="21"/>
              </w:rPr>
            </w:pPr>
            <w:r>
              <w:rPr>
                <w:color w:val="000000"/>
                <w:kern w:val="0"/>
                <w:szCs w:val="21"/>
                <w:lang w:bidi="ar"/>
              </w:rPr>
              <w:t>0.18</w:t>
            </w:r>
          </w:p>
        </w:tc>
        <w:tc>
          <w:tcPr>
            <w:tcW w:w="625" w:type="pct"/>
            <w:vAlign w:val="bottom"/>
          </w:tcPr>
          <w:p>
            <w:pPr>
              <w:widowControl/>
              <w:jc w:val="center"/>
              <w:textAlignment w:val="bottom"/>
              <w:rPr>
                <w:color w:val="000000"/>
                <w:szCs w:val="21"/>
              </w:rPr>
            </w:pPr>
            <w:r>
              <w:rPr>
                <w:color w:val="000000"/>
                <w:kern w:val="0"/>
                <w:szCs w:val="21"/>
                <w:lang w:bidi="ar"/>
              </w:rPr>
              <w:t>0.18</w:t>
            </w:r>
          </w:p>
        </w:tc>
        <w:tc>
          <w:tcPr>
            <w:tcW w:w="625" w:type="pct"/>
            <w:vAlign w:val="bottom"/>
          </w:tcPr>
          <w:p>
            <w:pPr>
              <w:widowControl/>
              <w:jc w:val="center"/>
              <w:textAlignment w:val="bottom"/>
              <w:rPr>
                <w:color w:val="000000"/>
                <w:szCs w:val="21"/>
              </w:rPr>
            </w:pPr>
            <w:r>
              <w:rPr>
                <w:color w:val="000000"/>
                <w:kern w:val="0"/>
                <w:szCs w:val="21"/>
                <w:lang w:bidi="ar"/>
              </w:rPr>
              <w:t>2.69</w:t>
            </w:r>
          </w:p>
        </w:tc>
        <w:tc>
          <w:tcPr>
            <w:tcW w:w="624" w:type="pct"/>
            <w:vAlign w:val="bottom"/>
          </w:tcPr>
          <w:p>
            <w:pPr>
              <w:widowControl/>
              <w:jc w:val="center"/>
              <w:textAlignment w:val="bottom"/>
              <w:rPr>
                <w:color w:val="000000"/>
                <w:szCs w:val="21"/>
              </w:rPr>
            </w:pPr>
            <w:r>
              <w:rPr>
                <w:color w:val="000000"/>
                <w:kern w:val="0"/>
                <w:szCs w:val="21"/>
                <w:lang w:bidi="ar"/>
              </w:rPr>
              <w:t>2.67</w:t>
            </w:r>
          </w:p>
        </w:tc>
        <w:tc>
          <w:tcPr>
            <w:tcW w:w="625" w:type="pct"/>
            <w:vAlign w:val="bottom"/>
          </w:tcPr>
          <w:p>
            <w:pPr>
              <w:widowControl/>
              <w:jc w:val="center"/>
              <w:textAlignment w:val="bottom"/>
              <w:rPr>
                <w:color w:val="000000"/>
                <w:szCs w:val="21"/>
              </w:rPr>
            </w:pPr>
            <w:r>
              <w:rPr>
                <w:color w:val="000000"/>
                <w:kern w:val="0"/>
                <w:szCs w:val="21"/>
                <w:lang w:bidi="ar"/>
              </w:rPr>
              <w:t>2.72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40.9</w:t>
            </w:r>
          </w:p>
        </w:tc>
        <w:tc>
          <w:tcPr>
            <w:tcW w:w="634"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33</w:t>
            </w:r>
          </w:p>
        </w:tc>
        <w:tc>
          <w:tcPr>
            <w:tcW w:w="693" w:type="pct"/>
            <w:vAlign w:val="bottom"/>
          </w:tcPr>
          <w:p>
            <w:pPr>
              <w:widowControl/>
              <w:jc w:val="center"/>
              <w:textAlignment w:val="bottom"/>
              <w:rPr>
                <w:color w:val="000000"/>
                <w:szCs w:val="21"/>
              </w:rPr>
            </w:pPr>
            <w:r>
              <w:rPr>
                <w:color w:val="000000"/>
                <w:kern w:val="0"/>
                <w:szCs w:val="21"/>
                <w:lang w:bidi="ar"/>
              </w:rPr>
              <w:t>0.15</w:t>
            </w:r>
          </w:p>
        </w:tc>
        <w:tc>
          <w:tcPr>
            <w:tcW w:w="625" w:type="pct"/>
            <w:vAlign w:val="bottom"/>
          </w:tcPr>
          <w:p>
            <w:pPr>
              <w:widowControl/>
              <w:jc w:val="center"/>
              <w:textAlignment w:val="bottom"/>
              <w:rPr>
                <w:color w:val="000000"/>
                <w:szCs w:val="21"/>
              </w:rPr>
            </w:pPr>
            <w:r>
              <w:rPr>
                <w:color w:val="000000"/>
                <w:kern w:val="0"/>
                <w:szCs w:val="21"/>
                <w:lang w:bidi="ar"/>
              </w:rPr>
              <w:t>0.17</w:t>
            </w:r>
          </w:p>
        </w:tc>
        <w:tc>
          <w:tcPr>
            <w:tcW w:w="625" w:type="pct"/>
            <w:vAlign w:val="bottom"/>
          </w:tcPr>
          <w:p>
            <w:pPr>
              <w:widowControl/>
              <w:jc w:val="center"/>
              <w:textAlignment w:val="bottom"/>
              <w:rPr>
                <w:color w:val="000000"/>
                <w:szCs w:val="21"/>
              </w:rPr>
            </w:pPr>
            <w:r>
              <w:rPr>
                <w:color w:val="000000"/>
                <w:kern w:val="0"/>
                <w:szCs w:val="21"/>
                <w:lang w:bidi="ar"/>
              </w:rPr>
              <w:t>0.16</w:t>
            </w:r>
          </w:p>
        </w:tc>
        <w:tc>
          <w:tcPr>
            <w:tcW w:w="625" w:type="pct"/>
            <w:vAlign w:val="bottom"/>
          </w:tcPr>
          <w:p>
            <w:pPr>
              <w:widowControl/>
              <w:jc w:val="center"/>
              <w:textAlignment w:val="bottom"/>
              <w:rPr>
                <w:color w:val="000000"/>
                <w:szCs w:val="21"/>
              </w:rPr>
            </w:pPr>
            <w:r>
              <w:rPr>
                <w:color w:val="000000"/>
                <w:kern w:val="0"/>
                <w:szCs w:val="21"/>
                <w:lang w:bidi="ar"/>
              </w:rPr>
              <w:t>2.56</w:t>
            </w:r>
          </w:p>
        </w:tc>
        <w:tc>
          <w:tcPr>
            <w:tcW w:w="624" w:type="pct"/>
            <w:vAlign w:val="bottom"/>
          </w:tcPr>
          <w:p>
            <w:pPr>
              <w:widowControl/>
              <w:jc w:val="center"/>
              <w:textAlignment w:val="bottom"/>
              <w:rPr>
                <w:color w:val="000000"/>
                <w:szCs w:val="21"/>
              </w:rPr>
            </w:pPr>
            <w:r>
              <w:rPr>
                <w:color w:val="000000"/>
                <w:kern w:val="0"/>
                <w:szCs w:val="21"/>
                <w:lang w:bidi="ar"/>
              </w:rPr>
              <w:t>2.54</w:t>
            </w:r>
          </w:p>
        </w:tc>
        <w:tc>
          <w:tcPr>
            <w:tcW w:w="625" w:type="pct"/>
            <w:vAlign w:val="bottom"/>
          </w:tcPr>
          <w:p>
            <w:pPr>
              <w:widowControl/>
              <w:jc w:val="center"/>
              <w:textAlignment w:val="bottom"/>
              <w:rPr>
                <w:color w:val="000000"/>
                <w:szCs w:val="21"/>
              </w:rPr>
            </w:pPr>
            <w:r>
              <w:rPr>
                <w:color w:val="000000"/>
                <w:kern w:val="0"/>
                <w:szCs w:val="21"/>
                <w:lang w:bidi="ar"/>
              </w:rPr>
              <w:t>2.58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41.9</w:t>
            </w:r>
          </w:p>
        </w:tc>
        <w:tc>
          <w:tcPr>
            <w:tcW w:w="634"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34</w:t>
            </w:r>
          </w:p>
        </w:tc>
        <w:tc>
          <w:tcPr>
            <w:tcW w:w="693" w:type="pct"/>
            <w:vAlign w:val="bottom"/>
          </w:tcPr>
          <w:p>
            <w:pPr>
              <w:widowControl/>
              <w:jc w:val="center"/>
              <w:textAlignment w:val="bottom"/>
              <w:rPr>
                <w:color w:val="000000"/>
                <w:szCs w:val="21"/>
              </w:rPr>
            </w:pPr>
            <w:r>
              <w:rPr>
                <w:color w:val="000000"/>
                <w:kern w:val="0"/>
                <w:szCs w:val="21"/>
                <w:lang w:bidi="ar"/>
              </w:rPr>
              <w:t>0.14</w:t>
            </w:r>
          </w:p>
        </w:tc>
        <w:tc>
          <w:tcPr>
            <w:tcW w:w="625" w:type="pct"/>
            <w:vAlign w:val="bottom"/>
          </w:tcPr>
          <w:p>
            <w:pPr>
              <w:widowControl/>
              <w:jc w:val="center"/>
              <w:textAlignment w:val="bottom"/>
              <w:rPr>
                <w:color w:val="000000"/>
                <w:szCs w:val="21"/>
              </w:rPr>
            </w:pPr>
            <w:r>
              <w:rPr>
                <w:color w:val="000000"/>
                <w:kern w:val="0"/>
                <w:szCs w:val="21"/>
                <w:lang w:bidi="ar"/>
              </w:rPr>
              <w:t>0.16</w:t>
            </w:r>
          </w:p>
        </w:tc>
        <w:tc>
          <w:tcPr>
            <w:tcW w:w="625" w:type="pct"/>
            <w:vAlign w:val="bottom"/>
          </w:tcPr>
          <w:p>
            <w:pPr>
              <w:widowControl/>
              <w:jc w:val="center"/>
              <w:textAlignment w:val="bottom"/>
              <w:rPr>
                <w:color w:val="000000"/>
                <w:szCs w:val="21"/>
              </w:rPr>
            </w:pPr>
            <w:r>
              <w:rPr>
                <w:color w:val="000000"/>
                <w:kern w:val="0"/>
                <w:szCs w:val="21"/>
                <w:lang w:bidi="ar"/>
              </w:rPr>
              <w:t>0.15</w:t>
            </w:r>
          </w:p>
        </w:tc>
        <w:tc>
          <w:tcPr>
            <w:tcW w:w="625" w:type="pct"/>
            <w:vAlign w:val="bottom"/>
          </w:tcPr>
          <w:p>
            <w:pPr>
              <w:widowControl/>
              <w:jc w:val="center"/>
              <w:textAlignment w:val="bottom"/>
              <w:rPr>
                <w:color w:val="000000"/>
                <w:szCs w:val="21"/>
              </w:rPr>
            </w:pPr>
            <w:r>
              <w:rPr>
                <w:color w:val="000000"/>
                <w:kern w:val="0"/>
                <w:szCs w:val="21"/>
                <w:lang w:bidi="ar"/>
              </w:rPr>
              <w:t>2.43</w:t>
            </w:r>
          </w:p>
        </w:tc>
        <w:tc>
          <w:tcPr>
            <w:tcW w:w="624" w:type="pct"/>
            <w:vAlign w:val="bottom"/>
          </w:tcPr>
          <w:p>
            <w:pPr>
              <w:widowControl/>
              <w:jc w:val="center"/>
              <w:textAlignment w:val="bottom"/>
              <w:rPr>
                <w:color w:val="000000"/>
                <w:szCs w:val="21"/>
              </w:rPr>
            </w:pPr>
            <w:r>
              <w:rPr>
                <w:color w:val="000000"/>
                <w:kern w:val="0"/>
                <w:szCs w:val="21"/>
                <w:lang w:bidi="ar"/>
              </w:rPr>
              <w:t>2.42</w:t>
            </w:r>
          </w:p>
        </w:tc>
        <w:tc>
          <w:tcPr>
            <w:tcW w:w="625" w:type="pct"/>
            <w:vAlign w:val="bottom"/>
          </w:tcPr>
          <w:p>
            <w:pPr>
              <w:widowControl/>
              <w:jc w:val="center"/>
              <w:textAlignment w:val="bottom"/>
              <w:rPr>
                <w:color w:val="000000"/>
                <w:szCs w:val="21"/>
              </w:rPr>
            </w:pPr>
            <w:r>
              <w:rPr>
                <w:color w:val="000000"/>
                <w:kern w:val="0"/>
                <w:szCs w:val="21"/>
                <w:lang w:bidi="ar"/>
              </w:rPr>
              <w:t>2.46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42.9</w:t>
            </w:r>
          </w:p>
        </w:tc>
        <w:tc>
          <w:tcPr>
            <w:tcW w:w="634"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35</w:t>
            </w:r>
          </w:p>
        </w:tc>
        <w:tc>
          <w:tcPr>
            <w:tcW w:w="693" w:type="pct"/>
            <w:vAlign w:val="bottom"/>
          </w:tcPr>
          <w:p>
            <w:pPr>
              <w:widowControl/>
              <w:jc w:val="center"/>
              <w:textAlignment w:val="bottom"/>
              <w:rPr>
                <w:color w:val="000000"/>
                <w:szCs w:val="21"/>
              </w:rPr>
            </w:pPr>
            <w:r>
              <w:rPr>
                <w:color w:val="000000"/>
                <w:kern w:val="0"/>
                <w:szCs w:val="21"/>
                <w:lang w:bidi="ar"/>
              </w:rPr>
              <w:t>0.13</w:t>
            </w:r>
          </w:p>
        </w:tc>
        <w:tc>
          <w:tcPr>
            <w:tcW w:w="625" w:type="pct"/>
            <w:vAlign w:val="bottom"/>
          </w:tcPr>
          <w:p>
            <w:pPr>
              <w:widowControl/>
              <w:jc w:val="center"/>
              <w:textAlignment w:val="bottom"/>
              <w:rPr>
                <w:color w:val="000000"/>
                <w:szCs w:val="21"/>
              </w:rPr>
            </w:pPr>
            <w:r>
              <w:rPr>
                <w:color w:val="000000"/>
                <w:kern w:val="0"/>
                <w:szCs w:val="21"/>
                <w:lang w:bidi="ar"/>
              </w:rPr>
              <w:t>0.14</w:t>
            </w:r>
          </w:p>
        </w:tc>
        <w:tc>
          <w:tcPr>
            <w:tcW w:w="625" w:type="pct"/>
            <w:vAlign w:val="bottom"/>
          </w:tcPr>
          <w:p>
            <w:pPr>
              <w:widowControl/>
              <w:jc w:val="center"/>
              <w:textAlignment w:val="bottom"/>
              <w:rPr>
                <w:color w:val="000000"/>
                <w:szCs w:val="21"/>
              </w:rPr>
            </w:pPr>
            <w:r>
              <w:rPr>
                <w:color w:val="000000"/>
                <w:kern w:val="0"/>
                <w:szCs w:val="21"/>
                <w:lang w:bidi="ar"/>
              </w:rPr>
              <w:t>0.14</w:t>
            </w:r>
          </w:p>
        </w:tc>
        <w:tc>
          <w:tcPr>
            <w:tcW w:w="625" w:type="pct"/>
            <w:vAlign w:val="bottom"/>
          </w:tcPr>
          <w:p>
            <w:pPr>
              <w:widowControl/>
              <w:jc w:val="center"/>
              <w:textAlignment w:val="bottom"/>
              <w:rPr>
                <w:color w:val="000000"/>
                <w:szCs w:val="21"/>
              </w:rPr>
            </w:pPr>
            <w:r>
              <w:rPr>
                <w:color w:val="000000"/>
                <w:kern w:val="0"/>
                <w:szCs w:val="21"/>
                <w:lang w:bidi="ar"/>
              </w:rPr>
              <w:t>2.32</w:t>
            </w:r>
          </w:p>
        </w:tc>
        <w:tc>
          <w:tcPr>
            <w:tcW w:w="624" w:type="pct"/>
            <w:vAlign w:val="bottom"/>
          </w:tcPr>
          <w:p>
            <w:pPr>
              <w:widowControl/>
              <w:jc w:val="center"/>
              <w:textAlignment w:val="bottom"/>
              <w:rPr>
                <w:color w:val="000000"/>
                <w:szCs w:val="21"/>
              </w:rPr>
            </w:pPr>
            <w:r>
              <w:rPr>
                <w:color w:val="000000"/>
                <w:kern w:val="0"/>
                <w:szCs w:val="21"/>
                <w:lang w:bidi="ar"/>
              </w:rPr>
              <w:t>2.3</w:t>
            </w:r>
          </w:p>
        </w:tc>
        <w:tc>
          <w:tcPr>
            <w:tcW w:w="625" w:type="pct"/>
            <w:vAlign w:val="bottom"/>
          </w:tcPr>
          <w:p>
            <w:pPr>
              <w:widowControl/>
              <w:jc w:val="center"/>
              <w:textAlignment w:val="bottom"/>
              <w:rPr>
                <w:color w:val="000000"/>
                <w:szCs w:val="21"/>
              </w:rPr>
            </w:pPr>
            <w:r>
              <w:rPr>
                <w:color w:val="000000"/>
                <w:kern w:val="0"/>
                <w:szCs w:val="21"/>
                <w:lang w:bidi="ar"/>
              </w:rPr>
              <w:t>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43.9</w:t>
            </w:r>
          </w:p>
        </w:tc>
        <w:tc>
          <w:tcPr>
            <w:tcW w:w="634"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36</w:t>
            </w:r>
          </w:p>
        </w:tc>
        <w:tc>
          <w:tcPr>
            <w:tcW w:w="693" w:type="pct"/>
            <w:vAlign w:val="bottom"/>
          </w:tcPr>
          <w:p>
            <w:pPr>
              <w:widowControl/>
              <w:jc w:val="center"/>
              <w:textAlignment w:val="bottom"/>
              <w:rPr>
                <w:color w:val="000000"/>
                <w:szCs w:val="21"/>
              </w:rPr>
            </w:pPr>
            <w:r>
              <w:rPr>
                <w:color w:val="000000"/>
                <w:kern w:val="0"/>
                <w:szCs w:val="21"/>
                <w:lang w:bidi="ar"/>
              </w:rPr>
              <w:t>0.12</w:t>
            </w:r>
          </w:p>
        </w:tc>
        <w:tc>
          <w:tcPr>
            <w:tcW w:w="625" w:type="pct"/>
            <w:vAlign w:val="bottom"/>
          </w:tcPr>
          <w:p>
            <w:pPr>
              <w:widowControl/>
              <w:jc w:val="center"/>
              <w:textAlignment w:val="bottom"/>
              <w:rPr>
                <w:color w:val="000000"/>
                <w:szCs w:val="21"/>
              </w:rPr>
            </w:pPr>
            <w:r>
              <w:rPr>
                <w:color w:val="000000"/>
                <w:kern w:val="0"/>
                <w:szCs w:val="21"/>
                <w:lang w:bidi="ar"/>
              </w:rPr>
              <w:t>0.14</w:t>
            </w:r>
          </w:p>
        </w:tc>
        <w:tc>
          <w:tcPr>
            <w:tcW w:w="625" w:type="pct"/>
            <w:vAlign w:val="bottom"/>
          </w:tcPr>
          <w:p>
            <w:pPr>
              <w:widowControl/>
              <w:jc w:val="center"/>
              <w:textAlignment w:val="bottom"/>
              <w:rPr>
                <w:color w:val="000000"/>
                <w:szCs w:val="21"/>
              </w:rPr>
            </w:pPr>
            <w:r>
              <w:rPr>
                <w:color w:val="000000"/>
                <w:kern w:val="0"/>
                <w:szCs w:val="21"/>
                <w:lang w:bidi="ar"/>
              </w:rPr>
              <w:t>0.13</w:t>
            </w:r>
          </w:p>
        </w:tc>
        <w:tc>
          <w:tcPr>
            <w:tcW w:w="625" w:type="pct"/>
            <w:vAlign w:val="bottom"/>
          </w:tcPr>
          <w:p>
            <w:pPr>
              <w:widowControl/>
              <w:jc w:val="center"/>
              <w:textAlignment w:val="bottom"/>
              <w:rPr>
                <w:color w:val="000000"/>
                <w:szCs w:val="21"/>
              </w:rPr>
            </w:pPr>
            <w:r>
              <w:rPr>
                <w:color w:val="000000"/>
                <w:kern w:val="0"/>
                <w:szCs w:val="21"/>
                <w:lang w:bidi="ar"/>
              </w:rPr>
              <w:t>2.21</w:t>
            </w:r>
          </w:p>
        </w:tc>
        <w:tc>
          <w:tcPr>
            <w:tcW w:w="624" w:type="pct"/>
            <w:vAlign w:val="bottom"/>
          </w:tcPr>
          <w:p>
            <w:pPr>
              <w:widowControl/>
              <w:jc w:val="center"/>
              <w:textAlignment w:val="bottom"/>
              <w:rPr>
                <w:color w:val="000000"/>
                <w:szCs w:val="21"/>
              </w:rPr>
            </w:pPr>
            <w:r>
              <w:rPr>
                <w:color w:val="000000"/>
                <w:kern w:val="0"/>
                <w:szCs w:val="21"/>
                <w:lang w:bidi="ar"/>
              </w:rPr>
              <w:t>2.2</w:t>
            </w:r>
          </w:p>
        </w:tc>
        <w:tc>
          <w:tcPr>
            <w:tcW w:w="625" w:type="pct"/>
            <w:vAlign w:val="bottom"/>
          </w:tcPr>
          <w:p>
            <w:pPr>
              <w:widowControl/>
              <w:jc w:val="center"/>
              <w:textAlignment w:val="bottom"/>
              <w:rPr>
                <w:color w:val="000000"/>
                <w:szCs w:val="21"/>
              </w:rPr>
            </w:pPr>
            <w:r>
              <w:rPr>
                <w:color w:val="000000"/>
                <w:kern w:val="0"/>
                <w:szCs w:val="21"/>
                <w:lang w:bidi="ar"/>
              </w:rPr>
              <w:t>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44.9</w:t>
            </w:r>
          </w:p>
        </w:tc>
        <w:tc>
          <w:tcPr>
            <w:tcW w:w="634"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37</w:t>
            </w:r>
          </w:p>
        </w:tc>
        <w:tc>
          <w:tcPr>
            <w:tcW w:w="693" w:type="pct"/>
            <w:vAlign w:val="bottom"/>
          </w:tcPr>
          <w:p>
            <w:pPr>
              <w:widowControl/>
              <w:jc w:val="center"/>
              <w:textAlignment w:val="bottom"/>
              <w:rPr>
                <w:color w:val="000000"/>
                <w:szCs w:val="21"/>
              </w:rPr>
            </w:pPr>
            <w:r>
              <w:rPr>
                <w:color w:val="000000"/>
                <w:kern w:val="0"/>
                <w:szCs w:val="21"/>
                <w:lang w:bidi="ar"/>
              </w:rPr>
              <w:t>0.11</w:t>
            </w:r>
          </w:p>
        </w:tc>
        <w:tc>
          <w:tcPr>
            <w:tcW w:w="625" w:type="pct"/>
            <w:vAlign w:val="bottom"/>
          </w:tcPr>
          <w:p>
            <w:pPr>
              <w:widowControl/>
              <w:jc w:val="center"/>
              <w:textAlignment w:val="bottom"/>
              <w:rPr>
                <w:color w:val="000000"/>
                <w:szCs w:val="21"/>
              </w:rPr>
            </w:pPr>
            <w:r>
              <w:rPr>
                <w:color w:val="000000"/>
                <w:kern w:val="0"/>
                <w:szCs w:val="21"/>
                <w:lang w:bidi="ar"/>
              </w:rPr>
              <w:t>0.13</w:t>
            </w:r>
          </w:p>
        </w:tc>
        <w:tc>
          <w:tcPr>
            <w:tcW w:w="625" w:type="pct"/>
            <w:vAlign w:val="bottom"/>
          </w:tcPr>
          <w:p>
            <w:pPr>
              <w:widowControl/>
              <w:jc w:val="center"/>
              <w:textAlignment w:val="bottom"/>
              <w:rPr>
                <w:color w:val="000000"/>
                <w:szCs w:val="21"/>
              </w:rPr>
            </w:pPr>
            <w:r>
              <w:rPr>
                <w:color w:val="000000"/>
                <w:kern w:val="0"/>
                <w:szCs w:val="21"/>
                <w:lang w:bidi="ar"/>
              </w:rPr>
              <w:t>0.12</w:t>
            </w:r>
          </w:p>
        </w:tc>
        <w:tc>
          <w:tcPr>
            <w:tcW w:w="625" w:type="pct"/>
            <w:vAlign w:val="bottom"/>
          </w:tcPr>
          <w:p>
            <w:pPr>
              <w:widowControl/>
              <w:jc w:val="center"/>
              <w:textAlignment w:val="bottom"/>
              <w:rPr>
                <w:color w:val="000000"/>
                <w:szCs w:val="21"/>
              </w:rPr>
            </w:pPr>
            <w:r>
              <w:rPr>
                <w:color w:val="000000"/>
                <w:kern w:val="0"/>
                <w:szCs w:val="21"/>
                <w:lang w:bidi="ar"/>
              </w:rPr>
              <w:t>2.11</w:t>
            </w:r>
          </w:p>
        </w:tc>
        <w:tc>
          <w:tcPr>
            <w:tcW w:w="624" w:type="pct"/>
            <w:vAlign w:val="bottom"/>
          </w:tcPr>
          <w:p>
            <w:pPr>
              <w:widowControl/>
              <w:jc w:val="center"/>
              <w:textAlignment w:val="bottom"/>
              <w:rPr>
                <w:color w:val="000000"/>
                <w:szCs w:val="21"/>
              </w:rPr>
            </w:pPr>
            <w:r>
              <w:rPr>
                <w:color w:val="000000"/>
                <w:kern w:val="0"/>
                <w:szCs w:val="21"/>
                <w:lang w:bidi="ar"/>
              </w:rPr>
              <w:t>2.1</w:t>
            </w:r>
          </w:p>
        </w:tc>
        <w:tc>
          <w:tcPr>
            <w:tcW w:w="625" w:type="pct"/>
            <w:vAlign w:val="bottom"/>
          </w:tcPr>
          <w:p>
            <w:pPr>
              <w:widowControl/>
              <w:jc w:val="center"/>
              <w:textAlignment w:val="bottom"/>
              <w:rPr>
                <w:color w:val="000000"/>
                <w:szCs w:val="21"/>
              </w:rPr>
            </w:pPr>
            <w:r>
              <w:rPr>
                <w:color w:val="000000"/>
                <w:kern w:val="0"/>
                <w:szCs w:val="21"/>
                <w:lang w:bidi="ar"/>
              </w:rPr>
              <w:t>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45.9</w:t>
            </w:r>
          </w:p>
        </w:tc>
        <w:tc>
          <w:tcPr>
            <w:tcW w:w="634"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38</w:t>
            </w:r>
          </w:p>
        </w:tc>
        <w:tc>
          <w:tcPr>
            <w:tcW w:w="693" w:type="pct"/>
            <w:vAlign w:val="bottom"/>
          </w:tcPr>
          <w:p>
            <w:pPr>
              <w:widowControl/>
              <w:jc w:val="center"/>
              <w:textAlignment w:val="bottom"/>
              <w:rPr>
                <w:color w:val="000000"/>
                <w:szCs w:val="21"/>
              </w:rPr>
            </w:pPr>
            <w:r>
              <w:rPr>
                <w:color w:val="000000"/>
                <w:kern w:val="0"/>
                <w:szCs w:val="21"/>
                <w:lang w:bidi="ar"/>
              </w:rPr>
              <w:t>0.11</w:t>
            </w:r>
          </w:p>
        </w:tc>
        <w:tc>
          <w:tcPr>
            <w:tcW w:w="625" w:type="pct"/>
            <w:vAlign w:val="bottom"/>
          </w:tcPr>
          <w:p>
            <w:pPr>
              <w:widowControl/>
              <w:jc w:val="center"/>
              <w:textAlignment w:val="bottom"/>
              <w:rPr>
                <w:color w:val="000000"/>
                <w:szCs w:val="21"/>
              </w:rPr>
            </w:pPr>
            <w:r>
              <w:rPr>
                <w:color w:val="000000"/>
                <w:kern w:val="0"/>
                <w:szCs w:val="21"/>
                <w:lang w:bidi="ar"/>
              </w:rPr>
              <w:t>0.12</w:t>
            </w:r>
          </w:p>
        </w:tc>
        <w:tc>
          <w:tcPr>
            <w:tcW w:w="625" w:type="pct"/>
            <w:vAlign w:val="bottom"/>
          </w:tcPr>
          <w:p>
            <w:pPr>
              <w:widowControl/>
              <w:jc w:val="center"/>
              <w:textAlignment w:val="bottom"/>
              <w:rPr>
                <w:color w:val="000000"/>
                <w:szCs w:val="21"/>
              </w:rPr>
            </w:pPr>
            <w:r>
              <w:rPr>
                <w:color w:val="000000"/>
                <w:kern w:val="0"/>
                <w:szCs w:val="21"/>
                <w:lang w:bidi="ar"/>
              </w:rPr>
              <w:t>0.12</w:t>
            </w:r>
          </w:p>
        </w:tc>
        <w:tc>
          <w:tcPr>
            <w:tcW w:w="625" w:type="pct"/>
            <w:vAlign w:val="bottom"/>
          </w:tcPr>
          <w:p>
            <w:pPr>
              <w:widowControl/>
              <w:jc w:val="center"/>
              <w:textAlignment w:val="bottom"/>
              <w:rPr>
                <w:color w:val="000000"/>
                <w:szCs w:val="21"/>
              </w:rPr>
            </w:pPr>
            <w:r>
              <w:rPr>
                <w:color w:val="000000"/>
                <w:kern w:val="0"/>
                <w:szCs w:val="21"/>
                <w:lang w:bidi="ar"/>
              </w:rPr>
              <w:t>2.02</w:t>
            </w:r>
          </w:p>
        </w:tc>
        <w:tc>
          <w:tcPr>
            <w:tcW w:w="624" w:type="pct"/>
            <w:vAlign w:val="bottom"/>
          </w:tcPr>
          <w:p>
            <w:pPr>
              <w:widowControl/>
              <w:jc w:val="center"/>
              <w:textAlignment w:val="bottom"/>
              <w:rPr>
                <w:color w:val="000000"/>
                <w:szCs w:val="21"/>
              </w:rPr>
            </w:pPr>
            <w:r>
              <w:rPr>
                <w:color w:val="000000"/>
                <w:kern w:val="0"/>
                <w:szCs w:val="21"/>
                <w:lang w:bidi="ar"/>
              </w:rPr>
              <w:t>2.01</w:t>
            </w:r>
          </w:p>
        </w:tc>
        <w:tc>
          <w:tcPr>
            <w:tcW w:w="625" w:type="pct"/>
            <w:vAlign w:val="bottom"/>
          </w:tcPr>
          <w:p>
            <w:pPr>
              <w:widowControl/>
              <w:jc w:val="center"/>
              <w:textAlignment w:val="bottom"/>
              <w:rPr>
                <w:color w:val="000000"/>
                <w:szCs w:val="21"/>
              </w:rPr>
            </w:pPr>
            <w:r>
              <w:rPr>
                <w:color w:val="000000"/>
                <w:kern w:val="0"/>
                <w:szCs w:val="21"/>
                <w:lang w:bidi="ar"/>
              </w:rPr>
              <w:t>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46.9</w:t>
            </w:r>
          </w:p>
        </w:tc>
        <w:tc>
          <w:tcPr>
            <w:tcW w:w="634"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39</w:t>
            </w:r>
          </w:p>
        </w:tc>
        <w:tc>
          <w:tcPr>
            <w:tcW w:w="693" w:type="pct"/>
            <w:vAlign w:val="bottom"/>
          </w:tcPr>
          <w:p>
            <w:pPr>
              <w:widowControl/>
              <w:jc w:val="center"/>
              <w:textAlignment w:val="bottom"/>
              <w:rPr>
                <w:color w:val="000000"/>
                <w:szCs w:val="21"/>
              </w:rPr>
            </w:pPr>
            <w:r>
              <w:rPr>
                <w:color w:val="000000"/>
                <w:kern w:val="0"/>
                <w:szCs w:val="21"/>
                <w:lang w:bidi="ar"/>
              </w:rPr>
              <w:t>0.1</w:t>
            </w:r>
          </w:p>
        </w:tc>
        <w:tc>
          <w:tcPr>
            <w:tcW w:w="625" w:type="pct"/>
            <w:vAlign w:val="bottom"/>
          </w:tcPr>
          <w:p>
            <w:pPr>
              <w:widowControl/>
              <w:jc w:val="center"/>
              <w:textAlignment w:val="bottom"/>
              <w:rPr>
                <w:color w:val="000000"/>
                <w:szCs w:val="21"/>
              </w:rPr>
            </w:pPr>
            <w:r>
              <w:rPr>
                <w:color w:val="000000"/>
                <w:kern w:val="0"/>
                <w:szCs w:val="21"/>
                <w:lang w:bidi="ar"/>
              </w:rPr>
              <w:t>0.11</w:t>
            </w:r>
          </w:p>
        </w:tc>
        <w:tc>
          <w:tcPr>
            <w:tcW w:w="625" w:type="pct"/>
            <w:vAlign w:val="bottom"/>
          </w:tcPr>
          <w:p>
            <w:pPr>
              <w:widowControl/>
              <w:jc w:val="center"/>
              <w:textAlignment w:val="bottom"/>
              <w:rPr>
                <w:color w:val="000000"/>
                <w:szCs w:val="21"/>
              </w:rPr>
            </w:pPr>
            <w:r>
              <w:rPr>
                <w:color w:val="000000"/>
                <w:kern w:val="0"/>
                <w:szCs w:val="21"/>
                <w:lang w:bidi="ar"/>
              </w:rPr>
              <w:t>0.11</w:t>
            </w:r>
          </w:p>
        </w:tc>
        <w:tc>
          <w:tcPr>
            <w:tcW w:w="625" w:type="pct"/>
            <w:vAlign w:val="bottom"/>
          </w:tcPr>
          <w:p>
            <w:pPr>
              <w:widowControl/>
              <w:jc w:val="center"/>
              <w:textAlignment w:val="bottom"/>
              <w:rPr>
                <w:color w:val="000000"/>
                <w:szCs w:val="21"/>
              </w:rPr>
            </w:pPr>
            <w:r>
              <w:rPr>
                <w:color w:val="000000"/>
                <w:kern w:val="0"/>
                <w:szCs w:val="21"/>
                <w:lang w:bidi="ar"/>
              </w:rPr>
              <w:t>1.93</w:t>
            </w:r>
          </w:p>
        </w:tc>
        <w:tc>
          <w:tcPr>
            <w:tcW w:w="624" w:type="pct"/>
            <w:vAlign w:val="bottom"/>
          </w:tcPr>
          <w:p>
            <w:pPr>
              <w:widowControl/>
              <w:jc w:val="center"/>
              <w:textAlignment w:val="bottom"/>
              <w:rPr>
                <w:color w:val="000000"/>
                <w:szCs w:val="21"/>
              </w:rPr>
            </w:pPr>
            <w:r>
              <w:rPr>
                <w:color w:val="000000"/>
                <w:kern w:val="0"/>
                <w:szCs w:val="21"/>
                <w:lang w:bidi="ar"/>
              </w:rPr>
              <w:t>1.92</w:t>
            </w:r>
          </w:p>
        </w:tc>
        <w:tc>
          <w:tcPr>
            <w:tcW w:w="625" w:type="pct"/>
            <w:vAlign w:val="bottom"/>
          </w:tcPr>
          <w:p>
            <w:pPr>
              <w:widowControl/>
              <w:jc w:val="center"/>
              <w:textAlignment w:val="bottom"/>
              <w:rPr>
                <w:color w:val="000000"/>
                <w:szCs w:val="21"/>
              </w:rPr>
            </w:pPr>
            <w:r>
              <w:rPr>
                <w:color w:val="000000"/>
                <w:kern w:val="0"/>
                <w:szCs w:val="21"/>
                <w:lang w:bidi="ar"/>
              </w:rPr>
              <w:t>1.95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47.9</w:t>
            </w:r>
          </w:p>
        </w:tc>
        <w:tc>
          <w:tcPr>
            <w:tcW w:w="634"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40</w:t>
            </w:r>
          </w:p>
        </w:tc>
        <w:tc>
          <w:tcPr>
            <w:tcW w:w="693" w:type="pct"/>
            <w:vAlign w:val="bottom"/>
          </w:tcPr>
          <w:p>
            <w:pPr>
              <w:widowControl/>
              <w:jc w:val="center"/>
              <w:textAlignment w:val="bottom"/>
              <w:rPr>
                <w:color w:val="000000"/>
                <w:szCs w:val="21"/>
              </w:rPr>
            </w:pPr>
            <w:r>
              <w:rPr>
                <w:color w:val="000000"/>
                <w:kern w:val="0"/>
                <w:szCs w:val="21"/>
                <w:lang w:bidi="ar"/>
              </w:rPr>
              <w:t>0.09</w:t>
            </w:r>
          </w:p>
        </w:tc>
        <w:tc>
          <w:tcPr>
            <w:tcW w:w="625" w:type="pct"/>
            <w:vAlign w:val="bottom"/>
          </w:tcPr>
          <w:p>
            <w:pPr>
              <w:widowControl/>
              <w:jc w:val="center"/>
              <w:textAlignment w:val="bottom"/>
              <w:rPr>
                <w:color w:val="000000"/>
                <w:szCs w:val="21"/>
              </w:rPr>
            </w:pPr>
            <w:r>
              <w:rPr>
                <w:color w:val="000000"/>
                <w:kern w:val="0"/>
                <w:szCs w:val="21"/>
                <w:lang w:bidi="ar"/>
              </w:rPr>
              <w:t>0.1</w:t>
            </w:r>
          </w:p>
        </w:tc>
        <w:tc>
          <w:tcPr>
            <w:tcW w:w="625" w:type="pct"/>
            <w:vAlign w:val="bottom"/>
          </w:tcPr>
          <w:p>
            <w:pPr>
              <w:widowControl/>
              <w:jc w:val="center"/>
              <w:textAlignment w:val="bottom"/>
              <w:rPr>
                <w:color w:val="000000"/>
                <w:szCs w:val="21"/>
              </w:rPr>
            </w:pPr>
            <w:r>
              <w:rPr>
                <w:color w:val="000000"/>
                <w:kern w:val="0"/>
                <w:szCs w:val="21"/>
                <w:lang w:bidi="ar"/>
              </w:rPr>
              <w:t>0.1</w:t>
            </w:r>
          </w:p>
        </w:tc>
        <w:tc>
          <w:tcPr>
            <w:tcW w:w="625" w:type="pct"/>
            <w:vAlign w:val="bottom"/>
          </w:tcPr>
          <w:p>
            <w:pPr>
              <w:widowControl/>
              <w:jc w:val="center"/>
              <w:textAlignment w:val="bottom"/>
              <w:rPr>
                <w:color w:val="000000"/>
                <w:szCs w:val="21"/>
              </w:rPr>
            </w:pPr>
            <w:r>
              <w:rPr>
                <w:color w:val="000000"/>
                <w:kern w:val="0"/>
                <w:szCs w:val="21"/>
                <w:lang w:bidi="ar"/>
              </w:rPr>
              <w:t>1.85</w:t>
            </w:r>
          </w:p>
        </w:tc>
        <w:tc>
          <w:tcPr>
            <w:tcW w:w="624" w:type="pct"/>
            <w:vAlign w:val="bottom"/>
          </w:tcPr>
          <w:p>
            <w:pPr>
              <w:widowControl/>
              <w:jc w:val="center"/>
              <w:textAlignment w:val="bottom"/>
              <w:rPr>
                <w:color w:val="000000"/>
                <w:szCs w:val="21"/>
              </w:rPr>
            </w:pPr>
            <w:r>
              <w:rPr>
                <w:color w:val="000000"/>
                <w:kern w:val="0"/>
                <w:szCs w:val="21"/>
                <w:lang w:bidi="ar"/>
              </w:rPr>
              <w:t>1.84</w:t>
            </w:r>
          </w:p>
        </w:tc>
        <w:tc>
          <w:tcPr>
            <w:tcW w:w="625" w:type="pct"/>
            <w:vAlign w:val="bottom"/>
          </w:tcPr>
          <w:p>
            <w:pPr>
              <w:widowControl/>
              <w:jc w:val="center"/>
              <w:textAlignment w:val="bottom"/>
              <w:rPr>
                <w:color w:val="000000"/>
                <w:szCs w:val="21"/>
              </w:rPr>
            </w:pPr>
            <w:r>
              <w:rPr>
                <w:color w:val="000000"/>
                <w:kern w:val="0"/>
                <w:szCs w:val="21"/>
                <w:lang w:bidi="ar"/>
              </w:rPr>
              <w:t>1.86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180" w:type="pct"/>
            <w:gridSpan w:val="2"/>
            <w:vAlign w:val="center"/>
          </w:tcPr>
          <w:p>
            <w:pPr>
              <w:widowControl/>
              <w:jc w:val="center"/>
              <w:textAlignment w:val="center"/>
              <w:rPr>
                <w:rFonts w:cs="宋体"/>
                <w:color w:val="000000"/>
                <w:szCs w:val="21"/>
              </w:rPr>
            </w:pPr>
            <w:r>
              <w:rPr>
                <w:rFonts w:hint="eastAsia" w:cs="宋体"/>
                <w:color w:val="000000"/>
                <w:kern w:val="0"/>
                <w:szCs w:val="21"/>
                <w:lang w:bidi="ar"/>
              </w:rPr>
              <w:t>最大值</w:t>
            </w:r>
          </w:p>
        </w:tc>
        <w:tc>
          <w:tcPr>
            <w:tcW w:w="693" w:type="pct"/>
            <w:vAlign w:val="bottom"/>
          </w:tcPr>
          <w:p>
            <w:pPr>
              <w:widowControl/>
              <w:jc w:val="center"/>
              <w:textAlignment w:val="bottom"/>
              <w:rPr>
                <w:b/>
                <w:color w:val="000000"/>
                <w:szCs w:val="21"/>
              </w:rPr>
            </w:pPr>
            <w:r>
              <w:rPr>
                <w:b/>
                <w:bCs/>
                <w:color w:val="000000"/>
                <w:kern w:val="0"/>
                <w:szCs w:val="21"/>
                <w:lang w:bidi="ar"/>
              </w:rPr>
              <w:t>7.02</w:t>
            </w:r>
          </w:p>
        </w:tc>
        <w:tc>
          <w:tcPr>
            <w:tcW w:w="625" w:type="pct"/>
            <w:vAlign w:val="bottom"/>
          </w:tcPr>
          <w:p>
            <w:pPr>
              <w:widowControl/>
              <w:jc w:val="center"/>
              <w:textAlignment w:val="bottom"/>
              <w:rPr>
                <w:b/>
                <w:bCs/>
                <w:color w:val="000000"/>
                <w:szCs w:val="21"/>
              </w:rPr>
            </w:pPr>
            <w:r>
              <w:rPr>
                <w:b/>
                <w:bCs/>
                <w:color w:val="000000"/>
                <w:kern w:val="0"/>
                <w:szCs w:val="21"/>
                <w:lang w:bidi="ar"/>
              </w:rPr>
              <w:t>5.58</w:t>
            </w:r>
          </w:p>
        </w:tc>
        <w:tc>
          <w:tcPr>
            <w:tcW w:w="625" w:type="pct"/>
            <w:vAlign w:val="bottom"/>
          </w:tcPr>
          <w:p>
            <w:pPr>
              <w:widowControl/>
              <w:jc w:val="center"/>
              <w:textAlignment w:val="bottom"/>
              <w:rPr>
                <w:b/>
                <w:bCs/>
                <w:color w:val="000000"/>
                <w:szCs w:val="21"/>
              </w:rPr>
            </w:pPr>
            <w:r>
              <w:rPr>
                <w:b/>
                <w:bCs/>
                <w:color w:val="000000"/>
                <w:kern w:val="0"/>
                <w:szCs w:val="21"/>
                <w:lang w:bidi="ar"/>
              </w:rPr>
              <w:t>9.84</w:t>
            </w:r>
          </w:p>
        </w:tc>
        <w:tc>
          <w:tcPr>
            <w:tcW w:w="625" w:type="pct"/>
            <w:vAlign w:val="bottom"/>
          </w:tcPr>
          <w:p>
            <w:pPr>
              <w:widowControl/>
              <w:jc w:val="center"/>
              <w:textAlignment w:val="bottom"/>
              <w:rPr>
                <w:b/>
                <w:bCs/>
                <w:color w:val="000000"/>
                <w:szCs w:val="21"/>
              </w:rPr>
            </w:pPr>
            <w:r>
              <w:rPr>
                <w:rFonts w:hint="eastAsia"/>
                <w:b/>
                <w:bCs/>
                <w:color w:val="000000"/>
                <w:kern w:val="0"/>
                <w:szCs w:val="21"/>
                <w:lang w:bidi="ar"/>
              </w:rPr>
              <w:t>60.97</w:t>
            </w:r>
          </w:p>
        </w:tc>
        <w:tc>
          <w:tcPr>
            <w:tcW w:w="624" w:type="pct"/>
            <w:vAlign w:val="bottom"/>
          </w:tcPr>
          <w:p>
            <w:pPr>
              <w:widowControl/>
              <w:jc w:val="center"/>
              <w:textAlignment w:val="bottom"/>
              <w:rPr>
                <w:b/>
                <w:bCs/>
                <w:color w:val="000000"/>
                <w:kern w:val="0"/>
                <w:szCs w:val="21"/>
                <w:lang w:bidi="ar"/>
              </w:rPr>
            </w:pPr>
            <w:r>
              <w:rPr>
                <w:rFonts w:hint="eastAsia"/>
                <w:b/>
                <w:bCs/>
                <w:color w:val="000000"/>
                <w:kern w:val="0"/>
                <w:szCs w:val="21"/>
                <w:lang w:bidi="ar"/>
              </w:rPr>
              <w:t>49.56</w:t>
            </w:r>
          </w:p>
        </w:tc>
        <w:tc>
          <w:tcPr>
            <w:tcW w:w="625" w:type="pct"/>
            <w:vAlign w:val="bottom"/>
          </w:tcPr>
          <w:p>
            <w:pPr>
              <w:widowControl/>
              <w:jc w:val="center"/>
              <w:textAlignment w:val="bottom"/>
              <w:rPr>
                <w:b/>
                <w:bCs/>
                <w:color w:val="000000"/>
                <w:kern w:val="0"/>
                <w:szCs w:val="21"/>
                <w:lang w:bidi="ar"/>
              </w:rPr>
            </w:pPr>
            <w:r>
              <w:rPr>
                <w:rFonts w:hint="eastAsia"/>
                <w:b/>
                <w:bCs/>
                <w:color w:val="000000"/>
                <w:kern w:val="0"/>
                <w:szCs w:val="21"/>
                <w:lang w:bidi="ar"/>
              </w:rPr>
              <w:t>101.85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180" w:type="pct"/>
            <w:gridSpan w:val="2"/>
            <w:vAlign w:val="center"/>
          </w:tcPr>
          <w:p>
            <w:pPr>
              <w:widowControl/>
              <w:jc w:val="center"/>
              <w:textAlignment w:val="center"/>
              <w:rPr>
                <w:rFonts w:cs="宋体"/>
                <w:color w:val="000000"/>
                <w:szCs w:val="21"/>
              </w:rPr>
            </w:pPr>
            <w:r>
              <w:rPr>
                <w:rFonts w:hint="eastAsia" w:cs="宋体"/>
                <w:color w:val="000000"/>
                <w:kern w:val="0"/>
                <w:szCs w:val="21"/>
                <w:lang w:bidi="ar"/>
              </w:rPr>
              <w:t>最大值处距线路中心距离（m）</w:t>
            </w:r>
          </w:p>
        </w:tc>
        <w:tc>
          <w:tcPr>
            <w:tcW w:w="693" w:type="pct"/>
            <w:vAlign w:val="center"/>
          </w:tcPr>
          <w:p>
            <w:pPr>
              <w:widowControl/>
              <w:jc w:val="center"/>
              <w:textAlignment w:val="center"/>
              <w:rPr>
                <w:rFonts w:cs="宋体"/>
                <w:color w:val="000000"/>
                <w:szCs w:val="21"/>
              </w:rPr>
            </w:pPr>
            <w:r>
              <w:rPr>
                <w:rFonts w:hint="eastAsia" w:cs="宋体"/>
                <w:color w:val="000000"/>
                <w:kern w:val="0"/>
                <w:szCs w:val="21"/>
                <w:lang w:bidi="ar"/>
              </w:rPr>
              <w:t>7.9</w:t>
            </w:r>
          </w:p>
        </w:tc>
        <w:tc>
          <w:tcPr>
            <w:tcW w:w="625" w:type="pct"/>
            <w:vAlign w:val="center"/>
          </w:tcPr>
          <w:p>
            <w:pPr>
              <w:widowControl/>
              <w:jc w:val="center"/>
              <w:textAlignment w:val="center"/>
              <w:rPr>
                <w:rFonts w:cs="宋体"/>
                <w:color w:val="000000"/>
                <w:szCs w:val="21"/>
              </w:rPr>
            </w:pPr>
            <w:r>
              <w:rPr>
                <w:rFonts w:hint="eastAsia" w:cs="宋体"/>
                <w:color w:val="000000"/>
                <w:szCs w:val="21"/>
              </w:rPr>
              <w:t>8.9</w:t>
            </w:r>
          </w:p>
        </w:tc>
        <w:tc>
          <w:tcPr>
            <w:tcW w:w="625" w:type="pct"/>
            <w:vAlign w:val="center"/>
          </w:tcPr>
          <w:p>
            <w:pPr>
              <w:widowControl/>
              <w:jc w:val="center"/>
              <w:textAlignment w:val="center"/>
              <w:rPr>
                <w:rFonts w:cs="宋体"/>
                <w:color w:val="000000"/>
                <w:szCs w:val="21"/>
              </w:rPr>
            </w:pPr>
            <w:r>
              <w:rPr>
                <w:rFonts w:hint="eastAsia" w:cs="宋体"/>
                <w:color w:val="000000"/>
                <w:szCs w:val="21"/>
              </w:rPr>
              <w:t>7.9</w:t>
            </w:r>
          </w:p>
        </w:tc>
        <w:tc>
          <w:tcPr>
            <w:tcW w:w="625" w:type="pct"/>
            <w:vAlign w:val="center"/>
          </w:tcPr>
          <w:p>
            <w:pPr>
              <w:widowControl/>
              <w:jc w:val="center"/>
              <w:textAlignment w:val="center"/>
              <w:rPr>
                <w:rFonts w:cs="宋体"/>
                <w:color w:val="000000"/>
                <w:szCs w:val="21"/>
              </w:rPr>
            </w:pPr>
            <w:r>
              <w:rPr>
                <w:rFonts w:hint="eastAsia" w:cs="宋体"/>
                <w:color w:val="000000"/>
                <w:kern w:val="0"/>
                <w:szCs w:val="21"/>
                <w:lang w:bidi="ar"/>
              </w:rPr>
              <w:t>6.0</w:t>
            </w:r>
          </w:p>
        </w:tc>
        <w:tc>
          <w:tcPr>
            <w:tcW w:w="624"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6.0</w:t>
            </w:r>
          </w:p>
        </w:tc>
        <w:tc>
          <w:tcPr>
            <w:tcW w:w="62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7.0</w:t>
            </w:r>
          </w:p>
        </w:tc>
      </w:tr>
    </w:tbl>
    <w:p>
      <w:pPr>
        <w:pStyle w:val="83"/>
        <w:keepNext/>
        <w:spacing w:before="163" w:beforeLines="50" w:line="360" w:lineRule="auto"/>
        <w:jc w:val="both"/>
        <w:rPr>
          <w:b/>
        </w:rPr>
        <w:sectPr>
          <w:pgSz w:w="11906" w:h="16838"/>
          <w:pgMar w:top="1440" w:right="1701" w:bottom="1440" w:left="1701" w:header="851" w:footer="992" w:gutter="0"/>
          <w:cols w:space="720" w:num="1"/>
          <w:docGrid w:type="lines" w:linePitch="326" w:charSpace="0"/>
        </w:sectPr>
      </w:pPr>
    </w:p>
    <w:p>
      <w:pPr>
        <w:pStyle w:val="46"/>
        <w:spacing w:before="163" w:beforeLines="50"/>
      </w:pPr>
      <w:r>
        <w:drawing>
          <wp:inline distT="0" distB="0" distL="114300" distR="114300">
            <wp:extent cx="5398135" cy="2924175"/>
            <wp:effectExtent l="0" t="0" r="12065" b="9525"/>
            <wp:docPr id="9"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0"/>
                    <pic:cNvPicPr>
                      <a:picLocks noChangeAspect="1"/>
                    </pic:cNvPicPr>
                  </pic:nvPicPr>
                  <pic:blipFill>
                    <a:blip r:embed="rId137"/>
                    <a:stretch>
                      <a:fillRect/>
                    </a:stretch>
                  </pic:blipFill>
                  <pic:spPr>
                    <a:xfrm>
                      <a:off x="0" y="0"/>
                      <a:ext cx="5398135" cy="2924175"/>
                    </a:xfrm>
                    <a:prstGeom prst="rect">
                      <a:avLst/>
                    </a:prstGeom>
                    <a:noFill/>
                    <a:ln>
                      <a:noFill/>
                    </a:ln>
                  </pic:spPr>
                </pic:pic>
              </a:graphicData>
            </a:graphic>
          </wp:inline>
        </w:drawing>
      </w:r>
    </w:p>
    <w:p>
      <w:pPr>
        <w:jc w:val="center"/>
        <w:rPr>
          <w:b/>
          <w:color w:val="000000" w:themeColor="text1"/>
          <w:szCs w:val="21"/>
          <w14:textFill>
            <w14:solidFill>
              <w14:schemeClr w14:val="tx1"/>
            </w14:solidFill>
          </w14:textFill>
        </w:rPr>
      </w:pPr>
      <w:bookmarkStart w:id="810" w:name="_Ref21863"/>
      <w:r>
        <w:rPr>
          <w:rFonts w:hint="eastAsia"/>
          <w:b/>
          <w:color w:val="000000" w:themeColor="text1"/>
          <w:szCs w:val="21"/>
          <w14:textFill>
            <w14:solidFill>
              <w14:schemeClr w14:val="tx1"/>
            </w14:solidFill>
          </w14:textFill>
        </w:rPr>
        <w:t>图</w:t>
      </w:r>
      <w:r>
        <w:rPr>
          <w:b/>
          <w:color w:val="000000" w:themeColor="text1"/>
          <w:szCs w:val="21"/>
          <w14:textFill>
            <w14:solidFill>
              <w14:schemeClr w14:val="tx1"/>
            </w14:solidFill>
          </w14:textFill>
        </w:rPr>
        <w:fldChar w:fldCharType="begin"/>
      </w:r>
      <w:r>
        <w:rPr>
          <w:b/>
          <w:color w:val="000000" w:themeColor="text1"/>
          <w:szCs w:val="21"/>
          <w14:textFill>
            <w14:solidFill>
              <w14:schemeClr w14:val="tx1"/>
            </w14:solidFill>
          </w14:textFill>
        </w:rPr>
        <w:instrText xml:space="preserve"> SEQ </w:instrText>
      </w:r>
      <w:r>
        <w:rPr>
          <w:rFonts w:hint="eastAsia"/>
          <w:b/>
          <w:color w:val="000000" w:themeColor="text1"/>
          <w:szCs w:val="21"/>
          <w14:textFill>
            <w14:solidFill>
              <w14:schemeClr w14:val="tx1"/>
            </w14:solidFill>
          </w14:textFill>
        </w:rPr>
        <w:instrText xml:space="preserve">图</w:instrText>
      </w:r>
      <w:r>
        <w:rPr>
          <w:b/>
          <w:color w:val="000000" w:themeColor="text1"/>
          <w:szCs w:val="21"/>
          <w14:textFill>
            <w14:solidFill>
              <w14:schemeClr w14:val="tx1"/>
            </w14:solidFill>
          </w14:textFill>
        </w:rPr>
        <w:instrText xml:space="preserve"> \* ARABIC </w:instrText>
      </w:r>
      <w:r>
        <w:rPr>
          <w:b/>
          <w:color w:val="000000" w:themeColor="text1"/>
          <w:szCs w:val="21"/>
          <w14:textFill>
            <w14:solidFill>
              <w14:schemeClr w14:val="tx1"/>
            </w14:solidFill>
          </w14:textFill>
        </w:rPr>
        <w:fldChar w:fldCharType="separate"/>
      </w:r>
      <w:r>
        <w:rPr>
          <w:b/>
          <w:color w:val="000000" w:themeColor="text1"/>
          <w:szCs w:val="21"/>
          <w14:textFill>
            <w14:solidFill>
              <w14:schemeClr w14:val="tx1"/>
            </w14:solidFill>
          </w14:textFill>
        </w:rPr>
        <w:t>18</w:t>
      </w:r>
      <w:r>
        <w:rPr>
          <w:b/>
          <w:color w:val="000000" w:themeColor="text1"/>
          <w:szCs w:val="21"/>
          <w14:textFill>
            <w14:solidFill>
              <w14:schemeClr w14:val="tx1"/>
            </w14:solidFill>
          </w14:textFill>
        </w:rPr>
        <w:fldChar w:fldCharType="end"/>
      </w:r>
      <w:bookmarkEnd w:id="810"/>
      <w:r>
        <w:rPr>
          <w:rFonts w:hint="eastAsia"/>
          <w:b/>
          <w:color w:val="000000" w:themeColor="text1"/>
          <w:szCs w:val="21"/>
          <w14:textFill>
            <w14:solidFill>
              <w14:schemeClr w14:val="tx1"/>
            </w14:solidFill>
          </w14:textFill>
        </w:rPr>
        <w:t>单回线路工频电场强度预测结果图（2×JL3/G1A-400/35型导线）</w:t>
      </w:r>
    </w:p>
    <w:p>
      <w:pPr>
        <w:pStyle w:val="46"/>
      </w:pPr>
      <w:r>
        <w:drawing>
          <wp:inline distT="0" distB="0" distL="114300" distR="114300">
            <wp:extent cx="5388610" cy="3000375"/>
            <wp:effectExtent l="0" t="0" r="2540" b="9525"/>
            <wp:docPr id="10"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1"/>
                    <pic:cNvPicPr>
                      <a:picLocks noChangeAspect="1"/>
                    </pic:cNvPicPr>
                  </pic:nvPicPr>
                  <pic:blipFill>
                    <a:blip r:embed="rId138"/>
                    <a:stretch>
                      <a:fillRect/>
                    </a:stretch>
                  </pic:blipFill>
                  <pic:spPr>
                    <a:xfrm>
                      <a:off x="0" y="0"/>
                      <a:ext cx="5388610" cy="3000375"/>
                    </a:xfrm>
                    <a:prstGeom prst="rect">
                      <a:avLst/>
                    </a:prstGeom>
                    <a:noFill/>
                    <a:ln>
                      <a:noFill/>
                    </a:ln>
                  </pic:spPr>
                </pic:pic>
              </a:graphicData>
            </a:graphic>
          </wp:inline>
        </w:drawing>
      </w:r>
    </w:p>
    <w:p>
      <w:pPr>
        <w:pStyle w:val="10"/>
        <w:jc w:val="center"/>
        <w:rPr>
          <w:rFonts w:eastAsia="宋体"/>
        </w:rPr>
      </w:pPr>
      <w:bookmarkStart w:id="811" w:name="_Ref30048"/>
      <w:r>
        <w:rPr>
          <w:rFonts w:ascii="Times New Roman" w:hAnsi="Times New Roman" w:eastAsia="宋体"/>
          <w:b/>
          <w:bCs/>
        </w:rPr>
        <w:t>图</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19</w:t>
      </w:r>
      <w:r>
        <w:rPr>
          <w:rFonts w:ascii="Times New Roman" w:hAnsi="Times New Roman" w:eastAsia="宋体"/>
          <w:b/>
          <w:bCs/>
        </w:rPr>
        <w:fldChar w:fldCharType="end"/>
      </w:r>
      <w:bookmarkEnd w:id="811"/>
      <w:r>
        <w:rPr>
          <w:rFonts w:hint="eastAsia" w:ascii="Times New Roman" w:hAnsi="Times New Roman" w:eastAsia="宋体"/>
          <w:b/>
          <w:bCs/>
        </w:rPr>
        <w:t>单</w:t>
      </w:r>
      <w:r>
        <w:rPr>
          <w:rFonts w:ascii="Times New Roman" w:hAnsi="Times New Roman" w:eastAsia="宋体"/>
          <w:b/>
          <w:bCs/>
        </w:rPr>
        <w:t>回线路工频磁感应强度预测结果图（2×JL3/G1A-400/35型导线）</w:t>
      </w:r>
    </w:p>
    <w:p>
      <w:pPr>
        <w:pStyle w:val="5"/>
        <w:ind w:firstLine="482"/>
        <w:rPr>
          <w:color w:val="000000" w:themeColor="text1"/>
          <w14:textFill>
            <w14:solidFill>
              <w14:schemeClr w14:val="tx1"/>
            </w14:solidFill>
          </w14:textFill>
        </w:rPr>
      </w:pPr>
      <w:bookmarkStart w:id="812" w:name="_Hlk62557461"/>
      <w:bookmarkStart w:id="813" w:name="_Ref388276926"/>
      <w:bookmarkStart w:id="814" w:name="_Toc326658245"/>
      <w:bookmarkStart w:id="815" w:name="_Hlk65080561"/>
      <w:bookmarkStart w:id="816" w:name="_Hlk62715951"/>
      <w:r>
        <w:rPr>
          <w:rFonts w:hint="eastAsia"/>
          <w:b/>
          <w:bCs/>
          <w:color w:val="000000" w:themeColor="text1"/>
          <w14:textFill>
            <w14:solidFill>
              <w14:schemeClr w14:val="tx1"/>
            </w14:solidFill>
          </w14:textFill>
        </w:rPr>
        <w:t>单回线路</w:t>
      </w:r>
      <w:r>
        <w:rPr>
          <w:rFonts w:hint="eastAsia"/>
          <w:b/>
          <w:bCs/>
        </w:rPr>
        <w:t>（2×JL3/G1A-400/35型导线）</w:t>
      </w:r>
      <w:r>
        <w:rPr>
          <w:rFonts w:hint="eastAsia"/>
          <w:b/>
          <w:bCs/>
          <w:color w:val="000000" w:themeColor="text1"/>
          <w14:textFill>
            <w14:solidFill>
              <w14:schemeClr w14:val="tx1"/>
            </w14:solidFill>
          </w14:textFill>
        </w:rPr>
        <w:t>电磁环境预测结果：</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1）非居民区</w:t>
      </w:r>
    </w:p>
    <w:p>
      <w:pPr>
        <w:pStyle w:val="5"/>
      </w:pPr>
      <w:r>
        <w:rPr>
          <w:rFonts w:hint="eastAsia"/>
        </w:rPr>
        <w:t>本工程单回线路（2×JL3/G1A-400/35型导线）经过非居民区，导线弧垂最小对地距离6.5</w:t>
      </w:r>
      <w:r>
        <w:t>m，线路下方距离地面1.5m高度处的工频电场强度最大值为</w:t>
      </w:r>
      <w:r>
        <w:rPr>
          <w:rFonts w:hint="eastAsia"/>
        </w:rPr>
        <w:t>7.02</w:t>
      </w:r>
      <w:r>
        <w:t>kV/m，工频磁感应强度最大值为</w:t>
      </w:r>
      <w:r>
        <w:rPr>
          <w:rFonts w:hint="eastAsia"/>
        </w:rPr>
        <w:t>60.97</w:t>
      </w:r>
      <w:r>
        <w:t>μT，满足《电磁环境控制限值》（GB8702-2014）10kV/m、100μT的控制限值。</w:t>
      </w:r>
    </w:p>
    <w:p>
      <w:pPr>
        <w:pStyle w:val="5"/>
      </w:pP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2）居民区</w:t>
      </w:r>
    </w:p>
    <w:p>
      <w:pPr>
        <w:pStyle w:val="107"/>
        <w:wordWrap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本工程单回线路</w:t>
      </w:r>
      <w:r>
        <w:rPr>
          <w:rFonts w:hint="eastAsia"/>
          <w:sz w:val="24"/>
        </w:rPr>
        <w:t>（2×JL3/G1A-400/35型导线）</w:t>
      </w:r>
      <w:r>
        <w:rPr>
          <w:color w:val="000000" w:themeColor="text1"/>
          <w:sz w:val="24"/>
          <w14:textFill>
            <w14:solidFill>
              <w14:schemeClr w14:val="tx1"/>
            </w14:solidFill>
          </w14:textFill>
        </w:rPr>
        <w:t>经过居民区，导线弧垂最小对地距离7.5m，线路下方距离地面1.5m、4.5m高度处的工频电场强度最大值分别为5.</w:t>
      </w:r>
      <w:r>
        <w:rPr>
          <w:rFonts w:hint="eastAsia"/>
          <w:color w:val="000000" w:themeColor="text1"/>
          <w:sz w:val="24"/>
          <w14:textFill>
            <w14:solidFill>
              <w14:schemeClr w14:val="tx1"/>
            </w14:solidFill>
          </w14:textFill>
        </w:rPr>
        <w:t>58</w:t>
      </w:r>
      <w:r>
        <w:rPr>
          <w:color w:val="000000" w:themeColor="text1"/>
          <w:sz w:val="24"/>
          <w14:textFill>
            <w14:solidFill>
              <w14:schemeClr w14:val="tx1"/>
            </w14:solidFill>
          </w14:textFill>
        </w:rPr>
        <w:t>kV/m、</w:t>
      </w:r>
      <w:r>
        <w:rPr>
          <w:rFonts w:hint="eastAsia"/>
          <w:color w:val="000000" w:themeColor="text1"/>
          <w:sz w:val="24"/>
          <w14:textFill>
            <w14:solidFill>
              <w14:schemeClr w14:val="tx1"/>
            </w14:solidFill>
          </w14:textFill>
        </w:rPr>
        <w:t>9.84</w:t>
      </w:r>
      <w:r>
        <w:rPr>
          <w:color w:val="000000" w:themeColor="text1"/>
          <w:sz w:val="24"/>
          <w14:textFill>
            <w14:solidFill>
              <w14:schemeClr w14:val="tx1"/>
            </w14:solidFill>
          </w14:textFill>
        </w:rPr>
        <w:t>kV/m，均不满足《电磁环境控制限值》（GB8702-2014）中4000V/m的控制限值；工频磁感应强度最大值分别为</w:t>
      </w:r>
      <w:r>
        <w:rPr>
          <w:rFonts w:hint="eastAsia"/>
          <w:color w:val="000000" w:themeColor="text1"/>
          <w:sz w:val="24"/>
          <w14:textFill>
            <w14:solidFill>
              <w14:schemeClr w14:val="tx1"/>
            </w14:solidFill>
          </w14:textFill>
        </w:rPr>
        <w:t>49.56</w:t>
      </w:r>
      <w:r>
        <w:rPr>
          <w:color w:val="000000" w:themeColor="text1"/>
          <w:sz w:val="24"/>
          <w14:textFill>
            <w14:solidFill>
              <w14:schemeClr w14:val="tx1"/>
            </w14:solidFill>
          </w14:textFill>
        </w:rPr>
        <w:t>μT、</w:t>
      </w:r>
      <w:r>
        <w:rPr>
          <w:rFonts w:hint="eastAsia"/>
          <w:color w:val="000000" w:themeColor="text1"/>
          <w:sz w:val="24"/>
          <w14:textFill>
            <w14:solidFill>
              <w14:schemeClr w14:val="tx1"/>
            </w14:solidFill>
          </w14:textFill>
        </w:rPr>
        <w:t>101.85</w:t>
      </w:r>
      <w:r>
        <w:rPr>
          <w:color w:val="000000" w:themeColor="text1"/>
          <w:sz w:val="24"/>
          <w14:textFill>
            <w14:solidFill>
              <w14:schemeClr w14:val="tx1"/>
            </w14:solidFill>
          </w14:textFill>
        </w:rPr>
        <w:t>μT，不满足《电磁环境控制限值》（GB8702-2014）中100μT的控制限值。</w:t>
      </w:r>
    </w:p>
    <w:p>
      <w:pPr>
        <w:pStyle w:val="107"/>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3）单回线路电磁环境影响控制措施</w:t>
      </w:r>
    </w:p>
    <w:p>
      <w:pPr>
        <w:pStyle w:val="107"/>
        <w:spacing w:line="360" w:lineRule="auto"/>
        <w:ind w:firstLine="480"/>
        <w:rPr>
          <w:sz w:val="24"/>
        </w:rPr>
      </w:pPr>
      <w:r>
        <w:rPr>
          <w:rFonts w:hint="eastAsia"/>
          <w:sz w:val="24"/>
          <w:szCs w:val="32"/>
        </w:rPr>
        <w:t>由预测结果可知，本工程拟建单回线路（2×JL3/G1A-400/35型导线）经过居民区时，本项目新建220kV单回线路段经过居民区，导线对地距离为11.5m时，距离地面1.5m、4.5m高度处的工频电场强度最大值分别为2.82kV/m、3.67kV/m，均满足《电磁环境控制限值》（GB8702-2014）中4000V/m控制限值要求；距离地面1.5m、4.5m高度处的工频磁感应强度最大值分别为28.69μT、44.93μT，均满足《电磁环境控制限值》（GB8702-2014）100μT的控制限值要求。</w:t>
      </w:r>
      <w:r>
        <w:rPr>
          <w:rFonts w:hint="eastAsia"/>
          <w:sz w:val="24"/>
        </w:rPr>
        <w:t>本工程拟建单回线路（导线型号：</w:t>
      </w:r>
      <w:r>
        <w:rPr>
          <w:rFonts w:hint="eastAsia"/>
          <w:sz w:val="24"/>
          <w:szCs w:val="32"/>
        </w:rPr>
        <w:t>2×JL3/G1A-400/35</w:t>
      </w:r>
      <w:r>
        <w:rPr>
          <w:rFonts w:hint="eastAsia"/>
          <w:sz w:val="24"/>
        </w:rPr>
        <w:t>）最低线高下的工频电场强度及工频磁感应强度预测计算见</w:t>
      </w:r>
      <w:r>
        <w:rPr>
          <w:b w:val="0"/>
          <w:bCs w:val="0"/>
          <w:sz w:val="24"/>
          <w:szCs w:val="24"/>
        </w:rPr>
        <w:fldChar w:fldCharType="begin"/>
      </w:r>
      <w:r>
        <w:rPr>
          <w:b w:val="0"/>
          <w:bCs w:val="0"/>
        </w:rPr>
        <w:instrText xml:space="preserve"> REF _Ref20679 \h  \* MERGEFORMAT</w:instrText>
      </w:r>
      <w:r>
        <w:rPr>
          <w:b w:val="0"/>
          <w:bCs w:val="0"/>
          <w:sz w:val="24"/>
          <w:szCs w:val="24"/>
        </w:rPr>
        <w:fldChar w:fldCharType="separate"/>
      </w:r>
      <w:r>
        <w:rPr>
          <w:rFonts w:ascii="Times New Roman" w:hAnsi="Times New Roman" w:eastAsia="宋体"/>
          <w:b w:val="0"/>
          <w:bCs w:val="0"/>
          <w:sz w:val="24"/>
          <w:szCs w:val="24"/>
        </w:rPr>
        <w:t>表47</w:t>
      </w:r>
      <w:r>
        <w:rPr>
          <w:b w:val="0"/>
          <w:bCs w:val="0"/>
          <w:sz w:val="24"/>
          <w:szCs w:val="24"/>
        </w:rPr>
        <w:fldChar w:fldCharType="end"/>
      </w:r>
      <w:r>
        <w:rPr>
          <w:rFonts w:hint="eastAsia"/>
          <w:sz w:val="24"/>
        </w:rPr>
        <w:t>，相应变化趋势见</w:t>
      </w:r>
      <w:r>
        <w:rPr>
          <w:rFonts w:hint="eastAsia"/>
          <w:b w:val="0"/>
          <w:bCs w:val="0"/>
          <w:sz w:val="24"/>
          <w:szCs w:val="24"/>
        </w:rPr>
        <w:fldChar w:fldCharType="begin"/>
      </w:r>
      <w:r>
        <w:rPr>
          <w:b w:val="0"/>
          <w:bCs w:val="0"/>
        </w:rPr>
        <w:instrText xml:space="preserve"> REF _Ref21903 \h  \* MERGEFORMAT</w:instrText>
      </w:r>
      <w:r>
        <w:rPr>
          <w:rFonts w:hint="eastAsia"/>
          <w:b w:val="0"/>
          <w:bCs w:val="0"/>
          <w:sz w:val="24"/>
          <w:szCs w:val="24"/>
        </w:rPr>
        <w:fldChar w:fldCharType="separate"/>
      </w:r>
      <w:r>
        <w:rPr>
          <w:rFonts w:ascii="Times New Roman" w:hAnsi="Times New Roman" w:eastAsia="宋体"/>
          <w:b w:val="0"/>
          <w:bCs w:val="0"/>
          <w:sz w:val="24"/>
          <w:szCs w:val="24"/>
        </w:rPr>
        <w:t>图20</w:t>
      </w:r>
      <w:r>
        <w:rPr>
          <w:rFonts w:hint="eastAsia"/>
          <w:b w:val="0"/>
          <w:bCs w:val="0"/>
          <w:sz w:val="24"/>
          <w:szCs w:val="24"/>
        </w:rPr>
        <w:fldChar w:fldCharType="end"/>
      </w:r>
      <w:r>
        <w:rPr>
          <w:rFonts w:hint="eastAsia"/>
          <w:b w:val="0"/>
          <w:bCs w:val="0"/>
          <w:sz w:val="24"/>
          <w:szCs w:val="24"/>
        </w:rPr>
        <w:t>~</w:t>
      </w:r>
      <w:r>
        <w:rPr>
          <w:rFonts w:hint="eastAsia"/>
          <w:b w:val="0"/>
          <w:bCs w:val="0"/>
          <w:sz w:val="24"/>
          <w:szCs w:val="24"/>
        </w:rPr>
        <w:fldChar w:fldCharType="begin"/>
      </w:r>
      <w:r>
        <w:rPr>
          <w:b w:val="0"/>
          <w:bCs w:val="0"/>
        </w:rPr>
        <w:instrText xml:space="preserve"> REF _Ref21926 \h  \* MERGEFORMAT</w:instrText>
      </w:r>
      <w:r>
        <w:rPr>
          <w:rFonts w:hint="eastAsia"/>
          <w:b w:val="0"/>
          <w:bCs w:val="0"/>
          <w:sz w:val="24"/>
          <w:szCs w:val="24"/>
        </w:rPr>
        <w:fldChar w:fldCharType="separate"/>
      </w:r>
      <w:r>
        <w:rPr>
          <w:rFonts w:ascii="Times New Roman" w:hAnsi="Times New Roman" w:eastAsia="宋体"/>
          <w:b w:val="0"/>
          <w:bCs w:val="0"/>
          <w:sz w:val="24"/>
          <w:szCs w:val="24"/>
        </w:rPr>
        <w:t>图21</w:t>
      </w:r>
      <w:r>
        <w:rPr>
          <w:rFonts w:hint="eastAsia"/>
          <w:b w:val="0"/>
          <w:bCs w:val="0"/>
          <w:sz w:val="24"/>
          <w:szCs w:val="24"/>
        </w:rPr>
        <w:fldChar w:fldCharType="end"/>
      </w:r>
      <w:r>
        <w:rPr>
          <w:rFonts w:hint="eastAsia"/>
          <w:sz w:val="24"/>
        </w:rPr>
        <w:t>。</w:t>
      </w:r>
    </w:p>
    <w:p>
      <w:pPr>
        <w:pStyle w:val="10"/>
        <w:wordWrap w:val="0"/>
        <w:rPr>
          <w:rFonts w:eastAsia="宋体"/>
        </w:rPr>
      </w:pPr>
      <w:bookmarkStart w:id="817" w:name="_Ref20679"/>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47</w:t>
      </w:r>
      <w:r>
        <w:rPr>
          <w:rFonts w:ascii="Times New Roman" w:hAnsi="Times New Roman" w:eastAsia="宋体"/>
          <w:b/>
          <w:bCs/>
        </w:rPr>
        <w:fldChar w:fldCharType="end"/>
      </w:r>
      <w:bookmarkEnd w:id="817"/>
      <w:r>
        <w:rPr>
          <w:rFonts w:hint="eastAsia" w:ascii="Times New Roman" w:hAnsi="Times New Roman" w:eastAsia="宋体"/>
          <w:b/>
          <w:bCs/>
        </w:rPr>
        <w:t xml:space="preserve"> </w:t>
      </w:r>
      <w:r>
        <w:rPr>
          <w:rFonts w:ascii="Times New Roman" w:hAnsi="Times New Roman" w:eastAsia="宋体"/>
          <w:b/>
          <w:bCs/>
        </w:rPr>
        <w:t>220kV单回线路抬升至11.5m处的工频电场强度及工频磁感应强度预测结果（2×JL3/G1A-400/35型导线）</w:t>
      </w:r>
    </w:p>
    <w:tbl>
      <w:tblPr>
        <w:tblStyle w:val="37"/>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0"/>
        <w:gridCol w:w="1486"/>
        <w:gridCol w:w="1486"/>
        <w:gridCol w:w="1488"/>
        <w:gridCol w:w="1486"/>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trPr>
        <w:tc>
          <w:tcPr>
            <w:tcW w:w="678" w:type="pct"/>
            <w:vMerge w:val="restar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距线路中心的距离(m)</w:t>
            </w:r>
          </w:p>
        </w:tc>
        <w:tc>
          <w:tcPr>
            <w:tcW w:w="854" w:type="pct"/>
            <w:vMerge w:val="restar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距边导线距离(m)</w:t>
            </w:r>
          </w:p>
        </w:tc>
        <w:tc>
          <w:tcPr>
            <w:tcW w:w="1709"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工频电场强度（kV/m）</w:t>
            </w:r>
          </w:p>
        </w:tc>
        <w:tc>
          <w:tcPr>
            <w:tcW w:w="1757"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工频磁感应强度（μT）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blHeader/>
        </w:trPr>
        <w:tc>
          <w:tcPr>
            <w:tcW w:w="678" w:type="pct"/>
            <w:vMerge w:val="continue"/>
            <w:shd w:val="clear" w:color="auto" w:fill="auto"/>
            <w:vAlign w:val="center"/>
          </w:tcPr>
          <w:p>
            <w:pPr>
              <w:widowControl/>
              <w:jc w:val="center"/>
              <w:rPr>
                <w:color w:val="000000" w:themeColor="text1"/>
                <w:kern w:val="0"/>
                <w:szCs w:val="21"/>
                <w14:textFill>
                  <w14:solidFill>
                    <w14:schemeClr w14:val="tx1"/>
                  </w14:solidFill>
                </w14:textFill>
              </w:rPr>
            </w:pPr>
          </w:p>
        </w:tc>
        <w:tc>
          <w:tcPr>
            <w:tcW w:w="854" w:type="pct"/>
            <w:vMerge w:val="continue"/>
            <w:shd w:val="clear" w:color="auto" w:fill="auto"/>
            <w:vAlign w:val="center"/>
          </w:tcPr>
          <w:p>
            <w:pPr>
              <w:widowControl/>
              <w:jc w:val="center"/>
              <w:rPr>
                <w:color w:val="000000" w:themeColor="text1"/>
                <w:kern w:val="0"/>
                <w:szCs w:val="21"/>
                <w14:textFill>
                  <w14:solidFill>
                    <w14:schemeClr w14:val="tx1"/>
                  </w14:solidFill>
                </w14:textFill>
              </w:rPr>
            </w:pPr>
          </w:p>
        </w:tc>
        <w:tc>
          <w:tcPr>
            <w:tcW w:w="1709"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导线对地11.5m</w:t>
            </w:r>
          </w:p>
        </w:tc>
        <w:tc>
          <w:tcPr>
            <w:tcW w:w="1757"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导线对地11.5m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678" w:type="pct"/>
            <w:vMerge w:val="continue"/>
            <w:vAlign w:val="center"/>
          </w:tcPr>
          <w:p>
            <w:pPr>
              <w:widowControl/>
              <w:jc w:val="center"/>
              <w:rPr>
                <w:color w:val="000000" w:themeColor="text1"/>
                <w:kern w:val="0"/>
                <w:szCs w:val="21"/>
                <w14:textFill>
                  <w14:solidFill>
                    <w14:schemeClr w14:val="tx1"/>
                  </w14:solidFill>
                </w14:textFill>
              </w:rPr>
            </w:pPr>
          </w:p>
        </w:tc>
        <w:tc>
          <w:tcPr>
            <w:tcW w:w="854" w:type="pct"/>
            <w:vMerge w:val="continue"/>
            <w:vAlign w:val="center"/>
          </w:tcPr>
          <w:p>
            <w:pPr>
              <w:widowControl/>
              <w:jc w:val="center"/>
              <w:rPr>
                <w:color w:val="000000" w:themeColor="text1"/>
                <w:kern w:val="0"/>
                <w:szCs w:val="21"/>
                <w14:textFill>
                  <w14:solidFill>
                    <w14:schemeClr w14:val="tx1"/>
                  </w14:solidFill>
                </w14:textFill>
              </w:rPr>
            </w:pPr>
          </w:p>
        </w:tc>
        <w:tc>
          <w:tcPr>
            <w:tcW w:w="854" w:type="pct"/>
            <w:shd w:val="clear" w:color="auto" w:fill="auto"/>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距地面1.5m处</w:t>
            </w:r>
          </w:p>
        </w:tc>
        <w:tc>
          <w:tcPr>
            <w:tcW w:w="855" w:type="pct"/>
            <w:shd w:val="clear" w:color="auto" w:fill="auto"/>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距地面4.5m处</w:t>
            </w:r>
          </w:p>
        </w:tc>
        <w:tc>
          <w:tcPr>
            <w:tcW w:w="854" w:type="pct"/>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距地面1.5m处</w:t>
            </w:r>
          </w:p>
        </w:tc>
        <w:tc>
          <w:tcPr>
            <w:tcW w:w="903" w:type="pct"/>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距地面4.5m处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rPr>
            </w:pPr>
            <w:r>
              <w:rPr>
                <w:color w:val="000000"/>
                <w:kern w:val="0"/>
                <w:szCs w:val="21"/>
                <w:lang w:bidi="ar"/>
              </w:rPr>
              <w:t>0.0</w:t>
            </w:r>
          </w:p>
        </w:tc>
        <w:tc>
          <w:tcPr>
            <w:tcW w:w="854" w:type="pct"/>
            <w:vMerge w:val="restar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边导线内</w:t>
            </w:r>
          </w:p>
        </w:tc>
        <w:tc>
          <w:tcPr>
            <w:tcW w:w="1490" w:type="dxa"/>
            <w:shd w:val="clear" w:color="auto" w:fill="auto"/>
            <w:vAlign w:val="bottom"/>
          </w:tcPr>
          <w:p>
            <w:pPr>
              <w:widowControl/>
              <w:jc w:val="center"/>
              <w:textAlignment w:val="bottom"/>
              <w:rPr>
                <w:color w:val="000000"/>
                <w:kern w:val="0"/>
                <w:szCs w:val="21"/>
              </w:rPr>
            </w:pPr>
            <w:r>
              <w:rPr>
                <w:color w:val="000000"/>
                <w:kern w:val="0"/>
                <w:szCs w:val="21"/>
                <w:lang w:bidi="ar"/>
              </w:rPr>
              <w:t>1.71</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3.26</w:t>
            </w:r>
          </w:p>
        </w:tc>
        <w:tc>
          <w:tcPr>
            <w:tcW w:w="1456" w:type="dxa"/>
            <w:vAlign w:val="bottom"/>
          </w:tcPr>
          <w:p>
            <w:pPr>
              <w:widowControl/>
              <w:jc w:val="center"/>
              <w:textAlignment w:val="bottom"/>
              <w:rPr>
                <w:b/>
                <w:bCs/>
                <w:color w:val="000000"/>
                <w:kern w:val="0"/>
                <w:szCs w:val="21"/>
              </w:rPr>
            </w:pPr>
            <w:r>
              <w:rPr>
                <w:b/>
                <w:bCs/>
                <w:color w:val="000000"/>
                <w:kern w:val="0"/>
                <w:szCs w:val="21"/>
                <w:lang w:bidi="ar"/>
              </w:rPr>
              <w:t>28.69</w:t>
            </w:r>
          </w:p>
        </w:tc>
        <w:tc>
          <w:tcPr>
            <w:tcW w:w="1540" w:type="dxa"/>
            <w:vAlign w:val="bottom"/>
          </w:tcPr>
          <w:p>
            <w:pPr>
              <w:widowControl/>
              <w:jc w:val="center"/>
              <w:textAlignment w:val="bottom"/>
              <w:rPr>
                <w:b/>
                <w:bCs/>
                <w:szCs w:val="21"/>
              </w:rPr>
            </w:pPr>
            <w:r>
              <w:rPr>
                <w:b/>
                <w:bCs/>
                <w:color w:val="000000"/>
                <w:kern w:val="0"/>
                <w:szCs w:val="21"/>
                <w:lang w:bidi="ar"/>
              </w:rPr>
              <w:t>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1.0</w:t>
            </w:r>
          </w:p>
        </w:tc>
        <w:tc>
          <w:tcPr>
            <w:tcW w:w="854" w:type="pct"/>
            <w:vMerge w:val="continue"/>
            <w:shd w:val="clear" w:color="auto" w:fill="auto"/>
            <w:vAlign w:val="center"/>
          </w:tcPr>
          <w:p>
            <w:pPr>
              <w:jc w:val="center"/>
              <w:rPr>
                <w:color w:val="000000" w:themeColor="text1"/>
                <w:kern w:val="0"/>
                <w:szCs w:val="21"/>
                <w14:textFill>
                  <w14:solidFill>
                    <w14:schemeClr w14:val="tx1"/>
                  </w14:solidFill>
                </w14:textFill>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1.72</w:t>
            </w:r>
          </w:p>
        </w:tc>
        <w:tc>
          <w:tcPr>
            <w:tcW w:w="1492" w:type="dxa"/>
            <w:shd w:val="clear" w:color="auto" w:fill="auto"/>
            <w:vAlign w:val="bottom"/>
          </w:tcPr>
          <w:p>
            <w:pPr>
              <w:widowControl/>
              <w:jc w:val="center"/>
              <w:textAlignment w:val="bottom"/>
              <w:rPr>
                <w:szCs w:val="21"/>
              </w:rPr>
            </w:pPr>
            <w:r>
              <w:rPr>
                <w:color w:val="000000"/>
                <w:kern w:val="0"/>
                <w:szCs w:val="21"/>
                <w:lang w:bidi="ar"/>
              </w:rPr>
              <w:t>3.25</w:t>
            </w:r>
          </w:p>
        </w:tc>
        <w:tc>
          <w:tcPr>
            <w:tcW w:w="1456" w:type="dxa"/>
            <w:vAlign w:val="bottom"/>
          </w:tcPr>
          <w:p>
            <w:pPr>
              <w:widowControl/>
              <w:jc w:val="center"/>
              <w:textAlignment w:val="bottom"/>
              <w:rPr>
                <w:color w:val="000000"/>
                <w:szCs w:val="21"/>
              </w:rPr>
            </w:pPr>
            <w:r>
              <w:rPr>
                <w:color w:val="000000"/>
                <w:kern w:val="0"/>
                <w:szCs w:val="21"/>
                <w:lang w:bidi="ar"/>
              </w:rPr>
              <w:t>28.64</w:t>
            </w:r>
          </w:p>
        </w:tc>
        <w:tc>
          <w:tcPr>
            <w:tcW w:w="1540" w:type="dxa"/>
            <w:vAlign w:val="bottom"/>
          </w:tcPr>
          <w:p>
            <w:pPr>
              <w:widowControl/>
              <w:jc w:val="center"/>
              <w:textAlignment w:val="bottom"/>
              <w:rPr>
                <w:szCs w:val="21"/>
              </w:rPr>
            </w:pPr>
            <w:r>
              <w:rPr>
                <w:color w:val="000000"/>
                <w:kern w:val="0"/>
                <w:szCs w:val="21"/>
                <w:lang w:bidi="ar"/>
              </w:rPr>
              <w:t>44.84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2.0</w:t>
            </w:r>
          </w:p>
        </w:tc>
        <w:tc>
          <w:tcPr>
            <w:tcW w:w="854" w:type="pct"/>
            <w:vMerge w:val="continue"/>
            <w:shd w:val="clear" w:color="auto" w:fill="auto"/>
            <w:vAlign w:val="center"/>
          </w:tcPr>
          <w:p>
            <w:pPr>
              <w:jc w:val="center"/>
              <w:rPr>
                <w:color w:val="000000" w:themeColor="text1"/>
                <w:kern w:val="0"/>
                <w:szCs w:val="21"/>
                <w14:textFill>
                  <w14:solidFill>
                    <w14:schemeClr w14:val="tx1"/>
                  </w14:solidFill>
                </w14:textFill>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1.76</w:t>
            </w:r>
          </w:p>
        </w:tc>
        <w:tc>
          <w:tcPr>
            <w:tcW w:w="1492" w:type="dxa"/>
            <w:shd w:val="clear" w:color="auto" w:fill="auto"/>
            <w:vAlign w:val="bottom"/>
          </w:tcPr>
          <w:p>
            <w:pPr>
              <w:widowControl/>
              <w:jc w:val="center"/>
              <w:textAlignment w:val="bottom"/>
              <w:rPr>
                <w:szCs w:val="21"/>
              </w:rPr>
            </w:pPr>
            <w:r>
              <w:rPr>
                <w:color w:val="000000"/>
                <w:kern w:val="0"/>
                <w:szCs w:val="21"/>
                <w:lang w:bidi="ar"/>
              </w:rPr>
              <w:t>3.24</w:t>
            </w:r>
          </w:p>
        </w:tc>
        <w:tc>
          <w:tcPr>
            <w:tcW w:w="1456" w:type="dxa"/>
            <w:vAlign w:val="bottom"/>
          </w:tcPr>
          <w:p>
            <w:pPr>
              <w:widowControl/>
              <w:jc w:val="center"/>
              <w:textAlignment w:val="bottom"/>
              <w:rPr>
                <w:color w:val="000000"/>
                <w:szCs w:val="21"/>
              </w:rPr>
            </w:pPr>
            <w:r>
              <w:rPr>
                <w:color w:val="000000"/>
                <w:kern w:val="0"/>
                <w:szCs w:val="21"/>
                <w:lang w:bidi="ar"/>
              </w:rPr>
              <w:t>28.46</w:t>
            </w:r>
          </w:p>
        </w:tc>
        <w:tc>
          <w:tcPr>
            <w:tcW w:w="1540" w:type="dxa"/>
            <w:vAlign w:val="bottom"/>
          </w:tcPr>
          <w:p>
            <w:pPr>
              <w:widowControl/>
              <w:jc w:val="center"/>
              <w:textAlignment w:val="bottom"/>
              <w:rPr>
                <w:szCs w:val="21"/>
              </w:rPr>
            </w:pPr>
            <w:r>
              <w:rPr>
                <w:color w:val="000000"/>
                <w:kern w:val="0"/>
                <w:szCs w:val="21"/>
                <w:lang w:bidi="ar"/>
              </w:rPr>
              <w:t>44.61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3.0</w:t>
            </w:r>
          </w:p>
        </w:tc>
        <w:tc>
          <w:tcPr>
            <w:tcW w:w="854" w:type="pct"/>
            <w:vMerge w:val="continue"/>
            <w:shd w:val="clear" w:color="auto" w:fill="auto"/>
            <w:vAlign w:val="center"/>
          </w:tcPr>
          <w:p>
            <w:pPr>
              <w:jc w:val="center"/>
              <w:rPr>
                <w:color w:val="000000" w:themeColor="text1"/>
                <w:kern w:val="0"/>
                <w:szCs w:val="21"/>
                <w14:textFill>
                  <w14:solidFill>
                    <w14:schemeClr w14:val="tx1"/>
                  </w14:solidFill>
                </w14:textFill>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1.84</w:t>
            </w:r>
          </w:p>
        </w:tc>
        <w:tc>
          <w:tcPr>
            <w:tcW w:w="1492" w:type="dxa"/>
            <w:shd w:val="clear" w:color="auto" w:fill="auto"/>
            <w:vAlign w:val="bottom"/>
          </w:tcPr>
          <w:p>
            <w:pPr>
              <w:widowControl/>
              <w:jc w:val="center"/>
              <w:textAlignment w:val="bottom"/>
              <w:rPr>
                <w:szCs w:val="21"/>
              </w:rPr>
            </w:pPr>
            <w:r>
              <w:rPr>
                <w:color w:val="000000"/>
                <w:kern w:val="0"/>
                <w:szCs w:val="21"/>
                <w:lang w:bidi="ar"/>
              </w:rPr>
              <w:t>3.24</w:t>
            </w:r>
          </w:p>
        </w:tc>
        <w:tc>
          <w:tcPr>
            <w:tcW w:w="1456" w:type="dxa"/>
            <w:vAlign w:val="bottom"/>
          </w:tcPr>
          <w:p>
            <w:pPr>
              <w:widowControl/>
              <w:jc w:val="center"/>
              <w:textAlignment w:val="bottom"/>
              <w:rPr>
                <w:color w:val="000000"/>
                <w:szCs w:val="21"/>
              </w:rPr>
            </w:pPr>
            <w:r>
              <w:rPr>
                <w:color w:val="000000"/>
                <w:kern w:val="0"/>
                <w:szCs w:val="21"/>
                <w:lang w:bidi="ar"/>
              </w:rPr>
              <w:t>28.16</w:t>
            </w:r>
          </w:p>
        </w:tc>
        <w:tc>
          <w:tcPr>
            <w:tcW w:w="1540" w:type="dxa"/>
            <w:vAlign w:val="bottom"/>
          </w:tcPr>
          <w:p>
            <w:pPr>
              <w:widowControl/>
              <w:jc w:val="center"/>
              <w:textAlignment w:val="bottom"/>
              <w:rPr>
                <w:szCs w:val="21"/>
              </w:rPr>
            </w:pPr>
            <w:r>
              <w:rPr>
                <w:color w:val="000000"/>
                <w:kern w:val="0"/>
                <w:szCs w:val="21"/>
                <w:lang w:bidi="ar"/>
              </w:rPr>
              <w:t>44.24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4.0</w:t>
            </w:r>
          </w:p>
        </w:tc>
        <w:tc>
          <w:tcPr>
            <w:tcW w:w="854" w:type="pct"/>
            <w:vMerge w:val="continue"/>
            <w:shd w:val="clear" w:color="auto" w:fill="auto"/>
            <w:vAlign w:val="center"/>
          </w:tcPr>
          <w:p>
            <w:pPr>
              <w:jc w:val="center"/>
              <w:rPr>
                <w:szCs w:val="21"/>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1.97</w:t>
            </w:r>
          </w:p>
        </w:tc>
        <w:tc>
          <w:tcPr>
            <w:tcW w:w="1492" w:type="dxa"/>
            <w:shd w:val="clear" w:color="auto" w:fill="auto"/>
            <w:vAlign w:val="bottom"/>
          </w:tcPr>
          <w:p>
            <w:pPr>
              <w:widowControl/>
              <w:jc w:val="center"/>
              <w:textAlignment w:val="bottom"/>
              <w:rPr>
                <w:szCs w:val="21"/>
              </w:rPr>
            </w:pPr>
            <w:r>
              <w:rPr>
                <w:color w:val="000000"/>
                <w:kern w:val="0"/>
                <w:szCs w:val="21"/>
                <w:lang w:bidi="ar"/>
              </w:rPr>
              <w:t>3.29</w:t>
            </w:r>
          </w:p>
        </w:tc>
        <w:tc>
          <w:tcPr>
            <w:tcW w:w="1456" w:type="dxa"/>
            <w:vAlign w:val="bottom"/>
          </w:tcPr>
          <w:p>
            <w:pPr>
              <w:widowControl/>
              <w:jc w:val="center"/>
              <w:textAlignment w:val="bottom"/>
              <w:rPr>
                <w:color w:val="000000"/>
                <w:szCs w:val="21"/>
              </w:rPr>
            </w:pPr>
            <w:r>
              <w:rPr>
                <w:color w:val="000000"/>
                <w:kern w:val="0"/>
                <w:szCs w:val="21"/>
                <w:lang w:bidi="ar"/>
              </w:rPr>
              <w:t>27.72</w:t>
            </w:r>
          </w:p>
        </w:tc>
        <w:tc>
          <w:tcPr>
            <w:tcW w:w="1540" w:type="dxa"/>
            <w:vAlign w:val="bottom"/>
          </w:tcPr>
          <w:p>
            <w:pPr>
              <w:widowControl/>
              <w:jc w:val="center"/>
              <w:textAlignment w:val="bottom"/>
              <w:rPr>
                <w:szCs w:val="21"/>
              </w:rPr>
            </w:pPr>
            <w:r>
              <w:rPr>
                <w:color w:val="000000"/>
                <w:kern w:val="0"/>
                <w:szCs w:val="21"/>
                <w:lang w:bidi="ar"/>
              </w:rPr>
              <w:t>43.73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5.0</w:t>
            </w:r>
          </w:p>
        </w:tc>
        <w:tc>
          <w:tcPr>
            <w:tcW w:w="854" w:type="pct"/>
            <w:vMerge w:val="continue"/>
            <w:shd w:val="clear" w:color="auto" w:fill="auto"/>
            <w:vAlign w:val="center"/>
          </w:tcPr>
          <w:p>
            <w:pPr>
              <w:jc w:val="center"/>
              <w:rPr>
                <w:szCs w:val="21"/>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2.15</w:t>
            </w:r>
          </w:p>
        </w:tc>
        <w:tc>
          <w:tcPr>
            <w:tcW w:w="1492" w:type="dxa"/>
            <w:shd w:val="clear" w:color="auto" w:fill="auto"/>
            <w:vAlign w:val="bottom"/>
          </w:tcPr>
          <w:p>
            <w:pPr>
              <w:widowControl/>
              <w:jc w:val="center"/>
              <w:textAlignment w:val="bottom"/>
              <w:rPr>
                <w:szCs w:val="21"/>
              </w:rPr>
            </w:pPr>
            <w:r>
              <w:rPr>
                <w:color w:val="000000"/>
                <w:kern w:val="0"/>
                <w:szCs w:val="21"/>
                <w:lang w:bidi="ar"/>
              </w:rPr>
              <w:t>3.38</w:t>
            </w:r>
          </w:p>
        </w:tc>
        <w:tc>
          <w:tcPr>
            <w:tcW w:w="1456" w:type="dxa"/>
            <w:vAlign w:val="bottom"/>
          </w:tcPr>
          <w:p>
            <w:pPr>
              <w:widowControl/>
              <w:jc w:val="center"/>
              <w:textAlignment w:val="bottom"/>
              <w:rPr>
                <w:color w:val="000000"/>
                <w:szCs w:val="21"/>
              </w:rPr>
            </w:pPr>
            <w:r>
              <w:rPr>
                <w:color w:val="000000"/>
                <w:kern w:val="0"/>
                <w:szCs w:val="21"/>
                <w:lang w:bidi="ar"/>
              </w:rPr>
              <w:t>27.14</w:t>
            </w:r>
          </w:p>
        </w:tc>
        <w:tc>
          <w:tcPr>
            <w:tcW w:w="1540" w:type="dxa"/>
            <w:vAlign w:val="bottom"/>
          </w:tcPr>
          <w:p>
            <w:pPr>
              <w:widowControl/>
              <w:jc w:val="center"/>
              <w:textAlignment w:val="bottom"/>
              <w:rPr>
                <w:szCs w:val="21"/>
              </w:rPr>
            </w:pPr>
            <w:r>
              <w:rPr>
                <w:color w:val="000000"/>
                <w:kern w:val="0"/>
                <w:szCs w:val="21"/>
                <w:lang w:bidi="ar"/>
              </w:rPr>
              <w:t>43.01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6.0</w:t>
            </w:r>
          </w:p>
        </w:tc>
        <w:tc>
          <w:tcPr>
            <w:tcW w:w="854" w:type="pct"/>
            <w:vMerge w:val="continue"/>
            <w:shd w:val="clear" w:color="auto" w:fill="auto"/>
            <w:vAlign w:val="center"/>
          </w:tcPr>
          <w:p>
            <w:pPr>
              <w:jc w:val="center"/>
              <w:rPr>
                <w:szCs w:val="21"/>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2.35</w:t>
            </w:r>
          </w:p>
        </w:tc>
        <w:tc>
          <w:tcPr>
            <w:tcW w:w="1492" w:type="dxa"/>
            <w:shd w:val="clear" w:color="auto" w:fill="auto"/>
            <w:vAlign w:val="bottom"/>
          </w:tcPr>
          <w:p>
            <w:pPr>
              <w:widowControl/>
              <w:jc w:val="center"/>
              <w:textAlignment w:val="bottom"/>
              <w:rPr>
                <w:szCs w:val="21"/>
              </w:rPr>
            </w:pPr>
            <w:r>
              <w:rPr>
                <w:color w:val="000000"/>
                <w:kern w:val="0"/>
                <w:szCs w:val="21"/>
                <w:lang w:bidi="ar"/>
              </w:rPr>
              <w:t>3.5</w:t>
            </w:r>
          </w:p>
        </w:tc>
        <w:tc>
          <w:tcPr>
            <w:tcW w:w="1456" w:type="dxa"/>
            <w:vAlign w:val="bottom"/>
          </w:tcPr>
          <w:p>
            <w:pPr>
              <w:widowControl/>
              <w:jc w:val="center"/>
              <w:textAlignment w:val="bottom"/>
              <w:rPr>
                <w:color w:val="000000"/>
                <w:szCs w:val="21"/>
              </w:rPr>
            </w:pPr>
            <w:r>
              <w:rPr>
                <w:color w:val="000000"/>
                <w:kern w:val="0"/>
                <w:szCs w:val="21"/>
                <w:lang w:bidi="ar"/>
              </w:rPr>
              <w:t>26.39</w:t>
            </w:r>
          </w:p>
        </w:tc>
        <w:tc>
          <w:tcPr>
            <w:tcW w:w="1540" w:type="dxa"/>
            <w:vAlign w:val="bottom"/>
          </w:tcPr>
          <w:p>
            <w:pPr>
              <w:widowControl/>
              <w:jc w:val="center"/>
              <w:textAlignment w:val="bottom"/>
              <w:rPr>
                <w:szCs w:val="21"/>
              </w:rPr>
            </w:pPr>
            <w:r>
              <w:rPr>
                <w:color w:val="000000"/>
                <w:kern w:val="0"/>
                <w:szCs w:val="21"/>
                <w:lang w:bidi="ar"/>
              </w:rPr>
              <w:t>41.99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7.0</w:t>
            </w:r>
          </w:p>
        </w:tc>
        <w:tc>
          <w:tcPr>
            <w:tcW w:w="854" w:type="pct"/>
            <w:vMerge w:val="continue"/>
            <w:shd w:val="clear" w:color="auto" w:fill="auto"/>
            <w:vAlign w:val="center"/>
          </w:tcPr>
          <w:p>
            <w:pPr>
              <w:jc w:val="center"/>
              <w:rPr>
                <w:szCs w:val="21"/>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2.54</w:t>
            </w:r>
          </w:p>
        </w:tc>
        <w:tc>
          <w:tcPr>
            <w:tcW w:w="1492" w:type="dxa"/>
            <w:shd w:val="clear" w:color="auto" w:fill="auto"/>
            <w:vAlign w:val="bottom"/>
          </w:tcPr>
          <w:p>
            <w:pPr>
              <w:widowControl/>
              <w:jc w:val="center"/>
              <w:textAlignment w:val="bottom"/>
              <w:rPr>
                <w:szCs w:val="21"/>
              </w:rPr>
            </w:pPr>
            <w:r>
              <w:rPr>
                <w:color w:val="000000"/>
                <w:kern w:val="0"/>
                <w:szCs w:val="21"/>
                <w:lang w:bidi="ar"/>
              </w:rPr>
              <w:t>3.61</w:t>
            </w:r>
          </w:p>
        </w:tc>
        <w:tc>
          <w:tcPr>
            <w:tcW w:w="1456" w:type="dxa"/>
            <w:vAlign w:val="bottom"/>
          </w:tcPr>
          <w:p>
            <w:pPr>
              <w:widowControl/>
              <w:jc w:val="center"/>
              <w:textAlignment w:val="bottom"/>
              <w:rPr>
                <w:color w:val="000000"/>
                <w:szCs w:val="21"/>
              </w:rPr>
            </w:pPr>
            <w:r>
              <w:rPr>
                <w:color w:val="000000"/>
                <w:kern w:val="0"/>
                <w:szCs w:val="21"/>
                <w:lang w:bidi="ar"/>
              </w:rPr>
              <w:t>25.47</w:t>
            </w:r>
          </w:p>
        </w:tc>
        <w:tc>
          <w:tcPr>
            <w:tcW w:w="1540" w:type="dxa"/>
            <w:vAlign w:val="bottom"/>
          </w:tcPr>
          <w:p>
            <w:pPr>
              <w:widowControl/>
              <w:jc w:val="center"/>
              <w:textAlignment w:val="bottom"/>
              <w:rPr>
                <w:szCs w:val="21"/>
              </w:rPr>
            </w:pPr>
            <w:r>
              <w:rPr>
                <w:color w:val="000000"/>
                <w:kern w:val="0"/>
                <w:szCs w:val="21"/>
                <w:lang w:bidi="ar"/>
              </w:rPr>
              <w:t>40.53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8.0</w:t>
            </w:r>
          </w:p>
        </w:tc>
        <w:tc>
          <w:tcPr>
            <w:tcW w:w="854" w:type="pct"/>
            <w:vMerge w:val="continue"/>
            <w:shd w:val="clear" w:color="auto" w:fill="auto"/>
            <w:vAlign w:val="center"/>
          </w:tcPr>
          <w:p>
            <w:pPr>
              <w:jc w:val="center"/>
              <w:rPr>
                <w:rStyle w:val="119"/>
                <w:rFonts w:hint="default" w:ascii="Times New Roman" w:hAnsi="Times New Roman" w:cs="Times New Roman"/>
                <w:color w:val="000000" w:themeColor="text1"/>
                <w:lang w:bidi="ar"/>
                <w14:textFill>
                  <w14:solidFill>
                    <w14:schemeClr w14:val="tx1"/>
                  </w14:solidFill>
                </w14:textFill>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2.69</w:t>
            </w:r>
          </w:p>
        </w:tc>
        <w:tc>
          <w:tcPr>
            <w:tcW w:w="1492" w:type="dxa"/>
            <w:shd w:val="clear" w:color="auto" w:fill="auto"/>
            <w:vAlign w:val="bottom"/>
          </w:tcPr>
          <w:p>
            <w:pPr>
              <w:widowControl/>
              <w:jc w:val="center"/>
              <w:textAlignment w:val="bottom"/>
              <w:rPr>
                <w:szCs w:val="21"/>
              </w:rPr>
            </w:pPr>
            <w:r>
              <w:rPr>
                <w:color w:val="000000"/>
                <w:kern w:val="0"/>
                <w:szCs w:val="21"/>
                <w:lang w:bidi="ar"/>
              </w:rPr>
              <w:t>3.67</w:t>
            </w:r>
          </w:p>
        </w:tc>
        <w:tc>
          <w:tcPr>
            <w:tcW w:w="1456" w:type="dxa"/>
            <w:vAlign w:val="bottom"/>
          </w:tcPr>
          <w:p>
            <w:pPr>
              <w:widowControl/>
              <w:jc w:val="center"/>
              <w:textAlignment w:val="bottom"/>
              <w:rPr>
                <w:color w:val="000000"/>
                <w:szCs w:val="21"/>
              </w:rPr>
            </w:pPr>
            <w:r>
              <w:rPr>
                <w:color w:val="000000"/>
                <w:kern w:val="0"/>
                <w:szCs w:val="21"/>
                <w:lang w:bidi="ar"/>
              </w:rPr>
              <w:t>24.39</w:t>
            </w:r>
          </w:p>
        </w:tc>
        <w:tc>
          <w:tcPr>
            <w:tcW w:w="1540" w:type="dxa"/>
            <w:vAlign w:val="bottom"/>
          </w:tcPr>
          <w:p>
            <w:pPr>
              <w:widowControl/>
              <w:jc w:val="center"/>
              <w:textAlignment w:val="bottom"/>
              <w:rPr>
                <w:szCs w:val="21"/>
              </w:rPr>
            </w:pPr>
            <w:r>
              <w:rPr>
                <w:color w:val="000000"/>
                <w:kern w:val="0"/>
                <w:szCs w:val="21"/>
                <w:lang w:bidi="ar"/>
              </w:rPr>
              <w:t>38.57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8.3</w:t>
            </w:r>
          </w:p>
        </w:tc>
        <w:tc>
          <w:tcPr>
            <w:tcW w:w="854" w:type="pc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边导线下</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2.72</w:t>
            </w:r>
          </w:p>
        </w:tc>
        <w:tc>
          <w:tcPr>
            <w:tcW w:w="1492" w:type="dxa"/>
            <w:shd w:val="clear" w:color="auto" w:fill="auto"/>
            <w:vAlign w:val="bottom"/>
          </w:tcPr>
          <w:p>
            <w:pPr>
              <w:widowControl/>
              <w:jc w:val="center"/>
              <w:textAlignment w:val="bottom"/>
              <w:rPr>
                <w:szCs w:val="21"/>
              </w:rPr>
            </w:pPr>
            <w:r>
              <w:rPr>
                <w:b/>
                <w:bCs/>
                <w:color w:val="000000"/>
                <w:kern w:val="0"/>
                <w:szCs w:val="21"/>
                <w:lang w:bidi="ar"/>
              </w:rPr>
              <w:t>3.67</w:t>
            </w:r>
          </w:p>
        </w:tc>
        <w:tc>
          <w:tcPr>
            <w:tcW w:w="1456" w:type="dxa"/>
            <w:vAlign w:val="bottom"/>
          </w:tcPr>
          <w:p>
            <w:pPr>
              <w:widowControl/>
              <w:jc w:val="center"/>
              <w:textAlignment w:val="bottom"/>
              <w:rPr>
                <w:color w:val="000000"/>
                <w:szCs w:val="21"/>
              </w:rPr>
            </w:pPr>
            <w:r>
              <w:rPr>
                <w:color w:val="000000"/>
                <w:kern w:val="0"/>
                <w:szCs w:val="21"/>
                <w:lang w:bidi="ar"/>
              </w:rPr>
              <w:t>24.04</w:t>
            </w:r>
          </w:p>
        </w:tc>
        <w:tc>
          <w:tcPr>
            <w:tcW w:w="1540" w:type="dxa"/>
            <w:vAlign w:val="bottom"/>
          </w:tcPr>
          <w:p>
            <w:pPr>
              <w:widowControl/>
              <w:jc w:val="center"/>
              <w:textAlignment w:val="bottom"/>
              <w:rPr>
                <w:szCs w:val="21"/>
              </w:rPr>
            </w:pPr>
            <w:r>
              <w:rPr>
                <w:color w:val="000000"/>
                <w:kern w:val="0"/>
                <w:szCs w:val="21"/>
                <w:lang w:bidi="ar"/>
              </w:rPr>
              <w:t>37.88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9.3</w:t>
            </w:r>
          </w:p>
        </w:tc>
        <w:tc>
          <w:tcPr>
            <w:tcW w:w="854" w:type="pct"/>
            <w:shd w:val="clear" w:color="auto" w:fill="auto"/>
            <w:vAlign w:val="center"/>
          </w:tcPr>
          <w:p>
            <w:pPr>
              <w:widowControl/>
              <w:jc w:val="center"/>
              <w:textAlignment w:val="center"/>
              <w:rPr>
                <w:color w:val="000000" w:themeColor="text1"/>
                <w:kern w:val="0"/>
                <w:szCs w:val="21"/>
                <w14:textFill>
                  <w14:solidFill>
                    <w14:schemeClr w14:val="tx1"/>
                  </w14:solidFill>
                </w14:textFill>
              </w:rPr>
            </w:pPr>
            <w:r>
              <w:rPr>
                <w:color w:val="000000"/>
                <w:kern w:val="0"/>
                <w:szCs w:val="21"/>
                <w:lang w:bidi="ar"/>
              </w:rPr>
              <w:t>1</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2.8</w:t>
            </w:r>
          </w:p>
        </w:tc>
        <w:tc>
          <w:tcPr>
            <w:tcW w:w="1492" w:type="dxa"/>
            <w:shd w:val="clear" w:color="auto" w:fill="auto"/>
            <w:vAlign w:val="bottom"/>
          </w:tcPr>
          <w:p>
            <w:pPr>
              <w:widowControl/>
              <w:jc w:val="center"/>
              <w:textAlignment w:val="bottom"/>
              <w:rPr>
                <w:szCs w:val="21"/>
              </w:rPr>
            </w:pPr>
            <w:r>
              <w:rPr>
                <w:color w:val="000000"/>
                <w:kern w:val="0"/>
                <w:szCs w:val="21"/>
                <w:lang w:bidi="ar"/>
              </w:rPr>
              <w:t>3.64</w:t>
            </w:r>
          </w:p>
        </w:tc>
        <w:tc>
          <w:tcPr>
            <w:tcW w:w="1456" w:type="dxa"/>
            <w:vAlign w:val="bottom"/>
          </w:tcPr>
          <w:p>
            <w:pPr>
              <w:widowControl/>
              <w:jc w:val="center"/>
              <w:textAlignment w:val="bottom"/>
              <w:rPr>
                <w:color w:val="000000"/>
                <w:szCs w:val="21"/>
              </w:rPr>
            </w:pPr>
            <w:r>
              <w:rPr>
                <w:color w:val="000000"/>
                <w:kern w:val="0"/>
                <w:szCs w:val="21"/>
                <w:lang w:bidi="ar"/>
              </w:rPr>
              <w:t>22.77</w:t>
            </w:r>
          </w:p>
        </w:tc>
        <w:tc>
          <w:tcPr>
            <w:tcW w:w="1540" w:type="dxa"/>
            <w:vAlign w:val="bottom"/>
          </w:tcPr>
          <w:p>
            <w:pPr>
              <w:widowControl/>
              <w:jc w:val="center"/>
              <w:textAlignment w:val="bottom"/>
              <w:rPr>
                <w:szCs w:val="21"/>
              </w:rPr>
            </w:pPr>
            <w:r>
              <w:rPr>
                <w:color w:val="000000"/>
                <w:kern w:val="0"/>
                <w:szCs w:val="21"/>
                <w:lang w:bidi="ar"/>
              </w:rPr>
              <w:t>35.29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b/>
                <w:color w:val="000000"/>
                <w:szCs w:val="21"/>
              </w:rPr>
            </w:pPr>
            <w:r>
              <w:rPr>
                <w:color w:val="000000"/>
                <w:kern w:val="0"/>
                <w:szCs w:val="21"/>
                <w:lang w:bidi="ar"/>
              </w:rPr>
              <w:t>10.3</w:t>
            </w:r>
          </w:p>
        </w:tc>
        <w:tc>
          <w:tcPr>
            <w:tcW w:w="854" w:type="pct"/>
            <w:shd w:val="clear" w:color="auto" w:fill="auto"/>
            <w:vAlign w:val="center"/>
          </w:tcPr>
          <w:p>
            <w:pPr>
              <w:widowControl/>
              <w:jc w:val="center"/>
              <w:textAlignment w:val="center"/>
              <w:rPr>
                <w:b/>
                <w:color w:val="000000" w:themeColor="text1"/>
                <w:szCs w:val="21"/>
                <w14:textFill>
                  <w14:solidFill>
                    <w14:schemeClr w14:val="tx1"/>
                  </w14:solidFill>
                </w14:textFill>
              </w:rPr>
            </w:pPr>
            <w:r>
              <w:rPr>
                <w:color w:val="000000"/>
                <w:kern w:val="0"/>
                <w:szCs w:val="21"/>
                <w:lang w:bidi="ar"/>
              </w:rPr>
              <w:t>2</w:t>
            </w:r>
          </w:p>
        </w:tc>
        <w:tc>
          <w:tcPr>
            <w:tcW w:w="1490" w:type="dxa"/>
            <w:shd w:val="clear" w:color="auto" w:fill="auto"/>
            <w:vAlign w:val="bottom"/>
          </w:tcPr>
          <w:p>
            <w:pPr>
              <w:widowControl/>
              <w:jc w:val="center"/>
              <w:textAlignment w:val="bottom"/>
              <w:rPr>
                <w:b/>
                <w:color w:val="000000"/>
                <w:szCs w:val="21"/>
              </w:rPr>
            </w:pPr>
            <w:r>
              <w:rPr>
                <w:b/>
                <w:bCs/>
                <w:color w:val="000000"/>
                <w:kern w:val="0"/>
                <w:szCs w:val="21"/>
                <w:lang w:bidi="ar"/>
              </w:rPr>
              <w:t>2.82</w:t>
            </w:r>
          </w:p>
        </w:tc>
        <w:tc>
          <w:tcPr>
            <w:tcW w:w="1492" w:type="dxa"/>
            <w:shd w:val="clear" w:color="auto" w:fill="auto"/>
            <w:vAlign w:val="bottom"/>
          </w:tcPr>
          <w:p>
            <w:pPr>
              <w:widowControl/>
              <w:jc w:val="center"/>
              <w:textAlignment w:val="bottom"/>
              <w:rPr>
                <w:b/>
                <w:color w:val="000000"/>
                <w:szCs w:val="21"/>
              </w:rPr>
            </w:pPr>
            <w:r>
              <w:rPr>
                <w:color w:val="000000"/>
                <w:kern w:val="0"/>
                <w:szCs w:val="21"/>
                <w:lang w:bidi="ar"/>
              </w:rPr>
              <w:t>3.53</w:t>
            </w:r>
          </w:p>
        </w:tc>
        <w:tc>
          <w:tcPr>
            <w:tcW w:w="1456" w:type="dxa"/>
            <w:vAlign w:val="bottom"/>
          </w:tcPr>
          <w:p>
            <w:pPr>
              <w:widowControl/>
              <w:jc w:val="center"/>
              <w:textAlignment w:val="bottom"/>
              <w:rPr>
                <w:b/>
                <w:color w:val="000000"/>
                <w:szCs w:val="21"/>
              </w:rPr>
            </w:pPr>
            <w:r>
              <w:rPr>
                <w:color w:val="000000"/>
                <w:kern w:val="0"/>
                <w:szCs w:val="21"/>
                <w:lang w:bidi="ar"/>
              </w:rPr>
              <w:t>21.39</w:t>
            </w:r>
          </w:p>
        </w:tc>
        <w:tc>
          <w:tcPr>
            <w:tcW w:w="1540" w:type="dxa"/>
            <w:vAlign w:val="bottom"/>
          </w:tcPr>
          <w:p>
            <w:pPr>
              <w:widowControl/>
              <w:jc w:val="center"/>
              <w:textAlignment w:val="bottom"/>
              <w:rPr>
                <w:b/>
                <w:color w:val="000000"/>
                <w:szCs w:val="21"/>
              </w:rPr>
            </w:pPr>
            <w:r>
              <w:rPr>
                <w:color w:val="000000"/>
                <w:kern w:val="0"/>
                <w:szCs w:val="21"/>
                <w:lang w:bidi="ar"/>
              </w:rPr>
              <w:t>32.37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11.3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3</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2.77</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3.34</w:t>
            </w:r>
          </w:p>
        </w:tc>
        <w:tc>
          <w:tcPr>
            <w:tcW w:w="1456" w:type="dxa"/>
            <w:vAlign w:val="bottom"/>
          </w:tcPr>
          <w:p>
            <w:pPr>
              <w:widowControl/>
              <w:jc w:val="center"/>
              <w:textAlignment w:val="bottom"/>
              <w:rPr>
                <w:color w:val="000000"/>
                <w:szCs w:val="21"/>
              </w:rPr>
            </w:pPr>
            <w:r>
              <w:rPr>
                <w:color w:val="000000"/>
                <w:kern w:val="0"/>
                <w:szCs w:val="21"/>
                <w:lang w:bidi="ar"/>
              </w:rPr>
              <w:t>19.96</w:t>
            </w:r>
          </w:p>
        </w:tc>
        <w:tc>
          <w:tcPr>
            <w:tcW w:w="1540" w:type="dxa"/>
            <w:vAlign w:val="bottom"/>
          </w:tcPr>
          <w:p>
            <w:pPr>
              <w:widowControl/>
              <w:jc w:val="center"/>
              <w:textAlignment w:val="bottom"/>
              <w:rPr>
                <w:color w:val="000000"/>
                <w:szCs w:val="21"/>
              </w:rPr>
            </w:pPr>
            <w:r>
              <w:rPr>
                <w:color w:val="000000"/>
                <w:kern w:val="0"/>
                <w:szCs w:val="21"/>
                <w:lang w:bidi="ar"/>
              </w:rPr>
              <w:t>29.31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12.3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4</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2.67</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3.11</w:t>
            </w:r>
          </w:p>
        </w:tc>
        <w:tc>
          <w:tcPr>
            <w:tcW w:w="1456" w:type="dxa"/>
            <w:vAlign w:val="bottom"/>
          </w:tcPr>
          <w:p>
            <w:pPr>
              <w:widowControl/>
              <w:jc w:val="center"/>
              <w:textAlignment w:val="bottom"/>
              <w:rPr>
                <w:color w:val="000000"/>
                <w:szCs w:val="21"/>
              </w:rPr>
            </w:pPr>
            <w:r>
              <w:rPr>
                <w:color w:val="000000"/>
                <w:kern w:val="0"/>
                <w:szCs w:val="21"/>
                <w:lang w:bidi="ar"/>
              </w:rPr>
              <w:t>18.51</w:t>
            </w:r>
          </w:p>
        </w:tc>
        <w:tc>
          <w:tcPr>
            <w:tcW w:w="1540" w:type="dxa"/>
            <w:vAlign w:val="bottom"/>
          </w:tcPr>
          <w:p>
            <w:pPr>
              <w:widowControl/>
              <w:jc w:val="center"/>
              <w:textAlignment w:val="bottom"/>
              <w:rPr>
                <w:color w:val="000000"/>
                <w:szCs w:val="21"/>
              </w:rPr>
            </w:pPr>
            <w:r>
              <w:rPr>
                <w:color w:val="000000"/>
                <w:kern w:val="0"/>
                <w:szCs w:val="21"/>
                <w:lang w:bidi="ar"/>
              </w:rPr>
              <w:t>26.3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13.3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5</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2.54</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2.86</w:t>
            </w:r>
          </w:p>
        </w:tc>
        <w:tc>
          <w:tcPr>
            <w:tcW w:w="1456" w:type="dxa"/>
            <w:vAlign w:val="bottom"/>
          </w:tcPr>
          <w:p>
            <w:pPr>
              <w:widowControl/>
              <w:jc w:val="center"/>
              <w:textAlignment w:val="bottom"/>
              <w:rPr>
                <w:color w:val="000000"/>
                <w:szCs w:val="21"/>
              </w:rPr>
            </w:pPr>
            <w:r>
              <w:rPr>
                <w:color w:val="000000"/>
                <w:kern w:val="0"/>
                <w:szCs w:val="21"/>
                <w:lang w:bidi="ar"/>
              </w:rPr>
              <w:t>17.09</w:t>
            </w:r>
          </w:p>
        </w:tc>
        <w:tc>
          <w:tcPr>
            <w:tcW w:w="1540" w:type="dxa"/>
            <w:vAlign w:val="bottom"/>
          </w:tcPr>
          <w:p>
            <w:pPr>
              <w:widowControl/>
              <w:jc w:val="center"/>
              <w:textAlignment w:val="bottom"/>
              <w:rPr>
                <w:color w:val="000000"/>
                <w:szCs w:val="21"/>
              </w:rPr>
            </w:pPr>
            <w:r>
              <w:rPr>
                <w:color w:val="000000"/>
                <w:kern w:val="0"/>
                <w:szCs w:val="21"/>
                <w:lang w:bidi="ar"/>
              </w:rPr>
              <w:t>23.48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14.3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6</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2.37</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2.61</w:t>
            </w:r>
          </w:p>
        </w:tc>
        <w:tc>
          <w:tcPr>
            <w:tcW w:w="1456" w:type="dxa"/>
            <w:vAlign w:val="bottom"/>
          </w:tcPr>
          <w:p>
            <w:pPr>
              <w:widowControl/>
              <w:jc w:val="center"/>
              <w:textAlignment w:val="bottom"/>
              <w:rPr>
                <w:color w:val="000000"/>
                <w:szCs w:val="21"/>
              </w:rPr>
            </w:pPr>
            <w:r>
              <w:rPr>
                <w:color w:val="000000"/>
                <w:kern w:val="0"/>
                <w:szCs w:val="21"/>
                <w:lang w:bidi="ar"/>
              </w:rPr>
              <w:t>15.73</w:t>
            </w:r>
          </w:p>
        </w:tc>
        <w:tc>
          <w:tcPr>
            <w:tcW w:w="1540" w:type="dxa"/>
            <w:vAlign w:val="bottom"/>
          </w:tcPr>
          <w:p>
            <w:pPr>
              <w:widowControl/>
              <w:jc w:val="center"/>
              <w:textAlignment w:val="bottom"/>
              <w:rPr>
                <w:color w:val="000000"/>
                <w:szCs w:val="21"/>
              </w:rPr>
            </w:pPr>
            <w:r>
              <w:rPr>
                <w:color w:val="000000"/>
                <w:kern w:val="0"/>
                <w:szCs w:val="21"/>
                <w:lang w:bidi="ar"/>
              </w:rPr>
              <w:t>20.92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15.3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szCs w:val="21"/>
              </w:rPr>
              <w:t>7</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2.2</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2.36</w:t>
            </w:r>
          </w:p>
        </w:tc>
        <w:tc>
          <w:tcPr>
            <w:tcW w:w="1456" w:type="dxa"/>
            <w:vAlign w:val="bottom"/>
          </w:tcPr>
          <w:p>
            <w:pPr>
              <w:widowControl/>
              <w:jc w:val="center"/>
              <w:textAlignment w:val="bottom"/>
              <w:rPr>
                <w:color w:val="000000"/>
                <w:szCs w:val="21"/>
              </w:rPr>
            </w:pPr>
            <w:r>
              <w:rPr>
                <w:color w:val="000000"/>
                <w:kern w:val="0"/>
                <w:szCs w:val="21"/>
                <w:lang w:bidi="ar"/>
              </w:rPr>
              <w:t>14.44</w:t>
            </w:r>
          </w:p>
        </w:tc>
        <w:tc>
          <w:tcPr>
            <w:tcW w:w="1540" w:type="dxa"/>
            <w:vAlign w:val="bottom"/>
          </w:tcPr>
          <w:p>
            <w:pPr>
              <w:widowControl/>
              <w:jc w:val="center"/>
              <w:textAlignment w:val="bottom"/>
              <w:rPr>
                <w:color w:val="000000"/>
                <w:szCs w:val="21"/>
              </w:rPr>
            </w:pPr>
            <w:r>
              <w:rPr>
                <w:color w:val="000000"/>
                <w:kern w:val="0"/>
                <w:szCs w:val="21"/>
                <w:lang w:bidi="ar"/>
              </w:rPr>
              <w:t>18.65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16.3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8</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2.02</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2.13</w:t>
            </w:r>
          </w:p>
        </w:tc>
        <w:tc>
          <w:tcPr>
            <w:tcW w:w="1456" w:type="dxa"/>
            <w:vAlign w:val="bottom"/>
          </w:tcPr>
          <w:p>
            <w:pPr>
              <w:widowControl/>
              <w:jc w:val="center"/>
              <w:textAlignment w:val="bottom"/>
              <w:rPr>
                <w:color w:val="000000"/>
                <w:szCs w:val="21"/>
              </w:rPr>
            </w:pPr>
            <w:r>
              <w:rPr>
                <w:color w:val="000000"/>
                <w:kern w:val="0"/>
                <w:szCs w:val="21"/>
                <w:lang w:bidi="ar"/>
              </w:rPr>
              <w:t>13.25</w:t>
            </w:r>
          </w:p>
        </w:tc>
        <w:tc>
          <w:tcPr>
            <w:tcW w:w="1540" w:type="dxa"/>
            <w:vAlign w:val="bottom"/>
          </w:tcPr>
          <w:p>
            <w:pPr>
              <w:widowControl/>
              <w:jc w:val="center"/>
              <w:textAlignment w:val="bottom"/>
              <w:rPr>
                <w:color w:val="000000"/>
                <w:szCs w:val="21"/>
              </w:rPr>
            </w:pPr>
            <w:r>
              <w:rPr>
                <w:color w:val="000000"/>
                <w:kern w:val="0"/>
                <w:szCs w:val="21"/>
                <w:lang w:bidi="ar"/>
              </w:rPr>
              <w:t>16.65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17.3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9</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1.85</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1.91</w:t>
            </w:r>
          </w:p>
        </w:tc>
        <w:tc>
          <w:tcPr>
            <w:tcW w:w="1456" w:type="dxa"/>
            <w:vAlign w:val="bottom"/>
          </w:tcPr>
          <w:p>
            <w:pPr>
              <w:widowControl/>
              <w:jc w:val="center"/>
              <w:textAlignment w:val="bottom"/>
              <w:rPr>
                <w:color w:val="000000"/>
                <w:szCs w:val="21"/>
              </w:rPr>
            </w:pPr>
            <w:r>
              <w:rPr>
                <w:color w:val="000000"/>
                <w:kern w:val="0"/>
                <w:szCs w:val="21"/>
                <w:lang w:bidi="ar"/>
              </w:rPr>
              <w:t>12.15</w:t>
            </w:r>
          </w:p>
        </w:tc>
        <w:tc>
          <w:tcPr>
            <w:tcW w:w="1540" w:type="dxa"/>
            <w:vAlign w:val="bottom"/>
          </w:tcPr>
          <w:p>
            <w:pPr>
              <w:widowControl/>
              <w:jc w:val="center"/>
              <w:textAlignment w:val="bottom"/>
              <w:rPr>
                <w:color w:val="000000"/>
                <w:szCs w:val="21"/>
              </w:rPr>
            </w:pPr>
            <w:r>
              <w:rPr>
                <w:color w:val="000000"/>
                <w:kern w:val="0"/>
                <w:szCs w:val="21"/>
                <w:lang w:bidi="ar"/>
              </w:rPr>
              <w:t>14.91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18.3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10</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1.68</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1.72</w:t>
            </w:r>
          </w:p>
        </w:tc>
        <w:tc>
          <w:tcPr>
            <w:tcW w:w="1456" w:type="dxa"/>
            <w:vAlign w:val="bottom"/>
          </w:tcPr>
          <w:p>
            <w:pPr>
              <w:widowControl/>
              <w:jc w:val="center"/>
              <w:textAlignment w:val="bottom"/>
              <w:rPr>
                <w:color w:val="000000"/>
                <w:szCs w:val="21"/>
              </w:rPr>
            </w:pPr>
            <w:r>
              <w:rPr>
                <w:color w:val="000000"/>
                <w:kern w:val="0"/>
                <w:szCs w:val="21"/>
                <w:lang w:bidi="ar"/>
              </w:rPr>
              <w:t>11.16</w:t>
            </w:r>
          </w:p>
        </w:tc>
        <w:tc>
          <w:tcPr>
            <w:tcW w:w="1540" w:type="dxa"/>
            <w:vAlign w:val="bottom"/>
          </w:tcPr>
          <w:p>
            <w:pPr>
              <w:widowControl/>
              <w:jc w:val="center"/>
              <w:textAlignment w:val="bottom"/>
              <w:rPr>
                <w:color w:val="000000"/>
                <w:szCs w:val="21"/>
              </w:rPr>
            </w:pPr>
            <w:r>
              <w:rPr>
                <w:color w:val="000000"/>
                <w:kern w:val="0"/>
                <w:szCs w:val="21"/>
                <w:lang w:bidi="ar"/>
              </w:rPr>
              <w:t>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19.3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11</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1.53</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1.55</w:t>
            </w:r>
          </w:p>
        </w:tc>
        <w:tc>
          <w:tcPr>
            <w:tcW w:w="1456" w:type="dxa"/>
            <w:vAlign w:val="bottom"/>
          </w:tcPr>
          <w:p>
            <w:pPr>
              <w:widowControl/>
              <w:jc w:val="center"/>
              <w:textAlignment w:val="bottom"/>
              <w:rPr>
                <w:color w:val="000000"/>
                <w:szCs w:val="21"/>
              </w:rPr>
            </w:pPr>
            <w:r>
              <w:rPr>
                <w:color w:val="000000"/>
                <w:kern w:val="0"/>
                <w:szCs w:val="21"/>
                <w:lang w:bidi="ar"/>
              </w:rPr>
              <w:t>10.25</w:t>
            </w:r>
          </w:p>
        </w:tc>
        <w:tc>
          <w:tcPr>
            <w:tcW w:w="1540" w:type="dxa"/>
            <w:vAlign w:val="bottom"/>
          </w:tcPr>
          <w:p>
            <w:pPr>
              <w:widowControl/>
              <w:jc w:val="center"/>
              <w:textAlignment w:val="bottom"/>
              <w:rPr>
                <w:color w:val="000000"/>
                <w:szCs w:val="21"/>
              </w:rPr>
            </w:pPr>
            <w:r>
              <w:rPr>
                <w:color w:val="000000"/>
                <w:kern w:val="0"/>
                <w:szCs w:val="21"/>
                <w:lang w:bidi="ar"/>
              </w:rPr>
              <w:t>12.09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20.3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12</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1.38</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1.39</w:t>
            </w:r>
          </w:p>
        </w:tc>
        <w:tc>
          <w:tcPr>
            <w:tcW w:w="1456" w:type="dxa"/>
            <w:vAlign w:val="bottom"/>
          </w:tcPr>
          <w:p>
            <w:pPr>
              <w:widowControl/>
              <w:jc w:val="center"/>
              <w:textAlignment w:val="bottom"/>
              <w:rPr>
                <w:color w:val="000000"/>
                <w:szCs w:val="21"/>
              </w:rPr>
            </w:pPr>
            <w:r>
              <w:rPr>
                <w:color w:val="000000"/>
                <w:kern w:val="0"/>
                <w:szCs w:val="21"/>
                <w:lang w:bidi="ar"/>
              </w:rPr>
              <w:t>9.44</w:t>
            </w:r>
          </w:p>
        </w:tc>
        <w:tc>
          <w:tcPr>
            <w:tcW w:w="1540" w:type="dxa"/>
            <w:vAlign w:val="bottom"/>
          </w:tcPr>
          <w:p>
            <w:pPr>
              <w:widowControl/>
              <w:jc w:val="center"/>
              <w:textAlignment w:val="bottom"/>
              <w:rPr>
                <w:color w:val="000000"/>
                <w:szCs w:val="21"/>
              </w:rPr>
            </w:pPr>
            <w:r>
              <w:rPr>
                <w:color w:val="000000"/>
                <w:kern w:val="0"/>
                <w:szCs w:val="21"/>
                <w:lang w:bidi="ar"/>
              </w:rPr>
              <w:t>10.95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21.3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13</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1.25</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1.25</w:t>
            </w:r>
          </w:p>
        </w:tc>
        <w:tc>
          <w:tcPr>
            <w:tcW w:w="1456" w:type="dxa"/>
            <w:vAlign w:val="bottom"/>
          </w:tcPr>
          <w:p>
            <w:pPr>
              <w:widowControl/>
              <w:jc w:val="center"/>
              <w:textAlignment w:val="bottom"/>
              <w:rPr>
                <w:color w:val="000000"/>
                <w:szCs w:val="21"/>
              </w:rPr>
            </w:pPr>
            <w:r>
              <w:rPr>
                <w:color w:val="000000"/>
                <w:kern w:val="0"/>
                <w:szCs w:val="21"/>
                <w:lang w:bidi="ar"/>
              </w:rPr>
              <w:t>8.7</w:t>
            </w:r>
          </w:p>
        </w:tc>
        <w:tc>
          <w:tcPr>
            <w:tcW w:w="1540" w:type="dxa"/>
            <w:vAlign w:val="bottom"/>
          </w:tcPr>
          <w:p>
            <w:pPr>
              <w:widowControl/>
              <w:jc w:val="center"/>
              <w:textAlignment w:val="bottom"/>
              <w:rPr>
                <w:color w:val="000000"/>
                <w:szCs w:val="21"/>
              </w:rPr>
            </w:pPr>
            <w:r>
              <w:rPr>
                <w:color w:val="000000"/>
                <w:kern w:val="0"/>
                <w:szCs w:val="21"/>
                <w:lang w:bidi="ar"/>
              </w:rPr>
              <w:t>9.95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22.3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14</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1.14</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1.13</w:t>
            </w:r>
          </w:p>
        </w:tc>
        <w:tc>
          <w:tcPr>
            <w:tcW w:w="1456" w:type="dxa"/>
            <w:vAlign w:val="bottom"/>
          </w:tcPr>
          <w:p>
            <w:pPr>
              <w:widowControl/>
              <w:jc w:val="center"/>
              <w:textAlignment w:val="bottom"/>
              <w:rPr>
                <w:color w:val="000000"/>
                <w:szCs w:val="21"/>
              </w:rPr>
            </w:pPr>
            <w:r>
              <w:rPr>
                <w:color w:val="000000"/>
                <w:kern w:val="0"/>
                <w:szCs w:val="21"/>
                <w:lang w:bidi="ar"/>
              </w:rPr>
              <w:t>8.04</w:t>
            </w:r>
          </w:p>
        </w:tc>
        <w:tc>
          <w:tcPr>
            <w:tcW w:w="1540" w:type="dxa"/>
            <w:vAlign w:val="bottom"/>
          </w:tcPr>
          <w:p>
            <w:pPr>
              <w:widowControl/>
              <w:jc w:val="center"/>
              <w:textAlignment w:val="bottom"/>
              <w:rPr>
                <w:color w:val="000000"/>
                <w:szCs w:val="21"/>
              </w:rPr>
            </w:pPr>
            <w:r>
              <w:rPr>
                <w:color w:val="000000"/>
                <w:kern w:val="0"/>
                <w:szCs w:val="21"/>
                <w:lang w:bidi="ar"/>
              </w:rPr>
              <w:t>9.08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23.3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15</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1.03</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1.02</w:t>
            </w:r>
          </w:p>
        </w:tc>
        <w:tc>
          <w:tcPr>
            <w:tcW w:w="1456" w:type="dxa"/>
            <w:vAlign w:val="bottom"/>
          </w:tcPr>
          <w:p>
            <w:pPr>
              <w:widowControl/>
              <w:jc w:val="center"/>
              <w:textAlignment w:val="bottom"/>
              <w:rPr>
                <w:color w:val="000000"/>
                <w:szCs w:val="21"/>
              </w:rPr>
            </w:pPr>
            <w:r>
              <w:rPr>
                <w:color w:val="000000"/>
                <w:kern w:val="0"/>
                <w:szCs w:val="21"/>
                <w:lang w:bidi="ar"/>
              </w:rPr>
              <w:t>7.44</w:t>
            </w:r>
          </w:p>
        </w:tc>
        <w:tc>
          <w:tcPr>
            <w:tcW w:w="1540" w:type="dxa"/>
            <w:vAlign w:val="bottom"/>
          </w:tcPr>
          <w:p>
            <w:pPr>
              <w:widowControl/>
              <w:jc w:val="center"/>
              <w:textAlignment w:val="bottom"/>
              <w:rPr>
                <w:color w:val="000000"/>
                <w:szCs w:val="21"/>
              </w:rPr>
            </w:pPr>
            <w:r>
              <w:rPr>
                <w:color w:val="000000"/>
                <w:kern w:val="0"/>
                <w:szCs w:val="21"/>
                <w:lang w:bidi="ar"/>
              </w:rPr>
              <w:t>8.31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24.3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16</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0.93</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0.92</w:t>
            </w:r>
          </w:p>
        </w:tc>
        <w:tc>
          <w:tcPr>
            <w:tcW w:w="1456" w:type="dxa"/>
            <w:vAlign w:val="bottom"/>
          </w:tcPr>
          <w:p>
            <w:pPr>
              <w:widowControl/>
              <w:jc w:val="center"/>
              <w:textAlignment w:val="bottom"/>
              <w:rPr>
                <w:color w:val="000000"/>
                <w:szCs w:val="21"/>
              </w:rPr>
            </w:pPr>
            <w:r>
              <w:rPr>
                <w:color w:val="000000"/>
                <w:kern w:val="0"/>
                <w:szCs w:val="21"/>
                <w:lang w:bidi="ar"/>
              </w:rPr>
              <w:t>6.9</w:t>
            </w:r>
          </w:p>
        </w:tc>
        <w:tc>
          <w:tcPr>
            <w:tcW w:w="1540" w:type="dxa"/>
            <w:vAlign w:val="bottom"/>
          </w:tcPr>
          <w:p>
            <w:pPr>
              <w:widowControl/>
              <w:jc w:val="center"/>
              <w:textAlignment w:val="bottom"/>
              <w:rPr>
                <w:color w:val="000000"/>
                <w:szCs w:val="21"/>
              </w:rPr>
            </w:pPr>
            <w:r>
              <w:rPr>
                <w:color w:val="000000"/>
                <w:kern w:val="0"/>
                <w:szCs w:val="21"/>
                <w:lang w:bidi="ar"/>
              </w:rPr>
              <w:t>7.64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25.3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17</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0.85</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0.84</w:t>
            </w:r>
          </w:p>
        </w:tc>
        <w:tc>
          <w:tcPr>
            <w:tcW w:w="1456" w:type="dxa"/>
            <w:vAlign w:val="bottom"/>
          </w:tcPr>
          <w:p>
            <w:pPr>
              <w:widowControl/>
              <w:jc w:val="center"/>
              <w:textAlignment w:val="bottom"/>
              <w:rPr>
                <w:color w:val="000000"/>
                <w:szCs w:val="21"/>
              </w:rPr>
            </w:pPr>
            <w:r>
              <w:rPr>
                <w:color w:val="000000"/>
                <w:kern w:val="0"/>
                <w:szCs w:val="21"/>
                <w:lang w:bidi="ar"/>
              </w:rPr>
              <w:t>6.42</w:t>
            </w:r>
          </w:p>
        </w:tc>
        <w:tc>
          <w:tcPr>
            <w:tcW w:w="1540" w:type="dxa"/>
            <w:vAlign w:val="bottom"/>
          </w:tcPr>
          <w:p>
            <w:pPr>
              <w:widowControl/>
              <w:jc w:val="center"/>
              <w:textAlignment w:val="bottom"/>
              <w:rPr>
                <w:color w:val="000000"/>
                <w:szCs w:val="21"/>
              </w:rPr>
            </w:pPr>
            <w:r>
              <w:rPr>
                <w:color w:val="000000"/>
                <w:kern w:val="0"/>
                <w:szCs w:val="21"/>
                <w:lang w:bidi="ar"/>
              </w:rPr>
              <w:t>7.04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26.3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18</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0.77</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0.76</w:t>
            </w:r>
          </w:p>
        </w:tc>
        <w:tc>
          <w:tcPr>
            <w:tcW w:w="1456" w:type="dxa"/>
            <w:vAlign w:val="bottom"/>
          </w:tcPr>
          <w:p>
            <w:pPr>
              <w:widowControl/>
              <w:jc w:val="center"/>
              <w:textAlignment w:val="bottom"/>
              <w:rPr>
                <w:color w:val="000000"/>
                <w:szCs w:val="21"/>
              </w:rPr>
            </w:pPr>
            <w:r>
              <w:rPr>
                <w:color w:val="000000"/>
                <w:kern w:val="0"/>
                <w:szCs w:val="21"/>
                <w:lang w:bidi="ar"/>
              </w:rPr>
              <w:t>5.98</w:t>
            </w:r>
          </w:p>
        </w:tc>
        <w:tc>
          <w:tcPr>
            <w:tcW w:w="1540" w:type="dxa"/>
            <w:vAlign w:val="bottom"/>
          </w:tcPr>
          <w:p>
            <w:pPr>
              <w:widowControl/>
              <w:jc w:val="center"/>
              <w:textAlignment w:val="bottom"/>
              <w:rPr>
                <w:color w:val="000000"/>
                <w:szCs w:val="21"/>
              </w:rPr>
            </w:pPr>
            <w:r>
              <w:rPr>
                <w:color w:val="000000"/>
                <w:kern w:val="0"/>
                <w:szCs w:val="21"/>
                <w:lang w:bidi="ar"/>
              </w:rPr>
              <w:t>6.51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27.3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19</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0.7</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0.69</w:t>
            </w:r>
          </w:p>
        </w:tc>
        <w:tc>
          <w:tcPr>
            <w:tcW w:w="1456" w:type="dxa"/>
            <w:vAlign w:val="bottom"/>
          </w:tcPr>
          <w:p>
            <w:pPr>
              <w:widowControl/>
              <w:jc w:val="center"/>
              <w:textAlignment w:val="bottom"/>
              <w:rPr>
                <w:color w:val="000000"/>
                <w:szCs w:val="21"/>
              </w:rPr>
            </w:pPr>
            <w:r>
              <w:rPr>
                <w:color w:val="000000"/>
                <w:kern w:val="0"/>
                <w:szCs w:val="21"/>
                <w:lang w:bidi="ar"/>
              </w:rPr>
              <w:t>5.58</w:t>
            </w:r>
          </w:p>
        </w:tc>
        <w:tc>
          <w:tcPr>
            <w:tcW w:w="1540" w:type="dxa"/>
            <w:vAlign w:val="bottom"/>
          </w:tcPr>
          <w:p>
            <w:pPr>
              <w:widowControl/>
              <w:jc w:val="center"/>
              <w:textAlignment w:val="bottom"/>
              <w:rPr>
                <w:color w:val="000000"/>
                <w:szCs w:val="21"/>
              </w:rPr>
            </w:pPr>
            <w:r>
              <w:rPr>
                <w:color w:val="000000"/>
                <w:kern w:val="0"/>
                <w:szCs w:val="21"/>
                <w:lang w:bidi="ar"/>
              </w:rPr>
              <w:t>6.03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28.3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20</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0.64</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0.63</w:t>
            </w:r>
          </w:p>
        </w:tc>
        <w:tc>
          <w:tcPr>
            <w:tcW w:w="1456" w:type="dxa"/>
            <w:vAlign w:val="bottom"/>
          </w:tcPr>
          <w:p>
            <w:pPr>
              <w:widowControl/>
              <w:jc w:val="center"/>
              <w:textAlignment w:val="bottom"/>
              <w:rPr>
                <w:color w:val="000000"/>
                <w:szCs w:val="21"/>
              </w:rPr>
            </w:pPr>
            <w:r>
              <w:rPr>
                <w:color w:val="000000"/>
                <w:kern w:val="0"/>
                <w:szCs w:val="21"/>
                <w:lang w:bidi="ar"/>
              </w:rPr>
              <w:t>5.22</w:t>
            </w:r>
          </w:p>
        </w:tc>
        <w:tc>
          <w:tcPr>
            <w:tcW w:w="1540" w:type="dxa"/>
            <w:vAlign w:val="bottom"/>
          </w:tcPr>
          <w:p>
            <w:pPr>
              <w:widowControl/>
              <w:jc w:val="center"/>
              <w:textAlignment w:val="bottom"/>
              <w:rPr>
                <w:color w:val="000000"/>
                <w:szCs w:val="21"/>
              </w:rPr>
            </w:pPr>
            <w:r>
              <w:rPr>
                <w:color w:val="000000"/>
                <w:kern w:val="0"/>
                <w:szCs w:val="21"/>
                <w:lang w:bidi="ar"/>
              </w:rPr>
              <w:t>5.61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29.3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21</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0.59</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0.58</w:t>
            </w:r>
          </w:p>
        </w:tc>
        <w:tc>
          <w:tcPr>
            <w:tcW w:w="1456" w:type="dxa"/>
            <w:vAlign w:val="bottom"/>
          </w:tcPr>
          <w:p>
            <w:pPr>
              <w:widowControl/>
              <w:jc w:val="center"/>
              <w:textAlignment w:val="bottom"/>
              <w:rPr>
                <w:color w:val="000000"/>
                <w:szCs w:val="21"/>
              </w:rPr>
            </w:pPr>
            <w:r>
              <w:rPr>
                <w:color w:val="000000"/>
                <w:kern w:val="0"/>
                <w:szCs w:val="21"/>
                <w:lang w:bidi="ar"/>
              </w:rPr>
              <w:t>4.89</w:t>
            </w:r>
          </w:p>
        </w:tc>
        <w:tc>
          <w:tcPr>
            <w:tcW w:w="1540" w:type="dxa"/>
            <w:vAlign w:val="bottom"/>
          </w:tcPr>
          <w:p>
            <w:pPr>
              <w:widowControl/>
              <w:jc w:val="center"/>
              <w:textAlignment w:val="bottom"/>
              <w:rPr>
                <w:color w:val="000000"/>
                <w:szCs w:val="21"/>
              </w:rPr>
            </w:pPr>
            <w:r>
              <w:rPr>
                <w:color w:val="000000"/>
                <w:kern w:val="0"/>
                <w:szCs w:val="21"/>
                <w:lang w:bidi="ar"/>
              </w:rPr>
              <w:t>5.23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30.3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22</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0.54</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0.53</w:t>
            </w:r>
          </w:p>
        </w:tc>
        <w:tc>
          <w:tcPr>
            <w:tcW w:w="1456" w:type="dxa"/>
            <w:vAlign w:val="bottom"/>
          </w:tcPr>
          <w:p>
            <w:pPr>
              <w:widowControl/>
              <w:jc w:val="center"/>
              <w:textAlignment w:val="bottom"/>
              <w:rPr>
                <w:color w:val="000000"/>
                <w:szCs w:val="21"/>
              </w:rPr>
            </w:pPr>
            <w:r>
              <w:rPr>
                <w:color w:val="000000"/>
                <w:kern w:val="0"/>
                <w:szCs w:val="21"/>
                <w:lang w:bidi="ar"/>
              </w:rPr>
              <w:t>4.59</w:t>
            </w:r>
          </w:p>
        </w:tc>
        <w:tc>
          <w:tcPr>
            <w:tcW w:w="1540" w:type="dxa"/>
            <w:vAlign w:val="bottom"/>
          </w:tcPr>
          <w:p>
            <w:pPr>
              <w:widowControl/>
              <w:jc w:val="center"/>
              <w:textAlignment w:val="bottom"/>
              <w:rPr>
                <w:color w:val="000000"/>
                <w:szCs w:val="21"/>
              </w:rPr>
            </w:pPr>
            <w:r>
              <w:rPr>
                <w:color w:val="000000"/>
                <w:kern w:val="0"/>
                <w:szCs w:val="21"/>
                <w:lang w:bidi="ar"/>
              </w:rPr>
              <w:t>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31.3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23</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0.49</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0.49</w:t>
            </w:r>
          </w:p>
        </w:tc>
        <w:tc>
          <w:tcPr>
            <w:tcW w:w="1456" w:type="dxa"/>
            <w:vAlign w:val="bottom"/>
          </w:tcPr>
          <w:p>
            <w:pPr>
              <w:widowControl/>
              <w:jc w:val="center"/>
              <w:textAlignment w:val="bottom"/>
              <w:rPr>
                <w:color w:val="000000"/>
                <w:szCs w:val="21"/>
              </w:rPr>
            </w:pPr>
            <w:r>
              <w:rPr>
                <w:color w:val="000000"/>
                <w:kern w:val="0"/>
                <w:szCs w:val="21"/>
                <w:lang w:bidi="ar"/>
              </w:rPr>
              <w:t>4.31</w:t>
            </w:r>
          </w:p>
        </w:tc>
        <w:tc>
          <w:tcPr>
            <w:tcW w:w="1540" w:type="dxa"/>
            <w:vAlign w:val="bottom"/>
          </w:tcPr>
          <w:p>
            <w:pPr>
              <w:widowControl/>
              <w:jc w:val="center"/>
              <w:textAlignment w:val="bottom"/>
              <w:rPr>
                <w:color w:val="000000"/>
                <w:szCs w:val="21"/>
              </w:rPr>
            </w:pPr>
            <w:r>
              <w:rPr>
                <w:color w:val="000000"/>
                <w:kern w:val="0"/>
                <w:szCs w:val="21"/>
                <w:lang w:bidi="ar"/>
              </w:rPr>
              <w:t>4.57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32.3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24</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0.45</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0.45</w:t>
            </w:r>
          </w:p>
        </w:tc>
        <w:tc>
          <w:tcPr>
            <w:tcW w:w="1456" w:type="dxa"/>
            <w:vAlign w:val="bottom"/>
          </w:tcPr>
          <w:p>
            <w:pPr>
              <w:widowControl/>
              <w:jc w:val="center"/>
              <w:textAlignment w:val="bottom"/>
              <w:rPr>
                <w:color w:val="000000"/>
                <w:szCs w:val="21"/>
              </w:rPr>
            </w:pPr>
            <w:r>
              <w:rPr>
                <w:color w:val="000000"/>
                <w:kern w:val="0"/>
                <w:szCs w:val="21"/>
                <w:lang w:bidi="ar"/>
              </w:rPr>
              <w:t>4.06</w:t>
            </w:r>
          </w:p>
        </w:tc>
        <w:tc>
          <w:tcPr>
            <w:tcW w:w="1540" w:type="dxa"/>
            <w:vAlign w:val="bottom"/>
          </w:tcPr>
          <w:p>
            <w:pPr>
              <w:widowControl/>
              <w:jc w:val="center"/>
              <w:textAlignment w:val="bottom"/>
              <w:rPr>
                <w:color w:val="000000"/>
                <w:szCs w:val="21"/>
              </w:rPr>
            </w:pPr>
            <w:r>
              <w:rPr>
                <w:color w:val="000000"/>
                <w:kern w:val="0"/>
                <w:szCs w:val="21"/>
                <w:lang w:bidi="ar"/>
              </w:rPr>
              <w:t>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33.3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25</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0.42</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0.41</w:t>
            </w:r>
          </w:p>
        </w:tc>
        <w:tc>
          <w:tcPr>
            <w:tcW w:w="1456" w:type="dxa"/>
            <w:vAlign w:val="bottom"/>
          </w:tcPr>
          <w:p>
            <w:pPr>
              <w:widowControl/>
              <w:jc w:val="center"/>
              <w:textAlignment w:val="bottom"/>
              <w:rPr>
                <w:color w:val="000000"/>
                <w:szCs w:val="21"/>
              </w:rPr>
            </w:pPr>
            <w:r>
              <w:rPr>
                <w:color w:val="000000"/>
                <w:kern w:val="0"/>
                <w:szCs w:val="21"/>
                <w:lang w:bidi="ar"/>
              </w:rPr>
              <w:t>3.83</w:t>
            </w:r>
          </w:p>
        </w:tc>
        <w:tc>
          <w:tcPr>
            <w:tcW w:w="1540" w:type="dxa"/>
            <w:vAlign w:val="bottom"/>
          </w:tcPr>
          <w:p>
            <w:pPr>
              <w:widowControl/>
              <w:jc w:val="center"/>
              <w:textAlignment w:val="bottom"/>
              <w:rPr>
                <w:color w:val="000000"/>
                <w:szCs w:val="21"/>
              </w:rPr>
            </w:pPr>
            <w:r>
              <w:rPr>
                <w:color w:val="000000"/>
                <w:kern w:val="0"/>
                <w:szCs w:val="21"/>
                <w:lang w:bidi="ar"/>
              </w:rPr>
              <w:t>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34.3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26</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0.39</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0.38</w:t>
            </w:r>
          </w:p>
        </w:tc>
        <w:tc>
          <w:tcPr>
            <w:tcW w:w="1456" w:type="dxa"/>
            <w:vAlign w:val="bottom"/>
          </w:tcPr>
          <w:p>
            <w:pPr>
              <w:widowControl/>
              <w:jc w:val="center"/>
              <w:textAlignment w:val="bottom"/>
              <w:rPr>
                <w:color w:val="000000"/>
                <w:kern w:val="0"/>
                <w:szCs w:val="21"/>
                <w:lang w:bidi="ar"/>
              </w:rPr>
            </w:pPr>
            <w:r>
              <w:rPr>
                <w:color w:val="000000"/>
                <w:kern w:val="0"/>
                <w:szCs w:val="21"/>
                <w:lang w:bidi="ar"/>
              </w:rPr>
              <w:t>3.62</w:t>
            </w:r>
          </w:p>
        </w:tc>
        <w:tc>
          <w:tcPr>
            <w:tcW w:w="1540" w:type="dxa"/>
            <w:vAlign w:val="bottom"/>
          </w:tcPr>
          <w:p>
            <w:pPr>
              <w:widowControl/>
              <w:jc w:val="center"/>
              <w:textAlignment w:val="bottom"/>
              <w:rPr>
                <w:color w:val="000000"/>
                <w:kern w:val="0"/>
                <w:szCs w:val="21"/>
                <w:lang w:bidi="ar"/>
              </w:rPr>
            </w:pPr>
            <w:r>
              <w:rPr>
                <w:color w:val="000000"/>
                <w:kern w:val="0"/>
                <w:szCs w:val="21"/>
                <w:lang w:bidi="ar"/>
              </w:rPr>
              <w:t>3.79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35.3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27</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0.36</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0.35</w:t>
            </w:r>
          </w:p>
        </w:tc>
        <w:tc>
          <w:tcPr>
            <w:tcW w:w="1456" w:type="dxa"/>
            <w:vAlign w:val="bottom"/>
          </w:tcPr>
          <w:p>
            <w:pPr>
              <w:widowControl/>
              <w:jc w:val="center"/>
              <w:textAlignment w:val="bottom"/>
              <w:rPr>
                <w:color w:val="000000"/>
                <w:kern w:val="0"/>
                <w:szCs w:val="21"/>
                <w:lang w:bidi="ar"/>
              </w:rPr>
            </w:pPr>
            <w:r>
              <w:rPr>
                <w:color w:val="000000"/>
                <w:kern w:val="0"/>
                <w:szCs w:val="21"/>
                <w:lang w:bidi="ar"/>
              </w:rPr>
              <w:t>3.42</w:t>
            </w:r>
          </w:p>
        </w:tc>
        <w:tc>
          <w:tcPr>
            <w:tcW w:w="1540" w:type="dxa"/>
            <w:vAlign w:val="bottom"/>
          </w:tcPr>
          <w:p>
            <w:pPr>
              <w:widowControl/>
              <w:jc w:val="center"/>
              <w:textAlignment w:val="bottom"/>
              <w:rPr>
                <w:color w:val="000000"/>
                <w:kern w:val="0"/>
                <w:szCs w:val="21"/>
                <w:lang w:bidi="ar"/>
              </w:rPr>
            </w:pPr>
            <w:r>
              <w:rPr>
                <w:color w:val="000000"/>
                <w:kern w:val="0"/>
                <w:szCs w:val="21"/>
                <w:lang w:bidi="ar"/>
              </w:rPr>
              <w:t>3.58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36.3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28</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0.33</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0.33</w:t>
            </w:r>
          </w:p>
        </w:tc>
        <w:tc>
          <w:tcPr>
            <w:tcW w:w="1456" w:type="dxa"/>
            <w:vAlign w:val="bottom"/>
          </w:tcPr>
          <w:p>
            <w:pPr>
              <w:widowControl/>
              <w:jc w:val="center"/>
              <w:textAlignment w:val="bottom"/>
              <w:rPr>
                <w:color w:val="000000"/>
                <w:kern w:val="0"/>
                <w:szCs w:val="21"/>
                <w:lang w:bidi="ar"/>
              </w:rPr>
            </w:pPr>
            <w:r>
              <w:rPr>
                <w:color w:val="000000"/>
                <w:kern w:val="0"/>
                <w:szCs w:val="21"/>
                <w:lang w:bidi="ar"/>
              </w:rPr>
              <w:t>3.24</w:t>
            </w:r>
          </w:p>
        </w:tc>
        <w:tc>
          <w:tcPr>
            <w:tcW w:w="1540" w:type="dxa"/>
            <w:vAlign w:val="bottom"/>
          </w:tcPr>
          <w:p>
            <w:pPr>
              <w:widowControl/>
              <w:jc w:val="center"/>
              <w:textAlignment w:val="bottom"/>
              <w:rPr>
                <w:color w:val="000000"/>
                <w:kern w:val="0"/>
                <w:szCs w:val="21"/>
                <w:lang w:bidi="ar"/>
              </w:rPr>
            </w:pPr>
            <w:r>
              <w:rPr>
                <w:color w:val="000000"/>
                <w:kern w:val="0"/>
                <w:szCs w:val="21"/>
                <w:lang w:bidi="ar"/>
              </w:rPr>
              <w:t>3.38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37.3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29</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0.31</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w:t>
            </w:r>
          </w:p>
        </w:tc>
        <w:tc>
          <w:tcPr>
            <w:tcW w:w="1456" w:type="dxa"/>
            <w:vAlign w:val="bottom"/>
          </w:tcPr>
          <w:p>
            <w:pPr>
              <w:widowControl/>
              <w:jc w:val="center"/>
              <w:textAlignment w:val="bottom"/>
              <w:rPr>
                <w:color w:val="000000"/>
                <w:kern w:val="0"/>
                <w:szCs w:val="21"/>
                <w:lang w:bidi="ar"/>
              </w:rPr>
            </w:pPr>
            <w:r>
              <w:rPr>
                <w:color w:val="000000"/>
                <w:kern w:val="0"/>
                <w:szCs w:val="21"/>
                <w:lang w:bidi="ar"/>
              </w:rPr>
              <w:t>3.08</w:t>
            </w:r>
          </w:p>
        </w:tc>
        <w:tc>
          <w:tcPr>
            <w:tcW w:w="1540" w:type="dxa"/>
            <w:vAlign w:val="bottom"/>
          </w:tcPr>
          <w:p>
            <w:pPr>
              <w:widowControl/>
              <w:jc w:val="center"/>
              <w:textAlignment w:val="bottom"/>
              <w:rPr>
                <w:color w:val="000000"/>
                <w:kern w:val="0"/>
                <w:szCs w:val="21"/>
                <w:lang w:bidi="ar"/>
              </w:rPr>
            </w:pPr>
            <w:r>
              <w:rPr>
                <w:color w:val="000000"/>
                <w:kern w:val="0"/>
                <w:szCs w:val="21"/>
                <w:lang w:bidi="ar"/>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38.3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30</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0.29</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0.28</w:t>
            </w:r>
          </w:p>
        </w:tc>
        <w:tc>
          <w:tcPr>
            <w:tcW w:w="1456" w:type="dxa"/>
            <w:vAlign w:val="bottom"/>
          </w:tcPr>
          <w:p>
            <w:pPr>
              <w:widowControl/>
              <w:jc w:val="center"/>
              <w:textAlignment w:val="bottom"/>
              <w:rPr>
                <w:color w:val="000000"/>
                <w:kern w:val="0"/>
                <w:szCs w:val="21"/>
                <w:lang w:bidi="ar"/>
              </w:rPr>
            </w:pPr>
            <w:r>
              <w:rPr>
                <w:color w:val="000000"/>
                <w:kern w:val="0"/>
                <w:szCs w:val="21"/>
                <w:lang w:bidi="ar"/>
              </w:rPr>
              <w:t>2.92</w:t>
            </w:r>
          </w:p>
        </w:tc>
        <w:tc>
          <w:tcPr>
            <w:tcW w:w="1540" w:type="dxa"/>
            <w:vAlign w:val="bottom"/>
          </w:tcPr>
          <w:p>
            <w:pPr>
              <w:widowControl/>
              <w:jc w:val="center"/>
              <w:textAlignment w:val="bottom"/>
              <w:rPr>
                <w:color w:val="000000"/>
                <w:kern w:val="0"/>
                <w:szCs w:val="21"/>
                <w:lang w:bidi="ar"/>
              </w:rPr>
            </w:pPr>
            <w:r>
              <w:rPr>
                <w:color w:val="000000"/>
                <w:kern w:val="0"/>
                <w:szCs w:val="21"/>
                <w:lang w:bidi="ar"/>
              </w:rPr>
              <w:t>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39.3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31</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0.27</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0.26</w:t>
            </w:r>
          </w:p>
        </w:tc>
        <w:tc>
          <w:tcPr>
            <w:tcW w:w="1456" w:type="dxa"/>
            <w:vAlign w:val="bottom"/>
          </w:tcPr>
          <w:p>
            <w:pPr>
              <w:widowControl/>
              <w:jc w:val="center"/>
              <w:textAlignment w:val="bottom"/>
              <w:rPr>
                <w:color w:val="000000"/>
                <w:kern w:val="0"/>
                <w:szCs w:val="21"/>
                <w:lang w:bidi="ar"/>
              </w:rPr>
            </w:pPr>
            <w:r>
              <w:rPr>
                <w:color w:val="000000"/>
                <w:kern w:val="0"/>
                <w:szCs w:val="21"/>
                <w:lang w:bidi="ar"/>
              </w:rPr>
              <w:t>2.78</w:t>
            </w:r>
          </w:p>
        </w:tc>
        <w:tc>
          <w:tcPr>
            <w:tcW w:w="1540" w:type="dxa"/>
            <w:vAlign w:val="bottom"/>
          </w:tcPr>
          <w:p>
            <w:pPr>
              <w:widowControl/>
              <w:jc w:val="center"/>
              <w:textAlignment w:val="bottom"/>
              <w:rPr>
                <w:color w:val="000000"/>
                <w:kern w:val="0"/>
                <w:szCs w:val="21"/>
                <w:lang w:bidi="ar"/>
              </w:rPr>
            </w:pPr>
            <w:r>
              <w:rPr>
                <w:color w:val="000000"/>
                <w:kern w:val="0"/>
                <w:szCs w:val="21"/>
                <w:lang w:bidi="ar"/>
              </w:rPr>
              <w:t>2.88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40.3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32</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0.25</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0.24</w:t>
            </w:r>
          </w:p>
        </w:tc>
        <w:tc>
          <w:tcPr>
            <w:tcW w:w="1456" w:type="dxa"/>
            <w:vAlign w:val="bottom"/>
          </w:tcPr>
          <w:p>
            <w:pPr>
              <w:widowControl/>
              <w:jc w:val="center"/>
              <w:textAlignment w:val="bottom"/>
              <w:rPr>
                <w:color w:val="000000"/>
                <w:kern w:val="0"/>
                <w:szCs w:val="21"/>
                <w:lang w:bidi="ar"/>
              </w:rPr>
            </w:pPr>
            <w:r>
              <w:rPr>
                <w:color w:val="000000"/>
                <w:kern w:val="0"/>
                <w:szCs w:val="21"/>
                <w:lang w:bidi="ar"/>
              </w:rPr>
              <w:t>2.64</w:t>
            </w:r>
          </w:p>
        </w:tc>
        <w:tc>
          <w:tcPr>
            <w:tcW w:w="1540" w:type="dxa"/>
            <w:vAlign w:val="bottom"/>
          </w:tcPr>
          <w:p>
            <w:pPr>
              <w:widowControl/>
              <w:jc w:val="center"/>
              <w:textAlignment w:val="bottom"/>
              <w:rPr>
                <w:color w:val="000000"/>
                <w:kern w:val="0"/>
                <w:szCs w:val="21"/>
                <w:lang w:bidi="ar"/>
              </w:rPr>
            </w:pPr>
            <w:r>
              <w:rPr>
                <w:color w:val="000000"/>
                <w:kern w:val="0"/>
                <w:szCs w:val="21"/>
                <w:lang w:bidi="ar"/>
              </w:rPr>
              <w:t>2.74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41.3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33</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0.23</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0.23</w:t>
            </w:r>
          </w:p>
        </w:tc>
        <w:tc>
          <w:tcPr>
            <w:tcW w:w="1456" w:type="dxa"/>
            <w:vAlign w:val="bottom"/>
          </w:tcPr>
          <w:p>
            <w:pPr>
              <w:widowControl/>
              <w:jc w:val="center"/>
              <w:textAlignment w:val="bottom"/>
              <w:rPr>
                <w:color w:val="000000"/>
                <w:kern w:val="0"/>
                <w:szCs w:val="21"/>
                <w:lang w:bidi="ar"/>
              </w:rPr>
            </w:pPr>
            <w:r>
              <w:rPr>
                <w:color w:val="000000"/>
                <w:kern w:val="0"/>
                <w:szCs w:val="21"/>
                <w:lang w:bidi="ar"/>
              </w:rPr>
              <w:t>2.52</w:t>
            </w:r>
          </w:p>
        </w:tc>
        <w:tc>
          <w:tcPr>
            <w:tcW w:w="1540" w:type="dxa"/>
            <w:vAlign w:val="bottom"/>
          </w:tcPr>
          <w:p>
            <w:pPr>
              <w:widowControl/>
              <w:jc w:val="center"/>
              <w:textAlignment w:val="bottom"/>
              <w:rPr>
                <w:color w:val="000000"/>
                <w:kern w:val="0"/>
                <w:szCs w:val="21"/>
                <w:lang w:bidi="ar"/>
              </w:rPr>
            </w:pPr>
            <w:r>
              <w:rPr>
                <w:color w:val="000000"/>
                <w:kern w:val="0"/>
                <w:szCs w:val="21"/>
                <w:lang w:bidi="ar"/>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42.3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34</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0.22</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0.21</w:t>
            </w:r>
          </w:p>
        </w:tc>
        <w:tc>
          <w:tcPr>
            <w:tcW w:w="1456" w:type="dxa"/>
            <w:vAlign w:val="bottom"/>
          </w:tcPr>
          <w:p>
            <w:pPr>
              <w:widowControl/>
              <w:jc w:val="center"/>
              <w:textAlignment w:val="bottom"/>
              <w:rPr>
                <w:color w:val="000000"/>
                <w:kern w:val="0"/>
                <w:szCs w:val="21"/>
                <w:lang w:bidi="ar"/>
              </w:rPr>
            </w:pPr>
            <w:r>
              <w:rPr>
                <w:color w:val="000000"/>
                <w:kern w:val="0"/>
                <w:szCs w:val="21"/>
                <w:lang w:bidi="ar"/>
              </w:rPr>
              <w:t>2.41</w:t>
            </w:r>
          </w:p>
        </w:tc>
        <w:tc>
          <w:tcPr>
            <w:tcW w:w="1540" w:type="dxa"/>
            <w:vAlign w:val="bottom"/>
          </w:tcPr>
          <w:p>
            <w:pPr>
              <w:widowControl/>
              <w:jc w:val="center"/>
              <w:textAlignment w:val="bottom"/>
              <w:rPr>
                <w:color w:val="000000"/>
                <w:kern w:val="0"/>
                <w:szCs w:val="21"/>
                <w:lang w:bidi="ar"/>
              </w:rPr>
            </w:pPr>
            <w:r>
              <w:rPr>
                <w:color w:val="000000"/>
                <w:kern w:val="0"/>
                <w:szCs w:val="21"/>
                <w:lang w:bidi="ar"/>
              </w:rPr>
              <w:t>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43.3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35</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w:t>
            </w:r>
          </w:p>
        </w:tc>
        <w:tc>
          <w:tcPr>
            <w:tcW w:w="1456" w:type="dxa"/>
            <w:vAlign w:val="bottom"/>
          </w:tcPr>
          <w:p>
            <w:pPr>
              <w:widowControl/>
              <w:jc w:val="center"/>
              <w:textAlignment w:val="bottom"/>
              <w:rPr>
                <w:color w:val="000000"/>
                <w:kern w:val="0"/>
                <w:szCs w:val="21"/>
                <w:lang w:bidi="ar"/>
              </w:rPr>
            </w:pPr>
            <w:r>
              <w:rPr>
                <w:color w:val="000000"/>
                <w:kern w:val="0"/>
                <w:szCs w:val="21"/>
                <w:lang w:bidi="ar"/>
              </w:rPr>
              <w:t>2.3</w:t>
            </w:r>
          </w:p>
        </w:tc>
        <w:tc>
          <w:tcPr>
            <w:tcW w:w="1540" w:type="dxa"/>
            <w:vAlign w:val="bottom"/>
          </w:tcPr>
          <w:p>
            <w:pPr>
              <w:widowControl/>
              <w:jc w:val="center"/>
              <w:textAlignment w:val="bottom"/>
              <w:rPr>
                <w:color w:val="000000"/>
                <w:kern w:val="0"/>
                <w:szCs w:val="21"/>
                <w:lang w:bidi="ar"/>
              </w:rPr>
            </w:pPr>
            <w:r>
              <w:rPr>
                <w:color w:val="000000"/>
                <w:kern w:val="0"/>
                <w:szCs w:val="21"/>
                <w:lang w:bidi="ar"/>
              </w:rPr>
              <w:t>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44.3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36</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0.19</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0.19</w:t>
            </w:r>
          </w:p>
        </w:tc>
        <w:tc>
          <w:tcPr>
            <w:tcW w:w="1456" w:type="dxa"/>
            <w:vAlign w:val="bottom"/>
          </w:tcPr>
          <w:p>
            <w:pPr>
              <w:widowControl/>
              <w:jc w:val="center"/>
              <w:textAlignment w:val="bottom"/>
              <w:rPr>
                <w:color w:val="000000"/>
                <w:kern w:val="0"/>
                <w:szCs w:val="21"/>
                <w:lang w:bidi="ar"/>
              </w:rPr>
            </w:pPr>
            <w:r>
              <w:rPr>
                <w:color w:val="000000"/>
                <w:kern w:val="0"/>
                <w:szCs w:val="21"/>
                <w:lang w:bidi="ar"/>
              </w:rPr>
              <w:t>2.2</w:t>
            </w:r>
          </w:p>
        </w:tc>
        <w:tc>
          <w:tcPr>
            <w:tcW w:w="1540" w:type="dxa"/>
            <w:vAlign w:val="bottom"/>
          </w:tcPr>
          <w:p>
            <w:pPr>
              <w:widowControl/>
              <w:jc w:val="center"/>
              <w:textAlignment w:val="bottom"/>
              <w:rPr>
                <w:color w:val="000000"/>
                <w:kern w:val="0"/>
                <w:szCs w:val="21"/>
                <w:lang w:bidi="ar"/>
              </w:rPr>
            </w:pPr>
            <w:r>
              <w:rPr>
                <w:color w:val="000000"/>
                <w:kern w:val="0"/>
                <w:szCs w:val="21"/>
                <w:lang w:bidi="ar"/>
              </w:rPr>
              <w:t>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45.3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37</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0.18</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0.18</w:t>
            </w:r>
          </w:p>
        </w:tc>
        <w:tc>
          <w:tcPr>
            <w:tcW w:w="1456" w:type="dxa"/>
            <w:vAlign w:val="bottom"/>
          </w:tcPr>
          <w:p>
            <w:pPr>
              <w:widowControl/>
              <w:jc w:val="center"/>
              <w:textAlignment w:val="bottom"/>
              <w:rPr>
                <w:color w:val="000000"/>
                <w:kern w:val="0"/>
                <w:szCs w:val="21"/>
                <w:lang w:bidi="ar"/>
              </w:rPr>
            </w:pPr>
            <w:r>
              <w:rPr>
                <w:color w:val="000000"/>
                <w:kern w:val="0"/>
                <w:szCs w:val="21"/>
                <w:lang w:bidi="ar"/>
              </w:rPr>
              <w:t>2.1</w:t>
            </w:r>
          </w:p>
        </w:tc>
        <w:tc>
          <w:tcPr>
            <w:tcW w:w="1540" w:type="dxa"/>
            <w:vAlign w:val="bottom"/>
          </w:tcPr>
          <w:p>
            <w:pPr>
              <w:widowControl/>
              <w:jc w:val="center"/>
              <w:textAlignment w:val="bottom"/>
              <w:rPr>
                <w:color w:val="000000"/>
                <w:kern w:val="0"/>
                <w:szCs w:val="21"/>
                <w:lang w:bidi="ar"/>
              </w:rPr>
            </w:pPr>
            <w:r>
              <w:rPr>
                <w:color w:val="000000"/>
                <w:kern w:val="0"/>
                <w:szCs w:val="21"/>
                <w:lang w:bidi="ar"/>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46.3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38</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0.17</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0.17</w:t>
            </w:r>
          </w:p>
        </w:tc>
        <w:tc>
          <w:tcPr>
            <w:tcW w:w="1456" w:type="dxa"/>
            <w:vAlign w:val="bottom"/>
          </w:tcPr>
          <w:p>
            <w:pPr>
              <w:widowControl/>
              <w:jc w:val="center"/>
              <w:textAlignment w:val="bottom"/>
              <w:rPr>
                <w:color w:val="000000"/>
                <w:kern w:val="0"/>
                <w:szCs w:val="21"/>
                <w:lang w:bidi="ar"/>
              </w:rPr>
            </w:pPr>
            <w:r>
              <w:rPr>
                <w:color w:val="000000"/>
                <w:kern w:val="0"/>
                <w:szCs w:val="21"/>
                <w:lang w:bidi="ar"/>
              </w:rPr>
              <w:t>2.01</w:t>
            </w:r>
          </w:p>
        </w:tc>
        <w:tc>
          <w:tcPr>
            <w:tcW w:w="1540" w:type="dxa"/>
            <w:vAlign w:val="bottom"/>
          </w:tcPr>
          <w:p>
            <w:pPr>
              <w:widowControl/>
              <w:jc w:val="center"/>
              <w:textAlignment w:val="bottom"/>
              <w:rPr>
                <w:color w:val="000000"/>
                <w:kern w:val="0"/>
                <w:szCs w:val="21"/>
                <w:lang w:bidi="ar"/>
              </w:rPr>
            </w:pPr>
            <w:r>
              <w:rPr>
                <w:color w:val="000000"/>
                <w:kern w:val="0"/>
                <w:szCs w:val="21"/>
                <w:lang w:bidi="ar"/>
              </w:rPr>
              <w:t>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47.3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39</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0.16</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0.16</w:t>
            </w:r>
          </w:p>
        </w:tc>
        <w:tc>
          <w:tcPr>
            <w:tcW w:w="1456" w:type="dxa"/>
            <w:vAlign w:val="bottom"/>
          </w:tcPr>
          <w:p>
            <w:pPr>
              <w:widowControl/>
              <w:jc w:val="center"/>
              <w:textAlignment w:val="bottom"/>
              <w:rPr>
                <w:color w:val="000000"/>
                <w:kern w:val="0"/>
                <w:szCs w:val="21"/>
                <w:lang w:bidi="ar"/>
              </w:rPr>
            </w:pPr>
            <w:r>
              <w:rPr>
                <w:color w:val="000000"/>
                <w:kern w:val="0"/>
                <w:szCs w:val="21"/>
                <w:lang w:bidi="ar"/>
              </w:rPr>
              <w:t>1.93</w:t>
            </w:r>
          </w:p>
        </w:tc>
        <w:tc>
          <w:tcPr>
            <w:tcW w:w="1540" w:type="dxa"/>
            <w:vAlign w:val="bottom"/>
          </w:tcPr>
          <w:p>
            <w:pPr>
              <w:widowControl/>
              <w:jc w:val="center"/>
              <w:textAlignment w:val="bottom"/>
              <w:rPr>
                <w:color w:val="000000"/>
                <w:kern w:val="0"/>
                <w:szCs w:val="21"/>
                <w:lang w:bidi="ar"/>
              </w:rPr>
            </w:pPr>
            <w:r>
              <w:rPr>
                <w:color w:val="000000"/>
                <w:kern w:val="0"/>
                <w:szCs w:val="21"/>
                <w:lang w:bidi="ar"/>
              </w:rPr>
              <w:t>1.98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48.3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40</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0.15</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0.15</w:t>
            </w:r>
          </w:p>
        </w:tc>
        <w:tc>
          <w:tcPr>
            <w:tcW w:w="1456" w:type="dxa"/>
            <w:vAlign w:val="bottom"/>
          </w:tcPr>
          <w:p>
            <w:pPr>
              <w:widowControl/>
              <w:jc w:val="center"/>
              <w:textAlignment w:val="bottom"/>
              <w:rPr>
                <w:color w:val="000000"/>
                <w:kern w:val="0"/>
                <w:szCs w:val="21"/>
                <w:lang w:bidi="ar"/>
              </w:rPr>
            </w:pPr>
            <w:r>
              <w:rPr>
                <w:color w:val="000000"/>
                <w:kern w:val="0"/>
                <w:szCs w:val="21"/>
                <w:lang w:bidi="ar"/>
              </w:rPr>
              <w:t>1.85</w:t>
            </w:r>
          </w:p>
        </w:tc>
        <w:tc>
          <w:tcPr>
            <w:tcW w:w="1540" w:type="dxa"/>
            <w:vAlign w:val="bottom"/>
          </w:tcPr>
          <w:p>
            <w:pPr>
              <w:widowControl/>
              <w:jc w:val="center"/>
              <w:textAlignment w:val="bottom"/>
              <w:rPr>
                <w:color w:val="000000"/>
                <w:kern w:val="0"/>
                <w:szCs w:val="21"/>
                <w:lang w:bidi="ar"/>
              </w:rPr>
            </w:pPr>
            <w:r>
              <w:rPr>
                <w:color w:val="000000"/>
                <w:kern w:val="0"/>
                <w:szCs w:val="21"/>
                <w:lang w:bidi="ar"/>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32" w:type="pct"/>
            <w:gridSpan w:val="2"/>
            <w:shd w:val="clear" w:color="auto" w:fill="auto"/>
            <w:vAlign w:val="center"/>
          </w:tcPr>
          <w:p>
            <w:pPr>
              <w:jc w:val="center"/>
              <w:rPr>
                <w:color w:val="000000"/>
                <w:szCs w:val="21"/>
              </w:rPr>
            </w:pPr>
            <w:r>
              <w:rPr>
                <w:rFonts w:hint="eastAsia" w:cs="宋体"/>
                <w:color w:val="000000"/>
                <w:kern w:val="0"/>
                <w:szCs w:val="21"/>
                <w:lang w:bidi="ar"/>
              </w:rPr>
              <w:t>最大值</w:t>
            </w:r>
          </w:p>
        </w:tc>
        <w:tc>
          <w:tcPr>
            <w:tcW w:w="1490" w:type="dxa"/>
            <w:shd w:val="clear" w:color="auto" w:fill="auto"/>
            <w:vAlign w:val="bottom"/>
          </w:tcPr>
          <w:p>
            <w:pPr>
              <w:widowControl/>
              <w:jc w:val="center"/>
              <w:textAlignment w:val="bottom"/>
              <w:rPr>
                <w:b/>
                <w:bCs/>
                <w:color w:val="000000"/>
                <w:kern w:val="0"/>
                <w:szCs w:val="21"/>
                <w:lang w:bidi="ar"/>
              </w:rPr>
            </w:pPr>
            <w:r>
              <w:rPr>
                <w:b/>
                <w:bCs/>
                <w:color w:val="000000"/>
                <w:kern w:val="0"/>
                <w:szCs w:val="21"/>
                <w:lang w:bidi="ar"/>
              </w:rPr>
              <w:t>2.82</w:t>
            </w:r>
          </w:p>
        </w:tc>
        <w:tc>
          <w:tcPr>
            <w:tcW w:w="1492" w:type="dxa"/>
            <w:shd w:val="clear" w:color="auto" w:fill="auto"/>
            <w:vAlign w:val="bottom"/>
          </w:tcPr>
          <w:p>
            <w:pPr>
              <w:widowControl/>
              <w:jc w:val="center"/>
              <w:textAlignment w:val="bottom"/>
              <w:rPr>
                <w:b/>
                <w:bCs/>
                <w:color w:val="000000"/>
                <w:kern w:val="0"/>
                <w:szCs w:val="21"/>
                <w:lang w:bidi="ar"/>
              </w:rPr>
            </w:pPr>
            <w:r>
              <w:rPr>
                <w:b/>
                <w:bCs/>
                <w:color w:val="000000"/>
                <w:kern w:val="0"/>
                <w:szCs w:val="21"/>
                <w:lang w:bidi="ar"/>
              </w:rPr>
              <w:t>3.67</w:t>
            </w:r>
          </w:p>
        </w:tc>
        <w:tc>
          <w:tcPr>
            <w:tcW w:w="1456" w:type="dxa"/>
            <w:vAlign w:val="bottom"/>
          </w:tcPr>
          <w:p>
            <w:pPr>
              <w:widowControl/>
              <w:jc w:val="center"/>
              <w:textAlignment w:val="bottom"/>
              <w:rPr>
                <w:b/>
                <w:bCs/>
                <w:color w:val="000000"/>
                <w:kern w:val="0"/>
                <w:szCs w:val="21"/>
                <w:lang w:bidi="ar"/>
              </w:rPr>
            </w:pPr>
            <w:r>
              <w:rPr>
                <w:b/>
                <w:bCs/>
                <w:color w:val="000000"/>
                <w:kern w:val="0"/>
                <w:szCs w:val="21"/>
                <w:lang w:bidi="ar"/>
              </w:rPr>
              <w:t>28.69</w:t>
            </w:r>
          </w:p>
        </w:tc>
        <w:tc>
          <w:tcPr>
            <w:tcW w:w="1540" w:type="dxa"/>
            <w:vAlign w:val="bottom"/>
          </w:tcPr>
          <w:p>
            <w:pPr>
              <w:widowControl/>
              <w:jc w:val="center"/>
              <w:textAlignment w:val="bottom"/>
              <w:rPr>
                <w:b/>
                <w:bCs/>
                <w:color w:val="000000"/>
                <w:kern w:val="0"/>
                <w:szCs w:val="21"/>
                <w:lang w:bidi="ar"/>
              </w:rPr>
            </w:pPr>
            <w:r>
              <w:rPr>
                <w:b/>
                <w:bCs/>
                <w:color w:val="000000"/>
                <w:kern w:val="0"/>
                <w:szCs w:val="21"/>
                <w:lang w:bidi="ar"/>
              </w:rPr>
              <w:t>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32" w:type="pct"/>
            <w:gridSpan w:val="2"/>
            <w:shd w:val="clear" w:color="auto" w:fill="auto"/>
            <w:vAlign w:val="center"/>
          </w:tcPr>
          <w:p>
            <w:pPr>
              <w:jc w:val="center"/>
              <w:rPr>
                <w:color w:val="000000"/>
                <w:szCs w:val="21"/>
              </w:rPr>
            </w:pPr>
            <w:r>
              <w:rPr>
                <w:rFonts w:hint="eastAsia" w:cs="宋体"/>
                <w:color w:val="000000"/>
                <w:kern w:val="0"/>
                <w:szCs w:val="21"/>
                <w:lang w:bidi="ar"/>
              </w:rPr>
              <w:t>最大值处距线路中心距离（m）</w:t>
            </w:r>
          </w:p>
        </w:tc>
        <w:tc>
          <w:tcPr>
            <w:tcW w:w="854" w:type="pct"/>
            <w:shd w:val="clear" w:color="auto" w:fill="auto"/>
            <w:vAlign w:val="center"/>
          </w:tcPr>
          <w:p>
            <w:pPr>
              <w:widowControl/>
              <w:jc w:val="center"/>
              <w:textAlignment w:val="bottom"/>
              <w:rPr>
                <w:color w:val="000000"/>
                <w:kern w:val="0"/>
                <w:szCs w:val="21"/>
                <w:lang w:bidi="ar"/>
              </w:rPr>
            </w:pPr>
            <w:r>
              <w:rPr>
                <w:rFonts w:hint="eastAsia"/>
                <w:color w:val="000000"/>
                <w:kern w:val="0"/>
                <w:szCs w:val="21"/>
                <w:lang w:bidi="ar"/>
              </w:rPr>
              <w:t>10.3</w:t>
            </w:r>
          </w:p>
        </w:tc>
        <w:tc>
          <w:tcPr>
            <w:tcW w:w="855" w:type="pct"/>
            <w:shd w:val="clear" w:color="auto" w:fill="auto"/>
            <w:vAlign w:val="center"/>
          </w:tcPr>
          <w:p>
            <w:pPr>
              <w:widowControl/>
              <w:jc w:val="center"/>
              <w:textAlignment w:val="bottom"/>
              <w:rPr>
                <w:color w:val="000000"/>
                <w:kern w:val="0"/>
                <w:szCs w:val="21"/>
                <w:lang w:bidi="ar"/>
              </w:rPr>
            </w:pPr>
            <w:r>
              <w:rPr>
                <w:rFonts w:hint="eastAsia"/>
                <w:color w:val="000000"/>
                <w:kern w:val="0"/>
                <w:szCs w:val="21"/>
                <w:lang w:bidi="ar"/>
              </w:rPr>
              <w:t>8.3</w:t>
            </w:r>
          </w:p>
        </w:tc>
        <w:tc>
          <w:tcPr>
            <w:tcW w:w="854" w:type="pct"/>
            <w:vAlign w:val="center"/>
          </w:tcPr>
          <w:p>
            <w:pPr>
              <w:widowControl/>
              <w:jc w:val="center"/>
              <w:textAlignment w:val="bottom"/>
              <w:rPr>
                <w:color w:val="000000"/>
                <w:kern w:val="0"/>
                <w:szCs w:val="21"/>
                <w:lang w:bidi="ar"/>
              </w:rPr>
            </w:pPr>
            <w:r>
              <w:rPr>
                <w:rFonts w:hint="eastAsia"/>
                <w:color w:val="000000"/>
                <w:kern w:val="0"/>
                <w:szCs w:val="21"/>
                <w:lang w:bidi="ar"/>
              </w:rPr>
              <w:t>0</w:t>
            </w:r>
          </w:p>
        </w:tc>
        <w:tc>
          <w:tcPr>
            <w:tcW w:w="903" w:type="pct"/>
            <w:vAlign w:val="center"/>
          </w:tcPr>
          <w:p>
            <w:pPr>
              <w:widowControl/>
              <w:jc w:val="center"/>
              <w:textAlignment w:val="bottom"/>
              <w:rPr>
                <w:color w:val="000000"/>
                <w:kern w:val="0"/>
                <w:szCs w:val="21"/>
                <w:lang w:bidi="ar"/>
              </w:rPr>
            </w:pPr>
            <w:r>
              <w:rPr>
                <w:rFonts w:hint="eastAsia"/>
                <w:color w:val="000000"/>
                <w:kern w:val="0"/>
                <w:szCs w:val="21"/>
                <w:lang w:bidi="ar"/>
              </w:rPr>
              <w:t>0</w:t>
            </w:r>
          </w:p>
        </w:tc>
      </w:tr>
    </w:tbl>
    <w:p>
      <w:pPr>
        <w:pStyle w:val="5"/>
        <w:ind w:firstLine="0" w:firstLineChars="0"/>
        <w:rPr>
          <w:szCs w:val="32"/>
        </w:rPr>
      </w:pPr>
    </w:p>
    <w:p>
      <w:pPr>
        <w:pStyle w:val="5"/>
        <w:ind w:firstLine="0" w:firstLineChars="0"/>
      </w:pPr>
      <w:r>
        <w:drawing>
          <wp:inline distT="0" distB="0" distL="114300" distR="114300">
            <wp:extent cx="5392420" cy="3091180"/>
            <wp:effectExtent l="0" t="0" r="17780" b="13970"/>
            <wp:docPr id="15"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3"/>
                    <pic:cNvPicPr>
                      <a:picLocks noChangeAspect="1"/>
                    </pic:cNvPicPr>
                  </pic:nvPicPr>
                  <pic:blipFill>
                    <a:blip r:embed="rId139"/>
                    <a:stretch>
                      <a:fillRect/>
                    </a:stretch>
                  </pic:blipFill>
                  <pic:spPr>
                    <a:xfrm>
                      <a:off x="0" y="0"/>
                      <a:ext cx="5392420" cy="3091180"/>
                    </a:xfrm>
                    <a:prstGeom prst="rect">
                      <a:avLst/>
                    </a:prstGeom>
                    <a:noFill/>
                    <a:ln>
                      <a:noFill/>
                    </a:ln>
                  </pic:spPr>
                </pic:pic>
              </a:graphicData>
            </a:graphic>
          </wp:inline>
        </w:drawing>
      </w:r>
    </w:p>
    <w:p>
      <w:pPr>
        <w:pStyle w:val="10"/>
        <w:rPr>
          <w:rFonts w:ascii="Times New Roman" w:hAnsi="Times New Roman" w:eastAsia="宋体"/>
          <w:b/>
          <w:bCs/>
        </w:rPr>
      </w:pPr>
      <w:bookmarkStart w:id="818" w:name="_Ref21903"/>
      <w:r>
        <w:rPr>
          <w:rFonts w:ascii="Times New Roman" w:hAnsi="Times New Roman" w:eastAsia="宋体"/>
          <w:b/>
          <w:bCs/>
        </w:rPr>
        <w:t>图</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20</w:t>
      </w:r>
      <w:r>
        <w:rPr>
          <w:rFonts w:ascii="Times New Roman" w:hAnsi="Times New Roman" w:eastAsia="宋体"/>
          <w:b/>
          <w:bCs/>
        </w:rPr>
        <w:fldChar w:fldCharType="end"/>
      </w:r>
      <w:bookmarkEnd w:id="818"/>
      <w:r>
        <w:rPr>
          <w:rFonts w:ascii="Times New Roman" w:hAnsi="Times New Roman" w:eastAsia="宋体"/>
          <w:b/>
          <w:bCs/>
        </w:rPr>
        <w:t>单回线路经过居民区抬升至11.5m工频电场强度预测结果图（2×JL3/G1A-400/35型导线）</w:t>
      </w:r>
    </w:p>
    <w:p>
      <w:r>
        <w:drawing>
          <wp:inline distT="0" distB="0" distL="114300" distR="114300">
            <wp:extent cx="5400040" cy="3094355"/>
            <wp:effectExtent l="0" t="0" r="10160" b="10795"/>
            <wp:docPr id="16"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4"/>
                    <pic:cNvPicPr>
                      <a:picLocks noChangeAspect="1"/>
                    </pic:cNvPicPr>
                  </pic:nvPicPr>
                  <pic:blipFill>
                    <a:blip r:embed="rId140"/>
                    <a:stretch>
                      <a:fillRect/>
                    </a:stretch>
                  </pic:blipFill>
                  <pic:spPr>
                    <a:xfrm>
                      <a:off x="0" y="0"/>
                      <a:ext cx="5400040" cy="3094355"/>
                    </a:xfrm>
                    <a:prstGeom prst="rect">
                      <a:avLst/>
                    </a:prstGeom>
                    <a:noFill/>
                    <a:ln>
                      <a:noFill/>
                    </a:ln>
                  </pic:spPr>
                </pic:pic>
              </a:graphicData>
            </a:graphic>
          </wp:inline>
        </w:drawing>
      </w:r>
    </w:p>
    <w:p>
      <w:pPr>
        <w:pStyle w:val="10"/>
        <w:rPr>
          <w:rFonts w:eastAsia="宋体"/>
        </w:rPr>
      </w:pPr>
      <w:bookmarkStart w:id="819" w:name="_Ref21926"/>
      <w:r>
        <w:rPr>
          <w:rFonts w:ascii="Times New Roman" w:hAnsi="Times New Roman" w:eastAsia="宋体"/>
          <w:b/>
          <w:bCs/>
        </w:rPr>
        <w:t>图</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21</w:t>
      </w:r>
      <w:r>
        <w:rPr>
          <w:rFonts w:ascii="Times New Roman" w:hAnsi="Times New Roman" w:eastAsia="宋体"/>
          <w:b/>
          <w:bCs/>
        </w:rPr>
        <w:fldChar w:fldCharType="end"/>
      </w:r>
      <w:bookmarkEnd w:id="819"/>
      <w:r>
        <w:rPr>
          <w:rFonts w:ascii="Times New Roman" w:hAnsi="Times New Roman" w:eastAsia="宋体"/>
          <w:b/>
          <w:bCs/>
        </w:rPr>
        <w:t>单回线路经过居民区抬升至11.5m工频</w:t>
      </w:r>
      <w:r>
        <w:rPr>
          <w:rFonts w:hint="eastAsia" w:ascii="Times New Roman" w:hAnsi="Times New Roman" w:eastAsia="宋体"/>
          <w:b/>
          <w:bCs/>
        </w:rPr>
        <w:t>磁感应</w:t>
      </w:r>
      <w:r>
        <w:rPr>
          <w:rFonts w:ascii="Times New Roman" w:hAnsi="Times New Roman" w:eastAsia="宋体"/>
          <w:b/>
          <w:bCs/>
        </w:rPr>
        <w:t>强度预测结果图（2×JL3/G1A-400/35型导线）</w:t>
      </w:r>
    </w:p>
    <w:p>
      <w:pPr>
        <w:pStyle w:val="5"/>
      </w:pPr>
      <w:r>
        <w:rPr>
          <w:rFonts w:hint="eastAsia"/>
          <w:szCs w:val="32"/>
        </w:rPr>
        <w:t>2、吐鲁番电厂-阿拉沟变Ⅰ、Ⅱ回改接入托克逊变220千伏线路工程</w:t>
      </w:r>
      <w:r>
        <w:rPr>
          <w:rFonts w:hint="eastAsia"/>
        </w:rPr>
        <w:t>（导线型号：2×JL3/G1A-400/35）</w:t>
      </w:r>
    </w:p>
    <w:p>
      <w:pPr>
        <w:pStyle w:val="107"/>
        <w:spacing w:line="360" w:lineRule="auto"/>
        <w:ind w:firstLine="48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（1）本工程拟建单回线路（导线型号：</w:t>
      </w:r>
      <w:r>
        <w:rPr>
          <w:rFonts w:hint="eastAsia"/>
          <w:sz w:val="24"/>
        </w:rPr>
        <w:t>2×JL3/G1A-400/35</w:t>
      </w:r>
      <w:r>
        <w:rPr>
          <w:rFonts w:hint="eastAsia"/>
          <w:color w:val="000000" w:themeColor="text1"/>
          <w:sz w:val="24"/>
          <w:szCs w:val="32"/>
          <w14:textFill>
            <w14:solidFill>
              <w14:schemeClr w14:val="tx1"/>
            </w14:solidFill>
          </w14:textFill>
        </w:rPr>
        <w:t>）最低线高下的工频电场强度及工频磁感应强度预测计算见</w:t>
      </w:r>
      <w:r>
        <w:rPr>
          <w:rFonts w:hint="eastAsia"/>
          <w:b w:val="0"/>
          <w:bCs w:val="0"/>
          <w:color w:val="000000" w:themeColor="text1"/>
          <w:sz w:val="24"/>
          <w:szCs w:val="24"/>
          <w14:textFill>
            <w14:solidFill>
              <w14:schemeClr w14:val="tx1"/>
            </w14:solidFill>
          </w14:textFill>
        </w:rPr>
        <w:fldChar w:fldCharType="begin"/>
      </w:r>
      <w:r>
        <w:rPr>
          <w:b w:val="0"/>
          <w:bCs w:val="0"/>
        </w:rPr>
        <w:instrText xml:space="preserve"> REF _Ref23399 \h  \* MERGEFORMAT</w:instrText>
      </w:r>
      <w:r>
        <w:rPr>
          <w:rFonts w:hint="eastAsia"/>
          <w:b w:val="0"/>
          <w:bCs w:val="0"/>
          <w:color w:val="000000" w:themeColor="text1"/>
          <w:sz w:val="24"/>
          <w:szCs w:val="24"/>
          <w14:textFill>
            <w14:solidFill>
              <w14:schemeClr w14:val="tx1"/>
            </w14:solidFill>
          </w14:textFill>
        </w:rPr>
        <w:fldChar w:fldCharType="separate"/>
      </w:r>
      <w:r>
        <w:rPr>
          <w:rFonts w:ascii="Times New Roman" w:hAnsi="Times New Roman" w:eastAsia="宋体"/>
          <w:b w:val="0"/>
          <w:bCs w:val="0"/>
          <w:sz w:val="24"/>
          <w:szCs w:val="24"/>
        </w:rPr>
        <w:t>表48</w:t>
      </w:r>
      <w:r>
        <w:rPr>
          <w:rFonts w:hint="eastAsia"/>
          <w:b w:val="0"/>
          <w:bCs w:val="0"/>
          <w:color w:val="000000" w:themeColor="text1"/>
          <w:sz w:val="24"/>
          <w:szCs w:val="24"/>
          <w14:textFill>
            <w14:solidFill>
              <w14:schemeClr w14:val="tx1"/>
            </w14:solidFill>
          </w14:textFill>
        </w:rPr>
        <w:fldChar w:fldCharType="end"/>
      </w:r>
      <w:r>
        <w:rPr>
          <w:rFonts w:hint="eastAsia"/>
          <w:color w:val="000000" w:themeColor="text1"/>
          <w:sz w:val="24"/>
          <w:szCs w:val="32"/>
          <w14:textFill>
            <w14:solidFill>
              <w14:schemeClr w14:val="tx1"/>
            </w14:solidFill>
          </w14:textFill>
        </w:rPr>
        <w:t>，相应变化趋势见</w:t>
      </w:r>
      <w:r>
        <w:rPr>
          <w:rFonts w:hint="eastAsia"/>
          <w:b w:val="0"/>
          <w:bCs w:val="0"/>
          <w:color w:val="000000" w:themeColor="text1"/>
          <w:sz w:val="24"/>
          <w:szCs w:val="24"/>
          <w14:textFill>
            <w14:solidFill>
              <w14:schemeClr w14:val="tx1"/>
            </w14:solidFill>
          </w14:textFill>
        </w:rPr>
        <w:fldChar w:fldCharType="begin"/>
      </w:r>
      <w:r>
        <w:rPr>
          <w:b w:val="0"/>
          <w:bCs w:val="0"/>
        </w:rPr>
        <w:instrText xml:space="preserve"> REF _Ref26312 \h  \* MERGEFORMAT</w:instrText>
      </w:r>
      <w:r>
        <w:rPr>
          <w:rFonts w:hint="eastAsia"/>
          <w:b w:val="0"/>
          <w:bCs w:val="0"/>
          <w:color w:val="000000" w:themeColor="text1"/>
          <w:sz w:val="24"/>
          <w:szCs w:val="24"/>
          <w14:textFill>
            <w14:solidFill>
              <w14:schemeClr w14:val="tx1"/>
            </w14:solidFill>
          </w14:textFill>
        </w:rPr>
        <w:fldChar w:fldCharType="separate"/>
      </w:r>
      <w:r>
        <w:rPr>
          <w:rFonts w:ascii="Times New Roman" w:hAnsi="Times New Roman" w:eastAsia="宋体"/>
          <w:b w:val="0"/>
          <w:bCs w:val="0"/>
          <w:sz w:val="24"/>
          <w:szCs w:val="24"/>
        </w:rPr>
        <w:t>图22</w:t>
      </w:r>
      <w:r>
        <w:rPr>
          <w:rFonts w:hint="eastAsia"/>
          <w:b w:val="0"/>
          <w:bCs w:val="0"/>
          <w:color w:val="000000" w:themeColor="text1"/>
          <w:sz w:val="24"/>
          <w:szCs w:val="24"/>
          <w14:textFill>
            <w14:solidFill>
              <w14:schemeClr w14:val="tx1"/>
            </w14:solidFill>
          </w14:textFill>
        </w:rPr>
        <w:fldChar w:fldCharType="end"/>
      </w:r>
      <w:r>
        <w:rPr>
          <w:rFonts w:hint="eastAsia"/>
          <w:b w:val="0"/>
          <w:bCs w:val="0"/>
          <w:color w:val="000000" w:themeColor="text1"/>
          <w:sz w:val="24"/>
          <w:szCs w:val="24"/>
          <w14:textFill>
            <w14:solidFill>
              <w14:schemeClr w14:val="tx1"/>
            </w14:solidFill>
          </w14:textFill>
        </w:rPr>
        <w:t>~</w:t>
      </w:r>
      <w:r>
        <w:rPr>
          <w:rFonts w:hint="eastAsia"/>
          <w:b w:val="0"/>
          <w:bCs w:val="0"/>
          <w:color w:val="000000" w:themeColor="text1"/>
          <w:sz w:val="24"/>
          <w:szCs w:val="24"/>
          <w14:textFill>
            <w14:solidFill>
              <w14:schemeClr w14:val="tx1"/>
            </w14:solidFill>
          </w14:textFill>
        </w:rPr>
        <w:fldChar w:fldCharType="begin"/>
      </w:r>
      <w:r>
        <w:rPr>
          <w:b w:val="0"/>
          <w:bCs w:val="0"/>
        </w:rPr>
        <w:instrText xml:space="preserve"> REF _Ref26341 \h  \* MERGEFORMAT</w:instrText>
      </w:r>
      <w:r>
        <w:rPr>
          <w:rFonts w:hint="eastAsia"/>
          <w:b w:val="0"/>
          <w:bCs w:val="0"/>
          <w:color w:val="000000" w:themeColor="text1"/>
          <w:sz w:val="24"/>
          <w:szCs w:val="24"/>
          <w14:textFill>
            <w14:solidFill>
              <w14:schemeClr w14:val="tx1"/>
            </w14:solidFill>
          </w14:textFill>
        </w:rPr>
        <w:fldChar w:fldCharType="separate"/>
      </w:r>
      <w:r>
        <w:rPr>
          <w:rFonts w:ascii="Times New Roman" w:hAnsi="Times New Roman" w:eastAsia="宋体"/>
          <w:b w:val="0"/>
          <w:bCs w:val="0"/>
          <w:sz w:val="24"/>
          <w:szCs w:val="24"/>
        </w:rPr>
        <w:t>图23</w:t>
      </w:r>
      <w:r>
        <w:rPr>
          <w:rFonts w:hint="eastAsia"/>
          <w:b w:val="0"/>
          <w:bCs w:val="0"/>
          <w:color w:val="000000" w:themeColor="text1"/>
          <w:sz w:val="24"/>
          <w:szCs w:val="24"/>
          <w14:textFill>
            <w14:solidFill>
              <w14:schemeClr w14:val="tx1"/>
            </w14:solidFill>
          </w14:textFill>
        </w:rPr>
        <w:fldChar w:fldCharType="end"/>
      </w:r>
      <w:r>
        <w:rPr>
          <w:rFonts w:hint="eastAsia"/>
          <w:color w:val="000000" w:themeColor="text1"/>
          <w:sz w:val="24"/>
          <w:szCs w:val="32"/>
          <w14:textFill>
            <w14:solidFill>
              <w14:schemeClr w14:val="tx1"/>
            </w14:solidFill>
          </w14:textFill>
        </w:rPr>
        <w:t>。</w:t>
      </w:r>
    </w:p>
    <w:p>
      <w:pPr>
        <w:pStyle w:val="10"/>
        <w:rPr>
          <w:rFonts w:eastAsia="宋体"/>
        </w:rPr>
      </w:pPr>
      <w:bookmarkStart w:id="820" w:name="_Ref23399"/>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48</w:t>
      </w:r>
      <w:r>
        <w:rPr>
          <w:rFonts w:ascii="Times New Roman" w:hAnsi="Times New Roman" w:eastAsia="宋体"/>
          <w:b/>
          <w:bCs/>
        </w:rPr>
        <w:fldChar w:fldCharType="end"/>
      </w:r>
      <w:bookmarkEnd w:id="820"/>
      <w:r>
        <w:rPr>
          <w:rFonts w:hint="eastAsia" w:ascii="Times New Roman" w:hAnsi="Times New Roman" w:eastAsia="宋体"/>
          <w:b/>
          <w:bCs/>
        </w:rPr>
        <w:t xml:space="preserve"> </w:t>
      </w:r>
      <w:r>
        <w:rPr>
          <w:rFonts w:ascii="Times New Roman" w:hAnsi="Times New Roman" w:eastAsia="宋体"/>
          <w:b/>
          <w:bCs/>
        </w:rPr>
        <w:t>220kV单回线路工频电场强度及工频磁感应强度预测结果（2×JL3/G1A-400/35型导线）</w:t>
      </w:r>
    </w:p>
    <w:tbl>
      <w:tblPr>
        <w:tblStyle w:val="37"/>
        <w:tblW w:w="51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
        <w:gridCol w:w="1135"/>
        <w:gridCol w:w="1238"/>
        <w:gridCol w:w="1117"/>
        <w:gridCol w:w="1118"/>
        <w:gridCol w:w="1117"/>
        <w:gridCol w:w="1115"/>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80" w:type="pct"/>
            <w:gridSpan w:val="2"/>
            <w:tcBorders>
              <w:tl2br w:val="single" w:color="auto" w:sz="4" w:space="0"/>
            </w:tcBorders>
            <w:shd w:val="clear" w:color="auto" w:fill="auto"/>
          </w:tcPr>
          <w:p>
            <w:pPr>
              <w:widowControl/>
              <w:jc w:val="right"/>
              <w:rPr>
                <w:b/>
                <w:bCs/>
                <w:color w:val="000000"/>
                <w:kern w:val="0"/>
                <w:szCs w:val="21"/>
              </w:rPr>
            </w:pPr>
            <w:r>
              <w:rPr>
                <w:rFonts w:hint="eastAsia"/>
                <w:b/>
                <w:bCs/>
                <w:color w:val="000000"/>
                <w:kern w:val="0"/>
                <w:szCs w:val="21"/>
              </w:rPr>
              <w:t>项目</w:t>
            </w:r>
          </w:p>
          <w:p>
            <w:pPr>
              <w:pStyle w:val="36"/>
              <w:spacing w:after="0"/>
              <w:ind w:left="0" w:leftChars="0" w:firstLine="0"/>
            </w:pPr>
            <w:r>
              <w:rPr>
                <w:rFonts w:hint="eastAsia"/>
                <w:b/>
                <w:bCs/>
                <w:color w:val="000000"/>
                <w:sz w:val="21"/>
                <w:szCs w:val="21"/>
              </w:rPr>
              <w:t>与线路关系</w:t>
            </w:r>
          </w:p>
        </w:tc>
        <w:tc>
          <w:tcPr>
            <w:tcW w:w="1944" w:type="pct"/>
            <w:gridSpan w:val="3"/>
            <w:shd w:val="clear" w:color="auto" w:fill="auto"/>
            <w:vAlign w:val="center"/>
          </w:tcPr>
          <w:p>
            <w:pPr>
              <w:widowControl/>
              <w:jc w:val="center"/>
              <w:rPr>
                <w:b/>
                <w:bCs/>
                <w:color w:val="000000"/>
                <w:kern w:val="0"/>
                <w:szCs w:val="21"/>
              </w:rPr>
            </w:pPr>
            <w:r>
              <w:rPr>
                <w:rFonts w:hint="eastAsia"/>
                <w:b/>
                <w:bCs/>
                <w:color w:val="000000"/>
                <w:kern w:val="0"/>
                <w:szCs w:val="21"/>
              </w:rPr>
              <w:t>工频电场强度（</w:t>
            </w:r>
            <w:r>
              <w:rPr>
                <w:rFonts w:cs="ˎ̥"/>
                <w:b/>
                <w:bCs/>
                <w:color w:val="000000"/>
                <w:szCs w:val="21"/>
              </w:rPr>
              <w:t>kV</w:t>
            </w:r>
            <w:r>
              <w:rPr>
                <w:rFonts w:hint="eastAsia" w:cs="ˎ̥"/>
                <w:b/>
                <w:bCs/>
                <w:color w:val="000000"/>
                <w:szCs w:val="21"/>
              </w:rPr>
              <w:t>/m)</w:t>
            </w:r>
          </w:p>
        </w:tc>
        <w:tc>
          <w:tcPr>
            <w:tcW w:w="1874" w:type="pct"/>
            <w:gridSpan w:val="3"/>
            <w:shd w:val="clear" w:color="auto" w:fill="auto"/>
            <w:vAlign w:val="center"/>
          </w:tcPr>
          <w:p>
            <w:pPr>
              <w:widowControl/>
              <w:jc w:val="center"/>
              <w:rPr>
                <w:b/>
                <w:bCs/>
                <w:color w:val="000000"/>
                <w:kern w:val="0"/>
                <w:szCs w:val="21"/>
              </w:rPr>
            </w:pPr>
            <w:r>
              <w:rPr>
                <w:rFonts w:hint="eastAsia"/>
                <w:b/>
                <w:bCs/>
                <w:color w:val="000000"/>
                <w:kern w:val="0"/>
                <w:szCs w:val="21"/>
              </w:rPr>
              <w:t>工频磁感应强度（</w:t>
            </w:r>
            <w:r>
              <w:rPr>
                <w:rFonts w:hint="eastAsia"/>
                <w:color w:val="000000"/>
                <w:szCs w:val="21"/>
              </w:rPr>
              <w:t>µT）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Merge w:val="restart"/>
            <w:shd w:val="clear" w:color="auto" w:fill="auto"/>
            <w:vAlign w:val="center"/>
          </w:tcPr>
          <w:p>
            <w:pPr>
              <w:widowControl/>
              <w:jc w:val="center"/>
              <w:rPr>
                <w:b/>
                <w:bCs/>
                <w:color w:val="000000"/>
                <w:kern w:val="0"/>
                <w:szCs w:val="21"/>
              </w:rPr>
            </w:pPr>
            <w:r>
              <w:rPr>
                <w:rFonts w:hint="eastAsia"/>
                <w:b/>
                <w:bCs/>
                <w:color w:val="000000"/>
                <w:kern w:val="0"/>
                <w:szCs w:val="21"/>
              </w:rPr>
              <w:t>距线路中心的距离</w:t>
            </w:r>
            <w:r>
              <w:rPr>
                <w:b/>
                <w:bCs/>
                <w:color w:val="000000"/>
                <w:kern w:val="0"/>
                <w:szCs w:val="21"/>
              </w:rPr>
              <w:t>(m)</w:t>
            </w:r>
          </w:p>
        </w:tc>
        <w:tc>
          <w:tcPr>
            <w:tcW w:w="635" w:type="pct"/>
            <w:vMerge w:val="restart"/>
            <w:shd w:val="clear" w:color="auto" w:fill="auto"/>
            <w:vAlign w:val="center"/>
          </w:tcPr>
          <w:p>
            <w:pPr>
              <w:widowControl/>
              <w:jc w:val="center"/>
              <w:rPr>
                <w:b/>
                <w:bCs/>
                <w:color w:val="000000"/>
                <w:kern w:val="0"/>
                <w:szCs w:val="21"/>
              </w:rPr>
            </w:pPr>
            <w:r>
              <w:rPr>
                <w:rFonts w:hint="eastAsia"/>
                <w:b/>
                <w:bCs/>
                <w:color w:val="000000"/>
                <w:kern w:val="0"/>
                <w:szCs w:val="21"/>
              </w:rPr>
              <w:t>距边导线距离</w:t>
            </w:r>
            <w:r>
              <w:rPr>
                <w:b/>
                <w:bCs/>
                <w:color w:val="000000"/>
                <w:kern w:val="0"/>
                <w:szCs w:val="21"/>
              </w:rPr>
              <w:t>(m)</w:t>
            </w:r>
          </w:p>
        </w:tc>
        <w:tc>
          <w:tcPr>
            <w:tcW w:w="693" w:type="pct"/>
            <w:shd w:val="clear" w:color="auto" w:fill="auto"/>
            <w:vAlign w:val="center"/>
          </w:tcPr>
          <w:p>
            <w:pPr>
              <w:widowControl/>
              <w:jc w:val="center"/>
              <w:rPr>
                <w:b/>
                <w:bCs/>
                <w:color w:val="000000"/>
                <w:kern w:val="0"/>
                <w:szCs w:val="21"/>
              </w:rPr>
            </w:pPr>
            <w:r>
              <w:rPr>
                <w:rFonts w:hint="eastAsia"/>
                <w:color w:val="000000"/>
                <w:szCs w:val="21"/>
              </w:rPr>
              <w:t>导线对地</w:t>
            </w:r>
            <w:r>
              <w:rPr>
                <w:color w:val="000000"/>
                <w:szCs w:val="21"/>
              </w:rPr>
              <w:t>6</w:t>
            </w:r>
            <w:r>
              <w:rPr>
                <w:rFonts w:hint="eastAsia"/>
                <w:color w:val="000000"/>
                <w:szCs w:val="21"/>
              </w:rPr>
              <w:t>.5</w:t>
            </w:r>
            <w:r>
              <w:rPr>
                <w:color w:val="000000"/>
                <w:szCs w:val="21"/>
              </w:rPr>
              <w:t>m</w:t>
            </w:r>
          </w:p>
        </w:tc>
        <w:tc>
          <w:tcPr>
            <w:tcW w:w="1251" w:type="pct"/>
            <w:gridSpan w:val="2"/>
            <w:shd w:val="clear" w:color="auto" w:fill="auto"/>
            <w:vAlign w:val="center"/>
          </w:tcPr>
          <w:p>
            <w:pPr>
              <w:widowControl/>
              <w:jc w:val="center"/>
              <w:rPr>
                <w:b/>
                <w:bCs/>
                <w:color w:val="000000"/>
                <w:kern w:val="0"/>
                <w:szCs w:val="21"/>
              </w:rPr>
            </w:pPr>
            <w:r>
              <w:rPr>
                <w:rFonts w:hint="eastAsia"/>
                <w:color w:val="000000"/>
                <w:szCs w:val="21"/>
              </w:rPr>
              <w:t>导线对地</w:t>
            </w:r>
            <w:r>
              <w:rPr>
                <w:color w:val="000000"/>
                <w:szCs w:val="21"/>
              </w:rPr>
              <w:t>7</w:t>
            </w:r>
            <w:r>
              <w:rPr>
                <w:rFonts w:hint="eastAsia"/>
                <w:color w:val="000000"/>
                <w:szCs w:val="21"/>
              </w:rPr>
              <w:t>.5</w:t>
            </w:r>
            <w:r>
              <w:rPr>
                <w:color w:val="000000"/>
                <w:szCs w:val="21"/>
              </w:rPr>
              <w:t>m</w:t>
            </w:r>
          </w:p>
        </w:tc>
        <w:tc>
          <w:tcPr>
            <w:tcW w:w="625" w:type="pct"/>
            <w:shd w:val="clear" w:color="auto" w:fill="auto"/>
            <w:vAlign w:val="center"/>
          </w:tcPr>
          <w:p>
            <w:pPr>
              <w:widowControl/>
              <w:jc w:val="center"/>
              <w:rPr>
                <w:b/>
                <w:bCs/>
                <w:color w:val="000000"/>
                <w:kern w:val="0"/>
                <w:szCs w:val="21"/>
              </w:rPr>
            </w:pPr>
            <w:r>
              <w:rPr>
                <w:rFonts w:hint="eastAsia"/>
                <w:color w:val="000000"/>
                <w:szCs w:val="21"/>
              </w:rPr>
              <w:t>导线对地</w:t>
            </w:r>
            <w:r>
              <w:rPr>
                <w:color w:val="000000"/>
                <w:szCs w:val="21"/>
              </w:rPr>
              <w:t>6</w:t>
            </w:r>
            <w:r>
              <w:rPr>
                <w:rFonts w:hint="eastAsia"/>
                <w:color w:val="000000"/>
                <w:szCs w:val="21"/>
              </w:rPr>
              <w:t>.5</w:t>
            </w:r>
            <w:r>
              <w:rPr>
                <w:color w:val="000000"/>
                <w:szCs w:val="21"/>
              </w:rPr>
              <w:t>m</w:t>
            </w:r>
          </w:p>
        </w:tc>
        <w:tc>
          <w:tcPr>
            <w:tcW w:w="1248" w:type="pct"/>
            <w:gridSpan w:val="2"/>
            <w:vAlign w:val="center"/>
          </w:tcPr>
          <w:p>
            <w:pPr>
              <w:widowControl/>
              <w:jc w:val="center"/>
              <w:rPr>
                <w:b/>
                <w:bCs/>
                <w:color w:val="000000"/>
                <w:kern w:val="0"/>
                <w:szCs w:val="21"/>
              </w:rPr>
            </w:pPr>
            <w:r>
              <w:rPr>
                <w:rFonts w:hint="eastAsia"/>
                <w:color w:val="000000"/>
                <w:szCs w:val="21"/>
              </w:rPr>
              <w:t>导线对地</w:t>
            </w:r>
            <w:r>
              <w:rPr>
                <w:color w:val="000000"/>
                <w:szCs w:val="21"/>
              </w:rPr>
              <w:t>7</w:t>
            </w:r>
            <w:r>
              <w:rPr>
                <w:rFonts w:hint="eastAsia"/>
                <w:color w:val="000000"/>
                <w:szCs w:val="21"/>
              </w:rPr>
              <w:t>.5</w:t>
            </w:r>
            <w:r>
              <w:rPr>
                <w:color w:val="000000"/>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Merge w:val="continue"/>
            <w:shd w:val="clear" w:color="auto" w:fill="auto"/>
            <w:vAlign w:val="center"/>
          </w:tcPr>
          <w:p>
            <w:pPr>
              <w:widowControl/>
              <w:jc w:val="center"/>
              <w:rPr>
                <w:b/>
                <w:bCs/>
                <w:color w:val="000000"/>
                <w:kern w:val="0"/>
                <w:szCs w:val="21"/>
              </w:rPr>
            </w:pPr>
          </w:p>
        </w:tc>
        <w:tc>
          <w:tcPr>
            <w:tcW w:w="635" w:type="pct"/>
            <w:vMerge w:val="continue"/>
            <w:shd w:val="clear" w:color="auto" w:fill="auto"/>
            <w:vAlign w:val="center"/>
          </w:tcPr>
          <w:p>
            <w:pPr>
              <w:widowControl/>
              <w:jc w:val="center"/>
              <w:rPr>
                <w:b/>
                <w:bCs/>
                <w:color w:val="000000"/>
                <w:kern w:val="0"/>
                <w:szCs w:val="21"/>
              </w:rPr>
            </w:pPr>
          </w:p>
        </w:tc>
        <w:tc>
          <w:tcPr>
            <w:tcW w:w="693" w:type="pct"/>
            <w:shd w:val="clear" w:color="auto" w:fill="auto"/>
            <w:vAlign w:val="center"/>
          </w:tcPr>
          <w:p>
            <w:pPr>
              <w:widowControl/>
              <w:jc w:val="center"/>
              <w:rPr>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5" w:type="pct"/>
            <w:vAlign w:val="center"/>
          </w:tcPr>
          <w:p>
            <w:pPr>
              <w:widowControl/>
              <w:jc w:val="center"/>
              <w:rPr>
                <w:b/>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5" w:type="pct"/>
            <w:vAlign w:val="center"/>
          </w:tcPr>
          <w:p>
            <w:pPr>
              <w:widowControl/>
              <w:jc w:val="center"/>
              <w:rPr>
                <w:b/>
                <w:bCs/>
                <w:color w:val="000000"/>
                <w:kern w:val="0"/>
                <w:szCs w:val="21"/>
              </w:rPr>
            </w:pPr>
            <w:r>
              <w:rPr>
                <w:bCs/>
                <w:color w:val="000000"/>
                <w:kern w:val="0"/>
                <w:szCs w:val="21"/>
              </w:rPr>
              <w:t>地面4.5m</w:t>
            </w:r>
          </w:p>
        </w:tc>
        <w:tc>
          <w:tcPr>
            <w:tcW w:w="625" w:type="pct"/>
            <w:vAlign w:val="center"/>
          </w:tcPr>
          <w:p>
            <w:pPr>
              <w:widowControl/>
              <w:jc w:val="center"/>
              <w:rPr>
                <w:b/>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4" w:type="pct"/>
            <w:vAlign w:val="center"/>
          </w:tcPr>
          <w:p>
            <w:pPr>
              <w:widowControl/>
              <w:jc w:val="center"/>
              <w:rPr>
                <w:b/>
                <w:bCs/>
                <w:color w:val="000000"/>
                <w:kern w:val="0"/>
                <w:szCs w:val="21"/>
              </w:rPr>
            </w:pPr>
            <w:r>
              <w:rPr>
                <w:bCs/>
                <w:color w:val="000000"/>
                <w:kern w:val="0"/>
                <w:szCs w:val="21"/>
              </w:rPr>
              <w:t>地面</w:t>
            </w:r>
            <w:r>
              <w:rPr>
                <w:rFonts w:hint="eastAsia"/>
                <w:bCs/>
                <w:color w:val="000000"/>
                <w:kern w:val="0"/>
                <w:szCs w:val="21"/>
              </w:rPr>
              <w:t>1</w:t>
            </w:r>
            <w:r>
              <w:rPr>
                <w:bCs/>
                <w:color w:val="000000"/>
                <w:kern w:val="0"/>
                <w:szCs w:val="21"/>
              </w:rPr>
              <w:t>.5m</w:t>
            </w:r>
          </w:p>
        </w:tc>
        <w:tc>
          <w:tcPr>
            <w:tcW w:w="624" w:type="pct"/>
            <w:vAlign w:val="center"/>
          </w:tcPr>
          <w:p>
            <w:pPr>
              <w:widowControl/>
              <w:jc w:val="center"/>
              <w:rPr>
                <w:b/>
                <w:bCs/>
                <w:color w:val="000000"/>
                <w:kern w:val="0"/>
                <w:szCs w:val="21"/>
              </w:rPr>
            </w:pPr>
            <w:r>
              <w:rPr>
                <w:bCs/>
                <w:color w:val="000000"/>
                <w:kern w:val="0"/>
                <w:szCs w:val="21"/>
              </w:rPr>
              <w:t>地面4.5m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0.0</w:t>
            </w:r>
          </w:p>
        </w:tc>
        <w:tc>
          <w:tcPr>
            <w:tcW w:w="635" w:type="pct"/>
            <w:vMerge w:val="restart"/>
            <w:vAlign w:val="center"/>
          </w:tcPr>
          <w:p>
            <w:pPr>
              <w:widowControl/>
              <w:jc w:val="center"/>
              <w:rPr>
                <w:b/>
                <w:bCs/>
                <w:color w:val="000000"/>
                <w:kern w:val="0"/>
                <w:szCs w:val="21"/>
              </w:rPr>
            </w:pPr>
            <w:r>
              <w:rPr>
                <w:rFonts w:hint="eastAsia" w:cs="宋体"/>
                <w:color w:val="000000"/>
                <w:kern w:val="0"/>
                <w:szCs w:val="21"/>
                <w:lang w:bidi="ar"/>
              </w:rPr>
              <w:t>边导线内</w:t>
            </w:r>
          </w:p>
        </w:tc>
        <w:tc>
          <w:tcPr>
            <w:tcW w:w="693"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b/>
                <w:color w:val="000000"/>
                <w:szCs w:val="21"/>
              </w:rPr>
            </w:pPr>
            <w:r>
              <w:rPr>
                <w:rFonts w:hint="eastAsia"/>
                <w:b/>
                <w:color w:val="000000"/>
                <w:szCs w:val="21"/>
              </w:rPr>
              <w:t>/</w:t>
            </w:r>
          </w:p>
        </w:tc>
        <w:tc>
          <w:tcPr>
            <w:tcW w:w="624" w:type="pct"/>
            <w:vAlign w:val="bottom"/>
          </w:tcPr>
          <w:p>
            <w:pPr>
              <w:widowControl/>
              <w:jc w:val="center"/>
              <w:textAlignment w:val="bottom"/>
              <w:rPr>
                <w:b/>
                <w:bCs/>
                <w:color w:val="000000"/>
                <w:kern w:val="0"/>
                <w:szCs w:val="21"/>
                <w:lang w:bidi="ar"/>
              </w:rPr>
            </w:pPr>
            <w:r>
              <w:rPr>
                <w:rFonts w:hint="eastAsia"/>
                <w:b/>
                <w:color w:val="000000"/>
                <w:szCs w:val="21"/>
              </w:rPr>
              <w:t>/</w:t>
            </w:r>
          </w:p>
        </w:tc>
        <w:tc>
          <w:tcPr>
            <w:tcW w:w="624" w:type="pct"/>
            <w:vAlign w:val="bottom"/>
          </w:tcPr>
          <w:p>
            <w:pPr>
              <w:widowControl/>
              <w:jc w:val="center"/>
              <w:textAlignment w:val="bottom"/>
              <w:rPr>
                <w:b/>
                <w:bCs/>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3.0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4.0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5.0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szCs w:val="21"/>
              </w:rPr>
            </w:pPr>
            <w:r>
              <w:rPr>
                <w:rFonts w:hint="eastAsia"/>
                <w:color w:val="000000"/>
                <w:szCs w:val="21"/>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kern w:val="0"/>
                <w:szCs w:val="21"/>
                <w:lang w:bidi="ar"/>
              </w:rPr>
              <w:t>/</w:t>
            </w:r>
          </w:p>
        </w:tc>
        <w:tc>
          <w:tcPr>
            <w:tcW w:w="625" w:type="pct"/>
            <w:vAlign w:val="bottom"/>
          </w:tcPr>
          <w:p>
            <w:pPr>
              <w:widowControl/>
              <w:jc w:val="center"/>
              <w:textAlignment w:val="bottom"/>
              <w:rPr>
                <w:color w:val="000000"/>
                <w:szCs w:val="21"/>
              </w:rPr>
            </w:pPr>
            <w:r>
              <w:rPr>
                <w:rFonts w:hint="eastAsia"/>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c>
          <w:tcPr>
            <w:tcW w:w="624" w:type="pct"/>
            <w:vAlign w:val="bottom"/>
          </w:tcPr>
          <w:p>
            <w:pPr>
              <w:widowControl/>
              <w:jc w:val="center"/>
              <w:textAlignment w:val="bottom"/>
              <w:rPr>
                <w:color w:val="000000"/>
                <w:kern w:val="0"/>
                <w:szCs w:val="21"/>
                <w:lang w:bidi="ar"/>
              </w:rPr>
            </w:pPr>
            <w:r>
              <w:rPr>
                <w:rFonts w:hint="eastAsia"/>
                <w:b/>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6.0</w:t>
            </w:r>
          </w:p>
        </w:tc>
        <w:tc>
          <w:tcPr>
            <w:tcW w:w="635" w:type="pct"/>
            <w:vMerge w:val="continue"/>
          </w:tcPr>
          <w:p>
            <w:pPr>
              <w:widowControl/>
              <w:jc w:val="center"/>
              <w:rPr>
                <w:b/>
                <w:bCs/>
                <w:color w:val="000000"/>
                <w:kern w:val="0"/>
                <w:szCs w:val="21"/>
              </w:rPr>
            </w:pPr>
          </w:p>
        </w:tc>
        <w:tc>
          <w:tcPr>
            <w:tcW w:w="693" w:type="pct"/>
            <w:vAlign w:val="bottom"/>
          </w:tcPr>
          <w:p>
            <w:pPr>
              <w:widowControl/>
              <w:jc w:val="center"/>
              <w:textAlignment w:val="bottom"/>
              <w:rPr>
                <w:color w:val="000000"/>
                <w:kern w:val="0"/>
                <w:szCs w:val="21"/>
                <w:lang w:bidi="ar"/>
              </w:rPr>
            </w:pPr>
            <w:r>
              <w:rPr>
                <w:color w:val="000000"/>
                <w:kern w:val="0"/>
                <w:szCs w:val="21"/>
                <w:lang w:bidi="ar"/>
              </w:rPr>
              <w:t>5.98</w:t>
            </w:r>
          </w:p>
        </w:tc>
        <w:tc>
          <w:tcPr>
            <w:tcW w:w="1092" w:type="dxa"/>
            <w:vAlign w:val="bottom"/>
          </w:tcPr>
          <w:p>
            <w:pPr>
              <w:widowControl/>
              <w:jc w:val="center"/>
              <w:textAlignment w:val="bottom"/>
              <w:rPr>
                <w:color w:val="000000"/>
                <w:kern w:val="0"/>
                <w:szCs w:val="21"/>
                <w:lang w:bidi="ar"/>
              </w:rPr>
            </w:pPr>
            <w:r>
              <w:rPr>
                <w:color w:val="000000"/>
                <w:kern w:val="0"/>
                <w:szCs w:val="21"/>
                <w:lang w:bidi="ar"/>
              </w:rPr>
              <w:t>4.82</w:t>
            </w:r>
          </w:p>
        </w:tc>
        <w:tc>
          <w:tcPr>
            <w:tcW w:w="1091" w:type="dxa"/>
            <w:vAlign w:val="bottom"/>
          </w:tcPr>
          <w:p>
            <w:pPr>
              <w:widowControl/>
              <w:jc w:val="center"/>
              <w:textAlignment w:val="bottom"/>
              <w:rPr>
                <w:color w:val="000000"/>
                <w:kern w:val="0"/>
                <w:szCs w:val="21"/>
                <w:lang w:bidi="ar"/>
              </w:rPr>
            </w:pPr>
            <w:r>
              <w:rPr>
                <w:color w:val="000000"/>
                <w:kern w:val="0"/>
                <w:szCs w:val="21"/>
                <w:lang w:bidi="ar"/>
              </w:rPr>
              <w:t>8.88</w:t>
            </w:r>
          </w:p>
        </w:tc>
        <w:tc>
          <w:tcPr>
            <w:tcW w:w="1092" w:type="dxa"/>
            <w:vAlign w:val="bottom"/>
          </w:tcPr>
          <w:p>
            <w:pPr>
              <w:widowControl/>
              <w:jc w:val="center"/>
              <w:textAlignment w:val="bottom"/>
              <w:rPr>
                <w:color w:val="000000"/>
                <w:kern w:val="0"/>
                <w:szCs w:val="21"/>
                <w:lang w:bidi="ar"/>
              </w:rPr>
            </w:pPr>
            <w:r>
              <w:rPr>
                <w:b/>
                <w:bCs/>
                <w:color w:val="000000"/>
                <w:kern w:val="0"/>
                <w:szCs w:val="21"/>
                <w:lang w:bidi="ar"/>
              </w:rPr>
              <w:t>60.97</w:t>
            </w:r>
          </w:p>
        </w:tc>
        <w:tc>
          <w:tcPr>
            <w:tcW w:w="1089" w:type="dxa"/>
            <w:vAlign w:val="bottom"/>
          </w:tcPr>
          <w:p>
            <w:pPr>
              <w:widowControl/>
              <w:jc w:val="center"/>
              <w:textAlignment w:val="bottom"/>
              <w:rPr>
                <w:color w:val="000000"/>
                <w:kern w:val="0"/>
                <w:szCs w:val="21"/>
                <w:lang w:bidi="ar"/>
              </w:rPr>
            </w:pPr>
            <w:r>
              <w:rPr>
                <w:b/>
                <w:bCs/>
                <w:color w:val="000000"/>
                <w:kern w:val="0"/>
                <w:szCs w:val="21"/>
                <w:lang w:bidi="ar"/>
              </w:rPr>
              <w:t>49.56</w:t>
            </w:r>
          </w:p>
        </w:tc>
        <w:tc>
          <w:tcPr>
            <w:tcW w:w="1089" w:type="dxa"/>
            <w:vAlign w:val="bottom"/>
          </w:tcPr>
          <w:p>
            <w:pPr>
              <w:widowControl/>
              <w:jc w:val="center"/>
              <w:textAlignment w:val="bottom"/>
              <w:rPr>
                <w:color w:val="000000"/>
                <w:kern w:val="0"/>
                <w:szCs w:val="21"/>
                <w:lang w:bidi="ar"/>
              </w:rPr>
            </w:pPr>
            <w:r>
              <w:rPr>
                <w:color w:val="000000"/>
                <w:kern w:val="0"/>
                <w:szCs w:val="21"/>
                <w:lang w:bidi="ar"/>
              </w:rPr>
              <w:t>99.61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7.0</w:t>
            </w:r>
          </w:p>
        </w:tc>
        <w:tc>
          <w:tcPr>
            <w:tcW w:w="635" w:type="pct"/>
            <w:vMerge w:val="continue"/>
            <w:vAlign w:val="center"/>
          </w:tcPr>
          <w:p>
            <w:pPr>
              <w:widowControl/>
              <w:jc w:val="center"/>
              <w:textAlignment w:val="center"/>
              <w:rPr>
                <w:rFonts w:cs="宋体"/>
                <w:color w:val="000000"/>
                <w:szCs w:val="21"/>
              </w:rPr>
            </w:pPr>
          </w:p>
        </w:tc>
        <w:tc>
          <w:tcPr>
            <w:tcW w:w="693" w:type="pct"/>
            <w:vAlign w:val="bottom"/>
          </w:tcPr>
          <w:p>
            <w:pPr>
              <w:widowControl/>
              <w:jc w:val="center"/>
              <w:textAlignment w:val="bottom"/>
              <w:rPr>
                <w:b/>
                <w:color w:val="000000"/>
                <w:szCs w:val="21"/>
              </w:rPr>
            </w:pPr>
            <w:r>
              <w:rPr>
                <w:color w:val="000000"/>
                <w:kern w:val="0"/>
                <w:szCs w:val="21"/>
                <w:lang w:bidi="ar"/>
              </w:rPr>
              <w:t>6.67</w:t>
            </w:r>
          </w:p>
        </w:tc>
        <w:tc>
          <w:tcPr>
            <w:tcW w:w="1092" w:type="dxa"/>
            <w:vAlign w:val="bottom"/>
          </w:tcPr>
          <w:p>
            <w:pPr>
              <w:widowControl/>
              <w:jc w:val="center"/>
              <w:textAlignment w:val="bottom"/>
              <w:rPr>
                <w:color w:val="000000"/>
                <w:szCs w:val="21"/>
              </w:rPr>
            </w:pPr>
            <w:r>
              <w:rPr>
                <w:color w:val="000000"/>
                <w:kern w:val="0"/>
                <w:szCs w:val="21"/>
                <w:lang w:bidi="ar"/>
              </w:rPr>
              <w:t>5.29</w:t>
            </w:r>
          </w:p>
        </w:tc>
        <w:tc>
          <w:tcPr>
            <w:tcW w:w="1091" w:type="dxa"/>
            <w:vAlign w:val="bottom"/>
          </w:tcPr>
          <w:p>
            <w:pPr>
              <w:widowControl/>
              <w:jc w:val="center"/>
              <w:textAlignment w:val="bottom"/>
              <w:rPr>
                <w:color w:val="000000"/>
                <w:szCs w:val="21"/>
              </w:rPr>
            </w:pPr>
            <w:r>
              <w:rPr>
                <w:color w:val="000000"/>
                <w:kern w:val="0"/>
                <w:szCs w:val="21"/>
                <w:lang w:bidi="ar"/>
              </w:rPr>
              <w:t>9.67</w:t>
            </w:r>
          </w:p>
        </w:tc>
        <w:tc>
          <w:tcPr>
            <w:tcW w:w="1092" w:type="dxa"/>
            <w:vAlign w:val="bottom"/>
          </w:tcPr>
          <w:p>
            <w:pPr>
              <w:widowControl/>
              <w:jc w:val="center"/>
              <w:textAlignment w:val="bottom"/>
              <w:rPr>
                <w:color w:val="000000"/>
                <w:szCs w:val="21"/>
              </w:rPr>
            </w:pPr>
            <w:r>
              <w:rPr>
                <w:color w:val="000000"/>
                <w:kern w:val="0"/>
                <w:szCs w:val="21"/>
                <w:lang w:bidi="ar"/>
              </w:rPr>
              <w:t>58.97</w:t>
            </w:r>
          </w:p>
        </w:tc>
        <w:tc>
          <w:tcPr>
            <w:tcW w:w="1089" w:type="dxa"/>
            <w:vAlign w:val="bottom"/>
          </w:tcPr>
          <w:p>
            <w:pPr>
              <w:widowControl/>
              <w:jc w:val="center"/>
              <w:textAlignment w:val="bottom"/>
              <w:rPr>
                <w:color w:val="000000"/>
                <w:kern w:val="0"/>
                <w:szCs w:val="21"/>
                <w:lang w:bidi="ar"/>
              </w:rPr>
            </w:pPr>
            <w:r>
              <w:rPr>
                <w:color w:val="000000"/>
                <w:kern w:val="0"/>
                <w:szCs w:val="21"/>
                <w:lang w:bidi="ar"/>
              </w:rPr>
              <w:t>47.62</w:t>
            </w:r>
          </w:p>
        </w:tc>
        <w:tc>
          <w:tcPr>
            <w:tcW w:w="1089" w:type="dxa"/>
            <w:vAlign w:val="bottom"/>
          </w:tcPr>
          <w:p>
            <w:pPr>
              <w:widowControl/>
              <w:jc w:val="center"/>
              <w:textAlignment w:val="bottom"/>
              <w:rPr>
                <w:color w:val="000000"/>
                <w:kern w:val="0"/>
                <w:szCs w:val="21"/>
                <w:lang w:bidi="ar"/>
              </w:rPr>
            </w:pPr>
            <w:r>
              <w:rPr>
                <w:b/>
                <w:bCs/>
                <w:color w:val="000000"/>
                <w:kern w:val="0"/>
                <w:szCs w:val="21"/>
                <w:lang w:bidi="ar"/>
              </w:rPr>
              <w:t>101.85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5" w:type="pct"/>
            <w:vAlign w:val="bottom"/>
          </w:tcPr>
          <w:p>
            <w:pPr>
              <w:widowControl/>
              <w:jc w:val="center"/>
              <w:textAlignment w:val="bottom"/>
              <w:rPr>
                <w:color w:val="000000"/>
                <w:szCs w:val="21"/>
              </w:rPr>
            </w:pPr>
            <w:r>
              <w:rPr>
                <w:color w:val="000000"/>
                <w:kern w:val="0"/>
                <w:szCs w:val="21"/>
                <w:lang w:bidi="ar"/>
              </w:rPr>
              <w:t>7.9</w:t>
            </w:r>
          </w:p>
        </w:tc>
        <w:tc>
          <w:tcPr>
            <w:tcW w:w="635" w:type="pct"/>
            <w:vAlign w:val="center"/>
          </w:tcPr>
          <w:p>
            <w:pPr>
              <w:widowControl/>
              <w:jc w:val="center"/>
              <w:textAlignment w:val="center"/>
              <w:rPr>
                <w:rFonts w:cs="宋体"/>
                <w:color w:val="000000"/>
                <w:szCs w:val="21"/>
              </w:rPr>
            </w:pPr>
            <w:r>
              <w:rPr>
                <w:rFonts w:hint="eastAsia" w:cs="宋体"/>
                <w:color w:val="000000"/>
                <w:szCs w:val="21"/>
              </w:rPr>
              <w:t>边导线下</w:t>
            </w:r>
          </w:p>
        </w:tc>
        <w:tc>
          <w:tcPr>
            <w:tcW w:w="693" w:type="pct"/>
            <w:vAlign w:val="bottom"/>
          </w:tcPr>
          <w:p>
            <w:pPr>
              <w:widowControl/>
              <w:jc w:val="center"/>
              <w:textAlignment w:val="bottom"/>
              <w:rPr>
                <w:color w:val="000000"/>
                <w:szCs w:val="21"/>
              </w:rPr>
            </w:pPr>
            <w:r>
              <w:rPr>
                <w:b/>
                <w:bCs/>
                <w:color w:val="000000"/>
                <w:kern w:val="0"/>
                <w:szCs w:val="21"/>
                <w:lang w:bidi="ar"/>
              </w:rPr>
              <w:t>7.02</w:t>
            </w:r>
          </w:p>
        </w:tc>
        <w:tc>
          <w:tcPr>
            <w:tcW w:w="1092" w:type="dxa"/>
            <w:vAlign w:val="bottom"/>
          </w:tcPr>
          <w:p>
            <w:pPr>
              <w:widowControl/>
              <w:jc w:val="center"/>
              <w:textAlignment w:val="bottom"/>
              <w:rPr>
                <w:color w:val="000000"/>
                <w:szCs w:val="21"/>
              </w:rPr>
            </w:pPr>
            <w:r>
              <w:rPr>
                <w:color w:val="000000"/>
                <w:kern w:val="0"/>
                <w:szCs w:val="21"/>
                <w:lang w:bidi="ar"/>
              </w:rPr>
              <w:t>5.55</w:t>
            </w:r>
          </w:p>
        </w:tc>
        <w:tc>
          <w:tcPr>
            <w:tcW w:w="1091" w:type="dxa"/>
            <w:vAlign w:val="bottom"/>
          </w:tcPr>
          <w:p>
            <w:pPr>
              <w:widowControl/>
              <w:jc w:val="center"/>
              <w:textAlignment w:val="bottom"/>
              <w:rPr>
                <w:b/>
                <w:bCs/>
                <w:color w:val="000000"/>
                <w:szCs w:val="21"/>
              </w:rPr>
            </w:pPr>
            <w:r>
              <w:rPr>
                <w:b/>
                <w:bCs/>
                <w:color w:val="000000"/>
                <w:kern w:val="0"/>
                <w:szCs w:val="21"/>
                <w:lang w:bidi="ar"/>
              </w:rPr>
              <w:t>9.84</w:t>
            </w:r>
          </w:p>
        </w:tc>
        <w:tc>
          <w:tcPr>
            <w:tcW w:w="1092" w:type="dxa"/>
            <w:vAlign w:val="bottom"/>
          </w:tcPr>
          <w:p>
            <w:pPr>
              <w:widowControl/>
              <w:jc w:val="center"/>
              <w:textAlignment w:val="bottom"/>
              <w:rPr>
                <w:color w:val="000000"/>
                <w:szCs w:val="21"/>
              </w:rPr>
            </w:pPr>
            <w:r>
              <w:rPr>
                <w:color w:val="000000"/>
                <w:kern w:val="0"/>
                <w:szCs w:val="21"/>
                <w:lang w:bidi="ar"/>
              </w:rPr>
              <w:t>55.86</w:t>
            </w:r>
          </w:p>
        </w:tc>
        <w:tc>
          <w:tcPr>
            <w:tcW w:w="1089" w:type="dxa"/>
            <w:vAlign w:val="bottom"/>
          </w:tcPr>
          <w:p>
            <w:pPr>
              <w:widowControl/>
              <w:jc w:val="center"/>
              <w:textAlignment w:val="bottom"/>
              <w:rPr>
                <w:color w:val="000000"/>
                <w:kern w:val="0"/>
                <w:szCs w:val="21"/>
                <w:lang w:bidi="ar"/>
              </w:rPr>
            </w:pPr>
            <w:r>
              <w:rPr>
                <w:color w:val="000000"/>
                <w:kern w:val="0"/>
                <w:szCs w:val="21"/>
                <w:lang w:bidi="ar"/>
              </w:rPr>
              <w:t>45.15</w:t>
            </w:r>
          </w:p>
        </w:tc>
        <w:tc>
          <w:tcPr>
            <w:tcW w:w="1089" w:type="dxa"/>
            <w:vAlign w:val="bottom"/>
          </w:tcPr>
          <w:p>
            <w:pPr>
              <w:widowControl/>
              <w:jc w:val="center"/>
              <w:textAlignment w:val="bottom"/>
              <w:rPr>
                <w:color w:val="000000"/>
                <w:kern w:val="0"/>
                <w:szCs w:val="21"/>
                <w:lang w:bidi="ar"/>
              </w:rPr>
            </w:pPr>
            <w:r>
              <w:rPr>
                <w:color w:val="000000"/>
                <w:kern w:val="0"/>
                <w:szCs w:val="21"/>
                <w:lang w:bidi="ar"/>
              </w:rPr>
              <w:t>97.97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8.9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w:t>
            </w:r>
          </w:p>
        </w:tc>
        <w:tc>
          <w:tcPr>
            <w:tcW w:w="693" w:type="pct"/>
            <w:vAlign w:val="bottom"/>
          </w:tcPr>
          <w:p>
            <w:pPr>
              <w:widowControl/>
              <w:jc w:val="center"/>
              <w:textAlignment w:val="bottom"/>
              <w:rPr>
                <w:color w:val="000000"/>
                <w:szCs w:val="21"/>
              </w:rPr>
            </w:pPr>
            <w:r>
              <w:rPr>
                <w:color w:val="000000"/>
                <w:kern w:val="0"/>
                <w:szCs w:val="21"/>
                <w:lang w:bidi="ar"/>
              </w:rPr>
              <w:t>6.97</w:t>
            </w:r>
          </w:p>
        </w:tc>
        <w:tc>
          <w:tcPr>
            <w:tcW w:w="1092" w:type="dxa"/>
            <w:vAlign w:val="bottom"/>
          </w:tcPr>
          <w:p>
            <w:pPr>
              <w:widowControl/>
              <w:jc w:val="center"/>
              <w:textAlignment w:val="bottom"/>
              <w:rPr>
                <w:b/>
                <w:color w:val="000000"/>
                <w:szCs w:val="21"/>
              </w:rPr>
            </w:pPr>
            <w:r>
              <w:rPr>
                <w:b/>
                <w:bCs/>
                <w:color w:val="000000"/>
                <w:kern w:val="0"/>
                <w:szCs w:val="21"/>
                <w:lang w:bidi="ar"/>
              </w:rPr>
              <w:t>5.58</w:t>
            </w:r>
          </w:p>
        </w:tc>
        <w:tc>
          <w:tcPr>
            <w:tcW w:w="1091" w:type="dxa"/>
            <w:vAlign w:val="bottom"/>
          </w:tcPr>
          <w:p>
            <w:pPr>
              <w:widowControl/>
              <w:jc w:val="center"/>
              <w:textAlignment w:val="bottom"/>
              <w:rPr>
                <w:b/>
                <w:color w:val="000000"/>
                <w:szCs w:val="21"/>
              </w:rPr>
            </w:pPr>
            <w:r>
              <w:rPr>
                <w:color w:val="000000"/>
                <w:kern w:val="0"/>
                <w:szCs w:val="21"/>
                <w:lang w:bidi="ar"/>
              </w:rPr>
              <w:t>9.1</w:t>
            </w:r>
          </w:p>
        </w:tc>
        <w:tc>
          <w:tcPr>
            <w:tcW w:w="1092" w:type="dxa"/>
            <w:vAlign w:val="bottom"/>
          </w:tcPr>
          <w:p>
            <w:pPr>
              <w:widowControl/>
              <w:jc w:val="center"/>
              <w:textAlignment w:val="bottom"/>
              <w:rPr>
                <w:color w:val="000000"/>
                <w:szCs w:val="21"/>
              </w:rPr>
            </w:pPr>
            <w:r>
              <w:rPr>
                <w:color w:val="000000"/>
                <w:kern w:val="0"/>
                <w:szCs w:val="21"/>
                <w:lang w:bidi="ar"/>
              </w:rPr>
              <w:t>50.98</w:t>
            </w:r>
          </w:p>
        </w:tc>
        <w:tc>
          <w:tcPr>
            <w:tcW w:w="1089" w:type="dxa"/>
            <w:vAlign w:val="bottom"/>
          </w:tcPr>
          <w:p>
            <w:pPr>
              <w:widowControl/>
              <w:jc w:val="center"/>
              <w:textAlignment w:val="bottom"/>
              <w:rPr>
                <w:b/>
                <w:color w:val="000000"/>
                <w:kern w:val="0"/>
                <w:szCs w:val="21"/>
                <w:lang w:bidi="ar"/>
              </w:rPr>
            </w:pPr>
            <w:r>
              <w:rPr>
                <w:color w:val="000000"/>
                <w:kern w:val="0"/>
                <w:szCs w:val="21"/>
                <w:lang w:bidi="ar"/>
              </w:rPr>
              <w:t>41.65</w:t>
            </w:r>
          </w:p>
        </w:tc>
        <w:tc>
          <w:tcPr>
            <w:tcW w:w="1089" w:type="dxa"/>
            <w:vAlign w:val="bottom"/>
          </w:tcPr>
          <w:p>
            <w:pPr>
              <w:widowControl/>
              <w:jc w:val="center"/>
              <w:textAlignment w:val="bottom"/>
              <w:rPr>
                <w:b/>
                <w:color w:val="000000"/>
                <w:kern w:val="0"/>
                <w:szCs w:val="21"/>
                <w:lang w:bidi="ar"/>
              </w:rPr>
            </w:pPr>
            <w:r>
              <w:rPr>
                <w:color w:val="000000"/>
                <w:kern w:val="0"/>
                <w:szCs w:val="21"/>
                <w:lang w:bidi="ar"/>
              </w:rPr>
              <w:t>85.69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9.9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w:t>
            </w:r>
          </w:p>
        </w:tc>
        <w:tc>
          <w:tcPr>
            <w:tcW w:w="693" w:type="pct"/>
            <w:vAlign w:val="bottom"/>
          </w:tcPr>
          <w:p>
            <w:pPr>
              <w:widowControl/>
              <w:jc w:val="center"/>
              <w:textAlignment w:val="bottom"/>
              <w:rPr>
                <w:color w:val="000000"/>
                <w:szCs w:val="21"/>
              </w:rPr>
            </w:pPr>
            <w:r>
              <w:rPr>
                <w:color w:val="000000"/>
                <w:kern w:val="0"/>
                <w:szCs w:val="21"/>
                <w:lang w:bidi="ar"/>
              </w:rPr>
              <w:t>6.52</w:t>
            </w:r>
          </w:p>
        </w:tc>
        <w:tc>
          <w:tcPr>
            <w:tcW w:w="1092" w:type="dxa"/>
            <w:vAlign w:val="bottom"/>
          </w:tcPr>
          <w:p>
            <w:pPr>
              <w:widowControl/>
              <w:jc w:val="center"/>
              <w:textAlignment w:val="bottom"/>
              <w:rPr>
                <w:color w:val="000000"/>
                <w:szCs w:val="21"/>
              </w:rPr>
            </w:pPr>
            <w:r>
              <w:rPr>
                <w:color w:val="000000"/>
                <w:kern w:val="0"/>
                <w:szCs w:val="21"/>
                <w:lang w:bidi="ar"/>
              </w:rPr>
              <w:t>5.35</w:t>
            </w:r>
          </w:p>
        </w:tc>
        <w:tc>
          <w:tcPr>
            <w:tcW w:w="1091" w:type="dxa"/>
            <w:vAlign w:val="bottom"/>
          </w:tcPr>
          <w:p>
            <w:pPr>
              <w:widowControl/>
              <w:jc w:val="center"/>
              <w:textAlignment w:val="bottom"/>
              <w:rPr>
                <w:color w:val="000000"/>
                <w:szCs w:val="21"/>
              </w:rPr>
            </w:pPr>
            <w:r>
              <w:rPr>
                <w:color w:val="000000"/>
                <w:kern w:val="0"/>
                <w:szCs w:val="21"/>
                <w:lang w:bidi="ar"/>
              </w:rPr>
              <w:t>7.76</w:t>
            </w:r>
          </w:p>
        </w:tc>
        <w:tc>
          <w:tcPr>
            <w:tcW w:w="1092" w:type="dxa"/>
            <w:vAlign w:val="bottom"/>
          </w:tcPr>
          <w:p>
            <w:pPr>
              <w:widowControl/>
              <w:jc w:val="center"/>
              <w:textAlignment w:val="bottom"/>
              <w:rPr>
                <w:color w:val="000000"/>
                <w:szCs w:val="21"/>
              </w:rPr>
            </w:pPr>
            <w:r>
              <w:rPr>
                <w:color w:val="000000"/>
                <w:kern w:val="0"/>
                <w:szCs w:val="21"/>
                <w:lang w:bidi="ar"/>
              </w:rPr>
              <w:t>45.17</w:t>
            </w:r>
          </w:p>
        </w:tc>
        <w:tc>
          <w:tcPr>
            <w:tcW w:w="1089" w:type="dxa"/>
            <w:vAlign w:val="bottom"/>
          </w:tcPr>
          <w:p>
            <w:pPr>
              <w:widowControl/>
              <w:jc w:val="center"/>
              <w:textAlignment w:val="bottom"/>
              <w:rPr>
                <w:color w:val="000000"/>
                <w:kern w:val="0"/>
                <w:szCs w:val="21"/>
                <w:lang w:bidi="ar"/>
              </w:rPr>
            </w:pPr>
            <w:r>
              <w:rPr>
                <w:color w:val="000000"/>
                <w:kern w:val="0"/>
                <w:szCs w:val="21"/>
                <w:lang w:bidi="ar"/>
              </w:rPr>
              <w:t>37.63</w:t>
            </w:r>
          </w:p>
        </w:tc>
        <w:tc>
          <w:tcPr>
            <w:tcW w:w="1089" w:type="dxa"/>
            <w:vAlign w:val="bottom"/>
          </w:tcPr>
          <w:p>
            <w:pPr>
              <w:widowControl/>
              <w:jc w:val="center"/>
              <w:textAlignment w:val="bottom"/>
              <w:rPr>
                <w:color w:val="000000"/>
                <w:kern w:val="0"/>
                <w:szCs w:val="21"/>
                <w:lang w:bidi="ar"/>
              </w:rPr>
            </w:pPr>
            <w:r>
              <w:rPr>
                <w:color w:val="000000"/>
                <w:kern w:val="0"/>
                <w:szCs w:val="21"/>
                <w:lang w:bidi="ar"/>
              </w:rPr>
              <w:t>69.85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10.9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3</w:t>
            </w:r>
          </w:p>
        </w:tc>
        <w:tc>
          <w:tcPr>
            <w:tcW w:w="693" w:type="pct"/>
            <w:vAlign w:val="bottom"/>
          </w:tcPr>
          <w:p>
            <w:pPr>
              <w:widowControl/>
              <w:jc w:val="center"/>
              <w:textAlignment w:val="bottom"/>
              <w:rPr>
                <w:color w:val="000000"/>
                <w:szCs w:val="21"/>
              </w:rPr>
            </w:pPr>
            <w:r>
              <w:rPr>
                <w:color w:val="000000"/>
                <w:kern w:val="0"/>
                <w:szCs w:val="21"/>
                <w:lang w:bidi="ar"/>
              </w:rPr>
              <w:t>5.82</w:t>
            </w:r>
          </w:p>
        </w:tc>
        <w:tc>
          <w:tcPr>
            <w:tcW w:w="1092" w:type="dxa"/>
            <w:vAlign w:val="bottom"/>
          </w:tcPr>
          <w:p>
            <w:pPr>
              <w:widowControl/>
              <w:jc w:val="center"/>
              <w:textAlignment w:val="bottom"/>
              <w:rPr>
                <w:color w:val="000000"/>
                <w:szCs w:val="21"/>
              </w:rPr>
            </w:pPr>
            <w:r>
              <w:rPr>
                <w:color w:val="000000"/>
                <w:kern w:val="0"/>
                <w:szCs w:val="21"/>
                <w:lang w:bidi="ar"/>
              </w:rPr>
              <w:t>4.94</w:t>
            </w:r>
          </w:p>
        </w:tc>
        <w:tc>
          <w:tcPr>
            <w:tcW w:w="1091" w:type="dxa"/>
            <w:vAlign w:val="bottom"/>
          </w:tcPr>
          <w:p>
            <w:pPr>
              <w:widowControl/>
              <w:jc w:val="center"/>
              <w:textAlignment w:val="bottom"/>
              <w:rPr>
                <w:color w:val="000000"/>
                <w:szCs w:val="21"/>
              </w:rPr>
            </w:pPr>
            <w:r>
              <w:rPr>
                <w:color w:val="000000"/>
                <w:kern w:val="0"/>
                <w:szCs w:val="21"/>
                <w:lang w:bidi="ar"/>
              </w:rPr>
              <w:t>6.37</w:t>
            </w:r>
          </w:p>
        </w:tc>
        <w:tc>
          <w:tcPr>
            <w:tcW w:w="1092" w:type="dxa"/>
            <w:vAlign w:val="bottom"/>
          </w:tcPr>
          <w:p>
            <w:pPr>
              <w:widowControl/>
              <w:jc w:val="center"/>
              <w:textAlignment w:val="bottom"/>
              <w:rPr>
                <w:color w:val="000000"/>
                <w:szCs w:val="21"/>
              </w:rPr>
            </w:pPr>
            <w:r>
              <w:rPr>
                <w:color w:val="000000"/>
                <w:kern w:val="0"/>
                <w:szCs w:val="21"/>
                <w:lang w:bidi="ar"/>
              </w:rPr>
              <w:t>39.23</w:t>
            </w:r>
          </w:p>
        </w:tc>
        <w:tc>
          <w:tcPr>
            <w:tcW w:w="1089" w:type="dxa"/>
            <w:vAlign w:val="bottom"/>
          </w:tcPr>
          <w:p>
            <w:pPr>
              <w:widowControl/>
              <w:jc w:val="center"/>
              <w:textAlignment w:val="bottom"/>
              <w:rPr>
                <w:color w:val="000000"/>
                <w:kern w:val="0"/>
                <w:szCs w:val="21"/>
                <w:lang w:bidi="ar"/>
              </w:rPr>
            </w:pPr>
            <w:r>
              <w:rPr>
                <w:color w:val="000000"/>
                <w:kern w:val="0"/>
                <w:szCs w:val="21"/>
                <w:lang w:bidi="ar"/>
              </w:rPr>
              <w:t>33.47</w:t>
            </w:r>
          </w:p>
        </w:tc>
        <w:tc>
          <w:tcPr>
            <w:tcW w:w="1089" w:type="dxa"/>
            <w:vAlign w:val="bottom"/>
          </w:tcPr>
          <w:p>
            <w:pPr>
              <w:widowControl/>
              <w:jc w:val="center"/>
              <w:textAlignment w:val="bottom"/>
              <w:rPr>
                <w:color w:val="000000"/>
                <w:kern w:val="0"/>
                <w:szCs w:val="21"/>
                <w:lang w:bidi="ar"/>
              </w:rPr>
            </w:pPr>
            <w:r>
              <w:rPr>
                <w:color w:val="000000"/>
                <w:kern w:val="0"/>
                <w:szCs w:val="21"/>
                <w:lang w:bidi="ar"/>
              </w:rPr>
              <w:t>55.53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11.9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4</w:t>
            </w:r>
          </w:p>
        </w:tc>
        <w:tc>
          <w:tcPr>
            <w:tcW w:w="693" w:type="pct"/>
            <w:vAlign w:val="bottom"/>
          </w:tcPr>
          <w:p>
            <w:pPr>
              <w:widowControl/>
              <w:jc w:val="center"/>
              <w:textAlignment w:val="bottom"/>
              <w:rPr>
                <w:color w:val="000000"/>
                <w:szCs w:val="21"/>
              </w:rPr>
            </w:pPr>
            <w:r>
              <w:rPr>
                <w:color w:val="000000"/>
                <w:kern w:val="0"/>
                <w:szCs w:val="21"/>
                <w:lang w:bidi="ar"/>
              </w:rPr>
              <w:t>5.04</w:t>
            </w:r>
          </w:p>
        </w:tc>
        <w:tc>
          <w:tcPr>
            <w:tcW w:w="1092" w:type="dxa"/>
            <w:vAlign w:val="bottom"/>
          </w:tcPr>
          <w:p>
            <w:pPr>
              <w:widowControl/>
              <w:jc w:val="center"/>
              <w:textAlignment w:val="bottom"/>
              <w:rPr>
                <w:color w:val="000000"/>
                <w:szCs w:val="21"/>
              </w:rPr>
            </w:pPr>
            <w:r>
              <w:rPr>
                <w:color w:val="000000"/>
                <w:kern w:val="0"/>
                <w:szCs w:val="21"/>
                <w:lang w:bidi="ar"/>
              </w:rPr>
              <w:t>4.42</w:t>
            </w:r>
          </w:p>
        </w:tc>
        <w:tc>
          <w:tcPr>
            <w:tcW w:w="1091" w:type="dxa"/>
            <w:vAlign w:val="bottom"/>
          </w:tcPr>
          <w:p>
            <w:pPr>
              <w:widowControl/>
              <w:jc w:val="center"/>
              <w:textAlignment w:val="bottom"/>
              <w:rPr>
                <w:color w:val="000000"/>
                <w:szCs w:val="21"/>
              </w:rPr>
            </w:pPr>
            <w:r>
              <w:rPr>
                <w:color w:val="000000"/>
                <w:kern w:val="0"/>
                <w:szCs w:val="21"/>
                <w:lang w:bidi="ar"/>
              </w:rPr>
              <w:t>5.2</w:t>
            </w:r>
          </w:p>
        </w:tc>
        <w:tc>
          <w:tcPr>
            <w:tcW w:w="1092" w:type="dxa"/>
            <w:vAlign w:val="bottom"/>
          </w:tcPr>
          <w:p>
            <w:pPr>
              <w:widowControl/>
              <w:jc w:val="center"/>
              <w:textAlignment w:val="bottom"/>
              <w:rPr>
                <w:color w:val="000000"/>
                <w:szCs w:val="21"/>
              </w:rPr>
            </w:pPr>
            <w:r>
              <w:rPr>
                <w:color w:val="000000"/>
                <w:kern w:val="0"/>
                <w:szCs w:val="21"/>
                <w:lang w:bidi="ar"/>
              </w:rPr>
              <w:t>33.74</w:t>
            </w:r>
          </w:p>
        </w:tc>
        <w:tc>
          <w:tcPr>
            <w:tcW w:w="1089" w:type="dxa"/>
            <w:vAlign w:val="bottom"/>
          </w:tcPr>
          <w:p>
            <w:pPr>
              <w:widowControl/>
              <w:jc w:val="center"/>
              <w:textAlignment w:val="bottom"/>
              <w:rPr>
                <w:color w:val="000000"/>
                <w:kern w:val="0"/>
                <w:szCs w:val="21"/>
                <w:lang w:bidi="ar"/>
              </w:rPr>
            </w:pPr>
            <w:r>
              <w:rPr>
                <w:color w:val="000000"/>
                <w:kern w:val="0"/>
                <w:szCs w:val="21"/>
                <w:lang w:bidi="ar"/>
              </w:rPr>
              <w:t>29.47</w:t>
            </w:r>
          </w:p>
        </w:tc>
        <w:tc>
          <w:tcPr>
            <w:tcW w:w="1089" w:type="dxa"/>
            <w:vAlign w:val="bottom"/>
          </w:tcPr>
          <w:p>
            <w:pPr>
              <w:widowControl/>
              <w:jc w:val="center"/>
              <w:textAlignment w:val="bottom"/>
              <w:rPr>
                <w:color w:val="000000"/>
                <w:kern w:val="0"/>
                <w:szCs w:val="21"/>
                <w:lang w:bidi="ar"/>
              </w:rPr>
            </w:pPr>
            <w:r>
              <w:rPr>
                <w:color w:val="000000"/>
                <w:kern w:val="0"/>
                <w:szCs w:val="21"/>
                <w:lang w:bidi="ar"/>
              </w:rPr>
              <w:t>44.32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12.9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5</w:t>
            </w:r>
          </w:p>
        </w:tc>
        <w:tc>
          <w:tcPr>
            <w:tcW w:w="693" w:type="pct"/>
            <w:vAlign w:val="bottom"/>
          </w:tcPr>
          <w:p>
            <w:pPr>
              <w:widowControl/>
              <w:jc w:val="center"/>
              <w:textAlignment w:val="bottom"/>
              <w:rPr>
                <w:color w:val="000000"/>
                <w:szCs w:val="21"/>
              </w:rPr>
            </w:pPr>
            <w:r>
              <w:rPr>
                <w:color w:val="000000"/>
                <w:kern w:val="0"/>
                <w:szCs w:val="21"/>
                <w:lang w:bidi="ar"/>
              </w:rPr>
              <w:t>4.28</w:t>
            </w:r>
          </w:p>
        </w:tc>
        <w:tc>
          <w:tcPr>
            <w:tcW w:w="1092" w:type="dxa"/>
            <w:vAlign w:val="bottom"/>
          </w:tcPr>
          <w:p>
            <w:pPr>
              <w:widowControl/>
              <w:jc w:val="center"/>
              <w:textAlignment w:val="bottom"/>
              <w:rPr>
                <w:color w:val="000000"/>
                <w:szCs w:val="21"/>
              </w:rPr>
            </w:pPr>
            <w:r>
              <w:rPr>
                <w:color w:val="000000"/>
                <w:kern w:val="0"/>
                <w:szCs w:val="21"/>
                <w:lang w:bidi="ar"/>
              </w:rPr>
              <w:t>3.88</w:t>
            </w:r>
          </w:p>
        </w:tc>
        <w:tc>
          <w:tcPr>
            <w:tcW w:w="1091" w:type="dxa"/>
            <w:vAlign w:val="bottom"/>
          </w:tcPr>
          <w:p>
            <w:pPr>
              <w:widowControl/>
              <w:jc w:val="center"/>
              <w:textAlignment w:val="bottom"/>
              <w:rPr>
                <w:color w:val="000000"/>
                <w:szCs w:val="21"/>
              </w:rPr>
            </w:pPr>
            <w:r>
              <w:rPr>
                <w:color w:val="000000"/>
                <w:kern w:val="0"/>
                <w:szCs w:val="21"/>
                <w:lang w:bidi="ar"/>
              </w:rPr>
              <w:t>4.26</w:t>
            </w:r>
          </w:p>
        </w:tc>
        <w:tc>
          <w:tcPr>
            <w:tcW w:w="1092" w:type="dxa"/>
            <w:vAlign w:val="bottom"/>
          </w:tcPr>
          <w:p>
            <w:pPr>
              <w:widowControl/>
              <w:jc w:val="center"/>
              <w:textAlignment w:val="bottom"/>
              <w:rPr>
                <w:color w:val="000000"/>
                <w:szCs w:val="21"/>
              </w:rPr>
            </w:pPr>
            <w:r>
              <w:rPr>
                <w:color w:val="000000"/>
                <w:kern w:val="0"/>
                <w:szCs w:val="21"/>
                <w:lang w:bidi="ar"/>
              </w:rPr>
              <w:t>28.95</w:t>
            </w:r>
          </w:p>
        </w:tc>
        <w:tc>
          <w:tcPr>
            <w:tcW w:w="1089" w:type="dxa"/>
            <w:vAlign w:val="bottom"/>
          </w:tcPr>
          <w:p>
            <w:pPr>
              <w:widowControl/>
              <w:jc w:val="center"/>
              <w:textAlignment w:val="bottom"/>
              <w:rPr>
                <w:color w:val="000000"/>
                <w:kern w:val="0"/>
                <w:szCs w:val="21"/>
                <w:lang w:bidi="ar"/>
              </w:rPr>
            </w:pPr>
            <w:r>
              <w:rPr>
                <w:color w:val="000000"/>
                <w:kern w:val="0"/>
                <w:szCs w:val="21"/>
                <w:lang w:bidi="ar"/>
              </w:rPr>
              <w:t>25.84</w:t>
            </w:r>
          </w:p>
        </w:tc>
        <w:tc>
          <w:tcPr>
            <w:tcW w:w="1089" w:type="dxa"/>
            <w:vAlign w:val="bottom"/>
          </w:tcPr>
          <w:p>
            <w:pPr>
              <w:widowControl/>
              <w:jc w:val="center"/>
              <w:textAlignment w:val="bottom"/>
              <w:rPr>
                <w:color w:val="000000"/>
                <w:kern w:val="0"/>
                <w:szCs w:val="21"/>
                <w:lang w:bidi="ar"/>
              </w:rPr>
            </w:pPr>
            <w:r>
              <w:rPr>
                <w:color w:val="000000"/>
                <w:kern w:val="0"/>
                <w:szCs w:val="21"/>
                <w:lang w:bidi="ar"/>
              </w:rPr>
              <w:t>35.9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13.9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6</w:t>
            </w:r>
          </w:p>
        </w:tc>
        <w:tc>
          <w:tcPr>
            <w:tcW w:w="693" w:type="pct"/>
            <w:vAlign w:val="bottom"/>
          </w:tcPr>
          <w:p>
            <w:pPr>
              <w:widowControl/>
              <w:jc w:val="center"/>
              <w:textAlignment w:val="bottom"/>
              <w:rPr>
                <w:color w:val="000000"/>
                <w:szCs w:val="21"/>
              </w:rPr>
            </w:pPr>
            <w:r>
              <w:rPr>
                <w:color w:val="000000"/>
                <w:kern w:val="0"/>
                <w:szCs w:val="21"/>
                <w:lang w:bidi="ar"/>
              </w:rPr>
              <w:t>3.61</w:t>
            </w:r>
          </w:p>
        </w:tc>
        <w:tc>
          <w:tcPr>
            <w:tcW w:w="1092" w:type="dxa"/>
            <w:vAlign w:val="bottom"/>
          </w:tcPr>
          <w:p>
            <w:pPr>
              <w:widowControl/>
              <w:jc w:val="center"/>
              <w:textAlignment w:val="bottom"/>
              <w:rPr>
                <w:color w:val="000000"/>
                <w:szCs w:val="21"/>
              </w:rPr>
            </w:pPr>
            <w:r>
              <w:rPr>
                <w:color w:val="000000"/>
                <w:kern w:val="0"/>
                <w:szCs w:val="21"/>
                <w:lang w:bidi="ar"/>
              </w:rPr>
              <w:t>3.37</w:t>
            </w:r>
          </w:p>
        </w:tc>
        <w:tc>
          <w:tcPr>
            <w:tcW w:w="1091" w:type="dxa"/>
            <w:vAlign w:val="bottom"/>
          </w:tcPr>
          <w:p>
            <w:pPr>
              <w:widowControl/>
              <w:jc w:val="center"/>
              <w:textAlignment w:val="bottom"/>
              <w:rPr>
                <w:color w:val="000000"/>
                <w:szCs w:val="21"/>
              </w:rPr>
            </w:pPr>
            <w:r>
              <w:rPr>
                <w:color w:val="000000"/>
                <w:kern w:val="0"/>
                <w:szCs w:val="21"/>
                <w:lang w:bidi="ar"/>
              </w:rPr>
              <w:t>3.53</w:t>
            </w:r>
          </w:p>
        </w:tc>
        <w:tc>
          <w:tcPr>
            <w:tcW w:w="1092" w:type="dxa"/>
            <w:vAlign w:val="bottom"/>
          </w:tcPr>
          <w:p>
            <w:pPr>
              <w:widowControl/>
              <w:jc w:val="center"/>
              <w:textAlignment w:val="bottom"/>
              <w:rPr>
                <w:color w:val="000000"/>
                <w:szCs w:val="21"/>
              </w:rPr>
            </w:pPr>
            <w:r>
              <w:rPr>
                <w:color w:val="000000"/>
                <w:kern w:val="0"/>
                <w:szCs w:val="21"/>
                <w:lang w:bidi="ar"/>
              </w:rPr>
              <w:t>24.92</w:t>
            </w:r>
          </w:p>
        </w:tc>
        <w:tc>
          <w:tcPr>
            <w:tcW w:w="1089" w:type="dxa"/>
            <w:vAlign w:val="bottom"/>
          </w:tcPr>
          <w:p>
            <w:pPr>
              <w:widowControl/>
              <w:jc w:val="center"/>
              <w:textAlignment w:val="bottom"/>
              <w:rPr>
                <w:color w:val="000000"/>
                <w:kern w:val="0"/>
                <w:szCs w:val="21"/>
                <w:lang w:bidi="ar"/>
              </w:rPr>
            </w:pPr>
            <w:r>
              <w:rPr>
                <w:color w:val="000000"/>
                <w:kern w:val="0"/>
                <w:szCs w:val="21"/>
                <w:lang w:bidi="ar"/>
              </w:rPr>
              <w:t>22.64</w:t>
            </w:r>
          </w:p>
        </w:tc>
        <w:tc>
          <w:tcPr>
            <w:tcW w:w="1089" w:type="dxa"/>
            <w:vAlign w:val="bottom"/>
          </w:tcPr>
          <w:p>
            <w:pPr>
              <w:widowControl/>
              <w:jc w:val="center"/>
              <w:textAlignment w:val="bottom"/>
              <w:rPr>
                <w:color w:val="000000"/>
                <w:kern w:val="0"/>
                <w:szCs w:val="21"/>
                <w:lang w:bidi="ar"/>
              </w:rPr>
            </w:pPr>
            <w:r>
              <w:rPr>
                <w:color w:val="000000"/>
                <w:kern w:val="0"/>
                <w:szCs w:val="21"/>
                <w:lang w:bidi="ar"/>
              </w:rPr>
              <w:t>29.59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14.9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szCs w:val="21"/>
              </w:rPr>
              <w:t>7</w:t>
            </w:r>
          </w:p>
        </w:tc>
        <w:tc>
          <w:tcPr>
            <w:tcW w:w="693" w:type="pct"/>
            <w:vAlign w:val="bottom"/>
          </w:tcPr>
          <w:p>
            <w:pPr>
              <w:widowControl/>
              <w:jc w:val="center"/>
              <w:textAlignment w:val="bottom"/>
              <w:rPr>
                <w:color w:val="000000"/>
                <w:szCs w:val="21"/>
              </w:rPr>
            </w:pPr>
            <w:r>
              <w:rPr>
                <w:color w:val="000000"/>
                <w:kern w:val="0"/>
                <w:szCs w:val="21"/>
                <w:lang w:bidi="ar"/>
              </w:rPr>
              <w:t>3.03</w:t>
            </w:r>
          </w:p>
        </w:tc>
        <w:tc>
          <w:tcPr>
            <w:tcW w:w="1092" w:type="dxa"/>
            <w:vAlign w:val="bottom"/>
          </w:tcPr>
          <w:p>
            <w:pPr>
              <w:widowControl/>
              <w:jc w:val="center"/>
              <w:textAlignment w:val="bottom"/>
              <w:rPr>
                <w:color w:val="000000"/>
                <w:szCs w:val="21"/>
              </w:rPr>
            </w:pPr>
            <w:r>
              <w:rPr>
                <w:color w:val="000000"/>
                <w:kern w:val="0"/>
                <w:szCs w:val="21"/>
                <w:lang w:bidi="ar"/>
              </w:rPr>
              <w:t>2.91</w:t>
            </w:r>
          </w:p>
        </w:tc>
        <w:tc>
          <w:tcPr>
            <w:tcW w:w="1091" w:type="dxa"/>
            <w:vAlign w:val="bottom"/>
          </w:tcPr>
          <w:p>
            <w:pPr>
              <w:widowControl/>
              <w:jc w:val="center"/>
              <w:textAlignment w:val="bottom"/>
              <w:rPr>
                <w:color w:val="000000"/>
                <w:szCs w:val="21"/>
              </w:rPr>
            </w:pPr>
            <w:r>
              <w:rPr>
                <w:color w:val="000000"/>
                <w:kern w:val="0"/>
                <w:szCs w:val="21"/>
                <w:lang w:bidi="ar"/>
              </w:rPr>
              <w:t>2.94</w:t>
            </w:r>
          </w:p>
        </w:tc>
        <w:tc>
          <w:tcPr>
            <w:tcW w:w="1092" w:type="dxa"/>
            <w:vAlign w:val="bottom"/>
          </w:tcPr>
          <w:p>
            <w:pPr>
              <w:widowControl/>
              <w:jc w:val="center"/>
              <w:textAlignment w:val="bottom"/>
              <w:rPr>
                <w:color w:val="000000"/>
                <w:szCs w:val="21"/>
              </w:rPr>
            </w:pPr>
            <w:r>
              <w:rPr>
                <w:color w:val="000000"/>
                <w:kern w:val="0"/>
                <w:szCs w:val="21"/>
                <w:lang w:bidi="ar"/>
              </w:rPr>
              <w:t>21.57</w:t>
            </w:r>
          </w:p>
        </w:tc>
        <w:tc>
          <w:tcPr>
            <w:tcW w:w="1089" w:type="dxa"/>
            <w:vAlign w:val="bottom"/>
          </w:tcPr>
          <w:p>
            <w:pPr>
              <w:widowControl/>
              <w:jc w:val="center"/>
              <w:textAlignment w:val="bottom"/>
              <w:rPr>
                <w:color w:val="000000"/>
                <w:kern w:val="0"/>
                <w:szCs w:val="21"/>
                <w:lang w:bidi="ar"/>
              </w:rPr>
            </w:pPr>
            <w:r>
              <w:rPr>
                <w:color w:val="000000"/>
                <w:kern w:val="0"/>
                <w:szCs w:val="21"/>
                <w:lang w:bidi="ar"/>
              </w:rPr>
              <w:t>19.89</w:t>
            </w:r>
          </w:p>
        </w:tc>
        <w:tc>
          <w:tcPr>
            <w:tcW w:w="1089" w:type="dxa"/>
            <w:vAlign w:val="bottom"/>
          </w:tcPr>
          <w:p>
            <w:pPr>
              <w:widowControl/>
              <w:jc w:val="center"/>
              <w:textAlignment w:val="bottom"/>
              <w:rPr>
                <w:color w:val="000000"/>
                <w:kern w:val="0"/>
                <w:szCs w:val="21"/>
                <w:lang w:bidi="ar"/>
              </w:rPr>
            </w:pPr>
            <w:r>
              <w:rPr>
                <w:color w:val="000000"/>
                <w:kern w:val="0"/>
                <w:szCs w:val="21"/>
                <w:lang w:bidi="ar"/>
              </w:rPr>
              <w:t>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15.9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8</w:t>
            </w:r>
          </w:p>
        </w:tc>
        <w:tc>
          <w:tcPr>
            <w:tcW w:w="693" w:type="pct"/>
            <w:vAlign w:val="bottom"/>
          </w:tcPr>
          <w:p>
            <w:pPr>
              <w:widowControl/>
              <w:jc w:val="center"/>
              <w:textAlignment w:val="bottom"/>
              <w:rPr>
                <w:color w:val="000000"/>
                <w:szCs w:val="21"/>
              </w:rPr>
            </w:pPr>
            <w:r>
              <w:rPr>
                <w:color w:val="000000"/>
                <w:kern w:val="0"/>
                <w:szCs w:val="21"/>
                <w:lang w:bidi="ar"/>
              </w:rPr>
              <w:t>2.55</w:t>
            </w:r>
          </w:p>
        </w:tc>
        <w:tc>
          <w:tcPr>
            <w:tcW w:w="1092" w:type="dxa"/>
            <w:vAlign w:val="bottom"/>
          </w:tcPr>
          <w:p>
            <w:pPr>
              <w:widowControl/>
              <w:jc w:val="center"/>
              <w:textAlignment w:val="bottom"/>
              <w:rPr>
                <w:color w:val="000000"/>
                <w:szCs w:val="21"/>
              </w:rPr>
            </w:pPr>
            <w:r>
              <w:rPr>
                <w:color w:val="000000"/>
                <w:kern w:val="0"/>
                <w:szCs w:val="21"/>
                <w:lang w:bidi="ar"/>
              </w:rPr>
              <w:t>2.5</w:t>
            </w:r>
          </w:p>
        </w:tc>
        <w:tc>
          <w:tcPr>
            <w:tcW w:w="1091" w:type="dxa"/>
            <w:vAlign w:val="bottom"/>
          </w:tcPr>
          <w:p>
            <w:pPr>
              <w:widowControl/>
              <w:jc w:val="center"/>
              <w:textAlignment w:val="bottom"/>
              <w:rPr>
                <w:color w:val="000000"/>
                <w:szCs w:val="21"/>
              </w:rPr>
            </w:pPr>
            <w:r>
              <w:rPr>
                <w:color w:val="000000"/>
                <w:kern w:val="0"/>
                <w:szCs w:val="21"/>
                <w:lang w:bidi="ar"/>
              </w:rPr>
              <w:t>2.48</w:t>
            </w:r>
          </w:p>
        </w:tc>
        <w:tc>
          <w:tcPr>
            <w:tcW w:w="1092" w:type="dxa"/>
            <w:vAlign w:val="bottom"/>
          </w:tcPr>
          <w:p>
            <w:pPr>
              <w:widowControl/>
              <w:jc w:val="center"/>
              <w:textAlignment w:val="bottom"/>
              <w:rPr>
                <w:color w:val="000000"/>
                <w:szCs w:val="21"/>
              </w:rPr>
            </w:pPr>
            <w:r>
              <w:rPr>
                <w:color w:val="000000"/>
                <w:kern w:val="0"/>
                <w:szCs w:val="21"/>
                <w:lang w:bidi="ar"/>
              </w:rPr>
              <w:t>18.8</w:t>
            </w:r>
          </w:p>
        </w:tc>
        <w:tc>
          <w:tcPr>
            <w:tcW w:w="1089" w:type="dxa"/>
            <w:vAlign w:val="bottom"/>
          </w:tcPr>
          <w:p>
            <w:pPr>
              <w:widowControl/>
              <w:jc w:val="center"/>
              <w:textAlignment w:val="bottom"/>
              <w:rPr>
                <w:color w:val="000000"/>
                <w:kern w:val="0"/>
                <w:szCs w:val="21"/>
                <w:lang w:bidi="ar"/>
              </w:rPr>
            </w:pPr>
            <w:r>
              <w:rPr>
                <w:color w:val="000000"/>
                <w:kern w:val="0"/>
                <w:szCs w:val="21"/>
                <w:lang w:bidi="ar"/>
              </w:rPr>
              <w:t>17.55</w:t>
            </w:r>
          </w:p>
        </w:tc>
        <w:tc>
          <w:tcPr>
            <w:tcW w:w="1089" w:type="dxa"/>
            <w:vAlign w:val="bottom"/>
          </w:tcPr>
          <w:p>
            <w:pPr>
              <w:widowControl/>
              <w:jc w:val="center"/>
              <w:textAlignment w:val="bottom"/>
              <w:rPr>
                <w:color w:val="000000"/>
                <w:kern w:val="0"/>
                <w:szCs w:val="21"/>
                <w:lang w:bidi="ar"/>
              </w:rPr>
            </w:pPr>
            <w:r>
              <w:rPr>
                <w:color w:val="000000"/>
                <w:kern w:val="0"/>
                <w:szCs w:val="21"/>
                <w:lang w:bidi="ar"/>
              </w:rPr>
              <w:t>21.09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16.9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9</w:t>
            </w:r>
          </w:p>
        </w:tc>
        <w:tc>
          <w:tcPr>
            <w:tcW w:w="693" w:type="pct"/>
            <w:vAlign w:val="bottom"/>
          </w:tcPr>
          <w:p>
            <w:pPr>
              <w:widowControl/>
              <w:jc w:val="center"/>
              <w:textAlignment w:val="bottom"/>
              <w:rPr>
                <w:color w:val="000000"/>
                <w:szCs w:val="21"/>
              </w:rPr>
            </w:pPr>
            <w:r>
              <w:rPr>
                <w:color w:val="000000"/>
                <w:kern w:val="0"/>
                <w:szCs w:val="21"/>
                <w:lang w:bidi="ar"/>
              </w:rPr>
              <w:t>2.16</w:t>
            </w:r>
          </w:p>
        </w:tc>
        <w:tc>
          <w:tcPr>
            <w:tcW w:w="1092" w:type="dxa"/>
            <w:vAlign w:val="bottom"/>
          </w:tcPr>
          <w:p>
            <w:pPr>
              <w:widowControl/>
              <w:jc w:val="center"/>
              <w:textAlignment w:val="bottom"/>
              <w:rPr>
                <w:color w:val="000000"/>
                <w:szCs w:val="21"/>
              </w:rPr>
            </w:pPr>
            <w:r>
              <w:rPr>
                <w:color w:val="000000"/>
                <w:kern w:val="0"/>
                <w:szCs w:val="21"/>
                <w:lang w:bidi="ar"/>
              </w:rPr>
              <w:t>2.15</w:t>
            </w:r>
          </w:p>
        </w:tc>
        <w:tc>
          <w:tcPr>
            <w:tcW w:w="1091" w:type="dxa"/>
            <w:vAlign w:val="bottom"/>
          </w:tcPr>
          <w:p>
            <w:pPr>
              <w:widowControl/>
              <w:jc w:val="center"/>
              <w:textAlignment w:val="bottom"/>
              <w:rPr>
                <w:color w:val="000000"/>
                <w:szCs w:val="21"/>
              </w:rPr>
            </w:pPr>
            <w:r>
              <w:rPr>
                <w:color w:val="000000"/>
                <w:kern w:val="0"/>
                <w:szCs w:val="21"/>
                <w:lang w:bidi="ar"/>
              </w:rPr>
              <w:t>2.1</w:t>
            </w:r>
          </w:p>
        </w:tc>
        <w:tc>
          <w:tcPr>
            <w:tcW w:w="1092" w:type="dxa"/>
            <w:vAlign w:val="bottom"/>
          </w:tcPr>
          <w:p>
            <w:pPr>
              <w:widowControl/>
              <w:jc w:val="center"/>
              <w:textAlignment w:val="bottom"/>
              <w:rPr>
                <w:color w:val="000000"/>
                <w:szCs w:val="21"/>
              </w:rPr>
            </w:pPr>
            <w:r>
              <w:rPr>
                <w:color w:val="000000"/>
                <w:kern w:val="0"/>
                <w:szCs w:val="21"/>
                <w:lang w:bidi="ar"/>
              </w:rPr>
              <w:t>16.5</w:t>
            </w:r>
          </w:p>
        </w:tc>
        <w:tc>
          <w:tcPr>
            <w:tcW w:w="1089" w:type="dxa"/>
            <w:vAlign w:val="bottom"/>
          </w:tcPr>
          <w:p>
            <w:pPr>
              <w:widowControl/>
              <w:jc w:val="center"/>
              <w:textAlignment w:val="bottom"/>
              <w:rPr>
                <w:color w:val="000000"/>
                <w:kern w:val="0"/>
                <w:szCs w:val="21"/>
                <w:lang w:bidi="ar"/>
              </w:rPr>
            </w:pPr>
            <w:r>
              <w:rPr>
                <w:color w:val="000000"/>
                <w:kern w:val="0"/>
                <w:szCs w:val="21"/>
                <w:lang w:bidi="ar"/>
              </w:rPr>
              <w:t>15.55</w:t>
            </w:r>
          </w:p>
        </w:tc>
        <w:tc>
          <w:tcPr>
            <w:tcW w:w="1089" w:type="dxa"/>
            <w:vAlign w:val="bottom"/>
          </w:tcPr>
          <w:p>
            <w:pPr>
              <w:widowControl/>
              <w:jc w:val="center"/>
              <w:textAlignment w:val="bottom"/>
              <w:rPr>
                <w:color w:val="000000"/>
                <w:kern w:val="0"/>
                <w:szCs w:val="21"/>
                <w:lang w:bidi="ar"/>
              </w:rPr>
            </w:pPr>
            <w:r>
              <w:rPr>
                <w:color w:val="000000"/>
                <w:kern w:val="0"/>
                <w:szCs w:val="21"/>
                <w:lang w:bidi="ar"/>
              </w:rPr>
              <w:t>18.16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17.9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10</w:t>
            </w:r>
          </w:p>
        </w:tc>
        <w:tc>
          <w:tcPr>
            <w:tcW w:w="693" w:type="pct"/>
            <w:vAlign w:val="bottom"/>
          </w:tcPr>
          <w:p>
            <w:pPr>
              <w:widowControl/>
              <w:jc w:val="center"/>
              <w:textAlignment w:val="bottom"/>
              <w:rPr>
                <w:color w:val="000000"/>
                <w:szCs w:val="21"/>
              </w:rPr>
            </w:pPr>
            <w:r>
              <w:rPr>
                <w:color w:val="000000"/>
                <w:kern w:val="0"/>
                <w:szCs w:val="21"/>
                <w:lang w:bidi="ar"/>
              </w:rPr>
              <w:t>1.83</w:t>
            </w:r>
          </w:p>
        </w:tc>
        <w:tc>
          <w:tcPr>
            <w:tcW w:w="1092" w:type="dxa"/>
            <w:vAlign w:val="bottom"/>
          </w:tcPr>
          <w:p>
            <w:pPr>
              <w:widowControl/>
              <w:jc w:val="center"/>
              <w:textAlignment w:val="bottom"/>
              <w:rPr>
                <w:color w:val="000000"/>
                <w:szCs w:val="21"/>
              </w:rPr>
            </w:pPr>
            <w:r>
              <w:rPr>
                <w:color w:val="000000"/>
                <w:kern w:val="0"/>
                <w:szCs w:val="21"/>
                <w:lang w:bidi="ar"/>
              </w:rPr>
              <w:t>1.86</w:t>
            </w:r>
          </w:p>
        </w:tc>
        <w:tc>
          <w:tcPr>
            <w:tcW w:w="1091" w:type="dxa"/>
            <w:vAlign w:val="bottom"/>
          </w:tcPr>
          <w:p>
            <w:pPr>
              <w:widowControl/>
              <w:jc w:val="center"/>
              <w:textAlignment w:val="bottom"/>
              <w:rPr>
                <w:color w:val="000000"/>
                <w:szCs w:val="21"/>
              </w:rPr>
            </w:pPr>
            <w:r>
              <w:rPr>
                <w:color w:val="000000"/>
                <w:kern w:val="0"/>
                <w:szCs w:val="21"/>
                <w:lang w:bidi="ar"/>
              </w:rPr>
              <w:t>1.8</w:t>
            </w:r>
          </w:p>
        </w:tc>
        <w:tc>
          <w:tcPr>
            <w:tcW w:w="1092" w:type="dxa"/>
            <w:vAlign w:val="bottom"/>
          </w:tcPr>
          <w:p>
            <w:pPr>
              <w:widowControl/>
              <w:jc w:val="center"/>
              <w:textAlignment w:val="bottom"/>
              <w:rPr>
                <w:color w:val="000000"/>
                <w:szCs w:val="21"/>
              </w:rPr>
            </w:pPr>
            <w:r>
              <w:rPr>
                <w:color w:val="000000"/>
                <w:kern w:val="0"/>
                <w:szCs w:val="21"/>
                <w:lang w:bidi="ar"/>
              </w:rPr>
              <w:t>14.58</w:t>
            </w:r>
          </w:p>
        </w:tc>
        <w:tc>
          <w:tcPr>
            <w:tcW w:w="1089" w:type="dxa"/>
            <w:vAlign w:val="bottom"/>
          </w:tcPr>
          <w:p>
            <w:pPr>
              <w:widowControl/>
              <w:jc w:val="center"/>
              <w:textAlignment w:val="bottom"/>
              <w:rPr>
                <w:color w:val="000000"/>
                <w:kern w:val="0"/>
                <w:szCs w:val="21"/>
                <w:lang w:bidi="ar"/>
              </w:rPr>
            </w:pPr>
            <w:r>
              <w:rPr>
                <w:color w:val="000000"/>
                <w:kern w:val="0"/>
                <w:szCs w:val="21"/>
                <w:lang w:bidi="ar"/>
              </w:rPr>
              <w:t>13.85</w:t>
            </w:r>
          </w:p>
        </w:tc>
        <w:tc>
          <w:tcPr>
            <w:tcW w:w="1089" w:type="dxa"/>
            <w:vAlign w:val="bottom"/>
          </w:tcPr>
          <w:p>
            <w:pPr>
              <w:widowControl/>
              <w:jc w:val="center"/>
              <w:textAlignment w:val="bottom"/>
              <w:rPr>
                <w:color w:val="000000"/>
                <w:kern w:val="0"/>
                <w:szCs w:val="21"/>
                <w:lang w:bidi="ar"/>
              </w:rPr>
            </w:pPr>
            <w:r>
              <w:rPr>
                <w:color w:val="000000"/>
                <w:kern w:val="0"/>
                <w:szCs w:val="21"/>
                <w:lang w:bidi="ar"/>
              </w:rPr>
              <w:t>15.82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18.9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11</w:t>
            </w:r>
          </w:p>
        </w:tc>
        <w:tc>
          <w:tcPr>
            <w:tcW w:w="693" w:type="pct"/>
            <w:vAlign w:val="bottom"/>
          </w:tcPr>
          <w:p>
            <w:pPr>
              <w:widowControl/>
              <w:jc w:val="center"/>
              <w:textAlignment w:val="bottom"/>
              <w:rPr>
                <w:color w:val="000000"/>
                <w:szCs w:val="21"/>
              </w:rPr>
            </w:pPr>
            <w:r>
              <w:rPr>
                <w:color w:val="000000"/>
                <w:kern w:val="0"/>
                <w:szCs w:val="21"/>
                <w:lang w:bidi="ar"/>
              </w:rPr>
              <w:t>1.56</w:t>
            </w:r>
          </w:p>
        </w:tc>
        <w:tc>
          <w:tcPr>
            <w:tcW w:w="1092" w:type="dxa"/>
            <w:vAlign w:val="bottom"/>
          </w:tcPr>
          <w:p>
            <w:pPr>
              <w:widowControl/>
              <w:jc w:val="center"/>
              <w:textAlignment w:val="bottom"/>
              <w:rPr>
                <w:color w:val="000000"/>
                <w:szCs w:val="21"/>
              </w:rPr>
            </w:pPr>
            <w:r>
              <w:rPr>
                <w:color w:val="000000"/>
                <w:kern w:val="0"/>
                <w:szCs w:val="21"/>
                <w:lang w:bidi="ar"/>
              </w:rPr>
              <w:t>1.61</w:t>
            </w:r>
          </w:p>
        </w:tc>
        <w:tc>
          <w:tcPr>
            <w:tcW w:w="1091" w:type="dxa"/>
            <w:vAlign w:val="bottom"/>
          </w:tcPr>
          <w:p>
            <w:pPr>
              <w:widowControl/>
              <w:jc w:val="center"/>
              <w:textAlignment w:val="bottom"/>
              <w:rPr>
                <w:color w:val="000000"/>
                <w:szCs w:val="21"/>
              </w:rPr>
            </w:pPr>
            <w:r>
              <w:rPr>
                <w:color w:val="000000"/>
                <w:kern w:val="0"/>
                <w:szCs w:val="21"/>
                <w:lang w:bidi="ar"/>
              </w:rPr>
              <w:t>1.55</w:t>
            </w:r>
          </w:p>
        </w:tc>
        <w:tc>
          <w:tcPr>
            <w:tcW w:w="1092" w:type="dxa"/>
            <w:vAlign w:val="bottom"/>
          </w:tcPr>
          <w:p>
            <w:pPr>
              <w:widowControl/>
              <w:jc w:val="center"/>
              <w:textAlignment w:val="bottom"/>
              <w:rPr>
                <w:color w:val="000000"/>
                <w:szCs w:val="21"/>
              </w:rPr>
            </w:pPr>
            <w:r>
              <w:rPr>
                <w:color w:val="000000"/>
                <w:kern w:val="0"/>
                <w:szCs w:val="21"/>
                <w:lang w:bidi="ar"/>
              </w:rPr>
              <w:t>12.97</w:t>
            </w:r>
          </w:p>
        </w:tc>
        <w:tc>
          <w:tcPr>
            <w:tcW w:w="1089" w:type="dxa"/>
            <w:vAlign w:val="bottom"/>
          </w:tcPr>
          <w:p>
            <w:pPr>
              <w:widowControl/>
              <w:jc w:val="center"/>
              <w:textAlignment w:val="bottom"/>
              <w:rPr>
                <w:color w:val="000000"/>
                <w:kern w:val="0"/>
                <w:szCs w:val="21"/>
                <w:lang w:bidi="ar"/>
              </w:rPr>
            </w:pPr>
            <w:r>
              <w:rPr>
                <w:color w:val="000000"/>
                <w:kern w:val="0"/>
                <w:szCs w:val="21"/>
                <w:lang w:bidi="ar"/>
              </w:rPr>
              <w:t>12.4</w:t>
            </w:r>
          </w:p>
        </w:tc>
        <w:tc>
          <w:tcPr>
            <w:tcW w:w="1089" w:type="dxa"/>
            <w:vAlign w:val="bottom"/>
          </w:tcPr>
          <w:p>
            <w:pPr>
              <w:widowControl/>
              <w:jc w:val="center"/>
              <w:textAlignment w:val="bottom"/>
              <w:rPr>
                <w:color w:val="000000"/>
                <w:kern w:val="0"/>
                <w:szCs w:val="21"/>
                <w:lang w:bidi="ar"/>
              </w:rPr>
            </w:pPr>
            <w:r>
              <w:rPr>
                <w:color w:val="000000"/>
                <w:kern w:val="0"/>
                <w:szCs w:val="21"/>
                <w:lang w:bidi="ar"/>
              </w:rPr>
              <w:t>13.91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19.9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12</w:t>
            </w:r>
          </w:p>
        </w:tc>
        <w:tc>
          <w:tcPr>
            <w:tcW w:w="693" w:type="pct"/>
            <w:vAlign w:val="bottom"/>
          </w:tcPr>
          <w:p>
            <w:pPr>
              <w:widowControl/>
              <w:jc w:val="center"/>
              <w:textAlignment w:val="bottom"/>
              <w:rPr>
                <w:color w:val="000000"/>
                <w:szCs w:val="21"/>
              </w:rPr>
            </w:pPr>
            <w:r>
              <w:rPr>
                <w:color w:val="000000"/>
                <w:kern w:val="0"/>
                <w:szCs w:val="21"/>
                <w:lang w:bidi="ar"/>
              </w:rPr>
              <w:t>1.34</w:t>
            </w:r>
          </w:p>
        </w:tc>
        <w:tc>
          <w:tcPr>
            <w:tcW w:w="1092" w:type="dxa"/>
            <w:vAlign w:val="bottom"/>
          </w:tcPr>
          <w:p>
            <w:pPr>
              <w:widowControl/>
              <w:jc w:val="center"/>
              <w:textAlignment w:val="bottom"/>
              <w:rPr>
                <w:color w:val="000000"/>
                <w:szCs w:val="21"/>
              </w:rPr>
            </w:pPr>
            <w:r>
              <w:rPr>
                <w:color w:val="000000"/>
                <w:kern w:val="0"/>
                <w:szCs w:val="21"/>
                <w:lang w:bidi="ar"/>
              </w:rPr>
              <w:t>1.39</w:t>
            </w:r>
          </w:p>
        </w:tc>
        <w:tc>
          <w:tcPr>
            <w:tcW w:w="1091" w:type="dxa"/>
            <w:vAlign w:val="bottom"/>
          </w:tcPr>
          <w:p>
            <w:pPr>
              <w:widowControl/>
              <w:jc w:val="center"/>
              <w:textAlignment w:val="bottom"/>
              <w:rPr>
                <w:color w:val="000000"/>
                <w:szCs w:val="21"/>
              </w:rPr>
            </w:pPr>
            <w:r>
              <w:rPr>
                <w:color w:val="000000"/>
                <w:kern w:val="0"/>
                <w:szCs w:val="21"/>
                <w:lang w:bidi="ar"/>
              </w:rPr>
              <w:t>1.34</w:t>
            </w:r>
          </w:p>
        </w:tc>
        <w:tc>
          <w:tcPr>
            <w:tcW w:w="1092" w:type="dxa"/>
            <w:vAlign w:val="bottom"/>
          </w:tcPr>
          <w:p>
            <w:pPr>
              <w:widowControl/>
              <w:jc w:val="center"/>
              <w:textAlignment w:val="bottom"/>
              <w:rPr>
                <w:color w:val="000000"/>
                <w:szCs w:val="21"/>
              </w:rPr>
            </w:pPr>
            <w:r>
              <w:rPr>
                <w:color w:val="000000"/>
                <w:kern w:val="0"/>
                <w:szCs w:val="21"/>
                <w:lang w:bidi="ar"/>
              </w:rPr>
              <w:t>11.6</w:t>
            </w:r>
          </w:p>
        </w:tc>
        <w:tc>
          <w:tcPr>
            <w:tcW w:w="1089" w:type="dxa"/>
            <w:vAlign w:val="bottom"/>
          </w:tcPr>
          <w:p>
            <w:pPr>
              <w:widowControl/>
              <w:jc w:val="center"/>
              <w:textAlignment w:val="bottom"/>
              <w:rPr>
                <w:color w:val="000000"/>
                <w:kern w:val="0"/>
                <w:szCs w:val="21"/>
                <w:lang w:bidi="ar"/>
              </w:rPr>
            </w:pPr>
            <w:r>
              <w:rPr>
                <w:color w:val="000000"/>
                <w:kern w:val="0"/>
                <w:szCs w:val="21"/>
                <w:lang w:bidi="ar"/>
              </w:rPr>
              <w:t>11.16</w:t>
            </w:r>
          </w:p>
        </w:tc>
        <w:tc>
          <w:tcPr>
            <w:tcW w:w="1089" w:type="dxa"/>
            <w:vAlign w:val="bottom"/>
          </w:tcPr>
          <w:p>
            <w:pPr>
              <w:widowControl/>
              <w:jc w:val="center"/>
              <w:textAlignment w:val="bottom"/>
              <w:rPr>
                <w:color w:val="000000"/>
                <w:kern w:val="0"/>
                <w:szCs w:val="21"/>
                <w:lang w:bidi="ar"/>
              </w:rPr>
            </w:pPr>
            <w:r>
              <w:rPr>
                <w:color w:val="000000"/>
                <w:kern w:val="0"/>
                <w:szCs w:val="21"/>
                <w:lang w:bidi="ar"/>
              </w:rPr>
              <w:t>12.33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20.9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13</w:t>
            </w:r>
          </w:p>
        </w:tc>
        <w:tc>
          <w:tcPr>
            <w:tcW w:w="693" w:type="pct"/>
            <w:vAlign w:val="bottom"/>
          </w:tcPr>
          <w:p>
            <w:pPr>
              <w:widowControl/>
              <w:jc w:val="center"/>
              <w:textAlignment w:val="bottom"/>
              <w:rPr>
                <w:color w:val="000000"/>
                <w:szCs w:val="21"/>
              </w:rPr>
            </w:pPr>
            <w:r>
              <w:rPr>
                <w:color w:val="000000"/>
                <w:kern w:val="0"/>
                <w:szCs w:val="21"/>
                <w:lang w:bidi="ar"/>
              </w:rPr>
              <w:t>1.16</w:t>
            </w:r>
          </w:p>
        </w:tc>
        <w:tc>
          <w:tcPr>
            <w:tcW w:w="1092" w:type="dxa"/>
            <w:vAlign w:val="bottom"/>
          </w:tcPr>
          <w:p>
            <w:pPr>
              <w:widowControl/>
              <w:jc w:val="center"/>
              <w:textAlignment w:val="bottom"/>
              <w:rPr>
                <w:color w:val="000000"/>
                <w:szCs w:val="21"/>
              </w:rPr>
            </w:pPr>
            <w:r>
              <w:rPr>
                <w:color w:val="000000"/>
                <w:kern w:val="0"/>
                <w:szCs w:val="21"/>
                <w:lang w:bidi="ar"/>
              </w:rPr>
              <w:t>1.22</w:t>
            </w:r>
          </w:p>
        </w:tc>
        <w:tc>
          <w:tcPr>
            <w:tcW w:w="1091" w:type="dxa"/>
            <w:vAlign w:val="bottom"/>
          </w:tcPr>
          <w:p>
            <w:pPr>
              <w:widowControl/>
              <w:jc w:val="center"/>
              <w:textAlignment w:val="bottom"/>
              <w:rPr>
                <w:color w:val="000000"/>
                <w:szCs w:val="21"/>
              </w:rPr>
            </w:pPr>
            <w:r>
              <w:rPr>
                <w:color w:val="000000"/>
                <w:kern w:val="0"/>
                <w:szCs w:val="21"/>
                <w:lang w:bidi="ar"/>
              </w:rPr>
              <w:t>1.17</w:t>
            </w:r>
          </w:p>
        </w:tc>
        <w:tc>
          <w:tcPr>
            <w:tcW w:w="1092" w:type="dxa"/>
            <w:vAlign w:val="bottom"/>
          </w:tcPr>
          <w:p>
            <w:pPr>
              <w:widowControl/>
              <w:jc w:val="center"/>
              <w:textAlignment w:val="bottom"/>
              <w:rPr>
                <w:color w:val="000000"/>
                <w:szCs w:val="21"/>
              </w:rPr>
            </w:pPr>
            <w:r>
              <w:rPr>
                <w:color w:val="000000"/>
                <w:kern w:val="0"/>
                <w:szCs w:val="21"/>
                <w:lang w:bidi="ar"/>
              </w:rPr>
              <w:t>10.44</w:t>
            </w:r>
          </w:p>
        </w:tc>
        <w:tc>
          <w:tcPr>
            <w:tcW w:w="1089" w:type="dxa"/>
            <w:vAlign w:val="bottom"/>
          </w:tcPr>
          <w:p>
            <w:pPr>
              <w:widowControl/>
              <w:jc w:val="center"/>
              <w:textAlignment w:val="bottom"/>
              <w:rPr>
                <w:color w:val="000000"/>
                <w:kern w:val="0"/>
                <w:szCs w:val="21"/>
                <w:lang w:bidi="ar"/>
              </w:rPr>
            </w:pPr>
            <w:r>
              <w:rPr>
                <w:color w:val="000000"/>
                <w:kern w:val="0"/>
                <w:szCs w:val="21"/>
                <w:lang w:bidi="ar"/>
              </w:rPr>
              <w:t>10.09</w:t>
            </w:r>
          </w:p>
        </w:tc>
        <w:tc>
          <w:tcPr>
            <w:tcW w:w="1089" w:type="dxa"/>
            <w:vAlign w:val="bottom"/>
          </w:tcPr>
          <w:p>
            <w:pPr>
              <w:widowControl/>
              <w:jc w:val="center"/>
              <w:textAlignment w:val="bottom"/>
              <w:rPr>
                <w:color w:val="000000"/>
                <w:kern w:val="0"/>
                <w:szCs w:val="21"/>
                <w:lang w:bidi="ar"/>
              </w:rPr>
            </w:pPr>
            <w:r>
              <w:rPr>
                <w:color w:val="000000"/>
                <w:kern w:val="0"/>
                <w:szCs w:val="21"/>
                <w:lang w:bidi="ar"/>
              </w:rPr>
              <w:t>11.02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21.9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14</w:t>
            </w:r>
          </w:p>
        </w:tc>
        <w:tc>
          <w:tcPr>
            <w:tcW w:w="693" w:type="pct"/>
            <w:vAlign w:val="bottom"/>
          </w:tcPr>
          <w:p>
            <w:pPr>
              <w:widowControl/>
              <w:jc w:val="center"/>
              <w:textAlignment w:val="bottom"/>
              <w:rPr>
                <w:color w:val="000000"/>
                <w:szCs w:val="21"/>
              </w:rPr>
            </w:pPr>
            <w:r>
              <w:rPr>
                <w:color w:val="000000"/>
                <w:kern w:val="0"/>
                <w:szCs w:val="21"/>
                <w:lang w:bidi="ar"/>
              </w:rPr>
              <w:t>1.01</w:t>
            </w:r>
          </w:p>
        </w:tc>
        <w:tc>
          <w:tcPr>
            <w:tcW w:w="1092" w:type="dxa"/>
            <w:vAlign w:val="bottom"/>
          </w:tcPr>
          <w:p>
            <w:pPr>
              <w:widowControl/>
              <w:jc w:val="center"/>
              <w:textAlignment w:val="bottom"/>
              <w:rPr>
                <w:color w:val="000000"/>
                <w:szCs w:val="21"/>
              </w:rPr>
            </w:pPr>
            <w:r>
              <w:rPr>
                <w:color w:val="000000"/>
                <w:kern w:val="0"/>
                <w:szCs w:val="21"/>
                <w:lang w:bidi="ar"/>
              </w:rPr>
              <w:t>1.07</w:t>
            </w:r>
          </w:p>
        </w:tc>
        <w:tc>
          <w:tcPr>
            <w:tcW w:w="1091" w:type="dxa"/>
            <w:vAlign w:val="bottom"/>
          </w:tcPr>
          <w:p>
            <w:pPr>
              <w:widowControl/>
              <w:jc w:val="center"/>
              <w:textAlignment w:val="bottom"/>
              <w:rPr>
                <w:color w:val="000000"/>
                <w:szCs w:val="21"/>
              </w:rPr>
            </w:pPr>
            <w:r>
              <w:rPr>
                <w:color w:val="000000"/>
                <w:kern w:val="0"/>
                <w:szCs w:val="21"/>
                <w:lang w:bidi="ar"/>
              </w:rPr>
              <w:t>1.02</w:t>
            </w:r>
          </w:p>
        </w:tc>
        <w:tc>
          <w:tcPr>
            <w:tcW w:w="1092" w:type="dxa"/>
            <w:vAlign w:val="bottom"/>
          </w:tcPr>
          <w:p>
            <w:pPr>
              <w:widowControl/>
              <w:jc w:val="center"/>
              <w:textAlignment w:val="bottom"/>
              <w:rPr>
                <w:color w:val="000000"/>
                <w:szCs w:val="21"/>
              </w:rPr>
            </w:pPr>
            <w:r>
              <w:rPr>
                <w:color w:val="000000"/>
                <w:kern w:val="0"/>
                <w:szCs w:val="21"/>
                <w:lang w:bidi="ar"/>
              </w:rPr>
              <w:t>9.45</w:t>
            </w:r>
          </w:p>
        </w:tc>
        <w:tc>
          <w:tcPr>
            <w:tcW w:w="1089" w:type="dxa"/>
            <w:vAlign w:val="bottom"/>
          </w:tcPr>
          <w:p>
            <w:pPr>
              <w:widowControl/>
              <w:jc w:val="center"/>
              <w:textAlignment w:val="bottom"/>
              <w:rPr>
                <w:color w:val="000000"/>
                <w:kern w:val="0"/>
                <w:szCs w:val="21"/>
                <w:lang w:bidi="ar"/>
              </w:rPr>
            </w:pPr>
            <w:r>
              <w:rPr>
                <w:color w:val="000000"/>
                <w:kern w:val="0"/>
                <w:szCs w:val="21"/>
                <w:lang w:bidi="ar"/>
              </w:rPr>
              <w:t>9.16</w:t>
            </w:r>
          </w:p>
        </w:tc>
        <w:tc>
          <w:tcPr>
            <w:tcW w:w="1089" w:type="dxa"/>
            <w:vAlign w:val="bottom"/>
          </w:tcPr>
          <w:p>
            <w:pPr>
              <w:widowControl/>
              <w:jc w:val="center"/>
              <w:textAlignment w:val="bottom"/>
              <w:rPr>
                <w:color w:val="000000"/>
                <w:kern w:val="0"/>
                <w:szCs w:val="21"/>
                <w:lang w:bidi="ar"/>
              </w:rPr>
            </w:pPr>
            <w:r>
              <w:rPr>
                <w:color w:val="000000"/>
                <w:kern w:val="0"/>
                <w:szCs w:val="21"/>
                <w:lang w:bidi="ar"/>
              </w:rPr>
              <w:t>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22.9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15</w:t>
            </w:r>
          </w:p>
        </w:tc>
        <w:tc>
          <w:tcPr>
            <w:tcW w:w="693" w:type="pct"/>
            <w:vAlign w:val="bottom"/>
          </w:tcPr>
          <w:p>
            <w:pPr>
              <w:widowControl/>
              <w:jc w:val="center"/>
              <w:textAlignment w:val="bottom"/>
              <w:rPr>
                <w:color w:val="000000"/>
                <w:szCs w:val="21"/>
              </w:rPr>
            </w:pPr>
            <w:r>
              <w:rPr>
                <w:color w:val="000000"/>
                <w:kern w:val="0"/>
                <w:szCs w:val="21"/>
                <w:lang w:bidi="ar"/>
              </w:rPr>
              <w:t>0.88</w:t>
            </w:r>
          </w:p>
        </w:tc>
        <w:tc>
          <w:tcPr>
            <w:tcW w:w="1092" w:type="dxa"/>
            <w:vAlign w:val="bottom"/>
          </w:tcPr>
          <w:p>
            <w:pPr>
              <w:widowControl/>
              <w:jc w:val="center"/>
              <w:textAlignment w:val="bottom"/>
              <w:rPr>
                <w:color w:val="000000"/>
                <w:szCs w:val="21"/>
              </w:rPr>
            </w:pPr>
            <w:r>
              <w:rPr>
                <w:color w:val="000000"/>
                <w:kern w:val="0"/>
                <w:szCs w:val="21"/>
                <w:lang w:bidi="ar"/>
              </w:rPr>
              <w:t>0.94</w:t>
            </w:r>
          </w:p>
        </w:tc>
        <w:tc>
          <w:tcPr>
            <w:tcW w:w="1091" w:type="dxa"/>
            <w:vAlign w:val="bottom"/>
          </w:tcPr>
          <w:p>
            <w:pPr>
              <w:widowControl/>
              <w:jc w:val="center"/>
              <w:textAlignment w:val="bottom"/>
              <w:rPr>
                <w:color w:val="000000"/>
                <w:szCs w:val="21"/>
              </w:rPr>
            </w:pPr>
            <w:r>
              <w:rPr>
                <w:color w:val="000000"/>
                <w:kern w:val="0"/>
                <w:szCs w:val="21"/>
                <w:lang w:bidi="ar"/>
              </w:rPr>
              <w:t>0.9</w:t>
            </w:r>
          </w:p>
        </w:tc>
        <w:tc>
          <w:tcPr>
            <w:tcW w:w="1092" w:type="dxa"/>
            <w:vAlign w:val="bottom"/>
          </w:tcPr>
          <w:p>
            <w:pPr>
              <w:widowControl/>
              <w:jc w:val="center"/>
              <w:textAlignment w:val="bottom"/>
              <w:rPr>
                <w:color w:val="000000"/>
                <w:szCs w:val="21"/>
              </w:rPr>
            </w:pPr>
            <w:r>
              <w:rPr>
                <w:color w:val="000000"/>
                <w:kern w:val="0"/>
                <w:szCs w:val="21"/>
                <w:lang w:bidi="ar"/>
              </w:rPr>
              <w:t>8.59</w:t>
            </w:r>
          </w:p>
        </w:tc>
        <w:tc>
          <w:tcPr>
            <w:tcW w:w="1089" w:type="dxa"/>
            <w:vAlign w:val="bottom"/>
          </w:tcPr>
          <w:p>
            <w:pPr>
              <w:widowControl/>
              <w:jc w:val="center"/>
              <w:textAlignment w:val="bottom"/>
              <w:rPr>
                <w:color w:val="000000"/>
                <w:kern w:val="0"/>
                <w:szCs w:val="21"/>
                <w:lang w:bidi="ar"/>
              </w:rPr>
            </w:pPr>
            <w:r>
              <w:rPr>
                <w:color w:val="000000"/>
                <w:kern w:val="0"/>
                <w:szCs w:val="21"/>
                <w:lang w:bidi="ar"/>
              </w:rPr>
              <w:t>8.36</w:t>
            </w:r>
          </w:p>
        </w:tc>
        <w:tc>
          <w:tcPr>
            <w:tcW w:w="1089" w:type="dxa"/>
            <w:vAlign w:val="bottom"/>
          </w:tcPr>
          <w:p>
            <w:pPr>
              <w:widowControl/>
              <w:jc w:val="center"/>
              <w:textAlignment w:val="bottom"/>
              <w:rPr>
                <w:color w:val="000000"/>
                <w:kern w:val="0"/>
                <w:szCs w:val="21"/>
                <w:lang w:bidi="ar"/>
              </w:rPr>
            </w:pPr>
            <w:r>
              <w:rPr>
                <w:color w:val="000000"/>
                <w:kern w:val="0"/>
                <w:szCs w:val="21"/>
                <w:lang w:bidi="ar"/>
              </w:rPr>
              <w:t>8.96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23.9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16</w:t>
            </w:r>
          </w:p>
        </w:tc>
        <w:tc>
          <w:tcPr>
            <w:tcW w:w="693" w:type="pct"/>
            <w:vAlign w:val="bottom"/>
          </w:tcPr>
          <w:p>
            <w:pPr>
              <w:widowControl/>
              <w:jc w:val="center"/>
              <w:textAlignment w:val="bottom"/>
              <w:rPr>
                <w:color w:val="000000"/>
                <w:szCs w:val="21"/>
              </w:rPr>
            </w:pPr>
            <w:r>
              <w:rPr>
                <w:color w:val="000000"/>
                <w:kern w:val="0"/>
                <w:szCs w:val="21"/>
                <w:lang w:bidi="ar"/>
              </w:rPr>
              <w:t>0.77</w:t>
            </w:r>
          </w:p>
        </w:tc>
        <w:tc>
          <w:tcPr>
            <w:tcW w:w="1092" w:type="dxa"/>
            <w:vAlign w:val="bottom"/>
          </w:tcPr>
          <w:p>
            <w:pPr>
              <w:widowControl/>
              <w:jc w:val="center"/>
              <w:textAlignment w:val="bottom"/>
              <w:rPr>
                <w:color w:val="000000"/>
                <w:szCs w:val="21"/>
              </w:rPr>
            </w:pPr>
            <w:r>
              <w:rPr>
                <w:color w:val="000000"/>
                <w:kern w:val="0"/>
                <w:szCs w:val="21"/>
                <w:lang w:bidi="ar"/>
              </w:rPr>
              <w:t>0.83</w:t>
            </w:r>
          </w:p>
        </w:tc>
        <w:tc>
          <w:tcPr>
            <w:tcW w:w="1091" w:type="dxa"/>
            <w:vAlign w:val="bottom"/>
          </w:tcPr>
          <w:p>
            <w:pPr>
              <w:widowControl/>
              <w:jc w:val="center"/>
              <w:textAlignment w:val="bottom"/>
              <w:rPr>
                <w:color w:val="000000"/>
                <w:szCs w:val="21"/>
              </w:rPr>
            </w:pPr>
            <w:r>
              <w:rPr>
                <w:color w:val="000000"/>
                <w:kern w:val="0"/>
                <w:szCs w:val="21"/>
                <w:lang w:bidi="ar"/>
              </w:rPr>
              <w:t>0.8</w:t>
            </w:r>
          </w:p>
        </w:tc>
        <w:tc>
          <w:tcPr>
            <w:tcW w:w="1092" w:type="dxa"/>
            <w:vAlign w:val="bottom"/>
          </w:tcPr>
          <w:p>
            <w:pPr>
              <w:widowControl/>
              <w:jc w:val="center"/>
              <w:textAlignment w:val="bottom"/>
              <w:rPr>
                <w:color w:val="000000"/>
                <w:szCs w:val="21"/>
              </w:rPr>
            </w:pPr>
            <w:r>
              <w:rPr>
                <w:color w:val="000000"/>
                <w:kern w:val="0"/>
                <w:szCs w:val="21"/>
                <w:lang w:bidi="ar"/>
              </w:rPr>
              <w:t>7.84</w:t>
            </w:r>
          </w:p>
        </w:tc>
        <w:tc>
          <w:tcPr>
            <w:tcW w:w="1089" w:type="dxa"/>
            <w:vAlign w:val="bottom"/>
          </w:tcPr>
          <w:p>
            <w:pPr>
              <w:widowControl/>
              <w:jc w:val="center"/>
              <w:textAlignment w:val="bottom"/>
              <w:rPr>
                <w:color w:val="000000"/>
                <w:kern w:val="0"/>
                <w:szCs w:val="21"/>
                <w:lang w:bidi="ar"/>
              </w:rPr>
            </w:pPr>
            <w:r>
              <w:rPr>
                <w:color w:val="000000"/>
                <w:kern w:val="0"/>
                <w:szCs w:val="21"/>
                <w:lang w:bidi="ar"/>
              </w:rPr>
              <w:t>7.65</w:t>
            </w:r>
          </w:p>
        </w:tc>
        <w:tc>
          <w:tcPr>
            <w:tcW w:w="1089" w:type="dxa"/>
            <w:vAlign w:val="bottom"/>
          </w:tcPr>
          <w:p>
            <w:pPr>
              <w:widowControl/>
              <w:jc w:val="center"/>
              <w:textAlignment w:val="bottom"/>
              <w:rPr>
                <w:color w:val="000000"/>
                <w:kern w:val="0"/>
                <w:szCs w:val="21"/>
                <w:lang w:bidi="ar"/>
              </w:rPr>
            </w:pPr>
            <w:r>
              <w:rPr>
                <w:color w:val="000000"/>
                <w:kern w:val="0"/>
                <w:szCs w:val="21"/>
                <w:lang w:bidi="ar"/>
              </w:rPr>
              <w:t>8.14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24.9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17</w:t>
            </w:r>
          </w:p>
        </w:tc>
        <w:tc>
          <w:tcPr>
            <w:tcW w:w="693" w:type="pct"/>
            <w:vAlign w:val="bottom"/>
          </w:tcPr>
          <w:p>
            <w:pPr>
              <w:widowControl/>
              <w:jc w:val="center"/>
              <w:textAlignment w:val="bottom"/>
              <w:rPr>
                <w:color w:val="000000"/>
                <w:szCs w:val="21"/>
              </w:rPr>
            </w:pPr>
            <w:r>
              <w:rPr>
                <w:color w:val="000000"/>
                <w:kern w:val="0"/>
                <w:szCs w:val="21"/>
                <w:lang w:bidi="ar"/>
              </w:rPr>
              <w:t>0.68</w:t>
            </w:r>
          </w:p>
        </w:tc>
        <w:tc>
          <w:tcPr>
            <w:tcW w:w="1092" w:type="dxa"/>
            <w:vAlign w:val="bottom"/>
          </w:tcPr>
          <w:p>
            <w:pPr>
              <w:widowControl/>
              <w:jc w:val="center"/>
              <w:textAlignment w:val="bottom"/>
              <w:rPr>
                <w:color w:val="000000"/>
                <w:szCs w:val="21"/>
              </w:rPr>
            </w:pPr>
            <w:r>
              <w:rPr>
                <w:color w:val="000000"/>
                <w:kern w:val="0"/>
                <w:szCs w:val="21"/>
                <w:lang w:bidi="ar"/>
              </w:rPr>
              <w:t>0.73</w:t>
            </w:r>
          </w:p>
        </w:tc>
        <w:tc>
          <w:tcPr>
            <w:tcW w:w="1091" w:type="dxa"/>
            <w:vAlign w:val="bottom"/>
          </w:tcPr>
          <w:p>
            <w:pPr>
              <w:widowControl/>
              <w:jc w:val="center"/>
              <w:textAlignment w:val="bottom"/>
              <w:rPr>
                <w:color w:val="000000"/>
                <w:szCs w:val="21"/>
              </w:rPr>
            </w:pPr>
            <w:r>
              <w:rPr>
                <w:color w:val="000000"/>
                <w:kern w:val="0"/>
                <w:szCs w:val="21"/>
                <w:lang w:bidi="ar"/>
              </w:rPr>
              <w:t>0.71</w:t>
            </w:r>
          </w:p>
        </w:tc>
        <w:tc>
          <w:tcPr>
            <w:tcW w:w="1092" w:type="dxa"/>
            <w:vAlign w:val="bottom"/>
          </w:tcPr>
          <w:p>
            <w:pPr>
              <w:widowControl/>
              <w:jc w:val="center"/>
              <w:textAlignment w:val="bottom"/>
              <w:rPr>
                <w:color w:val="000000"/>
                <w:szCs w:val="21"/>
              </w:rPr>
            </w:pPr>
            <w:r>
              <w:rPr>
                <w:color w:val="000000"/>
                <w:kern w:val="0"/>
                <w:szCs w:val="21"/>
                <w:lang w:bidi="ar"/>
              </w:rPr>
              <w:t>7.19</w:t>
            </w:r>
          </w:p>
        </w:tc>
        <w:tc>
          <w:tcPr>
            <w:tcW w:w="1089" w:type="dxa"/>
            <w:vAlign w:val="bottom"/>
          </w:tcPr>
          <w:p>
            <w:pPr>
              <w:widowControl/>
              <w:jc w:val="center"/>
              <w:textAlignment w:val="bottom"/>
              <w:rPr>
                <w:color w:val="000000"/>
                <w:kern w:val="0"/>
                <w:szCs w:val="21"/>
                <w:lang w:bidi="ar"/>
              </w:rPr>
            </w:pPr>
            <w:r>
              <w:rPr>
                <w:color w:val="000000"/>
                <w:kern w:val="0"/>
                <w:szCs w:val="21"/>
                <w:lang w:bidi="ar"/>
              </w:rPr>
              <w:t>7.03</w:t>
            </w:r>
          </w:p>
        </w:tc>
        <w:tc>
          <w:tcPr>
            <w:tcW w:w="1089" w:type="dxa"/>
            <w:vAlign w:val="bottom"/>
          </w:tcPr>
          <w:p>
            <w:pPr>
              <w:widowControl/>
              <w:jc w:val="center"/>
              <w:textAlignment w:val="bottom"/>
              <w:rPr>
                <w:color w:val="000000"/>
                <w:kern w:val="0"/>
                <w:szCs w:val="21"/>
                <w:lang w:bidi="ar"/>
              </w:rPr>
            </w:pPr>
            <w:r>
              <w:rPr>
                <w:color w:val="000000"/>
                <w:kern w:val="0"/>
                <w:szCs w:val="21"/>
                <w:lang w:bidi="ar"/>
              </w:rPr>
              <w:t>7.44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25.9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18</w:t>
            </w:r>
          </w:p>
        </w:tc>
        <w:tc>
          <w:tcPr>
            <w:tcW w:w="693" w:type="pct"/>
            <w:vAlign w:val="bottom"/>
          </w:tcPr>
          <w:p>
            <w:pPr>
              <w:widowControl/>
              <w:jc w:val="center"/>
              <w:textAlignment w:val="bottom"/>
              <w:rPr>
                <w:color w:val="000000"/>
                <w:szCs w:val="21"/>
              </w:rPr>
            </w:pPr>
            <w:r>
              <w:rPr>
                <w:color w:val="000000"/>
                <w:kern w:val="0"/>
                <w:szCs w:val="21"/>
                <w:lang w:bidi="ar"/>
              </w:rPr>
              <w:t>0.6</w:t>
            </w:r>
          </w:p>
        </w:tc>
        <w:tc>
          <w:tcPr>
            <w:tcW w:w="1092" w:type="dxa"/>
            <w:vAlign w:val="bottom"/>
          </w:tcPr>
          <w:p>
            <w:pPr>
              <w:widowControl/>
              <w:jc w:val="center"/>
              <w:textAlignment w:val="bottom"/>
              <w:rPr>
                <w:color w:val="000000"/>
                <w:szCs w:val="21"/>
              </w:rPr>
            </w:pPr>
            <w:r>
              <w:rPr>
                <w:color w:val="000000"/>
                <w:kern w:val="0"/>
                <w:szCs w:val="21"/>
                <w:lang w:bidi="ar"/>
              </w:rPr>
              <w:t>0.65</w:t>
            </w:r>
          </w:p>
        </w:tc>
        <w:tc>
          <w:tcPr>
            <w:tcW w:w="1091" w:type="dxa"/>
            <w:vAlign w:val="bottom"/>
          </w:tcPr>
          <w:p>
            <w:pPr>
              <w:widowControl/>
              <w:jc w:val="center"/>
              <w:textAlignment w:val="bottom"/>
              <w:rPr>
                <w:color w:val="000000"/>
                <w:szCs w:val="21"/>
              </w:rPr>
            </w:pPr>
            <w:r>
              <w:rPr>
                <w:color w:val="000000"/>
                <w:kern w:val="0"/>
                <w:szCs w:val="21"/>
                <w:lang w:bidi="ar"/>
              </w:rPr>
              <w:t>0.63</w:t>
            </w:r>
          </w:p>
        </w:tc>
        <w:tc>
          <w:tcPr>
            <w:tcW w:w="1092" w:type="dxa"/>
            <w:vAlign w:val="bottom"/>
          </w:tcPr>
          <w:p>
            <w:pPr>
              <w:widowControl/>
              <w:jc w:val="center"/>
              <w:textAlignment w:val="bottom"/>
              <w:rPr>
                <w:color w:val="000000"/>
                <w:szCs w:val="21"/>
              </w:rPr>
            </w:pPr>
            <w:r>
              <w:rPr>
                <w:color w:val="000000"/>
                <w:kern w:val="0"/>
                <w:szCs w:val="21"/>
                <w:lang w:bidi="ar"/>
              </w:rPr>
              <w:t>6.61</w:t>
            </w:r>
          </w:p>
        </w:tc>
        <w:tc>
          <w:tcPr>
            <w:tcW w:w="1089" w:type="dxa"/>
            <w:vAlign w:val="bottom"/>
          </w:tcPr>
          <w:p>
            <w:pPr>
              <w:widowControl/>
              <w:jc w:val="center"/>
              <w:textAlignment w:val="bottom"/>
              <w:rPr>
                <w:color w:val="000000"/>
                <w:kern w:val="0"/>
                <w:szCs w:val="21"/>
                <w:lang w:bidi="ar"/>
              </w:rPr>
            </w:pPr>
            <w:r>
              <w:rPr>
                <w:color w:val="000000"/>
                <w:kern w:val="0"/>
                <w:szCs w:val="21"/>
                <w:lang w:bidi="ar"/>
              </w:rPr>
              <w:t>6.48</w:t>
            </w:r>
          </w:p>
        </w:tc>
        <w:tc>
          <w:tcPr>
            <w:tcW w:w="1089" w:type="dxa"/>
            <w:vAlign w:val="bottom"/>
          </w:tcPr>
          <w:p>
            <w:pPr>
              <w:widowControl/>
              <w:jc w:val="center"/>
              <w:textAlignment w:val="bottom"/>
              <w:rPr>
                <w:color w:val="000000"/>
                <w:kern w:val="0"/>
                <w:szCs w:val="21"/>
                <w:lang w:bidi="ar"/>
              </w:rPr>
            </w:pPr>
            <w:r>
              <w:rPr>
                <w:color w:val="000000"/>
                <w:kern w:val="0"/>
                <w:szCs w:val="21"/>
                <w:lang w:bidi="ar"/>
              </w:rPr>
              <w:t>6.82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26.9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19</w:t>
            </w:r>
          </w:p>
        </w:tc>
        <w:tc>
          <w:tcPr>
            <w:tcW w:w="693" w:type="pct"/>
            <w:vAlign w:val="bottom"/>
          </w:tcPr>
          <w:p>
            <w:pPr>
              <w:widowControl/>
              <w:jc w:val="center"/>
              <w:textAlignment w:val="bottom"/>
              <w:rPr>
                <w:color w:val="000000"/>
                <w:szCs w:val="21"/>
              </w:rPr>
            </w:pPr>
            <w:r>
              <w:rPr>
                <w:color w:val="000000"/>
                <w:kern w:val="0"/>
                <w:szCs w:val="21"/>
                <w:lang w:bidi="ar"/>
              </w:rPr>
              <w:t>0.54</w:t>
            </w:r>
          </w:p>
        </w:tc>
        <w:tc>
          <w:tcPr>
            <w:tcW w:w="1092" w:type="dxa"/>
            <w:vAlign w:val="bottom"/>
          </w:tcPr>
          <w:p>
            <w:pPr>
              <w:widowControl/>
              <w:jc w:val="center"/>
              <w:textAlignment w:val="bottom"/>
              <w:rPr>
                <w:color w:val="000000"/>
                <w:szCs w:val="21"/>
              </w:rPr>
            </w:pPr>
            <w:r>
              <w:rPr>
                <w:color w:val="000000"/>
                <w:kern w:val="0"/>
                <w:szCs w:val="21"/>
                <w:lang w:bidi="ar"/>
              </w:rPr>
              <w:t>0.59</w:t>
            </w:r>
          </w:p>
        </w:tc>
        <w:tc>
          <w:tcPr>
            <w:tcW w:w="1091" w:type="dxa"/>
            <w:vAlign w:val="bottom"/>
          </w:tcPr>
          <w:p>
            <w:pPr>
              <w:widowControl/>
              <w:jc w:val="center"/>
              <w:textAlignment w:val="bottom"/>
              <w:rPr>
                <w:color w:val="000000"/>
                <w:szCs w:val="21"/>
              </w:rPr>
            </w:pPr>
            <w:r>
              <w:rPr>
                <w:color w:val="000000"/>
                <w:kern w:val="0"/>
                <w:szCs w:val="21"/>
                <w:lang w:bidi="ar"/>
              </w:rPr>
              <w:t>0.57</w:t>
            </w:r>
          </w:p>
        </w:tc>
        <w:tc>
          <w:tcPr>
            <w:tcW w:w="1092" w:type="dxa"/>
            <w:vAlign w:val="bottom"/>
          </w:tcPr>
          <w:p>
            <w:pPr>
              <w:widowControl/>
              <w:jc w:val="center"/>
              <w:textAlignment w:val="bottom"/>
              <w:rPr>
                <w:color w:val="000000"/>
                <w:szCs w:val="21"/>
              </w:rPr>
            </w:pPr>
            <w:r>
              <w:rPr>
                <w:color w:val="000000"/>
                <w:kern w:val="0"/>
                <w:szCs w:val="21"/>
                <w:lang w:bidi="ar"/>
              </w:rPr>
              <w:t>6.11</w:t>
            </w:r>
          </w:p>
        </w:tc>
        <w:tc>
          <w:tcPr>
            <w:tcW w:w="1089" w:type="dxa"/>
            <w:vAlign w:val="bottom"/>
          </w:tcPr>
          <w:p>
            <w:pPr>
              <w:widowControl/>
              <w:jc w:val="center"/>
              <w:textAlignment w:val="bottom"/>
              <w:rPr>
                <w:color w:val="000000"/>
                <w:kern w:val="0"/>
                <w:szCs w:val="21"/>
                <w:lang w:bidi="ar"/>
              </w:rPr>
            </w:pPr>
            <w:r>
              <w:rPr>
                <w:color w:val="000000"/>
                <w:kern w:val="0"/>
                <w:szCs w:val="21"/>
                <w:lang w:bidi="ar"/>
              </w:rPr>
              <w:t>5.99</w:t>
            </w:r>
          </w:p>
        </w:tc>
        <w:tc>
          <w:tcPr>
            <w:tcW w:w="1089" w:type="dxa"/>
            <w:vAlign w:val="bottom"/>
          </w:tcPr>
          <w:p>
            <w:pPr>
              <w:widowControl/>
              <w:jc w:val="center"/>
              <w:textAlignment w:val="bottom"/>
              <w:rPr>
                <w:color w:val="000000"/>
                <w:kern w:val="0"/>
                <w:szCs w:val="21"/>
                <w:lang w:bidi="ar"/>
              </w:rPr>
            </w:pPr>
            <w:r>
              <w:rPr>
                <w:color w:val="000000"/>
                <w:kern w:val="0"/>
                <w:szCs w:val="21"/>
                <w:lang w:bidi="ar"/>
              </w:rPr>
              <w:t>6.28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27.9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20</w:t>
            </w:r>
          </w:p>
        </w:tc>
        <w:tc>
          <w:tcPr>
            <w:tcW w:w="693" w:type="pct"/>
            <w:vAlign w:val="bottom"/>
          </w:tcPr>
          <w:p>
            <w:pPr>
              <w:widowControl/>
              <w:jc w:val="center"/>
              <w:textAlignment w:val="bottom"/>
              <w:rPr>
                <w:color w:val="000000"/>
                <w:szCs w:val="21"/>
              </w:rPr>
            </w:pPr>
            <w:r>
              <w:rPr>
                <w:color w:val="000000"/>
                <w:kern w:val="0"/>
                <w:szCs w:val="21"/>
                <w:lang w:bidi="ar"/>
              </w:rPr>
              <w:t>0.48</w:t>
            </w:r>
          </w:p>
        </w:tc>
        <w:tc>
          <w:tcPr>
            <w:tcW w:w="1092" w:type="dxa"/>
            <w:vAlign w:val="bottom"/>
          </w:tcPr>
          <w:p>
            <w:pPr>
              <w:widowControl/>
              <w:jc w:val="center"/>
              <w:textAlignment w:val="bottom"/>
              <w:rPr>
                <w:color w:val="000000"/>
                <w:szCs w:val="21"/>
              </w:rPr>
            </w:pPr>
            <w:r>
              <w:rPr>
                <w:color w:val="000000"/>
                <w:kern w:val="0"/>
                <w:szCs w:val="21"/>
                <w:lang w:bidi="ar"/>
              </w:rPr>
              <w:t>0.53</w:t>
            </w:r>
          </w:p>
        </w:tc>
        <w:tc>
          <w:tcPr>
            <w:tcW w:w="1091" w:type="dxa"/>
            <w:vAlign w:val="bottom"/>
          </w:tcPr>
          <w:p>
            <w:pPr>
              <w:widowControl/>
              <w:jc w:val="center"/>
              <w:textAlignment w:val="bottom"/>
              <w:rPr>
                <w:color w:val="000000"/>
                <w:szCs w:val="21"/>
              </w:rPr>
            </w:pPr>
            <w:r>
              <w:rPr>
                <w:color w:val="000000"/>
                <w:kern w:val="0"/>
                <w:szCs w:val="21"/>
                <w:lang w:bidi="ar"/>
              </w:rPr>
              <w:t>0.51</w:t>
            </w:r>
          </w:p>
        </w:tc>
        <w:tc>
          <w:tcPr>
            <w:tcW w:w="1092" w:type="dxa"/>
            <w:vAlign w:val="bottom"/>
          </w:tcPr>
          <w:p>
            <w:pPr>
              <w:widowControl/>
              <w:jc w:val="center"/>
              <w:textAlignment w:val="bottom"/>
              <w:rPr>
                <w:color w:val="000000"/>
                <w:szCs w:val="21"/>
              </w:rPr>
            </w:pPr>
            <w:r>
              <w:rPr>
                <w:color w:val="000000"/>
                <w:kern w:val="0"/>
                <w:szCs w:val="21"/>
                <w:lang w:bidi="ar"/>
              </w:rPr>
              <w:t>5.65</w:t>
            </w:r>
          </w:p>
        </w:tc>
        <w:tc>
          <w:tcPr>
            <w:tcW w:w="1089" w:type="dxa"/>
            <w:vAlign w:val="bottom"/>
          </w:tcPr>
          <w:p>
            <w:pPr>
              <w:widowControl/>
              <w:jc w:val="center"/>
              <w:textAlignment w:val="bottom"/>
              <w:rPr>
                <w:color w:val="000000"/>
                <w:kern w:val="0"/>
                <w:szCs w:val="21"/>
                <w:lang w:bidi="ar"/>
              </w:rPr>
            </w:pPr>
            <w:r>
              <w:rPr>
                <w:color w:val="000000"/>
                <w:kern w:val="0"/>
                <w:szCs w:val="21"/>
                <w:lang w:bidi="ar"/>
              </w:rPr>
              <w:t>5.56</w:t>
            </w:r>
          </w:p>
        </w:tc>
        <w:tc>
          <w:tcPr>
            <w:tcW w:w="1089" w:type="dxa"/>
            <w:vAlign w:val="bottom"/>
          </w:tcPr>
          <w:p>
            <w:pPr>
              <w:widowControl/>
              <w:jc w:val="center"/>
              <w:textAlignment w:val="bottom"/>
              <w:rPr>
                <w:color w:val="000000"/>
                <w:kern w:val="0"/>
                <w:szCs w:val="21"/>
                <w:lang w:bidi="ar"/>
              </w:rPr>
            </w:pPr>
            <w:r>
              <w:rPr>
                <w:color w:val="000000"/>
                <w:kern w:val="0"/>
                <w:szCs w:val="21"/>
                <w:lang w:bidi="ar"/>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28.9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21</w:t>
            </w:r>
          </w:p>
        </w:tc>
        <w:tc>
          <w:tcPr>
            <w:tcW w:w="693" w:type="pct"/>
            <w:vAlign w:val="bottom"/>
          </w:tcPr>
          <w:p>
            <w:pPr>
              <w:widowControl/>
              <w:jc w:val="center"/>
              <w:textAlignment w:val="bottom"/>
              <w:rPr>
                <w:color w:val="000000"/>
                <w:szCs w:val="21"/>
              </w:rPr>
            </w:pPr>
            <w:r>
              <w:rPr>
                <w:color w:val="000000"/>
                <w:kern w:val="0"/>
                <w:szCs w:val="21"/>
                <w:lang w:bidi="ar"/>
              </w:rPr>
              <w:t>0.43</w:t>
            </w:r>
          </w:p>
        </w:tc>
        <w:tc>
          <w:tcPr>
            <w:tcW w:w="1092" w:type="dxa"/>
            <w:vAlign w:val="bottom"/>
          </w:tcPr>
          <w:p>
            <w:pPr>
              <w:widowControl/>
              <w:jc w:val="center"/>
              <w:textAlignment w:val="bottom"/>
              <w:rPr>
                <w:color w:val="000000"/>
                <w:szCs w:val="21"/>
              </w:rPr>
            </w:pPr>
            <w:r>
              <w:rPr>
                <w:color w:val="000000"/>
                <w:kern w:val="0"/>
                <w:szCs w:val="21"/>
                <w:lang w:bidi="ar"/>
              </w:rPr>
              <w:t>0.47</w:t>
            </w:r>
          </w:p>
        </w:tc>
        <w:tc>
          <w:tcPr>
            <w:tcW w:w="1091" w:type="dxa"/>
            <w:vAlign w:val="bottom"/>
          </w:tcPr>
          <w:p>
            <w:pPr>
              <w:widowControl/>
              <w:jc w:val="center"/>
              <w:textAlignment w:val="bottom"/>
              <w:rPr>
                <w:color w:val="000000"/>
                <w:szCs w:val="21"/>
              </w:rPr>
            </w:pPr>
            <w:r>
              <w:rPr>
                <w:color w:val="000000"/>
                <w:kern w:val="0"/>
                <w:szCs w:val="21"/>
                <w:lang w:bidi="ar"/>
              </w:rPr>
              <w:t>0.46</w:t>
            </w:r>
          </w:p>
        </w:tc>
        <w:tc>
          <w:tcPr>
            <w:tcW w:w="1092" w:type="dxa"/>
            <w:vAlign w:val="bottom"/>
          </w:tcPr>
          <w:p>
            <w:pPr>
              <w:widowControl/>
              <w:jc w:val="center"/>
              <w:textAlignment w:val="bottom"/>
              <w:rPr>
                <w:color w:val="000000"/>
                <w:szCs w:val="21"/>
              </w:rPr>
            </w:pPr>
            <w:r>
              <w:rPr>
                <w:color w:val="000000"/>
                <w:kern w:val="0"/>
                <w:szCs w:val="21"/>
                <w:lang w:bidi="ar"/>
              </w:rPr>
              <w:t>5.25</w:t>
            </w:r>
          </w:p>
        </w:tc>
        <w:tc>
          <w:tcPr>
            <w:tcW w:w="1089" w:type="dxa"/>
            <w:vAlign w:val="bottom"/>
          </w:tcPr>
          <w:p>
            <w:pPr>
              <w:widowControl/>
              <w:jc w:val="center"/>
              <w:textAlignment w:val="bottom"/>
              <w:rPr>
                <w:color w:val="000000"/>
                <w:kern w:val="0"/>
                <w:szCs w:val="21"/>
                <w:lang w:bidi="ar"/>
              </w:rPr>
            </w:pPr>
            <w:r>
              <w:rPr>
                <w:color w:val="000000"/>
                <w:kern w:val="0"/>
                <w:szCs w:val="21"/>
                <w:lang w:bidi="ar"/>
              </w:rPr>
              <w:t>5.17</w:t>
            </w:r>
          </w:p>
        </w:tc>
        <w:tc>
          <w:tcPr>
            <w:tcW w:w="1089" w:type="dxa"/>
            <w:vAlign w:val="bottom"/>
          </w:tcPr>
          <w:p>
            <w:pPr>
              <w:widowControl/>
              <w:jc w:val="center"/>
              <w:textAlignment w:val="bottom"/>
              <w:rPr>
                <w:color w:val="000000"/>
                <w:kern w:val="0"/>
                <w:szCs w:val="21"/>
                <w:lang w:bidi="ar"/>
              </w:rPr>
            </w:pPr>
            <w:r>
              <w:rPr>
                <w:color w:val="000000"/>
                <w:kern w:val="0"/>
                <w:szCs w:val="21"/>
                <w:lang w:bidi="ar"/>
              </w:rPr>
              <w:t>5.38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29.9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22</w:t>
            </w:r>
          </w:p>
        </w:tc>
        <w:tc>
          <w:tcPr>
            <w:tcW w:w="693" w:type="pct"/>
            <w:vAlign w:val="bottom"/>
          </w:tcPr>
          <w:p>
            <w:pPr>
              <w:widowControl/>
              <w:jc w:val="center"/>
              <w:textAlignment w:val="bottom"/>
              <w:rPr>
                <w:color w:val="000000"/>
                <w:szCs w:val="21"/>
              </w:rPr>
            </w:pPr>
            <w:r>
              <w:rPr>
                <w:color w:val="000000"/>
                <w:kern w:val="0"/>
                <w:szCs w:val="21"/>
                <w:lang w:bidi="ar"/>
              </w:rPr>
              <w:t>0.39</w:t>
            </w:r>
          </w:p>
        </w:tc>
        <w:tc>
          <w:tcPr>
            <w:tcW w:w="1092" w:type="dxa"/>
            <w:vAlign w:val="bottom"/>
          </w:tcPr>
          <w:p>
            <w:pPr>
              <w:widowControl/>
              <w:jc w:val="center"/>
              <w:textAlignment w:val="bottom"/>
              <w:rPr>
                <w:color w:val="000000"/>
                <w:szCs w:val="21"/>
              </w:rPr>
            </w:pPr>
            <w:r>
              <w:rPr>
                <w:color w:val="000000"/>
                <w:kern w:val="0"/>
                <w:szCs w:val="21"/>
                <w:lang w:bidi="ar"/>
              </w:rPr>
              <w:t>0.43</w:t>
            </w:r>
          </w:p>
        </w:tc>
        <w:tc>
          <w:tcPr>
            <w:tcW w:w="1091" w:type="dxa"/>
            <w:vAlign w:val="bottom"/>
          </w:tcPr>
          <w:p>
            <w:pPr>
              <w:widowControl/>
              <w:jc w:val="center"/>
              <w:textAlignment w:val="bottom"/>
              <w:rPr>
                <w:color w:val="000000"/>
                <w:szCs w:val="21"/>
              </w:rPr>
            </w:pPr>
            <w:r>
              <w:rPr>
                <w:color w:val="000000"/>
                <w:kern w:val="0"/>
                <w:szCs w:val="21"/>
                <w:lang w:bidi="ar"/>
              </w:rPr>
              <w:t>0.42</w:t>
            </w:r>
          </w:p>
        </w:tc>
        <w:tc>
          <w:tcPr>
            <w:tcW w:w="1092" w:type="dxa"/>
            <w:vAlign w:val="bottom"/>
          </w:tcPr>
          <w:p>
            <w:pPr>
              <w:widowControl/>
              <w:jc w:val="center"/>
              <w:textAlignment w:val="bottom"/>
              <w:rPr>
                <w:color w:val="000000"/>
                <w:szCs w:val="21"/>
              </w:rPr>
            </w:pPr>
            <w:r>
              <w:rPr>
                <w:color w:val="000000"/>
                <w:kern w:val="0"/>
                <w:szCs w:val="21"/>
                <w:lang w:bidi="ar"/>
              </w:rPr>
              <w:t>4.89</w:t>
            </w:r>
          </w:p>
        </w:tc>
        <w:tc>
          <w:tcPr>
            <w:tcW w:w="1089" w:type="dxa"/>
            <w:vAlign w:val="bottom"/>
          </w:tcPr>
          <w:p>
            <w:pPr>
              <w:widowControl/>
              <w:jc w:val="center"/>
              <w:textAlignment w:val="bottom"/>
              <w:rPr>
                <w:color w:val="000000"/>
                <w:kern w:val="0"/>
                <w:szCs w:val="21"/>
                <w:lang w:bidi="ar"/>
              </w:rPr>
            </w:pPr>
            <w:r>
              <w:rPr>
                <w:color w:val="000000"/>
                <w:kern w:val="0"/>
                <w:szCs w:val="21"/>
                <w:lang w:bidi="ar"/>
              </w:rPr>
              <w:t>4.82</w:t>
            </w:r>
          </w:p>
        </w:tc>
        <w:tc>
          <w:tcPr>
            <w:tcW w:w="1089" w:type="dxa"/>
            <w:vAlign w:val="bottom"/>
          </w:tcPr>
          <w:p>
            <w:pPr>
              <w:widowControl/>
              <w:jc w:val="center"/>
              <w:textAlignment w:val="bottom"/>
              <w:rPr>
                <w:color w:val="000000"/>
                <w:kern w:val="0"/>
                <w:szCs w:val="21"/>
                <w:lang w:bidi="ar"/>
              </w:rPr>
            </w:pPr>
            <w:r>
              <w:rPr>
                <w:color w:val="000000"/>
                <w:kern w:val="0"/>
                <w:szCs w:val="21"/>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30.9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23</w:t>
            </w:r>
          </w:p>
        </w:tc>
        <w:tc>
          <w:tcPr>
            <w:tcW w:w="693" w:type="pct"/>
            <w:vAlign w:val="bottom"/>
          </w:tcPr>
          <w:p>
            <w:pPr>
              <w:widowControl/>
              <w:jc w:val="center"/>
              <w:textAlignment w:val="bottom"/>
              <w:rPr>
                <w:color w:val="000000"/>
                <w:szCs w:val="21"/>
              </w:rPr>
            </w:pPr>
            <w:r>
              <w:rPr>
                <w:color w:val="000000"/>
                <w:kern w:val="0"/>
                <w:szCs w:val="21"/>
                <w:lang w:bidi="ar"/>
              </w:rPr>
              <w:t>0.35</w:t>
            </w:r>
          </w:p>
        </w:tc>
        <w:tc>
          <w:tcPr>
            <w:tcW w:w="1092" w:type="dxa"/>
            <w:vAlign w:val="bottom"/>
          </w:tcPr>
          <w:p>
            <w:pPr>
              <w:widowControl/>
              <w:jc w:val="center"/>
              <w:textAlignment w:val="bottom"/>
              <w:rPr>
                <w:color w:val="000000"/>
                <w:szCs w:val="21"/>
              </w:rPr>
            </w:pPr>
            <w:r>
              <w:rPr>
                <w:color w:val="000000"/>
                <w:kern w:val="0"/>
                <w:szCs w:val="21"/>
                <w:lang w:bidi="ar"/>
              </w:rPr>
              <w:t>0.39</w:t>
            </w:r>
          </w:p>
        </w:tc>
        <w:tc>
          <w:tcPr>
            <w:tcW w:w="1091" w:type="dxa"/>
            <w:vAlign w:val="bottom"/>
          </w:tcPr>
          <w:p>
            <w:pPr>
              <w:widowControl/>
              <w:jc w:val="center"/>
              <w:textAlignment w:val="bottom"/>
              <w:rPr>
                <w:color w:val="000000"/>
                <w:szCs w:val="21"/>
              </w:rPr>
            </w:pPr>
            <w:r>
              <w:rPr>
                <w:color w:val="000000"/>
                <w:kern w:val="0"/>
                <w:szCs w:val="21"/>
                <w:lang w:bidi="ar"/>
              </w:rPr>
              <w:t>0.38</w:t>
            </w:r>
          </w:p>
        </w:tc>
        <w:tc>
          <w:tcPr>
            <w:tcW w:w="1092" w:type="dxa"/>
            <w:vAlign w:val="bottom"/>
          </w:tcPr>
          <w:p>
            <w:pPr>
              <w:widowControl/>
              <w:jc w:val="center"/>
              <w:textAlignment w:val="bottom"/>
              <w:rPr>
                <w:color w:val="000000"/>
                <w:szCs w:val="21"/>
              </w:rPr>
            </w:pPr>
            <w:r>
              <w:rPr>
                <w:color w:val="000000"/>
                <w:kern w:val="0"/>
                <w:szCs w:val="21"/>
                <w:lang w:bidi="ar"/>
              </w:rPr>
              <w:t>4.57</w:t>
            </w:r>
          </w:p>
        </w:tc>
        <w:tc>
          <w:tcPr>
            <w:tcW w:w="1089" w:type="dxa"/>
            <w:vAlign w:val="bottom"/>
          </w:tcPr>
          <w:p>
            <w:pPr>
              <w:widowControl/>
              <w:jc w:val="center"/>
              <w:textAlignment w:val="bottom"/>
              <w:rPr>
                <w:color w:val="000000"/>
                <w:kern w:val="0"/>
                <w:szCs w:val="21"/>
                <w:lang w:bidi="ar"/>
              </w:rPr>
            </w:pPr>
            <w:r>
              <w:rPr>
                <w:color w:val="000000"/>
                <w:kern w:val="0"/>
                <w:szCs w:val="21"/>
                <w:lang w:bidi="ar"/>
              </w:rPr>
              <w:t>4.5</w:t>
            </w:r>
          </w:p>
        </w:tc>
        <w:tc>
          <w:tcPr>
            <w:tcW w:w="1089" w:type="dxa"/>
            <w:vAlign w:val="bottom"/>
          </w:tcPr>
          <w:p>
            <w:pPr>
              <w:widowControl/>
              <w:jc w:val="center"/>
              <w:textAlignment w:val="bottom"/>
              <w:rPr>
                <w:color w:val="000000"/>
                <w:kern w:val="0"/>
                <w:szCs w:val="21"/>
                <w:lang w:bidi="ar"/>
              </w:rPr>
            </w:pPr>
            <w:r>
              <w:rPr>
                <w:color w:val="000000"/>
                <w:kern w:val="0"/>
                <w:szCs w:val="21"/>
                <w:lang w:bidi="ar"/>
              </w:rPr>
              <w:t>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31.9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24</w:t>
            </w:r>
          </w:p>
        </w:tc>
        <w:tc>
          <w:tcPr>
            <w:tcW w:w="693" w:type="pct"/>
            <w:vAlign w:val="bottom"/>
          </w:tcPr>
          <w:p>
            <w:pPr>
              <w:widowControl/>
              <w:jc w:val="center"/>
              <w:textAlignment w:val="bottom"/>
              <w:rPr>
                <w:color w:val="000000"/>
                <w:szCs w:val="21"/>
              </w:rPr>
            </w:pPr>
            <w:r>
              <w:rPr>
                <w:color w:val="000000"/>
                <w:kern w:val="0"/>
                <w:szCs w:val="21"/>
                <w:lang w:bidi="ar"/>
              </w:rPr>
              <w:t>0.32</w:t>
            </w:r>
          </w:p>
        </w:tc>
        <w:tc>
          <w:tcPr>
            <w:tcW w:w="1092" w:type="dxa"/>
            <w:vAlign w:val="bottom"/>
          </w:tcPr>
          <w:p>
            <w:pPr>
              <w:widowControl/>
              <w:jc w:val="center"/>
              <w:textAlignment w:val="bottom"/>
              <w:rPr>
                <w:color w:val="000000"/>
                <w:szCs w:val="21"/>
              </w:rPr>
            </w:pPr>
            <w:r>
              <w:rPr>
                <w:color w:val="000000"/>
                <w:kern w:val="0"/>
                <w:szCs w:val="21"/>
                <w:lang w:bidi="ar"/>
              </w:rPr>
              <w:t>0.35</w:t>
            </w:r>
          </w:p>
        </w:tc>
        <w:tc>
          <w:tcPr>
            <w:tcW w:w="1091" w:type="dxa"/>
            <w:vAlign w:val="bottom"/>
          </w:tcPr>
          <w:p>
            <w:pPr>
              <w:widowControl/>
              <w:jc w:val="center"/>
              <w:textAlignment w:val="bottom"/>
              <w:rPr>
                <w:color w:val="000000"/>
                <w:szCs w:val="21"/>
              </w:rPr>
            </w:pPr>
            <w:r>
              <w:rPr>
                <w:color w:val="000000"/>
                <w:kern w:val="0"/>
                <w:szCs w:val="21"/>
                <w:lang w:bidi="ar"/>
              </w:rPr>
              <w:t>0.34</w:t>
            </w:r>
          </w:p>
        </w:tc>
        <w:tc>
          <w:tcPr>
            <w:tcW w:w="1092" w:type="dxa"/>
            <w:vAlign w:val="bottom"/>
          </w:tcPr>
          <w:p>
            <w:pPr>
              <w:widowControl/>
              <w:jc w:val="center"/>
              <w:textAlignment w:val="bottom"/>
              <w:rPr>
                <w:color w:val="000000"/>
                <w:szCs w:val="21"/>
              </w:rPr>
            </w:pPr>
            <w:r>
              <w:rPr>
                <w:color w:val="000000"/>
                <w:kern w:val="0"/>
                <w:szCs w:val="21"/>
                <w:lang w:bidi="ar"/>
              </w:rPr>
              <w:t>4.27</w:t>
            </w:r>
          </w:p>
        </w:tc>
        <w:tc>
          <w:tcPr>
            <w:tcW w:w="1089" w:type="dxa"/>
            <w:vAlign w:val="bottom"/>
          </w:tcPr>
          <w:p>
            <w:pPr>
              <w:widowControl/>
              <w:jc w:val="center"/>
              <w:textAlignment w:val="bottom"/>
              <w:rPr>
                <w:color w:val="000000"/>
                <w:kern w:val="0"/>
                <w:szCs w:val="21"/>
                <w:lang w:bidi="ar"/>
              </w:rPr>
            </w:pPr>
            <w:r>
              <w:rPr>
                <w:color w:val="000000"/>
                <w:kern w:val="0"/>
                <w:szCs w:val="21"/>
                <w:lang w:bidi="ar"/>
              </w:rPr>
              <w:t>4.22</w:t>
            </w:r>
          </w:p>
        </w:tc>
        <w:tc>
          <w:tcPr>
            <w:tcW w:w="1089" w:type="dxa"/>
            <w:vAlign w:val="bottom"/>
          </w:tcPr>
          <w:p>
            <w:pPr>
              <w:widowControl/>
              <w:jc w:val="center"/>
              <w:textAlignment w:val="bottom"/>
              <w:rPr>
                <w:color w:val="000000"/>
                <w:kern w:val="0"/>
                <w:szCs w:val="21"/>
                <w:lang w:bidi="ar"/>
              </w:rPr>
            </w:pPr>
            <w:r>
              <w:rPr>
                <w:color w:val="000000"/>
                <w:kern w:val="0"/>
                <w:szCs w:val="21"/>
                <w:lang w:bidi="ar"/>
              </w:rPr>
              <w:t>4.35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32.9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25</w:t>
            </w:r>
          </w:p>
        </w:tc>
        <w:tc>
          <w:tcPr>
            <w:tcW w:w="693" w:type="pct"/>
            <w:vAlign w:val="bottom"/>
          </w:tcPr>
          <w:p>
            <w:pPr>
              <w:widowControl/>
              <w:jc w:val="center"/>
              <w:textAlignment w:val="bottom"/>
              <w:rPr>
                <w:color w:val="000000"/>
                <w:szCs w:val="21"/>
              </w:rPr>
            </w:pPr>
            <w:r>
              <w:rPr>
                <w:color w:val="000000"/>
                <w:kern w:val="0"/>
                <w:szCs w:val="21"/>
                <w:lang w:bidi="ar"/>
              </w:rPr>
              <w:t>0.29</w:t>
            </w:r>
          </w:p>
        </w:tc>
        <w:tc>
          <w:tcPr>
            <w:tcW w:w="1092" w:type="dxa"/>
            <w:vAlign w:val="bottom"/>
          </w:tcPr>
          <w:p>
            <w:pPr>
              <w:widowControl/>
              <w:jc w:val="center"/>
              <w:textAlignment w:val="bottom"/>
              <w:rPr>
                <w:color w:val="000000"/>
                <w:szCs w:val="21"/>
              </w:rPr>
            </w:pPr>
            <w:r>
              <w:rPr>
                <w:color w:val="000000"/>
                <w:kern w:val="0"/>
                <w:szCs w:val="21"/>
                <w:lang w:bidi="ar"/>
              </w:rPr>
              <w:t>0.32</w:t>
            </w:r>
          </w:p>
        </w:tc>
        <w:tc>
          <w:tcPr>
            <w:tcW w:w="1091" w:type="dxa"/>
            <w:vAlign w:val="bottom"/>
          </w:tcPr>
          <w:p>
            <w:pPr>
              <w:widowControl/>
              <w:jc w:val="center"/>
              <w:textAlignment w:val="bottom"/>
              <w:rPr>
                <w:color w:val="000000"/>
                <w:szCs w:val="21"/>
              </w:rPr>
            </w:pPr>
            <w:r>
              <w:rPr>
                <w:color w:val="000000"/>
                <w:kern w:val="0"/>
                <w:szCs w:val="21"/>
                <w:lang w:bidi="ar"/>
              </w:rPr>
              <w:t>0.31</w:t>
            </w:r>
          </w:p>
        </w:tc>
        <w:tc>
          <w:tcPr>
            <w:tcW w:w="1092" w:type="dxa"/>
            <w:vAlign w:val="bottom"/>
          </w:tcPr>
          <w:p>
            <w:pPr>
              <w:widowControl/>
              <w:jc w:val="center"/>
              <w:textAlignment w:val="bottom"/>
              <w:rPr>
                <w:color w:val="000000"/>
                <w:szCs w:val="21"/>
              </w:rPr>
            </w:pPr>
            <w:r>
              <w:rPr>
                <w:color w:val="000000"/>
                <w:kern w:val="0"/>
                <w:szCs w:val="21"/>
                <w:lang w:bidi="ar"/>
              </w:rPr>
              <w:t>4.01</w:t>
            </w:r>
          </w:p>
        </w:tc>
        <w:tc>
          <w:tcPr>
            <w:tcW w:w="1089" w:type="dxa"/>
            <w:vAlign w:val="bottom"/>
          </w:tcPr>
          <w:p>
            <w:pPr>
              <w:widowControl/>
              <w:jc w:val="center"/>
              <w:textAlignment w:val="bottom"/>
              <w:rPr>
                <w:color w:val="000000"/>
                <w:kern w:val="0"/>
                <w:szCs w:val="21"/>
                <w:lang w:bidi="ar"/>
              </w:rPr>
            </w:pPr>
            <w:r>
              <w:rPr>
                <w:color w:val="000000"/>
                <w:kern w:val="0"/>
                <w:szCs w:val="21"/>
                <w:lang w:bidi="ar"/>
              </w:rPr>
              <w:t>3.96</w:t>
            </w:r>
          </w:p>
        </w:tc>
        <w:tc>
          <w:tcPr>
            <w:tcW w:w="1089" w:type="dxa"/>
            <w:vAlign w:val="bottom"/>
          </w:tcPr>
          <w:p>
            <w:pPr>
              <w:widowControl/>
              <w:jc w:val="center"/>
              <w:textAlignment w:val="bottom"/>
              <w:rPr>
                <w:color w:val="000000"/>
                <w:kern w:val="0"/>
                <w:szCs w:val="21"/>
                <w:lang w:bidi="ar"/>
              </w:rPr>
            </w:pPr>
            <w:r>
              <w:rPr>
                <w:color w:val="000000"/>
                <w:kern w:val="0"/>
                <w:szCs w:val="21"/>
                <w:lang w:bidi="ar"/>
              </w:rPr>
              <w:t>4.08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33.9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26</w:t>
            </w:r>
          </w:p>
        </w:tc>
        <w:tc>
          <w:tcPr>
            <w:tcW w:w="693" w:type="pct"/>
            <w:vAlign w:val="bottom"/>
          </w:tcPr>
          <w:p>
            <w:pPr>
              <w:widowControl/>
              <w:jc w:val="center"/>
              <w:textAlignment w:val="bottom"/>
              <w:rPr>
                <w:color w:val="000000"/>
                <w:szCs w:val="21"/>
              </w:rPr>
            </w:pPr>
            <w:r>
              <w:rPr>
                <w:color w:val="000000"/>
                <w:kern w:val="0"/>
                <w:szCs w:val="21"/>
                <w:lang w:bidi="ar"/>
              </w:rPr>
              <w:t>0.27</w:t>
            </w:r>
          </w:p>
        </w:tc>
        <w:tc>
          <w:tcPr>
            <w:tcW w:w="1092" w:type="dxa"/>
            <w:vAlign w:val="bottom"/>
          </w:tcPr>
          <w:p>
            <w:pPr>
              <w:widowControl/>
              <w:jc w:val="center"/>
              <w:textAlignment w:val="bottom"/>
              <w:rPr>
                <w:color w:val="000000"/>
                <w:szCs w:val="21"/>
              </w:rPr>
            </w:pPr>
            <w:r>
              <w:rPr>
                <w:color w:val="000000"/>
                <w:kern w:val="0"/>
                <w:szCs w:val="21"/>
                <w:lang w:bidi="ar"/>
              </w:rPr>
              <w:t>0.29</w:t>
            </w:r>
          </w:p>
        </w:tc>
        <w:tc>
          <w:tcPr>
            <w:tcW w:w="1091" w:type="dxa"/>
            <w:vAlign w:val="bottom"/>
          </w:tcPr>
          <w:p>
            <w:pPr>
              <w:widowControl/>
              <w:jc w:val="center"/>
              <w:textAlignment w:val="bottom"/>
              <w:rPr>
                <w:color w:val="000000"/>
                <w:szCs w:val="21"/>
              </w:rPr>
            </w:pPr>
            <w:r>
              <w:rPr>
                <w:color w:val="000000"/>
                <w:kern w:val="0"/>
                <w:szCs w:val="21"/>
                <w:lang w:bidi="ar"/>
              </w:rPr>
              <w:t>0.29</w:t>
            </w:r>
          </w:p>
        </w:tc>
        <w:tc>
          <w:tcPr>
            <w:tcW w:w="1092" w:type="dxa"/>
            <w:vAlign w:val="bottom"/>
          </w:tcPr>
          <w:p>
            <w:pPr>
              <w:widowControl/>
              <w:jc w:val="center"/>
              <w:textAlignment w:val="bottom"/>
              <w:rPr>
                <w:color w:val="000000"/>
                <w:szCs w:val="21"/>
              </w:rPr>
            </w:pPr>
            <w:r>
              <w:rPr>
                <w:color w:val="000000"/>
                <w:kern w:val="0"/>
                <w:szCs w:val="21"/>
                <w:lang w:bidi="ar"/>
              </w:rPr>
              <w:t>3.76</w:t>
            </w:r>
          </w:p>
        </w:tc>
        <w:tc>
          <w:tcPr>
            <w:tcW w:w="1089" w:type="dxa"/>
            <w:vAlign w:val="bottom"/>
          </w:tcPr>
          <w:p>
            <w:pPr>
              <w:widowControl/>
              <w:jc w:val="center"/>
              <w:textAlignment w:val="bottom"/>
              <w:rPr>
                <w:color w:val="000000"/>
                <w:kern w:val="0"/>
                <w:szCs w:val="21"/>
                <w:lang w:bidi="ar"/>
              </w:rPr>
            </w:pPr>
            <w:r>
              <w:rPr>
                <w:color w:val="000000"/>
                <w:kern w:val="0"/>
                <w:szCs w:val="21"/>
                <w:lang w:bidi="ar"/>
              </w:rPr>
              <w:t>3.72</w:t>
            </w:r>
          </w:p>
        </w:tc>
        <w:tc>
          <w:tcPr>
            <w:tcW w:w="1089" w:type="dxa"/>
            <w:vAlign w:val="bottom"/>
          </w:tcPr>
          <w:p>
            <w:pPr>
              <w:widowControl/>
              <w:jc w:val="center"/>
              <w:textAlignment w:val="bottom"/>
              <w:rPr>
                <w:color w:val="000000"/>
                <w:kern w:val="0"/>
                <w:szCs w:val="21"/>
                <w:lang w:bidi="ar"/>
              </w:rPr>
            </w:pPr>
            <w:r>
              <w:rPr>
                <w:color w:val="000000"/>
                <w:kern w:val="0"/>
                <w:szCs w:val="21"/>
                <w:lang w:bidi="ar"/>
              </w:rPr>
              <w:t>3.83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34.9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27</w:t>
            </w:r>
          </w:p>
        </w:tc>
        <w:tc>
          <w:tcPr>
            <w:tcW w:w="693" w:type="pct"/>
            <w:vAlign w:val="bottom"/>
          </w:tcPr>
          <w:p>
            <w:pPr>
              <w:widowControl/>
              <w:jc w:val="center"/>
              <w:textAlignment w:val="bottom"/>
              <w:rPr>
                <w:color w:val="000000"/>
                <w:szCs w:val="21"/>
              </w:rPr>
            </w:pPr>
            <w:r>
              <w:rPr>
                <w:color w:val="000000"/>
                <w:kern w:val="0"/>
                <w:szCs w:val="21"/>
                <w:lang w:bidi="ar"/>
              </w:rPr>
              <w:t>0.24</w:t>
            </w:r>
          </w:p>
        </w:tc>
        <w:tc>
          <w:tcPr>
            <w:tcW w:w="1092" w:type="dxa"/>
            <w:vAlign w:val="bottom"/>
          </w:tcPr>
          <w:p>
            <w:pPr>
              <w:widowControl/>
              <w:jc w:val="center"/>
              <w:textAlignment w:val="bottom"/>
              <w:rPr>
                <w:color w:val="000000"/>
                <w:szCs w:val="21"/>
              </w:rPr>
            </w:pPr>
            <w:r>
              <w:rPr>
                <w:color w:val="000000"/>
                <w:kern w:val="0"/>
                <w:szCs w:val="21"/>
                <w:lang w:bidi="ar"/>
              </w:rPr>
              <w:t>0.27</w:t>
            </w:r>
          </w:p>
        </w:tc>
        <w:tc>
          <w:tcPr>
            <w:tcW w:w="1091" w:type="dxa"/>
            <w:vAlign w:val="bottom"/>
          </w:tcPr>
          <w:p>
            <w:pPr>
              <w:widowControl/>
              <w:jc w:val="center"/>
              <w:textAlignment w:val="bottom"/>
              <w:rPr>
                <w:color w:val="000000"/>
                <w:szCs w:val="21"/>
              </w:rPr>
            </w:pPr>
            <w:r>
              <w:rPr>
                <w:color w:val="000000"/>
                <w:kern w:val="0"/>
                <w:szCs w:val="21"/>
                <w:lang w:bidi="ar"/>
              </w:rPr>
              <w:t>0.26</w:t>
            </w:r>
          </w:p>
        </w:tc>
        <w:tc>
          <w:tcPr>
            <w:tcW w:w="1092" w:type="dxa"/>
            <w:vAlign w:val="bottom"/>
          </w:tcPr>
          <w:p>
            <w:pPr>
              <w:widowControl/>
              <w:jc w:val="center"/>
              <w:textAlignment w:val="bottom"/>
              <w:rPr>
                <w:color w:val="000000"/>
                <w:szCs w:val="21"/>
              </w:rPr>
            </w:pPr>
            <w:r>
              <w:rPr>
                <w:color w:val="000000"/>
                <w:kern w:val="0"/>
                <w:szCs w:val="21"/>
                <w:lang w:bidi="ar"/>
              </w:rPr>
              <w:t>3.54</w:t>
            </w:r>
          </w:p>
        </w:tc>
        <w:tc>
          <w:tcPr>
            <w:tcW w:w="1089" w:type="dxa"/>
            <w:vAlign w:val="bottom"/>
          </w:tcPr>
          <w:p>
            <w:pPr>
              <w:widowControl/>
              <w:jc w:val="center"/>
              <w:textAlignment w:val="bottom"/>
              <w:rPr>
                <w:color w:val="000000"/>
                <w:kern w:val="0"/>
                <w:szCs w:val="21"/>
                <w:lang w:bidi="ar"/>
              </w:rPr>
            </w:pPr>
            <w:r>
              <w:rPr>
                <w:color w:val="000000"/>
                <w:kern w:val="0"/>
                <w:szCs w:val="21"/>
                <w:lang w:bidi="ar"/>
              </w:rPr>
              <w:t>3.51</w:t>
            </w:r>
          </w:p>
        </w:tc>
        <w:tc>
          <w:tcPr>
            <w:tcW w:w="1089" w:type="dxa"/>
            <w:vAlign w:val="bottom"/>
          </w:tcPr>
          <w:p>
            <w:pPr>
              <w:widowControl/>
              <w:jc w:val="center"/>
              <w:textAlignment w:val="bottom"/>
              <w:rPr>
                <w:color w:val="000000"/>
                <w:kern w:val="0"/>
                <w:szCs w:val="21"/>
                <w:lang w:bidi="ar"/>
              </w:rPr>
            </w:pPr>
            <w:r>
              <w:rPr>
                <w:color w:val="000000"/>
                <w:kern w:val="0"/>
                <w:szCs w:val="21"/>
                <w:lang w:bidi="ar"/>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35.9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28</w:t>
            </w:r>
          </w:p>
        </w:tc>
        <w:tc>
          <w:tcPr>
            <w:tcW w:w="693" w:type="pct"/>
            <w:vAlign w:val="bottom"/>
          </w:tcPr>
          <w:p>
            <w:pPr>
              <w:widowControl/>
              <w:jc w:val="center"/>
              <w:textAlignment w:val="bottom"/>
              <w:rPr>
                <w:color w:val="000000"/>
                <w:szCs w:val="21"/>
              </w:rPr>
            </w:pPr>
            <w:r>
              <w:rPr>
                <w:color w:val="000000"/>
                <w:kern w:val="0"/>
                <w:szCs w:val="21"/>
                <w:lang w:bidi="ar"/>
              </w:rPr>
              <w:t>0.22</w:t>
            </w:r>
          </w:p>
        </w:tc>
        <w:tc>
          <w:tcPr>
            <w:tcW w:w="1092" w:type="dxa"/>
            <w:vAlign w:val="bottom"/>
          </w:tcPr>
          <w:p>
            <w:pPr>
              <w:widowControl/>
              <w:jc w:val="center"/>
              <w:textAlignment w:val="bottom"/>
              <w:rPr>
                <w:color w:val="000000"/>
                <w:szCs w:val="21"/>
              </w:rPr>
            </w:pPr>
            <w:r>
              <w:rPr>
                <w:color w:val="000000"/>
                <w:kern w:val="0"/>
                <w:szCs w:val="21"/>
                <w:lang w:bidi="ar"/>
              </w:rPr>
              <w:t>0.25</w:t>
            </w:r>
          </w:p>
        </w:tc>
        <w:tc>
          <w:tcPr>
            <w:tcW w:w="1091" w:type="dxa"/>
            <w:vAlign w:val="bottom"/>
          </w:tcPr>
          <w:p>
            <w:pPr>
              <w:widowControl/>
              <w:jc w:val="center"/>
              <w:textAlignment w:val="bottom"/>
              <w:rPr>
                <w:color w:val="000000"/>
                <w:szCs w:val="21"/>
              </w:rPr>
            </w:pPr>
            <w:r>
              <w:rPr>
                <w:color w:val="000000"/>
                <w:kern w:val="0"/>
                <w:szCs w:val="21"/>
                <w:lang w:bidi="ar"/>
              </w:rPr>
              <w:t>0.24</w:t>
            </w:r>
          </w:p>
        </w:tc>
        <w:tc>
          <w:tcPr>
            <w:tcW w:w="1092" w:type="dxa"/>
            <w:vAlign w:val="bottom"/>
          </w:tcPr>
          <w:p>
            <w:pPr>
              <w:widowControl/>
              <w:jc w:val="center"/>
              <w:textAlignment w:val="bottom"/>
              <w:rPr>
                <w:color w:val="000000"/>
                <w:szCs w:val="21"/>
              </w:rPr>
            </w:pPr>
            <w:r>
              <w:rPr>
                <w:color w:val="000000"/>
                <w:kern w:val="0"/>
                <w:szCs w:val="21"/>
                <w:lang w:bidi="ar"/>
              </w:rPr>
              <w:t>3.34</w:t>
            </w:r>
          </w:p>
        </w:tc>
        <w:tc>
          <w:tcPr>
            <w:tcW w:w="1089" w:type="dxa"/>
            <w:vAlign w:val="bottom"/>
          </w:tcPr>
          <w:p>
            <w:pPr>
              <w:widowControl/>
              <w:jc w:val="center"/>
              <w:textAlignment w:val="bottom"/>
              <w:rPr>
                <w:color w:val="000000"/>
                <w:kern w:val="0"/>
                <w:szCs w:val="21"/>
                <w:lang w:bidi="ar"/>
              </w:rPr>
            </w:pPr>
            <w:r>
              <w:rPr>
                <w:color w:val="000000"/>
                <w:kern w:val="0"/>
                <w:szCs w:val="21"/>
                <w:lang w:bidi="ar"/>
              </w:rPr>
              <w:t>3.31</w:t>
            </w:r>
          </w:p>
        </w:tc>
        <w:tc>
          <w:tcPr>
            <w:tcW w:w="1089" w:type="dxa"/>
            <w:vAlign w:val="bottom"/>
          </w:tcPr>
          <w:p>
            <w:pPr>
              <w:widowControl/>
              <w:jc w:val="center"/>
              <w:textAlignment w:val="bottom"/>
              <w:rPr>
                <w:color w:val="000000"/>
                <w:kern w:val="0"/>
                <w:szCs w:val="21"/>
                <w:lang w:bidi="ar"/>
              </w:rPr>
            </w:pPr>
            <w:r>
              <w:rPr>
                <w:color w:val="000000"/>
                <w:kern w:val="0"/>
                <w:szCs w:val="21"/>
                <w:lang w:bidi="ar"/>
              </w:rPr>
              <w:t>3.39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szCs w:val="21"/>
              </w:rPr>
            </w:pPr>
            <w:r>
              <w:rPr>
                <w:color w:val="000000"/>
                <w:kern w:val="0"/>
                <w:szCs w:val="21"/>
                <w:lang w:bidi="ar"/>
              </w:rPr>
              <w:t>36.9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29</w:t>
            </w:r>
          </w:p>
        </w:tc>
        <w:tc>
          <w:tcPr>
            <w:tcW w:w="693" w:type="pct"/>
            <w:vAlign w:val="bottom"/>
          </w:tcPr>
          <w:p>
            <w:pPr>
              <w:widowControl/>
              <w:jc w:val="center"/>
              <w:textAlignment w:val="bottom"/>
              <w:rPr>
                <w:color w:val="000000"/>
                <w:szCs w:val="21"/>
              </w:rPr>
            </w:pPr>
            <w:r>
              <w:rPr>
                <w:color w:val="000000"/>
                <w:kern w:val="0"/>
                <w:szCs w:val="21"/>
                <w:lang w:bidi="ar"/>
              </w:rPr>
              <w:t>0.2</w:t>
            </w:r>
          </w:p>
        </w:tc>
        <w:tc>
          <w:tcPr>
            <w:tcW w:w="1092" w:type="dxa"/>
            <w:vAlign w:val="bottom"/>
          </w:tcPr>
          <w:p>
            <w:pPr>
              <w:widowControl/>
              <w:jc w:val="center"/>
              <w:textAlignment w:val="bottom"/>
              <w:rPr>
                <w:color w:val="000000"/>
                <w:szCs w:val="21"/>
              </w:rPr>
            </w:pPr>
            <w:r>
              <w:rPr>
                <w:color w:val="000000"/>
                <w:kern w:val="0"/>
                <w:szCs w:val="21"/>
                <w:lang w:bidi="ar"/>
              </w:rPr>
              <w:t>0.23</w:t>
            </w:r>
          </w:p>
        </w:tc>
        <w:tc>
          <w:tcPr>
            <w:tcW w:w="1091" w:type="dxa"/>
            <w:vAlign w:val="bottom"/>
          </w:tcPr>
          <w:p>
            <w:pPr>
              <w:widowControl/>
              <w:jc w:val="center"/>
              <w:textAlignment w:val="bottom"/>
              <w:rPr>
                <w:color w:val="000000"/>
                <w:szCs w:val="21"/>
              </w:rPr>
            </w:pPr>
            <w:r>
              <w:rPr>
                <w:color w:val="000000"/>
                <w:kern w:val="0"/>
                <w:szCs w:val="21"/>
                <w:lang w:bidi="ar"/>
              </w:rPr>
              <w:t>0.22</w:t>
            </w:r>
          </w:p>
        </w:tc>
        <w:tc>
          <w:tcPr>
            <w:tcW w:w="1092" w:type="dxa"/>
            <w:vAlign w:val="bottom"/>
          </w:tcPr>
          <w:p>
            <w:pPr>
              <w:widowControl/>
              <w:jc w:val="center"/>
              <w:textAlignment w:val="bottom"/>
              <w:rPr>
                <w:color w:val="000000"/>
                <w:szCs w:val="21"/>
              </w:rPr>
            </w:pPr>
            <w:r>
              <w:rPr>
                <w:color w:val="000000"/>
                <w:kern w:val="0"/>
                <w:szCs w:val="21"/>
                <w:lang w:bidi="ar"/>
              </w:rPr>
              <w:t>3.16</w:t>
            </w:r>
          </w:p>
        </w:tc>
        <w:tc>
          <w:tcPr>
            <w:tcW w:w="1089" w:type="dxa"/>
            <w:vAlign w:val="bottom"/>
          </w:tcPr>
          <w:p>
            <w:pPr>
              <w:widowControl/>
              <w:jc w:val="center"/>
              <w:textAlignment w:val="bottom"/>
              <w:rPr>
                <w:color w:val="000000"/>
                <w:kern w:val="0"/>
                <w:szCs w:val="21"/>
                <w:lang w:bidi="ar"/>
              </w:rPr>
            </w:pPr>
            <w:r>
              <w:rPr>
                <w:color w:val="000000"/>
                <w:kern w:val="0"/>
                <w:szCs w:val="21"/>
                <w:lang w:bidi="ar"/>
              </w:rPr>
              <w:t>3.13</w:t>
            </w:r>
          </w:p>
        </w:tc>
        <w:tc>
          <w:tcPr>
            <w:tcW w:w="1089" w:type="dxa"/>
            <w:vAlign w:val="bottom"/>
          </w:tcPr>
          <w:p>
            <w:pPr>
              <w:widowControl/>
              <w:jc w:val="center"/>
              <w:textAlignment w:val="bottom"/>
              <w:rPr>
                <w:color w:val="000000"/>
                <w:kern w:val="0"/>
                <w:szCs w:val="21"/>
                <w:lang w:bidi="ar"/>
              </w:rPr>
            </w:pPr>
            <w:r>
              <w:rPr>
                <w:color w:val="000000"/>
                <w:kern w:val="0"/>
                <w:szCs w:val="21"/>
                <w:lang w:bidi="ar"/>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37.9</w:t>
            </w:r>
          </w:p>
        </w:tc>
        <w:tc>
          <w:tcPr>
            <w:tcW w:w="635" w:type="pct"/>
            <w:shd w:val="clear" w:color="auto" w:fill="auto"/>
            <w:vAlign w:val="center"/>
          </w:tcPr>
          <w:p>
            <w:pPr>
              <w:widowControl/>
              <w:jc w:val="center"/>
              <w:textAlignment w:val="center"/>
              <w:rPr>
                <w:rFonts w:cs="宋体"/>
                <w:color w:val="000000"/>
                <w:szCs w:val="21"/>
              </w:rPr>
            </w:pPr>
            <w:r>
              <w:rPr>
                <w:rFonts w:hint="eastAsia" w:cs="宋体"/>
                <w:color w:val="000000"/>
                <w:kern w:val="0"/>
                <w:szCs w:val="21"/>
                <w:lang w:bidi="ar"/>
              </w:rPr>
              <w:t>30</w:t>
            </w:r>
          </w:p>
        </w:tc>
        <w:tc>
          <w:tcPr>
            <w:tcW w:w="693" w:type="pct"/>
            <w:vAlign w:val="bottom"/>
          </w:tcPr>
          <w:p>
            <w:pPr>
              <w:widowControl/>
              <w:jc w:val="center"/>
              <w:textAlignment w:val="bottom"/>
              <w:rPr>
                <w:color w:val="000000"/>
                <w:szCs w:val="21"/>
              </w:rPr>
            </w:pPr>
            <w:r>
              <w:rPr>
                <w:color w:val="000000"/>
                <w:kern w:val="0"/>
                <w:szCs w:val="21"/>
                <w:lang w:bidi="ar"/>
              </w:rPr>
              <w:t>0.19</w:t>
            </w:r>
          </w:p>
        </w:tc>
        <w:tc>
          <w:tcPr>
            <w:tcW w:w="1092" w:type="dxa"/>
            <w:vAlign w:val="bottom"/>
          </w:tcPr>
          <w:p>
            <w:pPr>
              <w:widowControl/>
              <w:jc w:val="center"/>
              <w:textAlignment w:val="bottom"/>
              <w:rPr>
                <w:color w:val="000000"/>
                <w:szCs w:val="21"/>
              </w:rPr>
            </w:pPr>
            <w:r>
              <w:rPr>
                <w:color w:val="000000"/>
                <w:kern w:val="0"/>
                <w:szCs w:val="21"/>
                <w:lang w:bidi="ar"/>
              </w:rPr>
              <w:t>0.21</w:t>
            </w:r>
          </w:p>
        </w:tc>
        <w:tc>
          <w:tcPr>
            <w:tcW w:w="1091" w:type="dxa"/>
            <w:vAlign w:val="bottom"/>
          </w:tcPr>
          <w:p>
            <w:pPr>
              <w:widowControl/>
              <w:jc w:val="center"/>
              <w:textAlignment w:val="bottom"/>
              <w:rPr>
                <w:color w:val="000000"/>
                <w:szCs w:val="21"/>
              </w:rPr>
            </w:pPr>
            <w:r>
              <w:rPr>
                <w:color w:val="000000"/>
                <w:kern w:val="0"/>
                <w:szCs w:val="21"/>
                <w:lang w:bidi="ar"/>
              </w:rPr>
              <w:t>0.21</w:t>
            </w:r>
          </w:p>
        </w:tc>
        <w:tc>
          <w:tcPr>
            <w:tcW w:w="1092" w:type="dxa"/>
            <w:vAlign w:val="bottom"/>
          </w:tcPr>
          <w:p>
            <w:pPr>
              <w:widowControl/>
              <w:jc w:val="center"/>
              <w:textAlignment w:val="bottom"/>
              <w:rPr>
                <w:color w:val="000000"/>
                <w:szCs w:val="21"/>
              </w:rPr>
            </w:pPr>
            <w:r>
              <w:rPr>
                <w:color w:val="000000"/>
                <w:kern w:val="0"/>
                <w:szCs w:val="21"/>
                <w:lang w:bidi="ar"/>
              </w:rPr>
              <w:t>2.99</w:t>
            </w:r>
          </w:p>
        </w:tc>
        <w:tc>
          <w:tcPr>
            <w:tcW w:w="1089" w:type="dxa"/>
            <w:vAlign w:val="bottom"/>
          </w:tcPr>
          <w:p>
            <w:pPr>
              <w:widowControl/>
              <w:jc w:val="center"/>
              <w:textAlignment w:val="bottom"/>
              <w:rPr>
                <w:color w:val="000000"/>
                <w:szCs w:val="21"/>
              </w:rPr>
            </w:pPr>
            <w:r>
              <w:rPr>
                <w:color w:val="000000"/>
                <w:kern w:val="0"/>
                <w:szCs w:val="21"/>
                <w:lang w:bidi="ar"/>
              </w:rPr>
              <w:t>2.96</w:t>
            </w:r>
          </w:p>
        </w:tc>
        <w:tc>
          <w:tcPr>
            <w:tcW w:w="1089" w:type="dxa"/>
            <w:vAlign w:val="bottom"/>
          </w:tcPr>
          <w:p>
            <w:pPr>
              <w:widowControl/>
              <w:jc w:val="center"/>
              <w:textAlignment w:val="bottom"/>
              <w:rPr>
                <w:color w:val="000000"/>
                <w:szCs w:val="21"/>
              </w:rPr>
            </w:pPr>
            <w:r>
              <w:rPr>
                <w:color w:val="000000"/>
                <w:kern w:val="0"/>
                <w:szCs w:val="21"/>
                <w:lang w:bidi="ar"/>
              </w:rPr>
              <w:t>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38.9</w:t>
            </w:r>
          </w:p>
        </w:tc>
        <w:tc>
          <w:tcPr>
            <w:tcW w:w="635"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31</w:t>
            </w:r>
          </w:p>
        </w:tc>
        <w:tc>
          <w:tcPr>
            <w:tcW w:w="693" w:type="pct"/>
            <w:vAlign w:val="bottom"/>
          </w:tcPr>
          <w:p>
            <w:pPr>
              <w:widowControl/>
              <w:jc w:val="center"/>
              <w:textAlignment w:val="bottom"/>
              <w:rPr>
                <w:color w:val="000000"/>
                <w:szCs w:val="21"/>
              </w:rPr>
            </w:pPr>
            <w:r>
              <w:rPr>
                <w:color w:val="000000"/>
                <w:kern w:val="0"/>
                <w:szCs w:val="21"/>
                <w:lang w:bidi="ar"/>
              </w:rPr>
              <w:t>0.17</w:t>
            </w:r>
          </w:p>
        </w:tc>
        <w:tc>
          <w:tcPr>
            <w:tcW w:w="1092" w:type="dxa"/>
            <w:vAlign w:val="bottom"/>
          </w:tcPr>
          <w:p>
            <w:pPr>
              <w:widowControl/>
              <w:jc w:val="center"/>
              <w:textAlignment w:val="bottom"/>
              <w:rPr>
                <w:color w:val="000000"/>
                <w:szCs w:val="21"/>
              </w:rPr>
            </w:pPr>
            <w:r>
              <w:rPr>
                <w:color w:val="000000"/>
                <w:kern w:val="0"/>
                <w:szCs w:val="21"/>
                <w:lang w:bidi="ar"/>
              </w:rPr>
              <w:t>0.19</w:t>
            </w:r>
          </w:p>
        </w:tc>
        <w:tc>
          <w:tcPr>
            <w:tcW w:w="1091" w:type="dxa"/>
            <w:vAlign w:val="bottom"/>
          </w:tcPr>
          <w:p>
            <w:pPr>
              <w:widowControl/>
              <w:jc w:val="center"/>
              <w:textAlignment w:val="bottom"/>
              <w:rPr>
                <w:color w:val="000000"/>
                <w:szCs w:val="21"/>
              </w:rPr>
            </w:pPr>
            <w:r>
              <w:rPr>
                <w:color w:val="000000"/>
                <w:kern w:val="0"/>
                <w:szCs w:val="21"/>
                <w:lang w:bidi="ar"/>
              </w:rPr>
              <w:t>0.19</w:t>
            </w:r>
          </w:p>
        </w:tc>
        <w:tc>
          <w:tcPr>
            <w:tcW w:w="1092" w:type="dxa"/>
            <w:vAlign w:val="bottom"/>
          </w:tcPr>
          <w:p>
            <w:pPr>
              <w:widowControl/>
              <w:jc w:val="center"/>
              <w:textAlignment w:val="bottom"/>
              <w:rPr>
                <w:color w:val="000000"/>
                <w:szCs w:val="21"/>
              </w:rPr>
            </w:pPr>
            <w:r>
              <w:rPr>
                <w:color w:val="000000"/>
                <w:kern w:val="0"/>
                <w:szCs w:val="21"/>
                <w:lang w:bidi="ar"/>
              </w:rPr>
              <w:t>2.83</w:t>
            </w:r>
          </w:p>
        </w:tc>
        <w:tc>
          <w:tcPr>
            <w:tcW w:w="1089" w:type="dxa"/>
            <w:vAlign w:val="bottom"/>
          </w:tcPr>
          <w:p>
            <w:pPr>
              <w:widowControl/>
              <w:jc w:val="center"/>
              <w:textAlignment w:val="bottom"/>
              <w:rPr>
                <w:color w:val="000000"/>
                <w:szCs w:val="21"/>
              </w:rPr>
            </w:pPr>
            <w:r>
              <w:rPr>
                <w:color w:val="000000"/>
                <w:kern w:val="0"/>
                <w:szCs w:val="21"/>
                <w:lang w:bidi="ar"/>
              </w:rPr>
              <w:t>2.81</w:t>
            </w:r>
          </w:p>
        </w:tc>
        <w:tc>
          <w:tcPr>
            <w:tcW w:w="1089" w:type="dxa"/>
            <w:vAlign w:val="bottom"/>
          </w:tcPr>
          <w:p>
            <w:pPr>
              <w:widowControl/>
              <w:jc w:val="center"/>
              <w:textAlignment w:val="bottom"/>
              <w:rPr>
                <w:color w:val="000000"/>
                <w:szCs w:val="21"/>
              </w:rPr>
            </w:pPr>
            <w:r>
              <w:rPr>
                <w:color w:val="000000"/>
                <w:kern w:val="0"/>
                <w:szCs w:val="21"/>
                <w:lang w:bidi="ar"/>
              </w:rPr>
              <w:t>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39.9</w:t>
            </w:r>
          </w:p>
        </w:tc>
        <w:tc>
          <w:tcPr>
            <w:tcW w:w="635"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32</w:t>
            </w:r>
          </w:p>
        </w:tc>
        <w:tc>
          <w:tcPr>
            <w:tcW w:w="693" w:type="pct"/>
            <w:vAlign w:val="bottom"/>
          </w:tcPr>
          <w:p>
            <w:pPr>
              <w:widowControl/>
              <w:jc w:val="center"/>
              <w:textAlignment w:val="bottom"/>
              <w:rPr>
                <w:color w:val="000000"/>
                <w:szCs w:val="21"/>
              </w:rPr>
            </w:pPr>
            <w:r>
              <w:rPr>
                <w:color w:val="000000"/>
                <w:kern w:val="0"/>
                <w:szCs w:val="21"/>
                <w:lang w:bidi="ar"/>
              </w:rPr>
              <w:t>0.16</w:t>
            </w:r>
          </w:p>
        </w:tc>
        <w:tc>
          <w:tcPr>
            <w:tcW w:w="1092" w:type="dxa"/>
            <w:vAlign w:val="bottom"/>
          </w:tcPr>
          <w:p>
            <w:pPr>
              <w:widowControl/>
              <w:jc w:val="center"/>
              <w:textAlignment w:val="bottom"/>
              <w:rPr>
                <w:color w:val="000000"/>
                <w:szCs w:val="21"/>
              </w:rPr>
            </w:pPr>
            <w:r>
              <w:rPr>
                <w:color w:val="000000"/>
                <w:kern w:val="0"/>
                <w:szCs w:val="21"/>
                <w:lang w:bidi="ar"/>
              </w:rPr>
              <w:t>0.18</w:t>
            </w:r>
          </w:p>
        </w:tc>
        <w:tc>
          <w:tcPr>
            <w:tcW w:w="1091" w:type="dxa"/>
            <w:vAlign w:val="bottom"/>
          </w:tcPr>
          <w:p>
            <w:pPr>
              <w:widowControl/>
              <w:jc w:val="center"/>
              <w:textAlignment w:val="bottom"/>
              <w:rPr>
                <w:color w:val="000000"/>
                <w:szCs w:val="21"/>
              </w:rPr>
            </w:pPr>
            <w:r>
              <w:rPr>
                <w:color w:val="000000"/>
                <w:kern w:val="0"/>
                <w:szCs w:val="21"/>
                <w:lang w:bidi="ar"/>
              </w:rPr>
              <w:t>0.18</w:t>
            </w:r>
          </w:p>
        </w:tc>
        <w:tc>
          <w:tcPr>
            <w:tcW w:w="1092" w:type="dxa"/>
            <w:vAlign w:val="bottom"/>
          </w:tcPr>
          <w:p>
            <w:pPr>
              <w:widowControl/>
              <w:jc w:val="center"/>
              <w:textAlignment w:val="bottom"/>
              <w:rPr>
                <w:color w:val="000000"/>
                <w:szCs w:val="21"/>
              </w:rPr>
            </w:pPr>
            <w:r>
              <w:rPr>
                <w:color w:val="000000"/>
                <w:kern w:val="0"/>
                <w:szCs w:val="21"/>
                <w:lang w:bidi="ar"/>
              </w:rPr>
              <w:t>2.69</w:t>
            </w:r>
          </w:p>
        </w:tc>
        <w:tc>
          <w:tcPr>
            <w:tcW w:w="1089" w:type="dxa"/>
            <w:vAlign w:val="bottom"/>
          </w:tcPr>
          <w:p>
            <w:pPr>
              <w:widowControl/>
              <w:jc w:val="center"/>
              <w:textAlignment w:val="bottom"/>
              <w:rPr>
                <w:color w:val="000000"/>
                <w:szCs w:val="21"/>
              </w:rPr>
            </w:pPr>
            <w:r>
              <w:rPr>
                <w:color w:val="000000"/>
                <w:kern w:val="0"/>
                <w:szCs w:val="21"/>
                <w:lang w:bidi="ar"/>
              </w:rPr>
              <w:t>2.67</w:t>
            </w:r>
          </w:p>
        </w:tc>
        <w:tc>
          <w:tcPr>
            <w:tcW w:w="1089" w:type="dxa"/>
            <w:vAlign w:val="bottom"/>
          </w:tcPr>
          <w:p>
            <w:pPr>
              <w:widowControl/>
              <w:jc w:val="center"/>
              <w:textAlignment w:val="bottom"/>
              <w:rPr>
                <w:color w:val="000000"/>
                <w:szCs w:val="21"/>
              </w:rPr>
            </w:pPr>
            <w:r>
              <w:rPr>
                <w:color w:val="000000"/>
                <w:kern w:val="0"/>
                <w:szCs w:val="21"/>
                <w:lang w:bidi="ar"/>
              </w:rPr>
              <w:t>2.72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40.9</w:t>
            </w:r>
          </w:p>
        </w:tc>
        <w:tc>
          <w:tcPr>
            <w:tcW w:w="635"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33</w:t>
            </w:r>
          </w:p>
        </w:tc>
        <w:tc>
          <w:tcPr>
            <w:tcW w:w="693" w:type="pct"/>
            <w:vAlign w:val="bottom"/>
          </w:tcPr>
          <w:p>
            <w:pPr>
              <w:widowControl/>
              <w:jc w:val="center"/>
              <w:textAlignment w:val="bottom"/>
              <w:rPr>
                <w:color w:val="000000"/>
                <w:szCs w:val="21"/>
              </w:rPr>
            </w:pPr>
            <w:r>
              <w:rPr>
                <w:color w:val="000000"/>
                <w:kern w:val="0"/>
                <w:szCs w:val="21"/>
                <w:lang w:bidi="ar"/>
              </w:rPr>
              <w:t>0.15</w:t>
            </w:r>
          </w:p>
        </w:tc>
        <w:tc>
          <w:tcPr>
            <w:tcW w:w="1092" w:type="dxa"/>
            <w:vAlign w:val="bottom"/>
          </w:tcPr>
          <w:p>
            <w:pPr>
              <w:widowControl/>
              <w:jc w:val="center"/>
              <w:textAlignment w:val="bottom"/>
              <w:rPr>
                <w:color w:val="000000"/>
                <w:szCs w:val="21"/>
              </w:rPr>
            </w:pPr>
            <w:r>
              <w:rPr>
                <w:color w:val="000000"/>
                <w:kern w:val="0"/>
                <w:szCs w:val="21"/>
                <w:lang w:bidi="ar"/>
              </w:rPr>
              <w:t>0.17</w:t>
            </w:r>
          </w:p>
        </w:tc>
        <w:tc>
          <w:tcPr>
            <w:tcW w:w="1091" w:type="dxa"/>
            <w:vAlign w:val="bottom"/>
          </w:tcPr>
          <w:p>
            <w:pPr>
              <w:widowControl/>
              <w:jc w:val="center"/>
              <w:textAlignment w:val="bottom"/>
              <w:rPr>
                <w:color w:val="000000"/>
                <w:szCs w:val="21"/>
              </w:rPr>
            </w:pPr>
            <w:r>
              <w:rPr>
                <w:color w:val="000000"/>
                <w:kern w:val="0"/>
                <w:szCs w:val="21"/>
                <w:lang w:bidi="ar"/>
              </w:rPr>
              <w:t>0.16</w:t>
            </w:r>
          </w:p>
        </w:tc>
        <w:tc>
          <w:tcPr>
            <w:tcW w:w="1092" w:type="dxa"/>
            <w:vAlign w:val="bottom"/>
          </w:tcPr>
          <w:p>
            <w:pPr>
              <w:widowControl/>
              <w:jc w:val="center"/>
              <w:textAlignment w:val="bottom"/>
              <w:rPr>
                <w:color w:val="000000"/>
                <w:szCs w:val="21"/>
              </w:rPr>
            </w:pPr>
            <w:r>
              <w:rPr>
                <w:color w:val="000000"/>
                <w:kern w:val="0"/>
                <w:szCs w:val="21"/>
                <w:lang w:bidi="ar"/>
              </w:rPr>
              <w:t>2.56</w:t>
            </w:r>
          </w:p>
        </w:tc>
        <w:tc>
          <w:tcPr>
            <w:tcW w:w="1089" w:type="dxa"/>
            <w:vAlign w:val="bottom"/>
          </w:tcPr>
          <w:p>
            <w:pPr>
              <w:widowControl/>
              <w:jc w:val="center"/>
              <w:textAlignment w:val="bottom"/>
              <w:rPr>
                <w:color w:val="000000"/>
                <w:szCs w:val="21"/>
              </w:rPr>
            </w:pPr>
            <w:r>
              <w:rPr>
                <w:color w:val="000000"/>
                <w:kern w:val="0"/>
                <w:szCs w:val="21"/>
                <w:lang w:bidi="ar"/>
              </w:rPr>
              <w:t>2.54</w:t>
            </w:r>
          </w:p>
        </w:tc>
        <w:tc>
          <w:tcPr>
            <w:tcW w:w="1089" w:type="dxa"/>
            <w:vAlign w:val="bottom"/>
          </w:tcPr>
          <w:p>
            <w:pPr>
              <w:widowControl/>
              <w:jc w:val="center"/>
              <w:textAlignment w:val="bottom"/>
              <w:rPr>
                <w:color w:val="000000"/>
                <w:szCs w:val="21"/>
              </w:rPr>
            </w:pPr>
            <w:r>
              <w:rPr>
                <w:color w:val="000000"/>
                <w:kern w:val="0"/>
                <w:szCs w:val="21"/>
                <w:lang w:bidi="ar"/>
              </w:rPr>
              <w:t>2.58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41.9</w:t>
            </w:r>
          </w:p>
        </w:tc>
        <w:tc>
          <w:tcPr>
            <w:tcW w:w="635"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34</w:t>
            </w:r>
          </w:p>
        </w:tc>
        <w:tc>
          <w:tcPr>
            <w:tcW w:w="693" w:type="pct"/>
            <w:vAlign w:val="bottom"/>
          </w:tcPr>
          <w:p>
            <w:pPr>
              <w:widowControl/>
              <w:jc w:val="center"/>
              <w:textAlignment w:val="bottom"/>
              <w:rPr>
                <w:color w:val="000000"/>
                <w:szCs w:val="21"/>
              </w:rPr>
            </w:pPr>
            <w:r>
              <w:rPr>
                <w:color w:val="000000"/>
                <w:kern w:val="0"/>
                <w:szCs w:val="21"/>
                <w:lang w:bidi="ar"/>
              </w:rPr>
              <w:t>0.14</w:t>
            </w:r>
          </w:p>
        </w:tc>
        <w:tc>
          <w:tcPr>
            <w:tcW w:w="1092" w:type="dxa"/>
            <w:vAlign w:val="bottom"/>
          </w:tcPr>
          <w:p>
            <w:pPr>
              <w:widowControl/>
              <w:jc w:val="center"/>
              <w:textAlignment w:val="bottom"/>
              <w:rPr>
                <w:color w:val="000000"/>
                <w:szCs w:val="21"/>
              </w:rPr>
            </w:pPr>
            <w:r>
              <w:rPr>
                <w:color w:val="000000"/>
                <w:kern w:val="0"/>
                <w:szCs w:val="21"/>
                <w:lang w:bidi="ar"/>
              </w:rPr>
              <w:t>0.16</w:t>
            </w:r>
          </w:p>
        </w:tc>
        <w:tc>
          <w:tcPr>
            <w:tcW w:w="1091" w:type="dxa"/>
            <w:vAlign w:val="bottom"/>
          </w:tcPr>
          <w:p>
            <w:pPr>
              <w:widowControl/>
              <w:jc w:val="center"/>
              <w:textAlignment w:val="bottom"/>
              <w:rPr>
                <w:color w:val="000000"/>
                <w:szCs w:val="21"/>
              </w:rPr>
            </w:pPr>
            <w:r>
              <w:rPr>
                <w:color w:val="000000"/>
                <w:kern w:val="0"/>
                <w:szCs w:val="21"/>
                <w:lang w:bidi="ar"/>
              </w:rPr>
              <w:t>0.15</w:t>
            </w:r>
          </w:p>
        </w:tc>
        <w:tc>
          <w:tcPr>
            <w:tcW w:w="1092" w:type="dxa"/>
            <w:vAlign w:val="bottom"/>
          </w:tcPr>
          <w:p>
            <w:pPr>
              <w:widowControl/>
              <w:jc w:val="center"/>
              <w:textAlignment w:val="bottom"/>
              <w:rPr>
                <w:color w:val="000000"/>
                <w:szCs w:val="21"/>
              </w:rPr>
            </w:pPr>
            <w:r>
              <w:rPr>
                <w:color w:val="000000"/>
                <w:kern w:val="0"/>
                <w:szCs w:val="21"/>
                <w:lang w:bidi="ar"/>
              </w:rPr>
              <w:t>2.43</w:t>
            </w:r>
          </w:p>
        </w:tc>
        <w:tc>
          <w:tcPr>
            <w:tcW w:w="1089" w:type="dxa"/>
            <w:vAlign w:val="bottom"/>
          </w:tcPr>
          <w:p>
            <w:pPr>
              <w:widowControl/>
              <w:jc w:val="center"/>
              <w:textAlignment w:val="bottom"/>
              <w:rPr>
                <w:color w:val="000000"/>
                <w:szCs w:val="21"/>
              </w:rPr>
            </w:pPr>
            <w:r>
              <w:rPr>
                <w:color w:val="000000"/>
                <w:kern w:val="0"/>
                <w:szCs w:val="21"/>
                <w:lang w:bidi="ar"/>
              </w:rPr>
              <w:t>2.42</w:t>
            </w:r>
          </w:p>
        </w:tc>
        <w:tc>
          <w:tcPr>
            <w:tcW w:w="1089" w:type="dxa"/>
            <w:vAlign w:val="bottom"/>
          </w:tcPr>
          <w:p>
            <w:pPr>
              <w:widowControl/>
              <w:jc w:val="center"/>
              <w:textAlignment w:val="bottom"/>
              <w:rPr>
                <w:color w:val="000000"/>
                <w:szCs w:val="21"/>
              </w:rPr>
            </w:pPr>
            <w:r>
              <w:rPr>
                <w:color w:val="000000"/>
                <w:kern w:val="0"/>
                <w:szCs w:val="21"/>
                <w:lang w:bidi="ar"/>
              </w:rPr>
              <w:t>2.46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42.9</w:t>
            </w:r>
          </w:p>
        </w:tc>
        <w:tc>
          <w:tcPr>
            <w:tcW w:w="635"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35</w:t>
            </w:r>
          </w:p>
        </w:tc>
        <w:tc>
          <w:tcPr>
            <w:tcW w:w="693" w:type="pct"/>
            <w:vAlign w:val="bottom"/>
          </w:tcPr>
          <w:p>
            <w:pPr>
              <w:widowControl/>
              <w:jc w:val="center"/>
              <w:textAlignment w:val="bottom"/>
              <w:rPr>
                <w:color w:val="000000"/>
                <w:szCs w:val="21"/>
              </w:rPr>
            </w:pPr>
            <w:r>
              <w:rPr>
                <w:color w:val="000000"/>
                <w:kern w:val="0"/>
                <w:szCs w:val="21"/>
                <w:lang w:bidi="ar"/>
              </w:rPr>
              <w:t>0.13</w:t>
            </w:r>
          </w:p>
        </w:tc>
        <w:tc>
          <w:tcPr>
            <w:tcW w:w="1092" w:type="dxa"/>
            <w:vAlign w:val="bottom"/>
          </w:tcPr>
          <w:p>
            <w:pPr>
              <w:widowControl/>
              <w:jc w:val="center"/>
              <w:textAlignment w:val="bottom"/>
              <w:rPr>
                <w:color w:val="000000"/>
                <w:szCs w:val="21"/>
              </w:rPr>
            </w:pPr>
            <w:r>
              <w:rPr>
                <w:color w:val="000000"/>
                <w:kern w:val="0"/>
                <w:szCs w:val="21"/>
                <w:lang w:bidi="ar"/>
              </w:rPr>
              <w:t>0.14</w:t>
            </w:r>
          </w:p>
        </w:tc>
        <w:tc>
          <w:tcPr>
            <w:tcW w:w="1091" w:type="dxa"/>
            <w:vAlign w:val="bottom"/>
          </w:tcPr>
          <w:p>
            <w:pPr>
              <w:widowControl/>
              <w:jc w:val="center"/>
              <w:textAlignment w:val="bottom"/>
              <w:rPr>
                <w:color w:val="000000"/>
                <w:szCs w:val="21"/>
              </w:rPr>
            </w:pPr>
            <w:r>
              <w:rPr>
                <w:color w:val="000000"/>
                <w:kern w:val="0"/>
                <w:szCs w:val="21"/>
                <w:lang w:bidi="ar"/>
              </w:rPr>
              <w:t>0.14</w:t>
            </w:r>
          </w:p>
        </w:tc>
        <w:tc>
          <w:tcPr>
            <w:tcW w:w="1092" w:type="dxa"/>
            <w:vAlign w:val="bottom"/>
          </w:tcPr>
          <w:p>
            <w:pPr>
              <w:widowControl/>
              <w:jc w:val="center"/>
              <w:textAlignment w:val="bottom"/>
              <w:rPr>
                <w:color w:val="000000"/>
                <w:szCs w:val="21"/>
              </w:rPr>
            </w:pPr>
            <w:r>
              <w:rPr>
                <w:color w:val="000000"/>
                <w:kern w:val="0"/>
                <w:szCs w:val="21"/>
                <w:lang w:bidi="ar"/>
              </w:rPr>
              <w:t>2.32</w:t>
            </w:r>
          </w:p>
        </w:tc>
        <w:tc>
          <w:tcPr>
            <w:tcW w:w="1089" w:type="dxa"/>
            <w:vAlign w:val="bottom"/>
          </w:tcPr>
          <w:p>
            <w:pPr>
              <w:widowControl/>
              <w:jc w:val="center"/>
              <w:textAlignment w:val="bottom"/>
              <w:rPr>
                <w:color w:val="000000"/>
                <w:szCs w:val="21"/>
              </w:rPr>
            </w:pPr>
            <w:r>
              <w:rPr>
                <w:color w:val="000000"/>
                <w:kern w:val="0"/>
                <w:szCs w:val="21"/>
                <w:lang w:bidi="ar"/>
              </w:rPr>
              <w:t>2.3</w:t>
            </w:r>
          </w:p>
        </w:tc>
        <w:tc>
          <w:tcPr>
            <w:tcW w:w="1089" w:type="dxa"/>
            <w:vAlign w:val="bottom"/>
          </w:tcPr>
          <w:p>
            <w:pPr>
              <w:widowControl/>
              <w:jc w:val="center"/>
              <w:textAlignment w:val="bottom"/>
              <w:rPr>
                <w:color w:val="000000"/>
                <w:szCs w:val="21"/>
              </w:rPr>
            </w:pPr>
            <w:r>
              <w:rPr>
                <w:color w:val="000000"/>
                <w:kern w:val="0"/>
                <w:szCs w:val="21"/>
                <w:lang w:bidi="ar"/>
              </w:rPr>
              <w:t>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43.9</w:t>
            </w:r>
          </w:p>
        </w:tc>
        <w:tc>
          <w:tcPr>
            <w:tcW w:w="635"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36</w:t>
            </w:r>
          </w:p>
        </w:tc>
        <w:tc>
          <w:tcPr>
            <w:tcW w:w="693" w:type="pct"/>
            <w:vAlign w:val="bottom"/>
          </w:tcPr>
          <w:p>
            <w:pPr>
              <w:widowControl/>
              <w:jc w:val="center"/>
              <w:textAlignment w:val="bottom"/>
              <w:rPr>
                <w:color w:val="000000"/>
                <w:szCs w:val="21"/>
              </w:rPr>
            </w:pPr>
            <w:r>
              <w:rPr>
                <w:color w:val="000000"/>
                <w:kern w:val="0"/>
                <w:szCs w:val="21"/>
                <w:lang w:bidi="ar"/>
              </w:rPr>
              <w:t>0.12</w:t>
            </w:r>
          </w:p>
        </w:tc>
        <w:tc>
          <w:tcPr>
            <w:tcW w:w="1092" w:type="dxa"/>
            <w:vAlign w:val="bottom"/>
          </w:tcPr>
          <w:p>
            <w:pPr>
              <w:widowControl/>
              <w:jc w:val="center"/>
              <w:textAlignment w:val="bottom"/>
              <w:rPr>
                <w:color w:val="000000"/>
                <w:szCs w:val="21"/>
              </w:rPr>
            </w:pPr>
            <w:r>
              <w:rPr>
                <w:color w:val="000000"/>
                <w:kern w:val="0"/>
                <w:szCs w:val="21"/>
                <w:lang w:bidi="ar"/>
              </w:rPr>
              <w:t>0.14</w:t>
            </w:r>
          </w:p>
        </w:tc>
        <w:tc>
          <w:tcPr>
            <w:tcW w:w="1091" w:type="dxa"/>
            <w:vAlign w:val="bottom"/>
          </w:tcPr>
          <w:p>
            <w:pPr>
              <w:widowControl/>
              <w:jc w:val="center"/>
              <w:textAlignment w:val="bottom"/>
              <w:rPr>
                <w:color w:val="000000"/>
                <w:szCs w:val="21"/>
              </w:rPr>
            </w:pPr>
            <w:r>
              <w:rPr>
                <w:color w:val="000000"/>
                <w:kern w:val="0"/>
                <w:szCs w:val="21"/>
                <w:lang w:bidi="ar"/>
              </w:rPr>
              <w:t>0.13</w:t>
            </w:r>
          </w:p>
        </w:tc>
        <w:tc>
          <w:tcPr>
            <w:tcW w:w="1092" w:type="dxa"/>
            <w:vAlign w:val="bottom"/>
          </w:tcPr>
          <w:p>
            <w:pPr>
              <w:widowControl/>
              <w:jc w:val="center"/>
              <w:textAlignment w:val="bottom"/>
              <w:rPr>
                <w:color w:val="000000"/>
                <w:szCs w:val="21"/>
              </w:rPr>
            </w:pPr>
            <w:r>
              <w:rPr>
                <w:color w:val="000000"/>
                <w:kern w:val="0"/>
                <w:szCs w:val="21"/>
                <w:lang w:bidi="ar"/>
              </w:rPr>
              <w:t>2.21</w:t>
            </w:r>
          </w:p>
        </w:tc>
        <w:tc>
          <w:tcPr>
            <w:tcW w:w="1089" w:type="dxa"/>
            <w:vAlign w:val="bottom"/>
          </w:tcPr>
          <w:p>
            <w:pPr>
              <w:widowControl/>
              <w:jc w:val="center"/>
              <w:textAlignment w:val="bottom"/>
              <w:rPr>
                <w:color w:val="000000"/>
                <w:szCs w:val="21"/>
              </w:rPr>
            </w:pPr>
            <w:r>
              <w:rPr>
                <w:color w:val="000000"/>
                <w:kern w:val="0"/>
                <w:szCs w:val="21"/>
                <w:lang w:bidi="ar"/>
              </w:rPr>
              <w:t>2.2</w:t>
            </w:r>
          </w:p>
        </w:tc>
        <w:tc>
          <w:tcPr>
            <w:tcW w:w="1089" w:type="dxa"/>
            <w:vAlign w:val="bottom"/>
          </w:tcPr>
          <w:p>
            <w:pPr>
              <w:widowControl/>
              <w:jc w:val="center"/>
              <w:textAlignment w:val="bottom"/>
              <w:rPr>
                <w:color w:val="000000"/>
                <w:szCs w:val="21"/>
              </w:rPr>
            </w:pPr>
            <w:r>
              <w:rPr>
                <w:color w:val="000000"/>
                <w:kern w:val="0"/>
                <w:szCs w:val="21"/>
                <w:lang w:bidi="ar"/>
              </w:rPr>
              <w:t>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44.9</w:t>
            </w:r>
          </w:p>
        </w:tc>
        <w:tc>
          <w:tcPr>
            <w:tcW w:w="635"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37</w:t>
            </w:r>
          </w:p>
        </w:tc>
        <w:tc>
          <w:tcPr>
            <w:tcW w:w="693" w:type="pct"/>
            <w:vAlign w:val="bottom"/>
          </w:tcPr>
          <w:p>
            <w:pPr>
              <w:widowControl/>
              <w:jc w:val="center"/>
              <w:textAlignment w:val="bottom"/>
              <w:rPr>
                <w:color w:val="000000"/>
                <w:szCs w:val="21"/>
              </w:rPr>
            </w:pPr>
            <w:r>
              <w:rPr>
                <w:color w:val="000000"/>
                <w:kern w:val="0"/>
                <w:szCs w:val="21"/>
                <w:lang w:bidi="ar"/>
              </w:rPr>
              <w:t>0.11</w:t>
            </w:r>
          </w:p>
        </w:tc>
        <w:tc>
          <w:tcPr>
            <w:tcW w:w="1092" w:type="dxa"/>
            <w:vAlign w:val="bottom"/>
          </w:tcPr>
          <w:p>
            <w:pPr>
              <w:widowControl/>
              <w:jc w:val="center"/>
              <w:textAlignment w:val="bottom"/>
              <w:rPr>
                <w:color w:val="000000"/>
                <w:szCs w:val="21"/>
              </w:rPr>
            </w:pPr>
            <w:r>
              <w:rPr>
                <w:color w:val="000000"/>
                <w:kern w:val="0"/>
                <w:szCs w:val="21"/>
                <w:lang w:bidi="ar"/>
              </w:rPr>
              <w:t>0.13</w:t>
            </w:r>
          </w:p>
        </w:tc>
        <w:tc>
          <w:tcPr>
            <w:tcW w:w="1091" w:type="dxa"/>
            <w:vAlign w:val="bottom"/>
          </w:tcPr>
          <w:p>
            <w:pPr>
              <w:widowControl/>
              <w:jc w:val="center"/>
              <w:textAlignment w:val="bottom"/>
              <w:rPr>
                <w:color w:val="000000"/>
                <w:szCs w:val="21"/>
              </w:rPr>
            </w:pPr>
            <w:r>
              <w:rPr>
                <w:color w:val="000000"/>
                <w:kern w:val="0"/>
                <w:szCs w:val="21"/>
                <w:lang w:bidi="ar"/>
              </w:rPr>
              <w:t>0.12</w:t>
            </w:r>
          </w:p>
        </w:tc>
        <w:tc>
          <w:tcPr>
            <w:tcW w:w="1092" w:type="dxa"/>
            <w:vAlign w:val="bottom"/>
          </w:tcPr>
          <w:p>
            <w:pPr>
              <w:widowControl/>
              <w:jc w:val="center"/>
              <w:textAlignment w:val="bottom"/>
              <w:rPr>
                <w:color w:val="000000"/>
                <w:szCs w:val="21"/>
              </w:rPr>
            </w:pPr>
            <w:r>
              <w:rPr>
                <w:color w:val="000000"/>
                <w:kern w:val="0"/>
                <w:szCs w:val="21"/>
                <w:lang w:bidi="ar"/>
              </w:rPr>
              <w:t>2.11</w:t>
            </w:r>
          </w:p>
        </w:tc>
        <w:tc>
          <w:tcPr>
            <w:tcW w:w="1089" w:type="dxa"/>
            <w:vAlign w:val="bottom"/>
          </w:tcPr>
          <w:p>
            <w:pPr>
              <w:widowControl/>
              <w:jc w:val="center"/>
              <w:textAlignment w:val="bottom"/>
              <w:rPr>
                <w:color w:val="000000"/>
                <w:szCs w:val="21"/>
              </w:rPr>
            </w:pPr>
            <w:r>
              <w:rPr>
                <w:color w:val="000000"/>
                <w:kern w:val="0"/>
                <w:szCs w:val="21"/>
                <w:lang w:bidi="ar"/>
              </w:rPr>
              <w:t>2.1</w:t>
            </w:r>
          </w:p>
        </w:tc>
        <w:tc>
          <w:tcPr>
            <w:tcW w:w="1089" w:type="dxa"/>
            <w:vAlign w:val="bottom"/>
          </w:tcPr>
          <w:p>
            <w:pPr>
              <w:widowControl/>
              <w:jc w:val="center"/>
              <w:textAlignment w:val="bottom"/>
              <w:rPr>
                <w:color w:val="000000"/>
                <w:szCs w:val="21"/>
              </w:rPr>
            </w:pPr>
            <w:r>
              <w:rPr>
                <w:color w:val="000000"/>
                <w:kern w:val="0"/>
                <w:szCs w:val="21"/>
                <w:lang w:bidi="ar"/>
              </w:rPr>
              <w:t>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45.9</w:t>
            </w:r>
          </w:p>
        </w:tc>
        <w:tc>
          <w:tcPr>
            <w:tcW w:w="635"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38</w:t>
            </w:r>
          </w:p>
        </w:tc>
        <w:tc>
          <w:tcPr>
            <w:tcW w:w="693" w:type="pct"/>
            <w:vAlign w:val="bottom"/>
          </w:tcPr>
          <w:p>
            <w:pPr>
              <w:widowControl/>
              <w:jc w:val="center"/>
              <w:textAlignment w:val="bottom"/>
              <w:rPr>
                <w:color w:val="000000"/>
                <w:szCs w:val="21"/>
              </w:rPr>
            </w:pPr>
            <w:r>
              <w:rPr>
                <w:color w:val="000000"/>
                <w:kern w:val="0"/>
                <w:szCs w:val="21"/>
                <w:lang w:bidi="ar"/>
              </w:rPr>
              <w:t>0.11</w:t>
            </w:r>
          </w:p>
        </w:tc>
        <w:tc>
          <w:tcPr>
            <w:tcW w:w="1092" w:type="dxa"/>
            <w:vAlign w:val="bottom"/>
          </w:tcPr>
          <w:p>
            <w:pPr>
              <w:widowControl/>
              <w:jc w:val="center"/>
              <w:textAlignment w:val="bottom"/>
              <w:rPr>
                <w:color w:val="000000"/>
                <w:szCs w:val="21"/>
              </w:rPr>
            </w:pPr>
            <w:r>
              <w:rPr>
                <w:color w:val="000000"/>
                <w:kern w:val="0"/>
                <w:szCs w:val="21"/>
                <w:lang w:bidi="ar"/>
              </w:rPr>
              <w:t>0.12</w:t>
            </w:r>
          </w:p>
        </w:tc>
        <w:tc>
          <w:tcPr>
            <w:tcW w:w="1091" w:type="dxa"/>
            <w:vAlign w:val="bottom"/>
          </w:tcPr>
          <w:p>
            <w:pPr>
              <w:widowControl/>
              <w:jc w:val="center"/>
              <w:textAlignment w:val="bottom"/>
              <w:rPr>
                <w:color w:val="000000"/>
                <w:szCs w:val="21"/>
              </w:rPr>
            </w:pPr>
            <w:r>
              <w:rPr>
                <w:color w:val="000000"/>
                <w:kern w:val="0"/>
                <w:szCs w:val="21"/>
                <w:lang w:bidi="ar"/>
              </w:rPr>
              <w:t>0.12</w:t>
            </w:r>
          </w:p>
        </w:tc>
        <w:tc>
          <w:tcPr>
            <w:tcW w:w="1092" w:type="dxa"/>
            <w:vAlign w:val="bottom"/>
          </w:tcPr>
          <w:p>
            <w:pPr>
              <w:widowControl/>
              <w:jc w:val="center"/>
              <w:textAlignment w:val="bottom"/>
              <w:rPr>
                <w:color w:val="000000"/>
                <w:szCs w:val="21"/>
              </w:rPr>
            </w:pPr>
            <w:r>
              <w:rPr>
                <w:color w:val="000000"/>
                <w:kern w:val="0"/>
                <w:szCs w:val="21"/>
                <w:lang w:bidi="ar"/>
              </w:rPr>
              <w:t>2.02</w:t>
            </w:r>
          </w:p>
        </w:tc>
        <w:tc>
          <w:tcPr>
            <w:tcW w:w="1089" w:type="dxa"/>
            <w:vAlign w:val="bottom"/>
          </w:tcPr>
          <w:p>
            <w:pPr>
              <w:widowControl/>
              <w:jc w:val="center"/>
              <w:textAlignment w:val="bottom"/>
              <w:rPr>
                <w:color w:val="000000"/>
                <w:szCs w:val="21"/>
              </w:rPr>
            </w:pPr>
            <w:r>
              <w:rPr>
                <w:color w:val="000000"/>
                <w:kern w:val="0"/>
                <w:szCs w:val="21"/>
                <w:lang w:bidi="ar"/>
              </w:rPr>
              <w:t>2.01</w:t>
            </w:r>
          </w:p>
        </w:tc>
        <w:tc>
          <w:tcPr>
            <w:tcW w:w="1089" w:type="dxa"/>
            <w:vAlign w:val="bottom"/>
          </w:tcPr>
          <w:p>
            <w:pPr>
              <w:widowControl/>
              <w:jc w:val="center"/>
              <w:textAlignment w:val="bottom"/>
              <w:rPr>
                <w:color w:val="000000"/>
                <w:szCs w:val="21"/>
              </w:rPr>
            </w:pPr>
            <w:r>
              <w:rPr>
                <w:color w:val="000000"/>
                <w:kern w:val="0"/>
                <w:szCs w:val="21"/>
                <w:lang w:bidi="ar"/>
              </w:rPr>
              <w:t>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46.9</w:t>
            </w:r>
          </w:p>
        </w:tc>
        <w:tc>
          <w:tcPr>
            <w:tcW w:w="635" w:type="pct"/>
            <w:shd w:val="clear" w:color="auto" w:fill="auto"/>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39</w:t>
            </w:r>
          </w:p>
        </w:tc>
        <w:tc>
          <w:tcPr>
            <w:tcW w:w="693" w:type="pct"/>
            <w:vAlign w:val="bottom"/>
          </w:tcPr>
          <w:p>
            <w:pPr>
              <w:widowControl/>
              <w:jc w:val="center"/>
              <w:textAlignment w:val="bottom"/>
              <w:rPr>
                <w:color w:val="000000"/>
                <w:szCs w:val="21"/>
              </w:rPr>
            </w:pPr>
            <w:r>
              <w:rPr>
                <w:color w:val="000000"/>
                <w:kern w:val="0"/>
                <w:szCs w:val="21"/>
                <w:lang w:bidi="ar"/>
              </w:rPr>
              <w:t>0.1</w:t>
            </w:r>
          </w:p>
        </w:tc>
        <w:tc>
          <w:tcPr>
            <w:tcW w:w="1092" w:type="dxa"/>
            <w:vAlign w:val="bottom"/>
          </w:tcPr>
          <w:p>
            <w:pPr>
              <w:widowControl/>
              <w:jc w:val="center"/>
              <w:textAlignment w:val="bottom"/>
              <w:rPr>
                <w:color w:val="000000"/>
                <w:szCs w:val="21"/>
              </w:rPr>
            </w:pPr>
            <w:r>
              <w:rPr>
                <w:color w:val="000000"/>
                <w:kern w:val="0"/>
                <w:szCs w:val="21"/>
                <w:lang w:bidi="ar"/>
              </w:rPr>
              <w:t>0.11</w:t>
            </w:r>
          </w:p>
        </w:tc>
        <w:tc>
          <w:tcPr>
            <w:tcW w:w="1091" w:type="dxa"/>
            <w:vAlign w:val="bottom"/>
          </w:tcPr>
          <w:p>
            <w:pPr>
              <w:widowControl/>
              <w:jc w:val="center"/>
              <w:textAlignment w:val="bottom"/>
              <w:rPr>
                <w:color w:val="000000"/>
                <w:szCs w:val="21"/>
              </w:rPr>
            </w:pPr>
            <w:r>
              <w:rPr>
                <w:color w:val="000000"/>
                <w:kern w:val="0"/>
                <w:szCs w:val="21"/>
                <w:lang w:bidi="ar"/>
              </w:rPr>
              <w:t>0.11</w:t>
            </w:r>
          </w:p>
        </w:tc>
        <w:tc>
          <w:tcPr>
            <w:tcW w:w="1092" w:type="dxa"/>
            <w:vAlign w:val="bottom"/>
          </w:tcPr>
          <w:p>
            <w:pPr>
              <w:widowControl/>
              <w:jc w:val="center"/>
              <w:textAlignment w:val="bottom"/>
              <w:rPr>
                <w:color w:val="000000"/>
                <w:szCs w:val="21"/>
              </w:rPr>
            </w:pPr>
            <w:r>
              <w:rPr>
                <w:color w:val="000000"/>
                <w:kern w:val="0"/>
                <w:szCs w:val="21"/>
                <w:lang w:bidi="ar"/>
              </w:rPr>
              <w:t>1.93</w:t>
            </w:r>
          </w:p>
        </w:tc>
        <w:tc>
          <w:tcPr>
            <w:tcW w:w="1089" w:type="dxa"/>
            <w:vAlign w:val="bottom"/>
          </w:tcPr>
          <w:p>
            <w:pPr>
              <w:widowControl/>
              <w:jc w:val="center"/>
              <w:textAlignment w:val="bottom"/>
              <w:rPr>
                <w:color w:val="000000"/>
                <w:szCs w:val="21"/>
              </w:rPr>
            </w:pPr>
            <w:r>
              <w:rPr>
                <w:color w:val="000000"/>
                <w:kern w:val="0"/>
                <w:szCs w:val="21"/>
                <w:lang w:bidi="ar"/>
              </w:rPr>
              <w:t>1.92</w:t>
            </w:r>
          </w:p>
        </w:tc>
        <w:tc>
          <w:tcPr>
            <w:tcW w:w="1089" w:type="dxa"/>
            <w:vAlign w:val="bottom"/>
          </w:tcPr>
          <w:p>
            <w:pPr>
              <w:widowControl/>
              <w:jc w:val="center"/>
              <w:textAlignment w:val="bottom"/>
              <w:rPr>
                <w:color w:val="000000"/>
                <w:szCs w:val="21"/>
              </w:rPr>
            </w:pPr>
            <w:r>
              <w:rPr>
                <w:color w:val="000000"/>
                <w:kern w:val="0"/>
                <w:szCs w:val="21"/>
                <w:lang w:bidi="ar"/>
              </w:rPr>
              <w:t>1.95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545" w:type="pct"/>
            <w:vAlign w:val="bottom"/>
          </w:tcPr>
          <w:p>
            <w:pPr>
              <w:widowControl/>
              <w:jc w:val="center"/>
              <w:textAlignment w:val="bottom"/>
              <w:rPr>
                <w:color w:val="000000"/>
                <w:kern w:val="0"/>
                <w:szCs w:val="21"/>
                <w:lang w:bidi="ar"/>
              </w:rPr>
            </w:pPr>
            <w:r>
              <w:rPr>
                <w:color w:val="000000"/>
                <w:kern w:val="0"/>
                <w:szCs w:val="21"/>
                <w:lang w:bidi="ar"/>
              </w:rPr>
              <w:t>47.9</w:t>
            </w:r>
          </w:p>
        </w:tc>
        <w:tc>
          <w:tcPr>
            <w:tcW w:w="635"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40</w:t>
            </w:r>
          </w:p>
        </w:tc>
        <w:tc>
          <w:tcPr>
            <w:tcW w:w="693" w:type="pct"/>
            <w:vAlign w:val="bottom"/>
          </w:tcPr>
          <w:p>
            <w:pPr>
              <w:widowControl/>
              <w:jc w:val="center"/>
              <w:textAlignment w:val="bottom"/>
              <w:rPr>
                <w:color w:val="000000"/>
                <w:szCs w:val="21"/>
              </w:rPr>
            </w:pPr>
            <w:r>
              <w:rPr>
                <w:color w:val="000000"/>
                <w:kern w:val="0"/>
                <w:szCs w:val="21"/>
                <w:lang w:bidi="ar"/>
              </w:rPr>
              <w:t>0.09</w:t>
            </w:r>
          </w:p>
        </w:tc>
        <w:tc>
          <w:tcPr>
            <w:tcW w:w="1092" w:type="dxa"/>
            <w:vAlign w:val="bottom"/>
          </w:tcPr>
          <w:p>
            <w:pPr>
              <w:widowControl/>
              <w:jc w:val="center"/>
              <w:textAlignment w:val="bottom"/>
              <w:rPr>
                <w:color w:val="000000"/>
                <w:szCs w:val="21"/>
              </w:rPr>
            </w:pPr>
            <w:r>
              <w:rPr>
                <w:color w:val="000000"/>
                <w:kern w:val="0"/>
                <w:szCs w:val="21"/>
                <w:lang w:bidi="ar"/>
              </w:rPr>
              <w:t>0.1</w:t>
            </w:r>
          </w:p>
        </w:tc>
        <w:tc>
          <w:tcPr>
            <w:tcW w:w="1091" w:type="dxa"/>
            <w:vAlign w:val="bottom"/>
          </w:tcPr>
          <w:p>
            <w:pPr>
              <w:widowControl/>
              <w:jc w:val="center"/>
              <w:textAlignment w:val="bottom"/>
              <w:rPr>
                <w:color w:val="000000"/>
                <w:szCs w:val="21"/>
              </w:rPr>
            </w:pPr>
            <w:r>
              <w:rPr>
                <w:color w:val="000000"/>
                <w:kern w:val="0"/>
                <w:szCs w:val="21"/>
                <w:lang w:bidi="ar"/>
              </w:rPr>
              <w:t>0.1</w:t>
            </w:r>
          </w:p>
        </w:tc>
        <w:tc>
          <w:tcPr>
            <w:tcW w:w="1092" w:type="dxa"/>
            <w:vAlign w:val="bottom"/>
          </w:tcPr>
          <w:p>
            <w:pPr>
              <w:widowControl/>
              <w:jc w:val="center"/>
              <w:textAlignment w:val="bottom"/>
              <w:rPr>
                <w:color w:val="000000"/>
                <w:szCs w:val="21"/>
              </w:rPr>
            </w:pPr>
            <w:r>
              <w:rPr>
                <w:color w:val="000000"/>
                <w:kern w:val="0"/>
                <w:szCs w:val="21"/>
                <w:lang w:bidi="ar"/>
              </w:rPr>
              <w:t>1.85</w:t>
            </w:r>
          </w:p>
        </w:tc>
        <w:tc>
          <w:tcPr>
            <w:tcW w:w="1089" w:type="dxa"/>
            <w:vAlign w:val="bottom"/>
          </w:tcPr>
          <w:p>
            <w:pPr>
              <w:widowControl/>
              <w:jc w:val="center"/>
              <w:textAlignment w:val="bottom"/>
              <w:rPr>
                <w:color w:val="000000"/>
                <w:szCs w:val="21"/>
              </w:rPr>
            </w:pPr>
            <w:r>
              <w:rPr>
                <w:color w:val="000000"/>
                <w:kern w:val="0"/>
                <w:szCs w:val="21"/>
                <w:lang w:bidi="ar"/>
              </w:rPr>
              <w:t>1.84</w:t>
            </w:r>
          </w:p>
        </w:tc>
        <w:tc>
          <w:tcPr>
            <w:tcW w:w="1089" w:type="dxa"/>
            <w:vAlign w:val="bottom"/>
          </w:tcPr>
          <w:p>
            <w:pPr>
              <w:widowControl/>
              <w:jc w:val="center"/>
              <w:textAlignment w:val="bottom"/>
              <w:rPr>
                <w:color w:val="000000"/>
                <w:szCs w:val="21"/>
              </w:rPr>
            </w:pPr>
            <w:r>
              <w:rPr>
                <w:color w:val="000000"/>
                <w:kern w:val="0"/>
                <w:szCs w:val="21"/>
                <w:lang w:bidi="ar"/>
              </w:rPr>
              <w:t>1.86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80" w:type="pct"/>
            <w:gridSpan w:val="2"/>
            <w:vAlign w:val="center"/>
          </w:tcPr>
          <w:p>
            <w:pPr>
              <w:widowControl/>
              <w:jc w:val="center"/>
              <w:textAlignment w:val="center"/>
              <w:rPr>
                <w:rFonts w:cs="宋体"/>
                <w:color w:val="000000"/>
                <w:szCs w:val="21"/>
              </w:rPr>
            </w:pPr>
            <w:r>
              <w:rPr>
                <w:rFonts w:hint="eastAsia" w:cs="宋体"/>
                <w:color w:val="000000"/>
                <w:kern w:val="0"/>
                <w:szCs w:val="21"/>
                <w:lang w:bidi="ar"/>
              </w:rPr>
              <w:t>最大值</w:t>
            </w:r>
          </w:p>
        </w:tc>
        <w:tc>
          <w:tcPr>
            <w:tcW w:w="693" w:type="pct"/>
            <w:vAlign w:val="bottom"/>
          </w:tcPr>
          <w:p>
            <w:pPr>
              <w:widowControl/>
              <w:jc w:val="center"/>
              <w:textAlignment w:val="bottom"/>
              <w:rPr>
                <w:b/>
                <w:color w:val="000000"/>
                <w:szCs w:val="21"/>
              </w:rPr>
            </w:pPr>
            <w:r>
              <w:rPr>
                <w:b/>
                <w:bCs/>
                <w:color w:val="000000"/>
                <w:kern w:val="0"/>
                <w:szCs w:val="21"/>
                <w:lang w:bidi="ar"/>
              </w:rPr>
              <w:t>7.02</w:t>
            </w:r>
          </w:p>
        </w:tc>
        <w:tc>
          <w:tcPr>
            <w:tcW w:w="1092" w:type="dxa"/>
            <w:vAlign w:val="bottom"/>
          </w:tcPr>
          <w:p>
            <w:pPr>
              <w:widowControl/>
              <w:jc w:val="center"/>
              <w:textAlignment w:val="bottom"/>
              <w:rPr>
                <w:b/>
                <w:bCs/>
                <w:color w:val="000000"/>
                <w:szCs w:val="21"/>
              </w:rPr>
            </w:pPr>
            <w:r>
              <w:rPr>
                <w:b/>
                <w:bCs/>
                <w:color w:val="000000"/>
                <w:kern w:val="0"/>
                <w:szCs w:val="21"/>
                <w:lang w:bidi="ar"/>
              </w:rPr>
              <w:t>5.58</w:t>
            </w:r>
          </w:p>
        </w:tc>
        <w:tc>
          <w:tcPr>
            <w:tcW w:w="1091" w:type="dxa"/>
            <w:vAlign w:val="bottom"/>
          </w:tcPr>
          <w:p>
            <w:pPr>
              <w:widowControl/>
              <w:jc w:val="center"/>
              <w:textAlignment w:val="bottom"/>
              <w:rPr>
                <w:b/>
                <w:bCs/>
                <w:color w:val="000000"/>
                <w:szCs w:val="21"/>
              </w:rPr>
            </w:pPr>
            <w:r>
              <w:rPr>
                <w:b/>
                <w:bCs/>
                <w:color w:val="000000"/>
                <w:kern w:val="0"/>
                <w:szCs w:val="21"/>
                <w:lang w:bidi="ar"/>
              </w:rPr>
              <w:t>9.84</w:t>
            </w:r>
          </w:p>
        </w:tc>
        <w:tc>
          <w:tcPr>
            <w:tcW w:w="1092" w:type="dxa"/>
            <w:vAlign w:val="bottom"/>
          </w:tcPr>
          <w:p>
            <w:pPr>
              <w:widowControl/>
              <w:jc w:val="center"/>
              <w:textAlignment w:val="bottom"/>
              <w:rPr>
                <w:b/>
                <w:bCs/>
                <w:color w:val="000000"/>
                <w:szCs w:val="21"/>
              </w:rPr>
            </w:pPr>
            <w:r>
              <w:rPr>
                <w:rFonts w:hint="eastAsia"/>
                <w:b/>
                <w:bCs/>
                <w:color w:val="000000"/>
                <w:kern w:val="0"/>
                <w:szCs w:val="21"/>
                <w:lang w:bidi="ar"/>
              </w:rPr>
              <w:t>60.97</w:t>
            </w:r>
          </w:p>
        </w:tc>
        <w:tc>
          <w:tcPr>
            <w:tcW w:w="1089" w:type="dxa"/>
            <w:vAlign w:val="bottom"/>
          </w:tcPr>
          <w:p>
            <w:pPr>
              <w:widowControl/>
              <w:jc w:val="center"/>
              <w:textAlignment w:val="bottom"/>
              <w:rPr>
                <w:b/>
                <w:bCs/>
                <w:color w:val="000000"/>
                <w:kern w:val="0"/>
                <w:szCs w:val="21"/>
                <w:lang w:bidi="ar"/>
              </w:rPr>
            </w:pPr>
            <w:r>
              <w:rPr>
                <w:rFonts w:hint="eastAsia"/>
                <w:b/>
                <w:bCs/>
                <w:color w:val="000000"/>
                <w:kern w:val="0"/>
                <w:szCs w:val="21"/>
                <w:lang w:bidi="ar"/>
              </w:rPr>
              <w:t>49.56</w:t>
            </w:r>
          </w:p>
        </w:tc>
        <w:tc>
          <w:tcPr>
            <w:tcW w:w="1089" w:type="dxa"/>
            <w:vAlign w:val="bottom"/>
          </w:tcPr>
          <w:p>
            <w:pPr>
              <w:widowControl/>
              <w:jc w:val="center"/>
              <w:textAlignment w:val="bottom"/>
              <w:rPr>
                <w:b/>
                <w:bCs/>
                <w:color w:val="000000"/>
                <w:kern w:val="0"/>
                <w:szCs w:val="21"/>
                <w:lang w:bidi="ar"/>
              </w:rPr>
            </w:pPr>
            <w:r>
              <w:rPr>
                <w:rFonts w:hint="eastAsia"/>
                <w:b/>
                <w:bCs/>
                <w:color w:val="000000"/>
                <w:kern w:val="0"/>
                <w:szCs w:val="21"/>
                <w:lang w:bidi="ar"/>
              </w:rPr>
              <w:t>101.85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80" w:type="pct"/>
            <w:gridSpan w:val="2"/>
            <w:vAlign w:val="center"/>
          </w:tcPr>
          <w:p>
            <w:pPr>
              <w:widowControl/>
              <w:jc w:val="center"/>
              <w:textAlignment w:val="center"/>
              <w:rPr>
                <w:rFonts w:cs="宋体"/>
                <w:color w:val="000000"/>
                <w:szCs w:val="21"/>
              </w:rPr>
            </w:pPr>
            <w:r>
              <w:rPr>
                <w:rFonts w:hint="eastAsia" w:cs="宋体"/>
                <w:color w:val="000000"/>
                <w:kern w:val="0"/>
                <w:szCs w:val="21"/>
                <w:lang w:bidi="ar"/>
              </w:rPr>
              <w:t>最大值处距线路中心距离（m）</w:t>
            </w:r>
          </w:p>
        </w:tc>
        <w:tc>
          <w:tcPr>
            <w:tcW w:w="693" w:type="pct"/>
            <w:vAlign w:val="center"/>
          </w:tcPr>
          <w:p>
            <w:pPr>
              <w:widowControl/>
              <w:jc w:val="center"/>
              <w:textAlignment w:val="center"/>
              <w:rPr>
                <w:rFonts w:cs="宋体"/>
                <w:color w:val="000000"/>
                <w:szCs w:val="21"/>
              </w:rPr>
            </w:pPr>
            <w:r>
              <w:rPr>
                <w:rFonts w:hint="eastAsia" w:cs="宋体"/>
                <w:color w:val="000000"/>
                <w:kern w:val="0"/>
                <w:szCs w:val="21"/>
                <w:lang w:bidi="ar"/>
              </w:rPr>
              <w:t>7.9</w:t>
            </w:r>
          </w:p>
        </w:tc>
        <w:tc>
          <w:tcPr>
            <w:tcW w:w="625" w:type="pct"/>
            <w:vAlign w:val="center"/>
          </w:tcPr>
          <w:p>
            <w:pPr>
              <w:widowControl/>
              <w:jc w:val="center"/>
              <w:textAlignment w:val="center"/>
              <w:rPr>
                <w:rFonts w:cs="宋体"/>
                <w:color w:val="000000"/>
                <w:szCs w:val="21"/>
              </w:rPr>
            </w:pPr>
            <w:r>
              <w:rPr>
                <w:rFonts w:hint="eastAsia" w:cs="宋体"/>
                <w:color w:val="000000"/>
                <w:szCs w:val="21"/>
              </w:rPr>
              <w:t>8.9</w:t>
            </w:r>
          </w:p>
        </w:tc>
        <w:tc>
          <w:tcPr>
            <w:tcW w:w="625" w:type="pct"/>
            <w:vAlign w:val="center"/>
          </w:tcPr>
          <w:p>
            <w:pPr>
              <w:widowControl/>
              <w:jc w:val="center"/>
              <w:textAlignment w:val="center"/>
              <w:rPr>
                <w:rFonts w:cs="宋体"/>
                <w:color w:val="000000"/>
                <w:szCs w:val="21"/>
              </w:rPr>
            </w:pPr>
            <w:r>
              <w:rPr>
                <w:rFonts w:hint="eastAsia" w:cs="宋体"/>
                <w:color w:val="000000"/>
                <w:szCs w:val="21"/>
              </w:rPr>
              <w:t>7.9</w:t>
            </w:r>
          </w:p>
        </w:tc>
        <w:tc>
          <w:tcPr>
            <w:tcW w:w="625" w:type="pct"/>
            <w:vAlign w:val="center"/>
          </w:tcPr>
          <w:p>
            <w:pPr>
              <w:widowControl/>
              <w:jc w:val="center"/>
              <w:textAlignment w:val="center"/>
              <w:rPr>
                <w:rFonts w:cs="宋体"/>
                <w:color w:val="000000"/>
                <w:szCs w:val="21"/>
              </w:rPr>
            </w:pPr>
            <w:r>
              <w:rPr>
                <w:rFonts w:hint="eastAsia" w:cs="宋体"/>
                <w:color w:val="000000"/>
                <w:kern w:val="0"/>
                <w:szCs w:val="21"/>
                <w:lang w:bidi="ar"/>
              </w:rPr>
              <w:t>6.0</w:t>
            </w:r>
          </w:p>
        </w:tc>
        <w:tc>
          <w:tcPr>
            <w:tcW w:w="624"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6.0</w:t>
            </w:r>
          </w:p>
        </w:tc>
        <w:tc>
          <w:tcPr>
            <w:tcW w:w="624" w:type="pct"/>
            <w:vAlign w:val="center"/>
          </w:tcPr>
          <w:p>
            <w:pPr>
              <w:widowControl/>
              <w:jc w:val="center"/>
              <w:textAlignment w:val="center"/>
              <w:rPr>
                <w:rFonts w:cs="宋体"/>
                <w:color w:val="000000"/>
                <w:kern w:val="0"/>
                <w:szCs w:val="21"/>
                <w:lang w:bidi="ar"/>
              </w:rPr>
            </w:pPr>
            <w:r>
              <w:rPr>
                <w:rFonts w:hint="eastAsia" w:cs="宋体"/>
                <w:color w:val="000000"/>
                <w:kern w:val="0"/>
                <w:szCs w:val="21"/>
                <w:lang w:bidi="ar"/>
              </w:rPr>
              <w:t>7.0</w:t>
            </w:r>
          </w:p>
        </w:tc>
      </w:tr>
    </w:tbl>
    <w:p>
      <w:pPr>
        <w:pStyle w:val="107"/>
        <w:spacing w:line="360" w:lineRule="auto"/>
      </w:pPr>
      <w:r>
        <w:drawing>
          <wp:inline distT="0" distB="0" distL="114300" distR="114300">
            <wp:extent cx="5398135" cy="2924175"/>
            <wp:effectExtent l="0" t="0" r="12065" b="9525"/>
            <wp:docPr id="17"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0"/>
                    <pic:cNvPicPr>
                      <a:picLocks noChangeAspect="1"/>
                    </pic:cNvPicPr>
                  </pic:nvPicPr>
                  <pic:blipFill>
                    <a:blip r:embed="rId137"/>
                    <a:stretch>
                      <a:fillRect/>
                    </a:stretch>
                  </pic:blipFill>
                  <pic:spPr>
                    <a:xfrm>
                      <a:off x="0" y="0"/>
                      <a:ext cx="5398135" cy="2924175"/>
                    </a:xfrm>
                    <a:prstGeom prst="rect">
                      <a:avLst/>
                    </a:prstGeom>
                    <a:noFill/>
                    <a:ln>
                      <a:noFill/>
                    </a:ln>
                  </pic:spPr>
                </pic:pic>
              </a:graphicData>
            </a:graphic>
          </wp:inline>
        </w:drawing>
      </w:r>
    </w:p>
    <w:p>
      <w:pPr>
        <w:pStyle w:val="10"/>
        <w:spacing w:line="360" w:lineRule="auto"/>
        <w:ind w:firstLine="480"/>
        <w:jc w:val="center"/>
        <w:rPr>
          <w:rFonts w:eastAsia="宋体"/>
        </w:rPr>
      </w:pPr>
      <w:bookmarkStart w:id="821" w:name="_Ref26312"/>
      <w:r>
        <w:rPr>
          <w:rFonts w:ascii="Times New Roman" w:hAnsi="Times New Roman" w:eastAsia="宋体"/>
          <w:b/>
          <w:bCs/>
        </w:rPr>
        <w:t>图</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22</w:t>
      </w:r>
      <w:r>
        <w:rPr>
          <w:rFonts w:ascii="Times New Roman" w:hAnsi="Times New Roman" w:eastAsia="宋体"/>
          <w:b/>
          <w:bCs/>
        </w:rPr>
        <w:fldChar w:fldCharType="end"/>
      </w:r>
      <w:bookmarkEnd w:id="821"/>
      <w:r>
        <w:rPr>
          <w:rFonts w:ascii="Times New Roman" w:hAnsi="Times New Roman" w:eastAsia="宋体"/>
          <w:b/>
          <w:bCs/>
        </w:rPr>
        <w:t>单回线路工频电场强度预测结果图（2×JL3/G1A-400/35型导线）</w:t>
      </w:r>
    </w:p>
    <w:p>
      <w:r>
        <w:drawing>
          <wp:inline distT="0" distB="0" distL="114300" distR="114300">
            <wp:extent cx="5388610" cy="3000375"/>
            <wp:effectExtent l="0" t="0" r="2540" b="9525"/>
            <wp:docPr id="18"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1"/>
                    <pic:cNvPicPr>
                      <a:picLocks noChangeAspect="1"/>
                    </pic:cNvPicPr>
                  </pic:nvPicPr>
                  <pic:blipFill>
                    <a:blip r:embed="rId138"/>
                    <a:stretch>
                      <a:fillRect/>
                    </a:stretch>
                  </pic:blipFill>
                  <pic:spPr>
                    <a:xfrm>
                      <a:off x="0" y="0"/>
                      <a:ext cx="5388610" cy="3000375"/>
                    </a:xfrm>
                    <a:prstGeom prst="rect">
                      <a:avLst/>
                    </a:prstGeom>
                    <a:noFill/>
                    <a:ln>
                      <a:noFill/>
                    </a:ln>
                  </pic:spPr>
                </pic:pic>
              </a:graphicData>
            </a:graphic>
          </wp:inline>
        </w:drawing>
      </w:r>
    </w:p>
    <w:p>
      <w:pPr>
        <w:pStyle w:val="10"/>
        <w:jc w:val="center"/>
        <w:rPr>
          <w:rFonts w:eastAsia="宋体"/>
        </w:rPr>
      </w:pPr>
      <w:bookmarkStart w:id="822" w:name="_Ref26341"/>
      <w:r>
        <w:rPr>
          <w:rFonts w:ascii="Times New Roman" w:hAnsi="Times New Roman" w:eastAsia="宋体"/>
          <w:b/>
          <w:bCs/>
        </w:rPr>
        <w:t>图</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23</w:t>
      </w:r>
      <w:r>
        <w:rPr>
          <w:rFonts w:ascii="Times New Roman" w:hAnsi="Times New Roman" w:eastAsia="宋体"/>
          <w:b/>
          <w:bCs/>
        </w:rPr>
        <w:fldChar w:fldCharType="end"/>
      </w:r>
      <w:bookmarkEnd w:id="822"/>
      <w:r>
        <w:rPr>
          <w:rFonts w:ascii="Times New Roman" w:hAnsi="Times New Roman" w:eastAsia="宋体"/>
          <w:b/>
          <w:bCs/>
        </w:rPr>
        <w:t>单回线路工频磁感应强度预测结果图（2×JL3/G1A-400/35型导线）</w:t>
      </w:r>
    </w:p>
    <w:p>
      <w:pPr>
        <w:pStyle w:val="5"/>
        <w:ind w:firstLine="482"/>
        <w:rPr>
          <w:color w:val="000000" w:themeColor="text1"/>
          <w14:textFill>
            <w14:solidFill>
              <w14:schemeClr w14:val="tx1"/>
            </w14:solidFill>
          </w14:textFill>
        </w:rPr>
      </w:pPr>
      <w:r>
        <w:rPr>
          <w:rFonts w:hint="eastAsia"/>
          <w:b/>
          <w:bCs/>
          <w:color w:val="000000" w:themeColor="text1"/>
          <w14:textFill>
            <w14:solidFill>
              <w14:schemeClr w14:val="tx1"/>
            </w14:solidFill>
          </w14:textFill>
        </w:rPr>
        <w:t>单回线路</w:t>
      </w:r>
      <w:r>
        <w:rPr>
          <w:rFonts w:hint="eastAsia"/>
          <w:b/>
          <w:bCs/>
        </w:rPr>
        <w:t>（2×JL3/G1A-400/35型导线）</w:t>
      </w:r>
      <w:r>
        <w:rPr>
          <w:rFonts w:hint="eastAsia"/>
          <w:b/>
          <w:bCs/>
          <w:color w:val="000000" w:themeColor="text1"/>
          <w14:textFill>
            <w14:solidFill>
              <w14:schemeClr w14:val="tx1"/>
            </w14:solidFill>
          </w14:textFill>
        </w:rPr>
        <w:t>电磁环境预测结果：</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1）非居民区</w:t>
      </w:r>
    </w:p>
    <w:p>
      <w:pPr>
        <w:pStyle w:val="5"/>
      </w:pPr>
      <w:r>
        <w:rPr>
          <w:rFonts w:hint="eastAsia"/>
        </w:rPr>
        <w:t>本工程单回线路（2×JL3/G1A-400/35型导线）经过非居民区，导线弧垂最小对地距离6.5</w:t>
      </w:r>
      <w:r>
        <w:t>m，线路下方距离地面1.5m高度处的工频电场强度最大值为</w:t>
      </w:r>
      <w:r>
        <w:rPr>
          <w:rFonts w:hint="eastAsia"/>
        </w:rPr>
        <w:t>7.02</w:t>
      </w:r>
      <w:r>
        <w:t>kV/m，工频磁感应强度最大值为</w:t>
      </w:r>
      <w:r>
        <w:rPr>
          <w:rFonts w:hint="eastAsia"/>
        </w:rPr>
        <w:t>60.97</w:t>
      </w:r>
      <w:r>
        <w:t>μT，满足《电磁环境控制限值》（GB8702-2014）10kV/m、100μT的控制限值。</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2）居民区</w:t>
      </w:r>
    </w:p>
    <w:p>
      <w:pPr>
        <w:pStyle w:val="107"/>
        <w:wordWrap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本工程单回线路</w:t>
      </w:r>
      <w:r>
        <w:rPr>
          <w:rFonts w:hint="eastAsia"/>
          <w:sz w:val="24"/>
        </w:rPr>
        <w:t>（2×JL3/G1A-400/35型导线）</w:t>
      </w:r>
      <w:r>
        <w:rPr>
          <w:color w:val="000000" w:themeColor="text1"/>
          <w:sz w:val="24"/>
          <w14:textFill>
            <w14:solidFill>
              <w14:schemeClr w14:val="tx1"/>
            </w14:solidFill>
          </w14:textFill>
        </w:rPr>
        <w:t>经过居民区，导线弧垂最小对地距离7.5m，线路下方距离地面1.5m、4.5m高度处的工频电场强度最大值分别为5.</w:t>
      </w:r>
      <w:r>
        <w:rPr>
          <w:rFonts w:hint="eastAsia"/>
          <w:color w:val="000000" w:themeColor="text1"/>
          <w:sz w:val="24"/>
          <w14:textFill>
            <w14:solidFill>
              <w14:schemeClr w14:val="tx1"/>
            </w14:solidFill>
          </w14:textFill>
        </w:rPr>
        <w:t>58</w:t>
      </w:r>
      <w:r>
        <w:rPr>
          <w:color w:val="000000" w:themeColor="text1"/>
          <w:sz w:val="24"/>
          <w14:textFill>
            <w14:solidFill>
              <w14:schemeClr w14:val="tx1"/>
            </w14:solidFill>
          </w14:textFill>
        </w:rPr>
        <w:t>kV/m、</w:t>
      </w:r>
      <w:r>
        <w:rPr>
          <w:rFonts w:hint="eastAsia"/>
          <w:color w:val="000000" w:themeColor="text1"/>
          <w:sz w:val="24"/>
          <w14:textFill>
            <w14:solidFill>
              <w14:schemeClr w14:val="tx1"/>
            </w14:solidFill>
          </w14:textFill>
        </w:rPr>
        <w:t>9.84</w:t>
      </w:r>
      <w:r>
        <w:rPr>
          <w:color w:val="000000" w:themeColor="text1"/>
          <w:sz w:val="24"/>
          <w14:textFill>
            <w14:solidFill>
              <w14:schemeClr w14:val="tx1"/>
            </w14:solidFill>
          </w14:textFill>
        </w:rPr>
        <w:t>kV/m，均不满足《电磁环境控制限值》（GB8702-2014）中4000V/m的控制限值；工频磁感应强度最大值分别为</w:t>
      </w:r>
      <w:r>
        <w:rPr>
          <w:rFonts w:hint="eastAsia"/>
          <w:color w:val="000000" w:themeColor="text1"/>
          <w:sz w:val="24"/>
          <w14:textFill>
            <w14:solidFill>
              <w14:schemeClr w14:val="tx1"/>
            </w14:solidFill>
          </w14:textFill>
        </w:rPr>
        <w:t>49.56</w:t>
      </w:r>
      <w:r>
        <w:rPr>
          <w:color w:val="000000" w:themeColor="text1"/>
          <w:sz w:val="24"/>
          <w14:textFill>
            <w14:solidFill>
              <w14:schemeClr w14:val="tx1"/>
            </w14:solidFill>
          </w14:textFill>
        </w:rPr>
        <w:t>μT、</w:t>
      </w:r>
      <w:r>
        <w:rPr>
          <w:rFonts w:hint="eastAsia"/>
          <w:color w:val="000000" w:themeColor="text1"/>
          <w:sz w:val="24"/>
          <w14:textFill>
            <w14:solidFill>
              <w14:schemeClr w14:val="tx1"/>
            </w14:solidFill>
          </w14:textFill>
        </w:rPr>
        <w:t>101.85</w:t>
      </w:r>
      <w:r>
        <w:rPr>
          <w:color w:val="000000" w:themeColor="text1"/>
          <w:sz w:val="24"/>
          <w14:textFill>
            <w14:solidFill>
              <w14:schemeClr w14:val="tx1"/>
            </w14:solidFill>
          </w14:textFill>
        </w:rPr>
        <w:t>μT，不满足《电磁环境控制限值》（GB8702-2014）中100μT的控制限值。</w:t>
      </w:r>
    </w:p>
    <w:p>
      <w:pPr>
        <w:pStyle w:val="107"/>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3）单回线路电磁环境影响控制措施</w:t>
      </w:r>
    </w:p>
    <w:p>
      <w:pPr>
        <w:pStyle w:val="107"/>
        <w:spacing w:line="360" w:lineRule="auto"/>
        <w:ind w:firstLine="480"/>
        <w:rPr>
          <w:sz w:val="24"/>
        </w:rPr>
      </w:pPr>
      <w:r>
        <w:rPr>
          <w:rFonts w:hint="eastAsia"/>
          <w:sz w:val="24"/>
          <w:szCs w:val="32"/>
        </w:rPr>
        <w:t>由预测结果可知，本工程拟建单回线路（2×JL3/G1A-400/35型导线）经过居民区时，本项目新建220kV单回线路段经过居民区，导线对地距离为11.5m时，距离地面1.5m、4.5m高度处的工频电场强度最大值分别为2.82kV/m、3.67kV/m，均满足《电磁环境控制限值》（GB8702-2014）中4000V/m控制限值要求；距离地面1.5m、4.5m高度处的工频磁感应强度最大值分别为28.69μT、44.93μT，均满足《电磁环境控制限值》（GB8702-2014）100μT的控制限值要求。</w:t>
      </w:r>
      <w:r>
        <w:rPr>
          <w:rFonts w:hint="eastAsia"/>
          <w:sz w:val="24"/>
        </w:rPr>
        <w:t>本工程拟建单回线路（导线型号：</w:t>
      </w:r>
      <w:r>
        <w:rPr>
          <w:rFonts w:hint="eastAsia"/>
          <w:sz w:val="24"/>
          <w:szCs w:val="32"/>
        </w:rPr>
        <w:t>2×JL3/G1A-400/35</w:t>
      </w:r>
      <w:r>
        <w:rPr>
          <w:rFonts w:hint="eastAsia"/>
          <w:sz w:val="24"/>
        </w:rPr>
        <w:t>）最低线高下的工频电场强度及工频磁感应强度预测计算见</w:t>
      </w:r>
      <w:r>
        <w:rPr>
          <w:rFonts w:hint="eastAsia"/>
          <w:b w:val="0"/>
          <w:bCs w:val="0"/>
          <w:sz w:val="24"/>
          <w:szCs w:val="24"/>
        </w:rPr>
        <w:fldChar w:fldCharType="begin"/>
      </w:r>
      <w:r>
        <w:rPr>
          <w:b w:val="0"/>
          <w:bCs w:val="0"/>
        </w:rPr>
        <w:instrText xml:space="preserve"> REF _Ref23634 \h  \* MERGEFORMAT</w:instrText>
      </w:r>
      <w:r>
        <w:rPr>
          <w:rFonts w:hint="eastAsia"/>
          <w:b w:val="0"/>
          <w:bCs w:val="0"/>
          <w:sz w:val="24"/>
          <w:szCs w:val="24"/>
        </w:rPr>
        <w:fldChar w:fldCharType="separate"/>
      </w:r>
      <w:r>
        <w:rPr>
          <w:rFonts w:ascii="Times New Roman" w:hAnsi="Times New Roman" w:eastAsia="宋体"/>
          <w:b w:val="0"/>
          <w:bCs w:val="0"/>
          <w:sz w:val="24"/>
          <w:szCs w:val="24"/>
        </w:rPr>
        <w:t>表49</w:t>
      </w:r>
      <w:r>
        <w:rPr>
          <w:rFonts w:hint="eastAsia"/>
          <w:b w:val="0"/>
          <w:bCs w:val="0"/>
          <w:sz w:val="24"/>
          <w:szCs w:val="24"/>
        </w:rPr>
        <w:fldChar w:fldCharType="end"/>
      </w:r>
      <w:r>
        <w:rPr>
          <w:rFonts w:hint="eastAsia"/>
          <w:b w:val="0"/>
          <w:bCs w:val="0"/>
          <w:sz w:val="24"/>
          <w:szCs w:val="24"/>
        </w:rPr>
        <w:t>，相应变化趋势见</w:t>
      </w:r>
      <w:r>
        <w:rPr>
          <w:rFonts w:hint="eastAsia"/>
          <w:b w:val="0"/>
          <w:bCs w:val="0"/>
          <w:sz w:val="24"/>
          <w:szCs w:val="24"/>
        </w:rPr>
        <w:fldChar w:fldCharType="begin"/>
      </w:r>
      <w:r>
        <w:rPr>
          <w:b w:val="0"/>
          <w:bCs w:val="0"/>
        </w:rPr>
        <w:instrText xml:space="preserve"> REF _Ref23690 \h  \* MERGEFORMAT</w:instrText>
      </w:r>
      <w:r>
        <w:rPr>
          <w:rFonts w:hint="eastAsia"/>
          <w:b w:val="0"/>
          <w:bCs w:val="0"/>
          <w:sz w:val="24"/>
          <w:szCs w:val="24"/>
        </w:rPr>
        <w:fldChar w:fldCharType="separate"/>
      </w:r>
      <w:r>
        <w:rPr>
          <w:rFonts w:ascii="Times New Roman" w:hAnsi="Times New Roman" w:eastAsia="宋体"/>
          <w:b w:val="0"/>
          <w:bCs w:val="0"/>
          <w:sz w:val="24"/>
          <w:szCs w:val="24"/>
        </w:rPr>
        <w:t>图24</w:t>
      </w:r>
      <w:r>
        <w:rPr>
          <w:rFonts w:hint="eastAsia"/>
          <w:b w:val="0"/>
          <w:bCs w:val="0"/>
          <w:sz w:val="24"/>
          <w:szCs w:val="24"/>
        </w:rPr>
        <w:fldChar w:fldCharType="end"/>
      </w:r>
      <w:r>
        <w:rPr>
          <w:rFonts w:hint="eastAsia"/>
          <w:b w:val="0"/>
          <w:bCs w:val="0"/>
          <w:sz w:val="24"/>
          <w:szCs w:val="24"/>
        </w:rPr>
        <w:t>~</w:t>
      </w:r>
      <w:r>
        <w:rPr>
          <w:rFonts w:hint="eastAsia"/>
          <w:b w:val="0"/>
          <w:bCs w:val="0"/>
          <w:sz w:val="24"/>
          <w:szCs w:val="24"/>
        </w:rPr>
        <w:fldChar w:fldCharType="begin"/>
      </w:r>
      <w:r>
        <w:rPr>
          <w:b w:val="0"/>
          <w:bCs w:val="0"/>
        </w:rPr>
        <w:instrText xml:space="preserve"> REF _Ref23719 \h  \* MERGEFORMAT</w:instrText>
      </w:r>
      <w:r>
        <w:rPr>
          <w:rFonts w:hint="eastAsia"/>
          <w:b w:val="0"/>
          <w:bCs w:val="0"/>
          <w:sz w:val="24"/>
          <w:szCs w:val="24"/>
        </w:rPr>
        <w:fldChar w:fldCharType="separate"/>
      </w:r>
      <w:r>
        <w:rPr>
          <w:b w:val="0"/>
          <w:bCs w:val="0"/>
          <w:sz w:val="24"/>
          <w:szCs w:val="24"/>
        </w:rPr>
        <w:t>图25</w:t>
      </w:r>
      <w:r>
        <w:rPr>
          <w:rFonts w:hint="eastAsia"/>
          <w:b w:val="0"/>
          <w:bCs w:val="0"/>
          <w:sz w:val="24"/>
          <w:szCs w:val="24"/>
        </w:rPr>
        <w:fldChar w:fldCharType="end"/>
      </w:r>
      <w:r>
        <w:rPr>
          <w:rFonts w:hint="eastAsia"/>
          <w:sz w:val="24"/>
        </w:rPr>
        <w:t>。</w:t>
      </w:r>
    </w:p>
    <w:p>
      <w:pPr>
        <w:pStyle w:val="10"/>
        <w:wordWrap w:val="0"/>
        <w:rPr>
          <w:rFonts w:eastAsia="宋体"/>
        </w:rPr>
      </w:pPr>
      <w:bookmarkStart w:id="823" w:name="_Ref23634"/>
      <w:r>
        <w:rPr>
          <w:rFonts w:ascii="Times New Roman" w:hAnsi="Times New Roman" w:eastAsia="宋体"/>
          <w:b/>
          <w:bCs/>
        </w:rPr>
        <w:t>表</w:t>
      </w:r>
      <w:r>
        <w:rPr>
          <w:rFonts w:ascii="Times New Roman" w:hAnsi="Times New Roman" w:eastAsia="宋体"/>
          <w:b/>
          <w:bCs/>
        </w:rPr>
        <w:fldChar w:fldCharType="begin"/>
      </w:r>
      <w:r>
        <w:rPr>
          <w:rFonts w:ascii="Times New Roman" w:hAnsi="Times New Roman" w:eastAsia="宋体"/>
          <w:b/>
          <w:bCs/>
        </w:rPr>
        <w:instrText xml:space="preserve"> SEQ 表 \* ARABIC </w:instrText>
      </w:r>
      <w:r>
        <w:rPr>
          <w:rFonts w:ascii="Times New Roman" w:hAnsi="Times New Roman" w:eastAsia="宋体"/>
          <w:b/>
          <w:bCs/>
        </w:rPr>
        <w:fldChar w:fldCharType="separate"/>
      </w:r>
      <w:r>
        <w:rPr>
          <w:rFonts w:ascii="Times New Roman" w:hAnsi="Times New Roman" w:eastAsia="宋体"/>
          <w:b/>
          <w:bCs/>
        </w:rPr>
        <w:t>49</w:t>
      </w:r>
      <w:r>
        <w:rPr>
          <w:rFonts w:ascii="Times New Roman" w:hAnsi="Times New Roman" w:eastAsia="宋体"/>
          <w:b/>
          <w:bCs/>
        </w:rPr>
        <w:fldChar w:fldCharType="end"/>
      </w:r>
      <w:bookmarkEnd w:id="823"/>
      <w:r>
        <w:rPr>
          <w:rFonts w:hint="eastAsia" w:ascii="Times New Roman" w:hAnsi="Times New Roman" w:eastAsia="宋体"/>
          <w:b/>
          <w:bCs/>
        </w:rPr>
        <w:t xml:space="preserve"> </w:t>
      </w:r>
      <w:r>
        <w:rPr>
          <w:rFonts w:ascii="Times New Roman" w:hAnsi="Times New Roman" w:eastAsia="宋体"/>
          <w:b/>
          <w:bCs/>
        </w:rPr>
        <w:t>220kV单回线路抬升至11.5m处的工频电场强度及工频磁感应强度预测结果（2×JL3/G1A-400/35型导线）</w:t>
      </w:r>
    </w:p>
    <w:tbl>
      <w:tblPr>
        <w:tblStyle w:val="37"/>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0"/>
        <w:gridCol w:w="1486"/>
        <w:gridCol w:w="1486"/>
        <w:gridCol w:w="1488"/>
        <w:gridCol w:w="1486"/>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trPr>
        <w:tc>
          <w:tcPr>
            <w:tcW w:w="678" w:type="pct"/>
            <w:vMerge w:val="restar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距线路中心的距离(m)</w:t>
            </w:r>
          </w:p>
        </w:tc>
        <w:tc>
          <w:tcPr>
            <w:tcW w:w="854" w:type="pct"/>
            <w:vMerge w:val="restar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距边导线距离(m)</w:t>
            </w:r>
          </w:p>
        </w:tc>
        <w:tc>
          <w:tcPr>
            <w:tcW w:w="1709"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工频电场强度（kV/m）</w:t>
            </w:r>
          </w:p>
        </w:tc>
        <w:tc>
          <w:tcPr>
            <w:tcW w:w="1757"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工频磁感应强度（μT）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blHeader/>
        </w:trPr>
        <w:tc>
          <w:tcPr>
            <w:tcW w:w="678" w:type="pct"/>
            <w:vMerge w:val="continue"/>
            <w:shd w:val="clear" w:color="auto" w:fill="auto"/>
            <w:vAlign w:val="center"/>
          </w:tcPr>
          <w:p>
            <w:pPr>
              <w:widowControl/>
              <w:jc w:val="center"/>
              <w:rPr>
                <w:color w:val="000000" w:themeColor="text1"/>
                <w:kern w:val="0"/>
                <w:szCs w:val="21"/>
                <w14:textFill>
                  <w14:solidFill>
                    <w14:schemeClr w14:val="tx1"/>
                  </w14:solidFill>
                </w14:textFill>
              </w:rPr>
            </w:pPr>
          </w:p>
        </w:tc>
        <w:tc>
          <w:tcPr>
            <w:tcW w:w="854" w:type="pct"/>
            <w:vMerge w:val="continue"/>
            <w:shd w:val="clear" w:color="auto" w:fill="auto"/>
            <w:vAlign w:val="center"/>
          </w:tcPr>
          <w:p>
            <w:pPr>
              <w:widowControl/>
              <w:jc w:val="center"/>
              <w:rPr>
                <w:color w:val="000000" w:themeColor="text1"/>
                <w:kern w:val="0"/>
                <w:szCs w:val="21"/>
                <w14:textFill>
                  <w14:solidFill>
                    <w14:schemeClr w14:val="tx1"/>
                  </w14:solidFill>
                </w14:textFill>
              </w:rPr>
            </w:pPr>
          </w:p>
        </w:tc>
        <w:tc>
          <w:tcPr>
            <w:tcW w:w="1709"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导线对地11.5m</w:t>
            </w:r>
          </w:p>
        </w:tc>
        <w:tc>
          <w:tcPr>
            <w:tcW w:w="1757" w:type="pct"/>
            <w:gridSpan w:val="2"/>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导线对地11.5m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678" w:type="pct"/>
            <w:vMerge w:val="continue"/>
            <w:vAlign w:val="center"/>
          </w:tcPr>
          <w:p>
            <w:pPr>
              <w:widowControl/>
              <w:jc w:val="center"/>
              <w:rPr>
                <w:color w:val="000000" w:themeColor="text1"/>
                <w:kern w:val="0"/>
                <w:szCs w:val="21"/>
                <w14:textFill>
                  <w14:solidFill>
                    <w14:schemeClr w14:val="tx1"/>
                  </w14:solidFill>
                </w14:textFill>
              </w:rPr>
            </w:pPr>
          </w:p>
        </w:tc>
        <w:tc>
          <w:tcPr>
            <w:tcW w:w="854" w:type="pct"/>
            <w:vMerge w:val="continue"/>
            <w:vAlign w:val="center"/>
          </w:tcPr>
          <w:p>
            <w:pPr>
              <w:widowControl/>
              <w:jc w:val="center"/>
              <w:rPr>
                <w:color w:val="000000" w:themeColor="text1"/>
                <w:kern w:val="0"/>
                <w:szCs w:val="21"/>
                <w14:textFill>
                  <w14:solidFill>
                    <w14:schemeClr w14:val="tx1"/>
                  </w14:solidFill>
                </w14:textFill>
              </w:rPr>
            </w:pPr>
          </w:p>
        </w:tc>
        <w:tc>
          <w:tcPr>
            <w:tcW w:w="854" w:type="pct"/>
            <w:shd w:val="clear" w:color="auto" w:fill="auto"/>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距地面1.5m处</w:t>
            </w:r>
          </w:p>
        </w:tc>
        <w:tc>
          <w:tcPr>
            <w:tcW w:w="855" w:type="pct"/>
            <w:shd w:val="clear" w:color="auto" w:fill="auto"/>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距地面4.5m处</w:t>
            </w:r>
          </w:p>
        </w:tc>
        <w:tc>
          <w:tcPr>
            <w:tcW w:w="854" w:type="pct"/>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距地面1.5m处</w:t>
            </w:r>
          </w:p>
        </w:tc>
        <w:tc>
          <w:tcPr>
            <w:tcW w:w="903" w:type="pct"/>
            <w:vAlign w:val="center"/>
          </w:tcPr>
          <w:p>
            <w:pPr>
              <w:widowControl/>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距地面4.5m处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rPr>
            </w:pPr>
            <w:r>
              <w:rPr>
                <w:color w:val="000000"/>
                <w:kern w:val="0"/>
                <w:szCs w:val="21"/>
                <w:lang w:bidi="ar"/>
              </w:rPr>
              <w:t>0.0</w:t>
            </w:r>
          </w:p>
        </w:tc>
        <w:tc>
          <w:tcPr>
            <w:tcW w:w="854" w:type="pct"/>
            <w:vMerge w:val="restar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边导线内</w:t>
            </w:r>
          </w:p>
        </w:tc>
        <w:tc>
          <w:tcPr>
            <w:tcW w:w="1490" w:type="dxa"/>
            <w:shd w:val="clear" w:color="auto" w:fill="auto"/>
            <w:vAlign w:val="bottom"/>
          </w:tcPr>
          <w:p>
            <w:pPr>
              <w:widowControl/>
              <w:jc w:val="center"/>
              <w:textAlignment w:val="bottom"/>
              <w:rPr>
                <w:color w:val="000000"/>
                <w:kern w:val="0"/>
                <w:szCs w:val="21"/>
              </w:rPr>
            </w:pPr>
            <w:r>
              <w:rPr>
                <w:color w:val="000000"/>
                <w:kern w:val="0"/>
                <w:szCs w:val="21"/>
                <w:lang w:bidi="ar"/>
              </w:rPr>
              <w:t>1.71</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3.26</w:t>
            </w:r>
          </w:p>
        </w:tc>
        <w:tc>
          <w:tcPr>
            <w:tcW w:w="1456" w:type="dxa"/>
            <w:vAlign w:val="bottom"/>
          </w:tcPr>
          <w:p>
            <w:pPr>
              <w:widowControl/>
              <w:jc w:val="center"/>
              <w:textAlignment w:val="bottom"/>
              <w:rPr>
                <w:b/>
                <w:bCs/>
                <w:color w:val="000000"/>
                <w:kern w:val="0"/>
                <w:szCs w:val="21"/>
              </w:rPr>
            </w:pPr>
            <w:r>
              <w:rPr>
                <w:b/>
                <w:bCs/>
                <w:color w:val="000000"/>
                <w:kern w:val="0"/>
                <w:szCs w:val="21"/>
                <w:lang w:bidi="ar"/>
              </w:rPr>
              <w:t>28.69</w:t>
            </w:r>
          </w:p>
        </w:tc>
        <w:tc>
          <w:tcPr>
            <w:tcW w:w="1540" w:type="dxa"/>
            <w:vAlign w:val="bottom"/>
          </w:tcPr>
          <w:p>
            <w:pPr>
              <w:widowControl/>
              <w:jc w:val="center"/>
              <w:textAlignment w:val="bottom"/>
              <w:rPr>
                <w:b/>
                <w:bCs/>
                <w:szCs w:val="21"/>
              </w:rPr>
            </w:pPr>
            <w:r>
              <w:rPr>
                <w:b/>
                <w:bCs/>
                <w:color w:val="000000"/>
                <w:kern w:val="0"/>
                <w:szCs w:val="21"/>
                <w:lang w:bidi="ar"/>
              </w:rPr>
              <w:t>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1.0</w:t>
            </w:r>
          </w:p>
        </w:tc>
        <w:tc>
          <w:tcPr>
            <w:tcW w:w="854" w:type="pct"/>
            <w:vMerge w:val="continue"/>
            <w:shd w:val="clear" w:color="auto" w:fill="auto"/>
            <w:vAlign w:val="center"/>
          </w:tcPr>
          <w:p>
            <w:pPr>
              <w:jc w:val="center"/>
              <w:rPr>
                <w:color w:val="000000" w:themeColor="text1"/>
                <w:kern w:val="0"/>
                <w:szCs w:val="21"/>
                <w14:textFill>
                  <w14:solidFill>
                    <w14:schemeClr w14:val="tx1"/>
                  </w14:solidFill>
                </w14:textFill>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1.72</w:t>
            </w:r>
          </w:p>
        </w:tc>
        <w:tc>
          <w:tcPr>
            <w:tcW w:w="1492" w:type="dxa"/>
            <w:shd w:val="clear" w:color="auto" w:fill="auto"/>
            <w:vAlign w:val="bottom"/>
          </w:tcPr>
          <w:p>
            <w:pPr>
              <w:widowControl/>
              <w:jc w:val="center"/>
              <w:textAlignment w:val="bottom"/>
              <w:rPr>
                <w:szCs w:val="21"/>
              </w:rPr>
            </w:pPr>
            <w:r>
              <w:rPr>
                <w:color w:val="000000"/>
                <w:kern w:val="0"/>
                <w:szCs w:val="21"/>
                <w:lang w:bidi="ar"/>
              </w:rPr>
              <w:t>3.25</w:t>
            </w:r>
          </w:p>
        </w:tc>
        <w:tc>
          <w:tcPr>
            <w:tcW w:w="1456" w:type="dxa"/>
            <w:vAlign w:val="bottom"/>
          </w:tcPr>
          <w:p>
            <w:pPr>
              <w:widowControl/>
              <w:jc w:val="center"/>
              <w:textAlignment w:val="bottom"/>
              <w:rPr>
                <w:color w:val="000000"/>
                <w:szCs w:val="21"/>
              </w:rPr>
            </w:pPr>
            <w:r>
              <w:rPr>
                <w:color w:val="000000"/>
                <w:kern w:val="0"/>
                <w:szCs w:val="21"/>
                <w:lang w:bidi="ar"/>
              </w:rPr>
              <w:t>28.64</w:t>
            </w:r>
          </w:p>
        </w:tc>
        <w:tc>
          <w:tcPr>
            <w:tcW w:w="1540" w:type="dxa"/>
            <w:vAlign w:val="bottom"/>
          </w:tcPr>
          <w:p>
            <w:pPr>
              <w:widowControl/>
              <w:jc w:val="center"/>
              <w:textAlignment w:val="bottom"/>
              <w:rPr>
                <w:szCs w:val="21"/>
              </w:rPr>
            </w:pPr>
            <w:r>
              <w:rPr>
                <w:color w:val="000000"/>
                <w:kern w:val="0"/>
                <w:szCs w:val="21"/>
                <w:lang w:bidi="ar"/>
              </w:rPr>
              <w:t>44.84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2.0</w:t>
            </w:r>
          </w:p>
        </w:tc>
        <w:tc>
          <w:tcPr>
            <w:tcW w:w="854" w:type="pct"/>
            <w:vMerge w:val="continue"/>
            <w:shd w:val="clear" w:color="auto" w:fill="auto"/>
            <w:vAlign w:val="center"/>
          </w:tcPr>
          <w:p>
            <w:pPr>
              <w:jc w:val="center"/>
              <w:rPr>
                <w:color w:val="000000" w:themeColor="text1"/>
                <w:kern w:val="0"/>
                <w:szCs w:val="21"/>
                <w14:textFill>
                  <w14:solidFill>
                    <w14:schemeClr w14:val="tx1"/>
                  </w14:solidFill>
                </w14:textFill>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1.76</w:t>
            </w:r>
          </w:p>
        </w:tc>
        <w:tc>
          <w:tcPr>
            <w:tcW w:w="1492" w:type="dxa"/>
            <w:shd w:val="clear" w:color="auto" w:fill="auto"/>
            <w:vAlign w:val="bottom"/>
          </w:tcPr>
          <w:p>
            <w:pPr>
              <w:widowControl/>
              <w:jc w:val="center"/>
              <w:textAlignment w:val="bottom"/>
              <w:rPr>
                <w:szCs w:val="21"/>
              </w:rPr>
            </w:pPr>
            <w:r>
              <w:rPr>
                <w:color w:val="000000"/>
                <w:kern w:val="0"/>
                <w:szCs w:val="21"/>
                <w:lang w:bidi="ar"/>
              </w:rPr>
              <w:t>3.24</w:t>
            </w:r>
          </w:p>
        </w:tc>
        <w:tc>
          <w:tcPr>
            <w:tcW w:w="1456" w:type="dxa"/>
            <w:vAlign w:val="bottom"/>
          </w:tcPr>
          <w:p>
            <w:pPr>
              <w:widowControl/>
              <w:jc w:val="center"/>
              <w:textAlignment w:val="bottom"/>
              <w:rPr>
                <w:color w:val="000000"/>
                <w:szCs w:val="21"/>
              </w:rPr>
            </w:pPr>
            <w:r>
              <w:rPr>
                <w:color w:val="000000"/>
                <w:kern w:val="0"/>
                <w:szCs w:val="21"/>
                <w:lang w:bidi="ar"/>
              </w:rPr>
              <w:t>28.46</w:t>
            </w:r>
          </w:p>
        </w:tc>
        <w:tc>
          <w:tcPr>
            <w:tcW w:w="1540" w:type="dxa"/>
            <w:vAlign w:val="bottom"/>
          </w:tcPr>
          <w:p>
            <w:pPr>
              <w:widowControl/>
              <w:jc w:val="center"/>
              <w:textAlignment w:val="bottom"/>
              <w:rPr>
                <w:szCs w:val="21"/>
              </w:rPr>
            </w:pPr>
            <w:r>
              <w:rPr>
                <w:color w:val="000000"/>
                <w:kern w:val="0"/>
                <w:szCs w:val="21"/>
                <w:lang w:bidi="ar"/>
              </w:rPr>
              <w:t>44.61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3.0</w:t>
            </w:r>
          </w:p>
        </w:tc>
        <w:tc>
          <w:tcPr>
            <w:tcW w:w="854" w:type="pct"/>
            <w:vMerge w:val="continue"/>
            <w:shd w:val="clear" w:color="auto" w:fill="auto"/>
            <w:vAlign w:val="center"/>
          </w:tcPr>
          <w:p>
            <w:pPr>
              <w:jc w:val="center"/>
              <w:rPr>
                <w:color w:val="000000" w:themeColor="text1"/>
                <w:kern w:val="0"/>
                <w:szCs w:val="21"/>
                <w14:textFill>
                  <w14:solidFill>
                    <w14:schemeClr w14:val="tx1"/>
                  </w14:solidFill>
                </w14:textFill>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1.84</w:t>
            </w:r>
          </w:p>
        </w:tc>
        <w:tc>
          <w:tcPr>
            <w:tcW w:w="1492" w:type="dxa"/>
            <w:shd w:val="clear" w:color="auto" w:fill="auto"/>
            <w:vAlign w:val="bottom"/>
          </w:tcPr>
          <w:p>
            <w:pPr>
              <w:widowControl/>
              <w:jc w:val="center"/>
              <w:textAlignment w:val="bottom"/>
              <w:rPr>
                <w:szCs w:val="21"/>
              </w:rPr>
            </w:pPr>
            <w:r>
              <w:rPr>
                <w:color w:val="000000"/>
                <w:kern w:val="0"/>
                <w:szCs w:val="21"/>
                <w:lang w:bidi="ar"/>
              </w:rPr>
              <w:t>3.24</w:t>
            </w:r>
          </w:p>
        </w:tc>
        <w:tc>
          <w:tcPr>
            <w:tcW w:w="1456" w:type="dxa"/>
            <w:vAlign w:val="bottom"/>
          </w:tcPr>
          <w:p>
            <w:pPr>
              <w:widowControl/>
              <w:jc w:val="center"/>
              <w:textAlignment w:val="bottom"/>
              <w:rPr>
                <w:color w:val="000000"/>
                <w:szCs w:val="21"/>
              </w:rPr>
            </w:pPr>
            <w:r>
              <w:rPr>
                <w:color w:val="000000"/>
                <w:kern w:val="0"/>
                <w:szCs w:val="21"/>
                <w:lang w:bidi="ar"/>
              </w:rPr>
              <w:t>28.16</w:t>
            </w:r>
          </w:p>
        </w:tc>
        <w:tc>
          <w:tcPr>
            <w:tcW w:w="1540" w:type="dxa"/>
            <w:vAlign w:val="bottom"/>
          </w:tcPr>
          <w:p>
            <w:pPr>
              <w:widowControl/>
              <w:jc w:val="center"/>
              <w:textAlignment w:val="bottom"/>
              <w:rPr>
                <w:szCs w:val="21"/>
              </w:rPr>
            </w:pPr>
            <w:r>
              <w:rPr>
                <w:color w:val="000000"/>
                <w:kern w:val="0"/>
                <w:szCs w:val="21"/>
                <w:lang w:bidi="ar"/>
              </w:rPr>
              <w:t>44.24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4.0</w:t>
            </w:r>
          </w:p>
        </w:tc>
        <w:tc>
          <w:tcPr>
            <w:tcW w:w="854" w:type="pct"/>
            <w:vMerge w:val="continue"/>
            <w:shd w:val="clear" w:color="auto" w:fill="auto"/>
            <w:vAlign w:val="center"/>
          </w:tcPr>
          <w:p>
            <w:pPr>
              <w:jc w:val="center"/>
              <w:rPr>
                <w:szCs w:val="21"/>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1.97</w:t>
            </w:r>
          </w:p>
        </w:tc>
        <w:tc>
          <w:tcPr>
            <w:tcW w:w="1492" w:type="dxa"/>
            <w:shd w:val="clear" w:color="auto" w:fill="auto"/>
            <w:vAlign w:val="bottom"/>
          </w:tcPr>
          <w:p>
            <w:pPr>
              <w:widowControl/>
              <w:jc w:val="center"/>
              <w:textAlignment w:val="bottom"/>
              <w:rPr>
                <w:szCs w:val="21"/>
              </w:rPr>
            </w:pPr>
            <w:r>
              <w:rPr>
                <w:color w:val="000000"/>
                <w:kern w:val="0"/>
                <w:szCs w:val="21"/>
                <w:lang w:bidi="ar"/>
              </w:rPr>
              <w:t>3.29</w:t>
            </w:r>
          </w:p>
        </w:tc>
        <w:tc>
          <w:tcPr>
            <w:tcW w:w="1456" w:type="dxa"/>
            <w:vAlign w:val="bottom"/>
          </w:tcPr>
          <w:p>
            <w:pPr>
              <w:widowControl/>
              <w:jc w:val="center"/>
              <w:textAlignment w:val="bottom"/>
              <w:rPr>
                <w:color w:val="000000"/>
                <w:szCs w:val="21"/>
              </w:rPr>
            </w:pPr>
            <w:r>
              <w:rPr>
                <w:color w:val="000000"/>
                <w:kern w:val="0"/>
                <w:szCs w:val="21"/>
                <w:lang w:bidi="ar"/>
              </w:rPr>
              <w:t>27.72</w:t>
            </w:r>
          </w:p>
        </w:tc>
        <w:tc>
          <w:tcPr>
            <w:tcW w:w="1540" w:type="dxa"/>
            <w:vAlign w:val="bottom"/>
          </w:tcPr>
          <w:p>
            <w:pPr>
              <w:widowControl/>
              <w:jc w:val="center"/>
              <w:textAlignment w:val="bottom"/>
              <w:rPr>
                <w:szCs w:val="21"/>
              </w:rPr>
            </w:pPr>
            <w:r>
              <w:rPr>
                <w:color w:val="000000"/>
                <w:kern w:val="0"/>
                <w:szCs w:val="21"/>
                <w:lang w:bidi="ar"/>
              </w:rPr>
              <w:t>43.73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5.0</w:t>
            </w:r>
          </w:p>
        </w:tc>
        <w:tc>
          <w:tcPr>
            <w:tcW w:w="854" w:type="pct"/>
            <w:vMerge w:val="continue"/>
            <w:shd w:val="clear" w:color="auto" w:fill="auto"/>
            <w:vAlign w:val="center"/>
          </w:tcPr>
          <w:p>
            <w:pPr>
              <w:jc w:val="center"/>
              <w:rPr>
                <w:szCs w:val="21"/>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2.15</w:t>
            </w:r>
          </w:p>
        </w:tc>
        <w:tc>
          <w:tcPr>
            <w:tcW w:w="1492" w:type="dxa"/>
            <w:shd w:val="clear" w:color="auto" w:fill="auto"/>
            <w:vAlign w:val="bottom"/>
          </w:tcPr>
          <w:p>
            <w:pPr>
              <w:widowControl/>
              <w:jc w:val="center"/>
              <w:textAlignment w:val="bottom"/>
              <w:rPr>
                <w:szCs w:val="21"/>
              </w:rPr>
            </w:pPr>
            <w:r>
              <w:rPr>
                <w:color w:val="000000"/>
                <w:kern w:val="0"/>
                <w:szCs w:val="21"/>
                <w:lang w:bidi="ar"/>
              </w:rPr>
              <w:t>3.38</w:t>
            </w:r>
          </w:p>
        </w:tc>
        <w:tc>
          <w:tcPr>
            <w:tcW w:w="1456" w:type="dxa"/>
            <w:vAlign w:val="bottom"/>
          </w:tcPr>
          <w:p>
            <w:pPr>
              <w:widowControl/>
              <w:jc w:val="center"/>
              <w:textAlignment w:val="bottom"/>
              <w:rPr>
                <w:color w:val="000000"/>
                <w:szCs w:val="21"/>
              </w:rPr>
            </w:pPr>
            <w:r>
              <w:rPr>
                <w:color w:val="000000"/>
                <w:kern w:val="0"/>
                <w:szCs w:val="21"/>
                <w:lang w:bidi="ar"/>
              </w:rPr>
              <w:t>27.14</w:t>
            </w:r>
          </w:p>
        </w:tc>
        <w:tc>
          <w:tcPr>
            <w:tcW w:w="1540" w:type="dxa"/>
            <w:vAlign w:val="bottom"/>
          </w:tcPr>
          <w:p>
            <w:pPr>
              <w:widowControl/>
              <w:jc w:val="center"/>
              <w:textAlignment w:val="bottom"/>
              <w:rPr>
                <w:szCs w:val="21"/>
              </w:rPr>
            </w:pPr>
            <w:r>
              <w:rPr>
                <w:color w:val="000000"/>
                <w:kern w:val="0"/>
                <w:szCs w:val="21"/>
                <w:lang w:bidi="ar"/>
              </w:rPr>
              <w:t>43.01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6.0</w:t>
            </w:r>
          </w:p>
        </w:tc>
        <w:tc>
          <w:tcPr>
            <w:tcW w:w="854" w:type="pct"/>
            <w:vMerge w:val="continue"/>
            <w:shd w:val="clear" w:color="auto" w:fill="auto"/>
            <w:vAlign w:val="center"/>
          </w:tcPr>
          <w:p>
            <w:pPr>
              <w:jc w:val="center"/>
              <w:rPr>
                <w:szCs w:val="21"/>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2.35</w:t>
            </w:r>
          </w:p>
        </w:tc>
        <w:tc>
          <w:tcPr>
            <w:tcW w:w="1492" w:type="dxa"/>
            <w:shd w:val="clear" w:color="auto" w:fill="auto"/>
            <w:vAlign w:val="bottom"/>
          </w:tcPr>
          <w:p>
            <w:pPr>
              <w:widowControl/>
              <w:jc w:val="center"/>
              <w:textAlignment w:val="bottom"/>
              <w:rPr>
                <w:szCs w:val="21"/>
              </w:rPr>
            </w:pPr>
            <w:r>
              <w:rPr>
                <w:color w:val="000000"/>
                <w:kern w:val="0"/>
                <w:szCs w:val="21"/>
                <w:lang w:bidi="ar"/>
              </w:rPr>
              <w:t>3.5</w:t>
            </w:r>
          </w:p>
        </w:tc>
        <w:tc>
          <w:tcPr>
            <w:tcW w:w="1456" w:type="dxa"/>
            <w:vAlign w:val="bottom"/>
          </w:tcPr>
          <w:p>
            <w:pPr>
              <w:widowControl/>
              <w:jc w:val="center"/>
              <w:textAlignment w:val="bottom"/>
              <w:rPr>
                <w:color w:val="000000"/>
                <w:szCs w:val="21"/>
              </w:rPr>
            </w:pPr>
            <w:r>
              <w:rPr>
                <w:color w:val="000000"/>
                <w:kern w:val="0"/>
                <w:szCs w:val="21"/>
                <w:lang w:bidi="ar"/>
              </w:rPr>
              <w:t>26.39</w:t>
            </w:r>
          </w:p>
        </w:tc>
        <w:tc>
          <w:tcPr>
            <w:tcW w:w="1540" w:type="dxa"/>
            <w:vAlign w:val="bottom"/>
          </w:tcPr>
          <w:p>
            <w:pPr>
              <w:widowControl/>
              <w:jc w:val="center"/>
              <w:textAlignment w:val="bottom"/>
              <w:rPr>
                <w:szCs w:val="21"/>
              </w:rPr>
            </w:pPr>
            <w:r>
              <w:rPr>
                <w:color w:val="000000"/>
                <w:kern w:val="0"/>
                <w:szCs w:val="21"/>
                <w:lang w:bidi="ar"/>
              </w:rPr>
              <w:t>41.99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7.0</w:t>
            </w:r>
          </w:p>
        </w:tc>
        <w:tc>
          <w:tcPr>
            <w:tcW w:w="854" w:type="pct"/>
            <w:vMerge w:val="continue"/>
            <w:shd w:val="clear" w:color="auto" w:fill="auto"/>
            <w:vAlign w:val="center"/>
          </w:tcPr>
          <w:p>
            <w:pPr>
              <w:jc w:val="center"/>
              <w:rPr>
                <w:szCs w:val="21"/>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2.54</w:t>
            </w:r>
          </w:p>
        </w:tc>
        <w:tc>
          <w:tcPr>
            <w:tcW w:w="1492" w:type="dxa"/>
            <w:shd w:val="clear" w:color="auto" w:fill="auto"/>
            <w:vAlign w:val="bottom"/>
          </w:tcPr>
          <w:p>
            <w:pPr>
              <w:widowControl/>
              <w:jc w:val="center"/>
              <w:textAlignment w:val="bottom"/>
              <w:rPr>
                <w:szCs w:val="21"/>
              </w:rPr>
            </w:pPr>
            <w:r>
              <w:rPr>
                <w:color w:val="000000"/>
                <w:kern w:val="0"/>
                <w:szCs w:val="21"/>
                <w:lang w:bidi="ar"/>
              </w:rPr>
              <w:t>3.61</w:t>
            </w:r>
          </w:p>
        </w:tc>
        <w:tc>
          <w:tcPr>
            <w:tcW w:w="1456" w:type="dxa"/>
            <w:vAlign w:val="bottom"/>
          </w:tcPr>
          <w:p>
            <w:pPr>
              <w:widowControl/>
              <w:jc w:val="center"/>
              <w:textAlignment w:val="bottom"/>
              <w:rPr>
                <w:color w:val="000000"/>
                <w:szCs w:val="21"/>
              </w:rPr>
            </w:pPr>
            <w:r>
              <w:rPr>
                <w:color w:val="000000"/>
                <w:kern w:val="0"/>
                <w:szCs w:val="21"/>
                <w:lang w:bidi="ar"/>
              </w:rPr>
              <w:t>25.47</w:t>
            </w:r>
          </w:p>
        </w:tc>
        <w:tc>
          <w:tcPr>
            <w:tcW w:w="1540" w:type="dxa"/>
            <w:vAlign w:val="bottom"/>
          </w:tcPr>
          <w:p>
            <w:pPr>
              <w:widowControl/>
              <w:jc w:val="center"/>
              <w:textAlignment w:val="bottom"/>
              <w:rPr>
                <w:szCs w:val="21"/>
              </w:rPr>
            </w:pPr>
            <w:r>
              <w:rPr>
                <w:color w:val="000000"/>
                <w:kern w:val="0"/>
                <w:szCs w:val="21"/>
                <w:lang w:bidi="ar"/>
              </w:rPr>
              <w:t>40.53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8.0</w:t>
            </w:r>
          </w:p>
        </w:tc>
        <w:tc>
          <w:tcPr>
            <w:tcW w:w="854" w:type="pct"/>
            <w:vMerge w:val="continue"/>
            <w:shd w:val="clear" w:color="auto" w:fill="auto"/>
            <w:vAlign w:val="center"/>
          </w:tcPr>
          <w:p>
            <w:pPr>
              <w:jc w:val="center"/>
              <w:rPr>
                <w:rStyle w:val="119"/>
                <w:rFonts w:hint="default" w:ascii="Times New Roman" w:hAnsi="Times New Roman" w:cs="Times New Roman"/>
                <w:color w:val="000000" w:themeColor="text1"/>
                <w:lang w:bidi="ar"/>
                <w14:textFill>
                  <w14:solidFill>
                    <w14:schemeClr w14:val="tx1"/>
                  </w14:solidFill>
                </w14:textFill>
              </w:rPr>
            </w:pP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2.69</w:t>
            </w:r>
          </w:p>
        </w:tc>
        <w:tc>
          <w:tcPr>
            <w:tcW w:w="1492" w:type="dxa"/>
            <w:shd w:val="clear" w:color="auto" w:fill="auto"/>
            <w:vAlign w:val="bottom"/>
          </w:tcPr>
          <w:p>
            <w:pPr>
              <w:widowControl/>
              <w:jc w:val="center"/>
              <w:textAlignment w:val="bottom"/>
              <w:rPr>
                <w:szCs w:val="21"/>
              </w:rPr>
            </w:pPr>
            <w:r>
              <w:rPr>
                <w:color w:val="000000"/>
                <w:kern w:val="0"/>
                <w:szCs w:val="21"/>
                <w:lang w:bidi="ar"/>
              </w:rPr>
              <w:t>3.67</w:t>
            </w:r>
          </w:p>
        </w:tc>
        <w:tc>
          <w:tcPr>
            <w:tcW w:w="1456" w:type="dxa"/>
            <w:vAlign w:val="bottom"/>
          </w:tcPr>
          <w:p>
            <w:pPr>
              <w:widowControl/>
              <w:jc w:val="center"/>
              <w:textAlignment w:val="bottom"/>
              <w:rPr>
                <w:color w:val="000000"/>
                <w:szCs w:val="21"/>
              </w:rPr>
            </w:pPr>
            <w:r>
              <w:rPr>
                <w:color w:val="000000"/>
                <w:kern w:val="0"/>
                <w:szCs w:val="21"/>
                <w:lang w:bidi="ar"/>
              </w:rPr>
              <w:t>24.39</w:t>
            </w:r>
          </w:p>
        </w:tc>
        <w:tc>
          <w:tcPr>
            <w:tcW w:w="1540" w:type="dxa"/>
            <w:vAlign w:val="bottom"/>
          </w:tcPr>
          <w:p>
            <w:pPr>
              <w:widowControl/>
              <w:jc w:val="center"/>
              <w:textAlignment w:val="bottom"/>
              <w:rPr>
                <w:szCs w:val="21"/>
              </w:rPr>
            </w:pPr>
            <w:r>
              <w:rPr>
                <w:color w:val="000000"/>
                <w:kern w:val="0"/>
                <w:szCs w:val="21"/>
                <w:lang w:bidi="ar"/>
              </w:rPr>
              <w:t>38.57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8.3</w:t>
            </w:r>
          </w:p>
        </w:tc>
        <w:tc>
          <w:tcPr>
            <w:tcW w:w="854" w:type="pct"/>
            <w:shd w:val="clear" w:color="auto" w:fill="auto"/>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边导线下</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2.72</w:t>
            </w:r>
          </w:p>
        </w:tc>
        <w:tc>
          <w:tcPr>
            <w:tcW w:w="1492" w:type="dxa"/>
            <w:shd w:val="clear" w:color="auto" w:fill="auto"/>
            <w:vAlign w:val="bottom"/>
          </w:tcPr>
          <w:p>
            <w:pPr>
              <w:widowControl/>
              <w:jc w:val="center"/>
              <w:textAlignment w:val="bottom"/>
              <w:rPr>
                <w:szCs w:val="21"/>
              </w:rPr>
            </w:pPr>
            <w:r>
              <w:rPr>
                <w:b/>
                <w:bCs/>
                <w:color w:val="000000"/>
                <w:kern w:val="0"/>
                <w:szCs w:val="21"/>
                <w:lang w:bidi="ar"/>
              </w:rPr>
              <w:t>3.67</w:t>
            </w:r>
          </w:p>
        </w:tc>
        <w:tc>
          <w:tcPr>
            <w:tcW w:w="1456" w:type="dxa"/>
            <w:vAlign w:val="bottom"/>
          </w:tcPr>
          <w:p>
            <w:pPr>
              <w:widowControl/>
              <w:jc w:val="center"/>
              <w:textAlignment w:val="bottom"/>
              <w:rPr>
                <w:color w:val="000000"/>
                <w:szCs w:val="21"/>
              </w:rPr>
            </w:pPr>
            <w:r>
              <w:rPr>
                <w:color w:val="000000"/>
                <w:kern w:val="0"/>
                <w:szCs w:val="21"/>
                <w:lang w:bidi="ar"/>
              </w:rPr>
              <w:t>24.04</w:t>
            </w:r>
          </w:p>
        </w:tc>
        <w:tc>
          <w:tcPr>
            <w:tcW w:w="1540" w:type="dxa"/>
            <w:vAlign w:val="bottom"/>
          </w:tcPr>
          <w:p>
            <w:pPr>
              <w:widowControl/>
              <w:jc w:val="center"/>
              <w:textAlignment w:val="bottom"/>
              <w:rPr>
                <w:szCs w:val="21"/>
              </w:rPr>
            </w:pPr>
            <w:r>
              <w:rPr>
                <w:color w:val="000000"/>
                <w:kern w:val="0"/>
                <w:szCs w:val="21"/>
                <w:lang w:bidi="ar"/>
              </w:rPr>
              <w:t>37.88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9.3</w:t>
            </w:r>
          </w:p>
        </w:tc>
        <w:tc>
          <w:tcPr>
            <w:tcW w:w="854" w:type="pct"/>
            <w:shd w:val="clear" w:color="auto" w:fill="auto"/>
            <w:vAlign w:val="center"/>
          </w:tcPr>
          <w:p>
            <w:pPr>
              <w:widowControl/>
              <w:jc w:val="center"/>
              <w:textAlignment w:val="center"/>
              <w:rPr>
                <w:color w:val="000000" w:themeColor="text1"/>
                <w:kern w:val="0"/>
                <w:szCs w:val="21"/>
                <w14:textFill>
                  <w14:solidFill>
                    <w14:schemeClr w14:val="tx1"/>
                  </w14:solidFill>
                </w14:textFill>
              </w:rPr>
            </w:pPr>
            <w:r>
              <w:rPr>
                <w:color w:val="000000"/>
                <w:kern w:val="0"/>
                <w:szCs w:val="21"/>
                <w:lang w:bidi="ar"/>
              </w:rPr>
              <w:t>1</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2.8</w:t>
            </w:r>
          </w:p>
        </w:tc>
        <w:tc>
          <w:tcPr>
            <w:tcW w:w="1492" w:type="dxa"/>
            <w:shd w:val="clear" w:color="auto" w:fill="auto"/>
            <w:vAlign w:val="bottom"/>
          </w:tcPr>
          <w:p>
            <w:pPr>
              <w:widowControl/>
              <w:jc w:val="center"/>
              <w:textAlignment w:val="bottom"/>
              <w:rPr>
                <w:szCs w:val="21"/>
              </w:rPr>
            </w:pPr>
            <w:r>
              <w:rPr>
                <w:color w:val="000000"/>
                <w:kern w:val="0"/>
                <w:szCs w:val="21"/>
                <w:lang w:bidi="ar"/>
              </w:rPr>
              <w:t>3.64</w:t>
            </w:r>
          </w:p>
        </w:tc>
        <w:tc>
          <w:tcPr>
            <w:tcW w:w="1456" w:type="dxa"/>
            <w:vAlign w:val="bottom"/>
          </w:tcPr>
          <w:p>
            <w:pPr>
              <w:widowControl/>
              <w:jc w:val="center"/>
              <w:textAlignment w:val="bottom"/>
              <w:rPr>
                <w:color w:val="000000"/>
                <w:szCs w:val="21"/>
              </w:rPr>
            </w:pPr>
            <w:r>
              <w:rPr>
                <w:color w:val="000000"/>
                <w:kern w:val="0"/>
                <w:szCs w:val="21"/>
                <w:lang w:bidi="ar"/>
              </w:rPr>
              <w:t>22.77</w:t>
            </w:r>
          </w:p>
        </w:tc>
        <w:tc>
          <w:tcPr>
            <w:tcW w:w="1540" w:type="dxa"/>
            <w:vAlign w:val="bottom"/>
          </w:tcPr>
          <w:p>
            <w:pPr>
              <w:widowControl/>
              <w:jc w:val="center"/>
              <w:textAlignment w:val="bottom"/>
              <w:rPr>
                <w:szCs w:val="21"/>
              </w:rPr>
            </w:pPr>
            <w:r>
              <w:rPr>
                <w:color w:val="000000"/>
                <w:kern w:val="0"/>
                <w:szCs w:val="21"/>
                <w:lang w:bidi="ar"/>
              </w:rPr>
              <w:t>35.29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b/>
                <w:color w:val="000000"/>
                <w:szCs w:val="21"/>
              </w:rPr>
            </w:pPr>
            <w:r>
              <w:rPr>
                <w:color w:val="000000"/>
                <w:kern w:val="0"/>
                <w:szCs w:val="21"/>
                <w:lang w:bidi="ar"/>
              </w:rPr>
              <w:t>10.3</w:t>
            </w:r>
          </w:p>
        </w:tc>
        <w:tc>
          <w:tcPr>
            <w:tcW w:w="854" w:type="pct"/>
            <w:shd w:val="clear" w:color="auto" w:fill="auto"/>
            <w:vAlign w:val="center"/>
          </w:tcPr>
          <w:p>
            <w:pPr>
              <w:widowControl/>
              <w:jc w:val="center"/>
              <w:textAlignment w:val="center"/>
              <w:rPr>
                <w:b/>
                <w:color w:val="000000" w:themeColor="text1"/>
                <w:szCs w:val="21"/>
                <w14:textFill>
                  <w14:solidFill>
                    <w14:schemeClr w14:val="tx1"/>
                  </w14:solidFill>
                </w14:textFill>
              </w:rPr>
            </w:pPr>
            <w:r>
              <w:rPr>
                <w:color w:val="000000"/>
                <w:kern w:val="0"/>
                <w:szCs w:val="21"/>
                <w:lang w:bidi="ar"/>
              </w:rPr>
              <w:t>2</w:t>
            </w:r>
          </w:p>
        </w:tc>
        <w:tc>
          <w:tcPr>
            <w:tcW w:w="1490" w:type="dxa"/>
            <w:shd w:val="clear" w:color="auto" w:fill="auto"/>
            <w:vAlign w:val="bottom"/>
          </w:tcPr>
          <w:p>
            <w:pPr>
              <w:widowControl/>
              <w:jc w:val="center"/>
              <w:textAlignment w:val="bottom"/>
              <w:rPr>
                <w:b/>
                <w:color w:val="000000"/>
                <w:szCs w:val="21"/>
              </w:rPr>
            </w:pPr>
            <w:r>
              <w:rPr>
                <w:b/>
                <w:bCs/>
                <w:color w:val="000000"/>
                <w:kern w:val="0"/>
                <w:szCs w:val="21"/>
                <w:lang w:bidi="ar"/>
              </w:rPr>
              <w:t>2.82</w:t>
            </w:r>
          </w:p>
        </w:tc>
        <w:tc>
          <w:tcPr>
            <w:tcW w:w="1492" w:type="dxa"/>
            <w:shd w:val="clear" w:color="auto" w:fill="auto"/>
            <w:vAlign w:val="bottom"/>
          </w:tcPr>
          <w:p>
            <w:pPr>
              <w:widowControl/>
              <w:jc w:val="center"/>
              <w:textAlignment w:val="bottom"/>
              <w:rPr>
                <w:b/>
                <w:color w:val="000000"/>
                <w:szCs w:val="21"/>
              </w:rPr>
            </w:pPr>
            <w:r>
              <w:rPr>
                <w:color w:val="000000"/>
                <w:kern w:val="0"/>
                <w:szCs w:val="21"/>
                <w:lang w:bidi="ar"/>
              </w:rPr>
              <w:t>3.53</w:t>
            </w:r>
          </w:p>
        </w:tc>
        <w:tc>
          <w:tcPr>
            <w:tcW w:w="1456" w:type="dxa"/>
            <w:vAlign w:val="bottom"/>
          </w:tcPr>
          <w:p>
            <w:pPr>
              <w:widowControl/>
              <w:jc w:val="center"/>
              <w:textAlignment w:val="bottom"/>
              <w:rPr>
                <w:b/>
                <w:color w:val="000000"/>
                <w:szCs w:val="21"/>
              </w:rPr>
            </w:pPr>
            <w:r>
              <w:rPr>
                <w:color w:val="000000"/>
                <w:kern w:val="0"/>
                <w:szCs w:val="21"/>
                <w:lang w:bidi="ar"/>
              </w:rPr>
              <w:t>21.39</w:t>
            </w:r>
          </w:p>
        </w:tc>
        <w:tc>
          <w:tcPr>
            <w:tcW w:w="1540" w:type="dxa"/>
            <w:vAlign w:val="bottom"/>
          </w:tcPr>
          <w:p>
            <w:pPr>
              <w:widowControl/>
              <w:jc w:val="center"/>
              <w:textAlignment w:val="bottom"/>
              <w:rPr>
                <w:b/>
                <w:color w:val="000000"/>
                <w:szCs w:val="21"/>
              </w:rPr>
            </w:pPr>
            <w:r>
              <w:rPr>
                <w:color w:val="000000"/>
                <w:kern w:val="0"/>
                <w:szCs w:val="21"/>
                <w:lang w:bidi="ar"/>
              </w:rPr>
              <w:t>32.37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11.3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3</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2.77</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3.34</w:t>
            </w:r>
          </w:p>
        </w:tc>
        <w:tc>
          <w:tcPr>
            <w:tcW w:w="1456" w:type="dxa"/>
            <w:vAlign w:val="bottom"/>
          </w:tcPr>
          <w:p>
            <w:pPr>
              <w:widowControl/>
              <w:jc w:val="center"/>
              <w:textAlignment w:val="bottom"/>
              <w:rPr>
                <w:color w:val="000000"/>
                <w:szCs w:val="21"/>
              </w:rPr>
            </w:pPr>
            <w:r>
              <w:rPr>
                <w:color w:val="000000"/>
                <w:kern w:val="0"/>
                <w:szCs w:val="21"/>
                <w:lang w:bidi="ar"/>
              </w:rPr>
              <w:t>19.96</w:t>
            </w:r>
          </w:p>
        </w:tc>
        <w:tc>
          <w:tcPr>
            <w:tcW w:w="1540" w:type="dxa"/>
            <w:vAlign w:val="bottom"/>
          </w:tcPr>
          <w:p>
            <w:pPr>
              <w:widowControl/>
              <w:jc w:val="center"/>
              <w:textAlignment w:val="bottom"/>
              <w:rPr>
                <w:color w:val="000000"/>
                <w:szCs w:val="21"/>
              </w:rPr>
            </w:pPr>
            <w:r>
              <w:rPr>
                <w:color w:val="000000"/>
                <w:kern w:val="0"/>
                <w:szCs w:val="21"/>
                <w:lang w:bidi="ar"/>
              </w:rPr>
              <w:t>29.31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12.3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4</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2.67</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3.11</w:t>
            </w:r>
          </w:p>
        </w:tc>
        <w:tc>
          <w:tcPr>
            <w:tcW w:w="1456" w:type="dxa"/>
            <w:vAlign w:val="bottom"/>
          </w:tcPr>
          <w:p>
            <w:pPr>
              <w:widowControl/>
              <w:jc w:val="center"/>
              <w:textAlignment w:val="bottom"/>
              <w:rPr>
                <w:color w:val="000000"/>
                <w:szCs w:val="21"/>
              </w:rPr>
            </w:pPr>
            <w:r>
              <w:rPr>
                <w:color w:val="000000"/>
                <w:kern w:val="0"/>
                <w:szCs w:val="21"/>
                <w:lang w:bidi="ar"/>
              </w:rPr>
              <w:t>18.51</w:t>
            </w:r>
          </w:p>
        </w:tc>
        <w:tc>
          <w:tcPr>
            <w:tcW w:w="1540" w:type="dxa"/>
            <w:vAlign w:val="bottom"/>
          </w:tcPr>
          <w:p>
            <w:pPr>
              <w:widowControl/>
              <w:jc w:val="center"/>
              <w:textAlignment w:val="bottom"/>
              <w:rPr>
                <w:color w:val="000000"/>
                <w:szCs w:val="21"/>
              </w:rPr>
            </w:pPr>
            <w:r>
              <w:rPr>
                <w:color w:val="000000"/>
                <w:kern w:val="0"/>
                <w:szCs w:val="21"/>
                <w:lang w:bidi="ar"/>
              </w:rPr>
              <w:t>26.3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13.3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5</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2.54</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2.86</w:t>
            </w:r>
          </w:p>
        </w:tc>
        <w:tc>
          <w:tcPr>
            <w:tcW w:w="1456" w:type="dxa"/>
            <w:vAlign w:val="bottom"/>
          </w:tcPr>
          <w:p>
            <w:pPr>
              <w:widowControl/>
              <w:jc w:val="center"/>
              <w:textAlignment w:val="bottom"/>
              <w:rPr>
                <w:color w:val="000000"/>
                <w:szCs w:val="21"/>
              </w:rPr>
            </w:pPr>
            <w:r>
              <w:rPr>
                <w:color w:val="000000"/>
                <w:kern w:val="0"/>
                <w:szCs w:val="21"/>
                <w:lang w:bidi="ar"/>
              </w:rPr>
              <w:t>17.09</w:t>
            </w:r>
          </w:p>
        </w:tc>
        <w:tc>
          <w:tcPr>
            <w:tcW w:w="1540" w:type="dxa"/>
            <w:vAlign w:val="bottom"/>
          </w:tcPr>
          <w:p>
            <w:pPr>
              <w:widowControl/>
              <w:jc w:val="center"/>
              <w:textAlignment w:val="bottom"/>
              <w:rPr>
                <w:color w:val="000000"/>
                <w:szCs w:val="21"/>
              </w:rPr>
            </w:pPr>
            <w:r>
              <w:rPr>
                <w:color w:val="000000"/>
                <w:kern w:val="0"/>
                <w:szCs w:val="21"/>
                <w:lang w:bidi="ar"/>
              </w:rPr>
              <w:t>23.48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14.3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6</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2.37</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2.61</w:t>
            </w:r>
          </w:p>
        </w:tc>
        <w:tc>
          <w:tcPr>
            <w:tcW w:w="1456" w:type="dxa"/>
            <w:vAlign w:val="bottom"/>
          </w:tcPr>
          <w:p>
            <w:pPr>
              <w:widowControl/>
              <w:jc w:val="center"/>
              <w:textAlignment w:val="bottom"/>
              <w:rPr>
                <w:color w:val="000000"/>
                <w:szCs w:val="21"/>
              </w:rPr>
            </w:pPr>
            <w:r>
              <w:rPr>
                <w:color w:val="000000"/>
                <w:kern w:val="0"/>
                <w:szCs w:val="21"/>
                <w:lang w:bidi="ar"/>
              </w:rPr>
              <w:t>15.73</w:t>
            </w:r>
          </w:p>
        </w:tc>
        <w:tc>
          <w:tcPr>
            <w:tcW w:w="1540" w:type="dxa"/>
            <w:vAlign w:val="bottom"/>
          </w:tcPr>
          <w:p>
            <w:pPr>
              <w:widowControl/>
              <w:jc w:val="center"/>
              <w:textAlignment w:val="bottom"/>
              <w:rPr>
                <w:color w:val="000000"/>
                <w:szCs w:val="21"/>
              </w:rPr>
            </w:pPr>
            <w:r>
              <w:rPr>
                <w:color w:val="000000"/>
                <w:kern w:val="0"/>
                <w:szCs w:val="21"/>
                <w:lang w:bidi="ar"/>
              </w:rPr>
              <w:t>20.92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15.3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szCs w:val="21"/>
              </w:rPr>
              <w:t>7</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2.2</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2.36</w:t>
            </w:r>
          </w:p>
        </w:tc>
        <w:tc>
          <w:tcPr>
            <w:tcW w:w="1456" w:type="dxa"/>
            <w:vAlign w:val="bottom"/>
          </w:tcPr>
          <w:p>
            <w:pPr>
              <w:widowControl/>
              <w:jc w:val="center"/>
              <w:textAlignment w:val="bottom"/>
              <w:rPr>
                <w:color w:val="000000"/>
                <w:szCs w:val="21"/>
              </w:rPr>
            </w:pPr>
            <w:r>
              <w:rPr>
                <w:color w:val="000000"/>
                <w:kern w:val="0"/>
                <w:szCs w:val="21"/>
                <w:lang w:bidi="ar"/>
              </w:rPr>
              <w:t>14.44</w:t>
            </w:r>
          </w:p>
        </w:tc>
        <w:tc>
          <w:tcPr>
            <w:tcW w:w="1540" w:type="dxa"/>
            <w:vAlign w:val="bottom"/>
          </w:tcPr>
          <w:p>
            <w:pPr>
              <w:widowControl/>
              <w:jc w:val="center"/>
              <w:textAlignment w:val="bottom"/>
              <w:rPr>
                <w:color w:val="000000"/>
                <w:szCs w:val="21"/>
              </w:rPr>
            </w:pPr>
            <w:r>
              <w:rPr>
                <w:color w:val="000000"/>
                <w:kern w:val="0"/>
                <w:szCs w:val="21"/>
                <w:lang w:bidi="ar"/>
              </w:rPr>
              <w:t>18.65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16.3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8</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2.02</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2.13</w:t>
            </w:r>
          </w:p>
        </w:tc>
        <w:tc>
          <w:tcPr>
            <w:tcW w:w="1456" w:type="dxa"/>
            <w:vAlign w:val="bottom"/>
          </w:tcPr>
          <w:p>
            <w:pPr>
              <w:widowControl/>
              <w:jc w:val="center"/>
              <w:textAlignment w:val="bottom"/>
              <w:rPr>
                <w:color w:val="000000"/>
                <w:szCs w:val="21"/>
              </w:rPr>
            </w:pPr>
            <w:r>
              <w:rPr>
                <w:color w:val="000000"/>
                <w:kern w:val="0"/>
                <w:szCs w:val="21"/>
                <w:lang w:bidi="ar"/>
              </w:rPr>
              <w:t>13.25</w:t>
            </w:r>
          </w:p>
        </w:tc>
        <w:tc>
          <w:tcPr>
            <w:tcW w:w="1540" w:type="dxa"/>
            <w:vAlign w:val="bottom"/>
          </w:tcPr>
          <w:p>
            <w:pPr>
              <w:widowControl/>
              <w:jc w:val="center"/>
              <w:textAlignment w:val="bottom"/>
              <w:rPr>
                <w:color w:val="000000"/>
                <w:szCs w:val="21"/>
              </w:rPr>
            </w:pPr>
            <w:r>
              <w:rPr>
                <w:color w:val="000000"/>
                <w:kern w:val="0"/>
                <w:szCs w:val="21"/>
                <w:lang w:bidi="ar"/>
              </w:rPr>
              <w:t>16.65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17.3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9</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1.85</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1.91</w:t>
            </w:r>
          </w:p>
        </w:tc>
        <w:tc>
          <w:tcPr>
            <w:tcW w:w="1456" w:type="dxa"/>
            <w:vAlign w:val="bottom"/>
          </w:tcPr>
          <w:p>
            <w:pPr>
              <w:widowControl/>
              <w:jc w:val="center"/>
              <w:textAlignment w:val="bottom"/>
              <w:rPr>
                <w:color w:val="000000"/>
                <w:szCs w:val="21"/>
              </w:rPr>
            </w:pPr>
            <w:r>
              <w:rPr>
                <w:color w:val="000000"/>
                <w:kern w:val="0"/>
                <w:szCs w:val="21"/>
                <w:lang w:bidi="ar"/>
              </w:rPr>
              <w:t>12.15</w:t>
            </w:r>
          </w:p>
        </w:tc>
        <w:tc>
          <w:tcPr>
            <w:tcW w:w="1540" w:type="dxa"/>
            <w:vAlign w:val="bottom"/>
          </w:tcPr>
          <w:p>
            <w:pPr>
              <w:widowControl/>
              <w:jc w:val="center"/>
              <w:textAlignment w:val="bottom"/>
              <w:rPr>
                <w:color w:val="000000"/>
                <w:szCs w:val="21"/>
              </w:rPr>
            </w:pPr>
            <w:r>
              <w:rPr>
                <w:color w:val="000000"/>
                <w:kern w:val="0"/>
                <w:szCs w:val="21"/>
                <w:lang w:bidi="ar"/>
              </w:rPr>
              <w:t>14.91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18.3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10</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1.68</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1.72</w:t>
            </w:r>
          </w:p>
        </w:tc>
        <w:tc>
          <w:tcPr>
            <w:tcW w:w="1456" w:type="dxa"/>
            <w:vAlign w:val="bottom"/>
          </w:tcPr>
          <w:p>
            <w:pPr>
              <w:widowControl/>
              <w:jc w:val="center"/>
              <w:textAlignment w:val="bottom"/>
              <w:rPr>
                <w:color w:val="000000"/>
                <w:szCs w:val="21"/>
              </w:rPr>
            </w:pPr>
            <w:r>
              <w:rPr>
                <w:color w:val="000000"/>
                <w:kern w:val="0"/>
                <w:szCs w:val="21"/>
                <w:lang w:bidi="ar"/>
              </w:rPr>
              <w:t>11.16</w:t>
            </w:r>
          </w:p>
        </w:tc>
        <w:tc>
          <w:tcPr>
            <w:tcW w:w="1540" w:type="dxa"/>
            <w:vAlign w:val="bottom"/>
          </w:tcPr>
          <w:p>
            <w:pPr>
              <w:widowControl/>
              <w:jc w:val="center"/>
              <w:textAlignment w:val="bottom"/>
              <w:rPr>
                <w:color w:val="000000"/>
                <w:szCs w:val="21"/>
              </w:rPr>
            </w:pPr>
            <w:r>
              <w:rPr>
                <w:color w:val="000000"/>
                <w:kern w:val="0"/>
                <w:szCs w:val="21"/>
                <w:lang w:bidi="ar"/>
              </w:rPr>
              <w:t>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19.3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11</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1.53</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1.55</w:t>
            </w:r>
          </w:p>
        </w:tc>
        <w:tc>
          <w:tcPr>
            <w:tcW w:w="1456" w:type="dxa"/>
            <w:vAlign w:val="bottom"/>
          </w:tcPr>
          <w:p>
            <w:pPr>
              <w:widowControl/>
              <w:jc w:val="center"/>
              <w:textAlignment w:val="bottom"/>
              <w:rPr>
                <w:color w:val="000000"/>
                <w:szCs w:val="21"/>
              </w:rPr>
            </w:pPr>
            <w:r>
              <w:rPr>
                <w:color w:val="000000"/>
                <w:kern w:val="0"/>
                <w:szCs w:val="21"/>
                <w:lang w:bidi="ar"/>
              </w:rPr>
              <w:t>10.25</w:t>
            </w:r>
          </w:p>
        </w:tc>
        <w:tc>
          <w:tcPr>
            <w:tcW w:w="1540" w:type="dxa"/>
            <w:vAlign w:val="bottom"/>
          </w:tcPr>
          <w:p>
            <w:pPr>
              <w:widowControl/>
              <w:jc w:val="center"/>
              <w:textAlignment w:val="bottom"/>
              <w:rPr>
                <w:color w:val="000000"/>
                <w:szCs w:val="21"/>
              </w:rPr>
            </w:pPr>
            <w:r>
              <w:rPr>
                <w:color w:val="000000"/>
                <w:kern w:val="0"/>
                <w:szCs w:val="21"/>
                <w:lang w:bidi="ar"/>
              </w:rPr>
              <w:t>12.09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20.3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12</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1.38</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1.39</w:t>
            </w:r>
          </w:p>
        </w:tc>
        <w:tc>
          <w:tcPr>
            <w:tcW w:w="1456" w:type="dxa"/>
            <w:vAlign w:val="bottom"/>
          </w:tcPr>
          <w:p>
            <w:pPr>
              <w:widowControl/>
              <w:jc w:val="center"/>
              <w:textAlignment w:val="bottom"/>
              <w:rPr>
                <w:color w:val="000000"/>
                <w:szCs w:val="21"/>
              </w:rPr>
            </w:pPr>
            <w:r>
              <w:rPr>
                <w:color w:val="000000"/>
                <w:kern w:val="0"/>
                <w:szCs w:val="21"/>
                <w:lang w:bidi="ar"/>
              </w:rPr>
              <w:t>9.44</w:t>
            </w:r>
          </w:p>
        </w:tc>
        <w:tc>
          <w:tcPr>
            <w:tcW w:w="1540" w:type="dxa"/>
            <w:vAlign w:val="bottom"/>
          </w:tcPr>
          <w:p>
            <w:pPr>
              <w:widowControl/>
              <w:jc w:val="center"/>
              <w:textAlignment w:val="bottom"/>
              <w:rPr>
                <w:color w:val="000000"/>
                <w:szCs w:val="21"/>
              </w:rPr>
            </w:pPr>
            <w:r>
              <w:rPr>
                <w:color w:val="000000"/>
                <w:kern w:val="0"/>
                <w:szCs w:val="21"/>
                <w:lang w:bidi="ar"/>
              </w:rPr>
              <w:t>10.95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21.3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13</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1.25</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1.25</w:t>
            </w:r>
          </w:p>
        </w:tc>
        <w:tc>
          <w:tcPr>
            <w:tcW w:w="1456" w:type="dxa"/>
            <w:vAlign w:val="bottom"/>
          </w:tcPr>
          <w:p>
            <w:pPr>
              <w:widowControl/>
              <w:jc w:val="center"/>
              <w:textAlignment w:val="bottom"/>
              <w:rPr>
                <w:color w:val="000000"/>
                <w:szCs w:val="21"/>
              </w:rPr>
            </w:pPr>
            <w:r>
              <w:rPr>
                <w:color w:val="000000"/>
                <w:kern w:val="0"/>
                <w:szCs w:val="21"/>
                <w:lang w:bidi="ar"/>
              </w:rPr>
              <w:t>8.7</w:t>
            </w:r>
          </w:p>
        </w:tc>
        <w:tc>
          <w:tcPr>
            <w:tcW w:w="1540" w:type="dxa"/>
            <w:vAlign w:val="bottom"/>
          </w:tcPr>
          <w:p>
            <w:pPr>
              <w:widowControl/>
              <w:jc w:val="center"/>
              <w:textAlignment w:val="bottom"/>
              <w:rPr>
                <w:color w:val="000000"/>
                <w:szCs w:val="21"/>
              </w:rPr>
            </w:pPr>
            <w:r>
              <w:rPr>
                <w:color w:val="000000"/>
                <w:kern w:val="0"/>
                <w:szCs w:val="21"/>
                <w:lang w:bidi="ar"/>
              </w:rPr>
              <w:t>9.95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22.3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14</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1.14</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1.13</w:t>
            </w:r>
          </w:p>
        </w:tc>
        <w:tc>
          <w:tcPr>
            <w:tcW w:w="1456" w:type="dxa"/>
            <w:vAlign w:val="bottom"/>
          </w:tcPr>
          <w:p>
            <w:pPr>
              <w:widowControl/>
              <w:jc w:val="center"/>
              <w:textAlignment w:val="bottom"/>
              <w:rPr>
                <w:color w:val="000000"/>
                <w:szCs w:val="21"/>
              </w:rPr>
            </w:pPr>
            <w:r>
              <w:rPr>
                <w:color w:val="000000"/>
                <w:kern w:val="0"/>
                <w:szCs w:val="21"/>
                <w:lang w:bidi="ar"/>
              </w:rPr>
              <w:t>8.04</w:t>
            </w:r>
          </w:p>
        </w:tc>
        <w:tc>
          <w:tcPr>
            <w:tcW w:w="1540" w:type="dxa"/>
            <w:vAlign w:val="bottom"/>
          </w:tcPr>
          <w:p>
            <w:pPr>
              <w:widowControl/>
              <w:jc w:val="center"/>
              <w:textAlignment w:val="bottom"/>
              <w:rPr>
                <w:color w:val="000000"/>
                <w:szCs w:val="21"/>
              </w:rPr>
            </w:pPr>
            <w:r>
              <w:rPr>
                <w:color w:val="000000"/>
                <w:kern w:val="0"/>
                <w:szCs w:val="21"/>
                <w:lang w:bidi="ar"/>
              </w:rPr>
              <w:t>9.08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23.3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15</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1.03</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1.02</w:t>
            </w:r>
          </w:p>
        </w:tc>
        <w:tc>
          <w:tcPr>
            <w:tcW w:w="1456" w:type="dxa"/>
            <w:vAlign w:val="bottom"/>
          </w:tcPr>
          <w:p>
            <w:pPr>
              <w:widowControl/>
              <w:jc w:val="center"/>
              <w:textAlignment w:val="bottom"/>
              <w:rPr>
                <w:color w:val="000000"/>
                <w:szCs w:val="21"/>
              </w:rPr>
            </w:pPr>
            <w:r>
              <w:rPr>
                <w:color w:val="000000"/>
                <w:kern w:val="0"/>
                <w:szCs w:val="21"/>
                <w:lang w:bidi="ar"/>
              </w:rPr>
              <w:t>7.44</w:t>
            </w:r>
          </w:p>
        </w:tc>
        <w:tc>
          <w:tcPr>
            <w:tcW w:w="1540" w:type="dxa"/>
            <w:vAlign w:val="bottom"/>
          </w:tcPr>
          <w:p>
            <w:pPr>
              <w:widowControl/>
              <w:jc w:val="center"/>
              <w:textAlignment w:val="bottom"/>
              <w:rPr>
                <w:color w:val="000000"/>
                <w:szCs w:val="21"/>
              </w:rPr>
            </w:pPr>
            <w:r>
              <w:rPr>
                <w:color w:val="000000"/>
                <w:kern w:val="0"/>
                <w:szCs w:val="21"/>
                <w:lang w:bidi="ar"/>
              </w:rPr>
              <w:t>8.31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24.3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16</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0.93</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0.92</w:t>
            </w:r>
          </w:p>
        </w:tc>
        <w:tc>
          <w:tcPr>
            <w:tcW w:w="1456" w:type="dxa"/>
            <w:vAlign w:val="bottom"/>
          </w:tcPr>
          <w:p>
            <w:pPr>
              <w:widowControl/>
              <w:jc w:val="center"/>
              <w:textAlignment w:val="bottom"/>
              <w:rPr>
                <w:color w:val="000000"/>
                <w:szCs w:val="21"/>
              </w:rPr>
            </w:pPr>
            <w:r>
              <w:rPr>
                <w:color w:val="000000"/>
                <w:kern w:val="0"/>
                <w:szCs w:val="21"/>
                <w:lang w:bidi="ar"/>
              </w:rPr>
              <w:t>6.9</w:t>
            </w:r>
          </w:p>
        </w:tc>
        <w:tc>
          <w:tcPr>
            <w:tcW w:w="1540" w:type="dxa"/>
            <w:vAlign w:val="bottom"/>
          </w:tcPr>
          <w:p>
            <w:pPr>
              <w:widowControl/>
              <w:jc w:val="center"/>
              <w:textAlignment w:val="bottom"/>
              <w:rPr>
                <w:color w:val="000000"/>
                <w:szCs w:val="21"/>
              </w:rPr>
            </w:pPr>
            <w:r>
              <w:rPr>
                <w:color w:val="000000"/>
                <w:kern w:val="0"/>
                <w:szCs w:val="21"/>
                <w:lang w:bidi="ar"/>
              </w:rPr>
              <w:t>7.64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25.3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17</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0.85</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0.84</w:t>
            </w:r>
          </w:p>
        </w:tc>
        <w:tc>
          <w:tcPr>
            <w:tcW w:w="1456" w:type="dxa"/>
            <w:vAlign w:val="bottom"/>
          </w:tcPr>
          <w:p>
            <w:pPr>
              <w:widowControl/>
              <w:jc w:val="center"/>
              <w:textAlignment w:val="bottom"/>
              <w:rPr>
                <w:color w:val="000000"/>
                <w:szCs w:val="21"/>
              </w:rPr>
            </w:pPr>
            <w:r>
              <w:rPr>
                <w:color w:val="000000"/>
                <w:kern w:val="0"/>
                <w:szCs w:val="21"/>
                <w:lang w:bidi="ar"/>
              </w:rPr>
              <w:t>6.42</w:t>
            </w:r>
          </w:p>
        </w:tc>
        <w:tc>
          <w:tcPr>
            <w:tcW w:w="1540" w:type="dxa"/>
            <w:vAlign w:val="bottom"/>
          </w:tcPr>
          <w:p>
            <w:pPr>
              <w:widowControl/>
              <w:jc w:val="center"/>
              <w:textAlignment w:val="bottom"/>
              <w:rPr>
                <w:color w:val="000000"/>
                <w:szCs w:val="21"/>
              </w:rPr>
            </w:pPr>
            <w:r>
              <w:rPr>
                <w:color w:val="000000"/>
                <w:kern w:val="0"/>
                <w:szCs w:val="21"/>
                <w:lang w:bidi="ar"/>
              </w:rPr>
              <w:t>7.04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26.3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18</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0.77</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0.76</w:t>
            </w:r>
          </w:p>
        </w:tc>
        <w:tc>
          <w:tcPr>
            <w:tcW w:w="1456" w:type="dxa"/>
            <w:vAlign w:val="bottom"/>
          </w:tcPr>
          <w:p>
            <w:pPr>
              <w:widowControl/>
              <w:jc w:val="center"/>
              <w:textAlignment w:val="bottom"/>
              <w:rPr>
                <w:color w:val="000000"/>
                <w:szCs w:val="21"/>
              </w:rPr>
            </w:pPr>
            <w:r>
              <w:rPr>
                <w:color w:val="000000"/>
                <w:kern w:val="0"/>
                <w:szCs w:val="21"/>
                <w:lang w:bidi="ar"/>
              </w:rPr>
              <w:t>5.98</w:t>
            </w:r>
          </w:p>
        </w:tc>
        <w:tc>
          <w:tcPr>
            <w:tcW w:w="1540" w:type="dxa"/>
            <w:vAlign w:val="bottom"/>
          </w:tcPr>
          <w:p>
            <w:pPr>
              <w:widowControl/>
              <w:jc w:val="center"/>
              <w:textAlignment w:val="bottom"/>
              <w:rPr>
                <w:color w:val="000000"/>
                <w:szCs w:val="21"/>
              </w:rPr>
            </w:pPr>
            <w:r>
              <w:rPr>
                <w:color w:val="000000"/>
                <w:kern w:val="0"/>
                <w:szCs w:val="21"/>
                <w:lang w:bidi="ar"/>
              </w:rPr>
              <w:t>6.51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27.3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19</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0.7</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0.69</w:t>
            </w:r>
          </w:p>
        </w:tc>
        <w:tc>
          <w:tcPr>
            <w:tcW w:w="1456" w:type="dxa"/>
            <w:vAlign w:val="bottom"/>
          </w:tcPr>
          <w:p>
            <w:pPr>
              <w:widowControl/>
              <w:jc w:val="center"/>
              <w:textAlignment w:val="bottom"/>
              <w:rPr>
                <w:color w:val="000000"/>
                <w:szCs w:val="21"/>
              </w:rPr>
            </w:pPr>
            <w:r>
              <w:rPr>
                <w:color w:val="000000"/>
                <w:kern w:val="0"/>
                <w:szCs w:val="21"/>
                <w:lang w:bidi="ar"/>
              </w:rPr>
              <w:t>5.58</w:t>
            </w:r>
          </w:p>
        </w:tc>
        <w:tc>
          <w:tcPr>
            <w:tcW w:w="1540" w:type="dxa"/>
            <w:vAlign w:val="bottom"/>
          </w:tcPr>
          <w:p>
            <w:pPr>
              <w:widowControl/>
              <w:jc w:val="center"/>
              <w:textAlignment w:val="bottom"/>
              <w:rPr>
                <w:color w:val="000000"/>
                <w:szCs w:val="21"/>
              </w:rPr>
            </w:pPr>
            <w:r>
              <w:rPr>
                <w:color w:val="000000"/>
                <w:kern w:val="0"/>
                <w:szCs w:val="21"/>
                <w:lang w:bidi="ar"/>
              </w:rPr>
              <w:t>6.03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28.3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20</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0.64</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0.63</w:t>
            </w:r>
          </w:p>
        </w:tc>
        <w:tc>
          <w:tcPr>
            <w:tcW w:w="1456" w:type="dxa"/>
            <w:vAlign w:val="bottom"/>
          </w:tcPr>
          <w:p>
            <w:pPr>
              <w:widowControl/>
              <w:jc w:val="center"/>
              <w:textAlignment w:val="bottom"/>
              <w:rPr>
                <w:color w:val="000000"/>
                <w:szCs w:val="21"/>
              </w:rPr>
            </w:pPr>
            <w:r>
              <w:rPr>
                <w:color w:val="000000"/>
                <w:kern w:val="0"/>
                <w:szCs w:val="21"/>
                <w:lang w:bidi="ar"/>
              </w:rPr>
              <w:t>5.22</w:t>
            </w:r>
          </w:p>
        </w:tc>
        <w:tc>
          <w:tcPr>
            <w:tcW w:w="1540" w:type="dxa"/>
            <w:vAlign w:val="bottom"/>
          </w:tcPr>
          <w:p>
            <w:pPr>
              <w:widowControl/>
              <w:jc w:val="center"/>
              <w:textAlignment w:val="bottom"/>
              <w:rPr>
                <w:color w:val="000000"/>
                <w:szCs w:val="21"/>
              </w:rPr>
            </w:pPr>
            <w:r>
              <w:rPr>
                <w:color w:val="000000"/>
                <w:kern w:val="0"/>
                <w:szCs w:val="21"/>
                <w:lang w:bidi="ar"/>
              </w:rPr>
              <w:t>5.61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29.3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21</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0.59</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0.58</w:t>
            </w:r>
          </w:p>
        </w:tc>
        <w:tc>
          <w:tcPr>
            <w:tcW w:w="1456" w:type="dxa"/>
            <w:vAlign w:val="bottom"/>
          </w:tcPr>
          <w:p>
            <w:pPr>
              <w:widowControl/>
              <w:jc w:val="center"/>
              <w:textAlignment w:val="bottom"/>
              <w:rPr>
                <w:color w:val="000000"/>
                <w:szCs w:val="21"/>
              </w:rPr>
            </w:pPr>
            <w:r>
              <w:rPr>
                <w:color w:val="000000"/>
                <w:kern w:val="0"/>
                <w:szCs w:val="21"/>
                <w:lang w:bidi="ar"/>
              </w:rPr>
              <w:t>4.89</w:t>
            </w:r>
          </w:p>
        </w:tc>
        <w:tc>
          <w:tcPr>
            <w:tcW w:w="1540" w:type="dxa"/>
            <w:vAlign w:val="bottom"/>
          </w:tcPr>
          <w:p>
            <w:pPr>
              <w:widowControl/>
              <w:jc w:val="center"/>
              <w:textAlignment w:val="bottom"/>
              <w:rPr>
                <w:color w:val="000000"/>
                <w:szCs w:val="21"/>
              </w:rPr>
            </w:pPr>
            <w:r>
              <w:rPr>
                <w:color w:val="000000"/>
                <w:kern w:val="0"/>
                <w:szCs w:val="21"/>
                <w:lang w:bidi="ar"/>
              </w:rPr>
              <w:t>5.23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30.3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22</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0.54</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0.53</w:t>
            </w:r>
          </w:p>
        </w:tc>
        <w:tc>
          <w:tcPr>
            <w:tcW w:w="1456" w:type="dxa"/>
            <w:vAlign w:val="bottom"/>
          </w:tcPr>
          <w:p>
            <w:pPr>
              <w:widowControl/>
              <w:jc w:val="center"/>
              <w:textAlignment w:val="bottom"/>
              <w:rPr>
                <w:color w:val="000000"/>
                <w:szCs w:val="21"/>
              </w:rPr>
            </w:pPr>
            <w:r>
              <w:rPr>
                <w:color w:val="000000"/>
                <w:kern w:val="0"/>
                <w:szCs w:val="21"/>
                <w:lang w:bidi="ar"/>
              </w:rPr>
              <w:t>4.59</w:t>
            </w:r>
          </w:p>
        </w:tc>
        <w:tc>
          <w:tcPr>
            <w:tcW w:w="1540" w:type="dxa"/>
            <w:vAlign w:val="bottom"/>
          </w:tcPr>
          <w:p>
            <w:pPr>
              <w:widowControl/>
              <w:jc w:val="center"/>
              <w:textAlignment w:val="bottom"/>
              <w:rPr>
                <w:color w:val="000000"/>
                <w:szCs w:val="21"/>
              </w:rPr>
            </w:pPr>
            <w:r>
              <w:rPr>
                <w:color w:val="000000"/>
                <w:kern w:val="0"/>
                <w:szCs w:val="21"/>
                <w:lang w:bidi="ar"/>
              </w:rPr>
              <w:t>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31.3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23</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0.49</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0.49</w:t>
            </w:r>
          </w:p>
        </w:tc>
        <w:tc>
          <w:tcPr>
            <w:tcW w:w="1456" w:type="dxa"/>
            <w:vAlign w:val="bottom"/>
          </w:tcPr>
          <w:p>
            <w:pPr>
              <w:widowControl/>
              <w:jc w:val="center"/>
              <w:textAlignment w:val="bottom"/>
              <w:rPr>
                <w:color w:val="000000"/>
                <w:szCs w:val="21"/>
              </w:rPr>
            </w:pPr>
            <w:r>
              <w:rPr>
                <w:color w:val="000000"/>
                <w:kern w:val="0"/>
                <w:szCs w:val="21"/>
                <w:lang w:bidi="ar"/>
              </w:rPr>
              <w:t>4.31</w:t>
            </w:r>
          </w:p>
        </w:tc>
        <w:tc>
          <w:tcPr>
            <w:tcW w:w="1540" w:type="dxa"/>
            <w:vAlign w:val="bottom"/>
          </w:tcPr>
          <w:p>
            <w:pPr>
              <w:widowControl/>
              <w:jc w:val="center"/>
              <w:textAlignment w:val="bottom"/>
              <w:rPr>
                <w:color w:val="000000"/>
                <w:szCs w:val="21"/>
              </w:rPr>
            </w:pPr>
            <w:r>
              <w:rPr>
                <w:color w:val="000000"/>
                <w:kern w:val="0"/>
                <w:szCs w:val="21"/>
                <w:lang w:bidi="ar"/>
              </w:rPr>
              <w:t>4.57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32.3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24</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0.45</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0.45</w:t>
            </w:r>
          </w:p>
        </w:tc>
        <w:tc>
          <w:tcPr>
            <w:tcW w:w="1456" w:type="dxa"/>
            <w:vAlign w:val="bottom"/>
          </w:tcPr>
          <w:p>
            <w:pPr>
              <w:widowControl/>
              <w:jc w:val="center"/>
              <w:textAlignment w:val="bottom"/>
              <w:rPr>
                <w:color w:val="000000"/>
                <w:szCs w:val="21"/>
              </w:rPr>
            </w:pPr>
            <w:r>
              <w:rPr>
                <w:color w:val="000000"/>
                <w:kern w:val="0"/>
                <w:szCs w:val="21"/>
                <w:lang w:bidi="ar"/>
              </w:rPr>
              <w:t>4.06</w:t>
            </w:r>
          </w:p>
        </w:tc>
        <w:tc>
          <w:tcPr>
            <w:tcW w:w="1540" w:type="dxa"/>
            <w:vAlign w:val="bottom"/>
          </w:tcPr>
          <w:p>
            <w:pPr>
              <w:widowControl/>
              <w:jc w:val="center"/>
              <w:textAlignment w:val="bottom"/>
              <w:rPr>
                <w:color w:val="000000"/>
                <w:szCs w:val="21"/>
              </w:rPr>
            </w:pPr>
            <w:r>
              <w:rPr>
                <w:color w:val="000000"/>
                <w:kern w:val="0"/>
                <w:szCs w:val="21"/>
                <w:lang w:bidi="ar"/>
              </w:rPr>
              <w:t>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szCs w:val="21"/>
              </w:rPr>
            </w:pPr>
            <w:r>
              <w:rPr>
                <w:color w:val="000000"/>
                <w:kern w:val="0"/>
                <w:szCs w:val="21"/>
                <w:lang w:bidi="ar"/>
              </w:rPr>
              <w:t>33.3</w:t>
            </w:r>
          </w:p>
        </w:tc>
        <w:tc>
          <w:tcPr>
            <w:tcW w:w="854" w:type="pct"/>
            <w:shd w:val="clear" w:color="auto" w:fill="auto"/>
            <w:vAlign w:val="center"/>
          </w:tcPr>
          <w:p>
            <w:pPr>
              <w:widowControl/>
              <w:jc w:val="center"/>
              <w:textAlignment w:val="center"/>
              <w:rPr>
                <w:color w:val="000000" w:themeColor="text1"/>
                <w:szCs w:val="21"/>
                <w14:textFill>
                  <w14:solidFill>
                    <w14:schemeClr w14:val="tx1"/>
                  </w14:solidFill>
                </w14:textFill>
              </w:rPr>
            </w:pPr>
            <w:r>
              <w:rPr>
                <w:color w:val="000000"/>
                <w:kern w:val="0"/>
                <w:szCs w:val="21"/>
                <w:lang w:bidi="ar"/>
              </w:rPr>
              <w:t>25</w:t>
            </w:r>
          </w:p>
        </w:tc>
        <w:tc>
          <w:tcPr>
            <w:tcW w:w="1490" w:type="dxa"/>
            <w:shd w:val="clear" w:color="auto" w:fill="auto"/>
            <w:vAlign w:val="bottom"/>
          </w:tcPr>
          <w:p>
            <w:pPr>
              <w:widowControl/>
              <w:jc w:val="center"/>
              <w:textAlignment w:val="bottom"/>
              <w:rPr>
                <w:color w:val="000000"/>
                <w:szCs w:val="21"/>
              </w:rPr>
            </w:pPr>
            <w:r>
              <w:rPr>
                <w:color w:val="000000"/>
                <w:kern w:val="0"/>
                <w:szCs w:val="21"/>
                <w:lang w:bidi="ar"/>
              </w:rPr>
              <w:t>0.42</w:t>
            </w:r>
          </w:p>
        </w:tc>
        <w:tc>
          <w:tcPr>
            <w:tcW w:w="1492" w:type="dxa"/>
            <w:shd w:val="clear" w:color="auto" w:fill="auto"/>
            <w:vAlign w:val="bottom"/>
          </w:tcPr>
          <w:p>
            <w:pPr>
              <w:widowControl/>
              <w:jc w:val="center"/>
              <w:textAlignment w:val="bottom"/>
              <w:rPr>
                <w:color w:val="000000"/>
                <w:szCs w:val="21"/>
              </w:rPr>
            </w:pPr>
            <w:r>
              <w:rPr>
                <w:color w:val="000000"/>
                <w:kern w:val="0"/>
                <w:szCs w:val="21"/>
                <w:lang w:bidi="ar"/>
              </w:rPr>
              <w:t>0.41</w:t>
            </w:r>
          </w:p>
        </w:tc>
        <w:tc>
          <w:tcPr>
            <w:tcW w:w="1456" w:type="dxa"/>
            <w:vAlign w:val="bottom"/>
          </w:tcPr>
          <w:p>
            <w:pPr>
              <w:widowControl/>
              <w:jc w:val="center"/>
              <w:textAlignment w:val="bottom"/>
              <w:rPr>
                <w:color w:val="000000"/>
                <w:szCs w:val="21"/>
              </w:rPr>
            </w:pPr>
            <w:r>
              <w:rPr>
                <w:color w:val="000000"/>
                <w:kern w:val="0"/>
                <w:szCs w:val="21"/>
                <w:lang w:bidi="ar"/>
              </w:rPr>
              <w:t>3.83</w:t>
            </w:r>
          </w:p>
        </w:tc>
        <w:tc>
          <w:tcPr>
            <w:tcW w:w="1540" w:type="dxa"/>
            <w:vAlign w:val="bottom"/>
          </w:tcPr>
          <w:p>
            <w:pPr>
              <w:widowControl/>
              <w:jc w:val="center"/>
              <w:textAlignment w:val="bottom"/>
              <w:rPr>
                <w:color w:val="000000"/>
                <w:szCs w:val="21"/>
              </w:rPr>
            </w:pPr>
            <w:r>
              <w:rPr>
                <w:color w:val="000000"/>
                <w:kern w:val="0"/>
                <w:szCs w:val="21"/>
                <w:lang w:bidi="ar"/>
              </w:rPr>
              <w:t>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34.3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26</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0.39</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0.38</w:t>
            </w:r>
          </w:p>
        </w:tc>
        <w:tc>
          <w:tcPr>
            <w:tcW w:w="1456" w:type="dxa"/>
            <w:vAlign w:val="bottom"/>
          </w:tcPr>
          <w:p>
            <w:pPr>
              <w:widowControl/>
              <w:jc w:val="center"/>
              <w:textAlignment w:val="bottom"/>
              <w:rPr>
                <w:color w:val="000000"/>
                <w:kern w:val="0"/>
                <w:szCs w:val="21"/>
                <w:lang w:bidi="ar"/>
              </w:rPr>
            </w:pPr>
            <w:r>
              <w:rPr>
                <w:color w:val="000000"/>
                <w:kern w:val="0"/>
                <w:szCs w:val="21"/>
                <w:lang w:bidi="ar"/>
              </w:rPr>
              <w:t>3.62</w:t>
            </w:r>
          </w:p>
        </w:tc>
        <w:tc>
          <w:tcPr>
            <w:tcW w:w="1540" w:type="dxa"/>
            <w:vAlign w:val="bottom"/>
          </w:tcPr>
          <w:p>
            <w:pPr>
              <w:widowControl/>
              <w:jc w:val="center"/>
              <w:textAlignment w:val="bottom"/>
              <w:rPr>
                <w:color w:val="000000"/>
                <w:kern w:val="0"/>
                <w:szCs w:val="21"/>
                <w:lang w:bidi="ar"/>
              </w:rPr>
            </w:pPr>
            <w:r>
              <w:rPr>
                <w:color w:val="000000"/>
                <w:kern w:val="0"/>
                <w:szCs w:val="21"/>
                <w:lang w:bidi="ar"/>
              </w:rPr>
              <w:t>3.79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35.3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27</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0.36</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0.35</w:t>
            </w:r>
          </w:p>
        </w:tc>
        <w:tc>
          <w:tcPr>
            <w:tcW w:w="1456" w:type="dxa"/>
            <w:vAlign w:val="bottom"/>
          </w:tcPr>
          <w:p>
            <w:pPr>
              <w:widowControl/>
              <w:jc w:val="center"/>
              <w:textAlignment w:val="bottom"/>
              <w:rPr>
                <w:color w:val="000000"/>
                <w:kern w:val="0"/>
                <w:szCs w:val="21"/>
                <w:lang w:bidi="ar"/>
              </w:rPr>
            </w:pPr>
            <w:r>
              <w:rPr>
                <w:color w:val="000000"/>
                <w:kern w:val="0"/>
                <w:szCs w:val="21"/>
                <w:lang w:bidi="ar"/>
              </w:rPr>
              <w:t>3.42</w:t>
            </w:r>
          </w:p>
        </w:tc>
        <w:tc>
          <w:tcPr>
            <w:tcW w:w="1540" w:type="dxa"/>
            <w:vAlign w:val="bottom"/>
          </w:tcPr>
          <w:p>
            <w:pPr>
              <w:widowControl/>
              <w:jc w:val="center"/>
              <w:textAlignment w:val="bottom"/>
              <w:rPr>
                <w:color w:val="000000"/>
                <w:kern w:val="0"/>
                <w:szCs w:val="21"/>
                <w:lang w:bidi="ar"/>
              </w:rPr>
            </w:pPr>
            <w:r>
              <w:rPr>
                <w:color w:val="000000"/>
                <w:kern w:val="0"/>
                <w:szCs w:val="21"/>
                <w:lang w:bidi="ar"/>
              </w:rPr>
              <w:t>3.58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36.3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28</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0.33</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0.33</w:t>
            </w:r>
          </w:p>
        </w:tc>
        <w:tc>
          <w:tcPr>
            <w:tcW w:w="1456" w:type="dxa"/>
            <w:vAlign w:val="bottom"/>
          </w:tcPr>
          <w:p>
            <w:pPr>
              <w:widowControl/>
              <w:jc w:val="center"/>
              <w:textAlignment w:val="bottom"/>
              <w:rPr>
                <w:color w:val="000000"/>
                <w:kern w:val="0"/>
                <w:szCs w:val="21"/>
                <w:lang w:bidi="ar"/>
              </w:rPr>
            </w:pPr>
            <w:r>
              <w:rPr>
                <w:color w:val="000000"/>
                <w:kern w:val="0"/>
                <w:szCs w:val="21"/>
                <w:lang w:bidi="ar"/>
              </w:rPr>
              <w:t>3.24</w:t>
            </w:r>
          </w:p>
        </w:tc>
        <w:tc>
          <w:tcPr>
            <w:tcW w:w="1540" w:type="dxa"/>
            <w:vAlign w:val="bottom"/>
          </w:tcPr>
          <w:p>
            <w:pPr>
              <w:widowControl/>
              <w:jc w:val="center"/>
              <w:textAlignment w:val="bottom"/>
              <w:rPr>
                <w:color w:val="000000"/>
                <w:kern w:val="0"/>
                <w:szCs w:val="21"/>
                <w:lang w:bidi="ar"/>
              </w:rPr>
            </w:pPr>
            <w:r>
              <w:rPr>
                <w:color w:val="000000"/>
                <w:kern w:val="0"/>
                <w:szCs w:val="21"/>
                <w:lang w:bidi="ar"/>
              </w:rPr>
              <w:t>3.38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37.3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29</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0.31</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0.3</w:t>
            </w:r>
          </w:p>
        </w:tc>
        <w:tc>
          <w:tcPr>
            <w:tcW w:w="1456" w:type="dxa"/>
            <w:vAlign w:val="bottom"/>
          </w:tcPr>
          <w:p>
            <w:pPr>
              <w:widowControl/>
              <w:jc w:val="center"/>
              <w:textAlignment w:val="bottom"/>
              <w:rPr>
                <w:color w:val="000000"/>
                <w:kern w:val="0"/>
                <w:szCs w:val="21"/>
                <w:lang w:bidi="ar"/>
              </w:rPr>
            </w:pPr>
            <w:r>
              <w:rPr>
                <w:color w:val="000000"/>
                <w:kern w:val="0"/>
                <w:szCs w:val="21"/>
                <w:lang w:bidi="ar"/>
              </w:rPr>
              <w:t>3.08</w:t>
            </w:r>
          </w:p>
        </w:tc>
        <w:tc>
          <w:tcPr>
            <w:tcW w:w="1540" w:type="dxa"/>
            <w:vAlign w:val="bottom"/>
          </w:tcPr>
          <w:p>
            <w:pPr>
              <w:widowControl/>
              <w:jc w:val="center"/>
              <w:textAlignment w:val="bottom"/>
              <w:rPr>
                <w:color w:val="000000"/>
                <w:kern w:val="0"/>
                <w:szCs w:val="21"/>
                <w:lang w:bidi="ar"/>
              </w:rPr>
            </w:pPr>
            <w:r>
              <w:rPr>
                <w:color w:val="000000"/>
                <w:kern w:val="0"/>
                <w:szCs w:val="21"/>
                <w:lang w:bidi="ar"/>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38.3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30</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0.29</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0.28</w:t>
            </w:r>
          </w:p>
        </w:tc>
        <w:tc>
          <w:tcPr>
            <w:tcW w:w="1456" w:type="dxa"/>
            <w:vAlign w:val="bottom"/>
          </w:tcPr>
          <w:p>
            <w:pPr>
              <w:widowControl/>
              <w:jc w:val="center"/>
              <w:textAlignment w:val="bottom"/>
              <w:rPr>
                <w:color w:val="000000"/>
                <w:kern w:val="0"/>
                <w:szCs w:val="21"/>
                <w:lang w:bidi="ar"/>
              </w:rPr>
            </w:pPr>
            <w:r>
              <w:rPr>
                <w:color w:val="000000"/>
                <w:kern w:val="0"/>
                <w:szCs w:val="21"/>
                <w:lang w:bidi="ar"/>
              </w:rPr>
              <w:t>2.92</w:t>
            </w:r>
          </w:p>
        </w:tc>
        <w:tc>
          <w:tcPr>
            <w:tcW w:w="1540" w:type="dxa"/>
            <w:vAlign w:val="bottom"/>
          </w:tcPr>
          <w:p>
            <w:pPr>
              <w:widowControl/>
              <w:jc w:val="center"/>
              <w:textAlignment w:val="bottom"/>
              <w:rPr>
                <w:color w:val="000000"/>
                <w:kern w:val="0"/>
                <w:szCs w:val="21"/>
                <w:lang w:bidi="ar"/>
              </w:rPr>
            </w:pPr>
            <w:r>
              <w:rPr>
                <w:color w:val="000000"/>
                <w:kern w:val="0"/>
                <w:szCs w:val="21"/>
                <w:lang w:bidi="ar"/>
              </w:rPr>
              <w:t>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39.3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31</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0.27</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0.26</w:t>
            </w:r>
          </w:p>
        </w:tc>
        <w:tc>
          <w:tcPr>
            <w:tcW w:w="1456" w:type="dxa"/>
            <w:vAlign w:val="bottom"/>
          </w:tcPr>
          <w:p>
            <w:pPr>
              <w:widowControl/>
              <w:jc w:val="center"/>
              <w:textAlignment w:val="bottom"/>
              <w:rPr>
                <w:color w:val="000000"/>
                <w:kern w:val="0"/>
                <w:szCs w:val="21"/>
                <w:lang w:bidi="ar"/>
              </w:rPr>
            </w:pPr>
            <w:r>
              <w:rPr>
                <w:color w:val="000000"/>
                <w:kern w:val="0"/>
                <w:szCs w:val="21"/>
                <w:lang w:bidi="ar"/>
              </w:rPr>
              <w:t>2.78</w:t>
            </w:r>
          </w:p>
        </w:tc>
        <w:tc>
          <w:tcPr>
            <w:tcW w:w="1540" w:type="dxa"/>
            <w:vAlign w:val="bottom"/>
          </w:tcPr>
          <w:p>
            <w:pPr>
              <w:widowControl/>
              <w:jc w:val="center"/>
              <w:textAlignment w:val="bottom"/>
              <w:rPr>
                <w:color w:val="000000"/>
                <w:kern w:val="0"/>
                <w:szCs w:val="21"/>
                <w:lang w:bidi="ar"/>
              </w:rPr>
            </w:pPr>
            <w:r>
              <w:rPr>
                <w:color w:val="000000"/>
                <w:kern w:val="0"/>
                <w:szCs w:val="21"/>
                <w:lang w:bidi="ar"/>
              </w:rPr>
              <w:t>2.88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40.3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32</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0.25</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0.24</w:t>
            </w:r>
          </w:p>
        </w:tc>
        <w:tc>
          <w:tcPr>
            <w:tcW w:w="1456" w:type="dxa"/>
            <w:vAlign w:val="bottom"/>
          </w:tcPr>
          <w:p>
            <w:pPr>
              <w:widowControl/>
              <w:jc w:val="center"/>
              <w:textAlignment w:val="bottom"/>
              <w:rPr>
                <w:color w:val="000000"/>
                <w:kern w:val="0"/>
                <w:szCs w:val="21"/>
                <w:lang w:bidi="ar"/>
              </w:rPr>
            </w:pPr>
            <w:r>
              <w:rPr>
                <w:color w:val="000000"/>
                <w:kern w:val="0"/>
                <w:szCs w:val="21"/>
                <w:lang w:bidi="ar"/>
              </w:rPr>
              <w:t>2.64</w:t>
            </w:r>
          </w:p>
        </w:tc>
        <w:tc>
          <w:tcPr>
            <w:tcW w:w="1540" w:type="dxa"/>
            <w:vAlign w:val="bottom"/>
          </w:tcPr>
          <w:p>
            <w:pPr>
              <w:widowControl/>
              <w:jc w:val="center"/>
              <w:textAlignment w:val="bottom"/>
              <w:rPr>
                <w:color w:val="000000"/>
                <w:kern w:val="0"/>
                <w:szCs w:val="21"/>
                <w:lang w:bidi="ar"/>
              </w:rPr>
            </w:pPr>
            <w:r>
              <w:rPr>
                <w:color w:val="000000"/>
                <w:kern w:val="0"/>
                <w:szCs w:val="21"/>
                <w:lang w:bidi="ar"/>
              </w:rPr>
              <w:t>2.74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41.3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33</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0.23</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0.23</w:t>
            </w:r>
          </w:p>
        </w:tc>
        <w:tc>
          <w:tcPr>
            <w:tcW w:w="1456" w:type="dxa"/>
            <w:vAlign w:val="bottom"/>
          </w:tcPr>
          <w:p>
            <w:pPr>
              <w:widowControl/>
              <w:jc w:val="center"/>
              <w:textAlignment w:val="bottom"/>
              <w:rPr>
                <w:color w:val="000000"/>
                <w:kern w:val="0"/>
                <w:szCs w:val="21"/>
                <w:lang w:bidi="ar"/>
              </w:rPr>
            </w:pPr>
            <w:r>
              <w:rPr>
                <w:color w:val="000000"/>
                <w:kern w:val="0"/>
                <w:szCs w:val="21"/>
                <w:lang w:bidi="ar"/>
              </w:rPr>
              <w:t>2.52</w:t>
            </w:r>
          </w:p>
        </w:tc>
        <w:tc>
          <w:tcPr>
            <w:tcW w:w="1540" w:type="dxa"/>
            <w:vAlign w:val="bottom"/>
          </w:tcPr>
          <w:p>
            <w:pPr>
              <w:widowControl/>
              <w:jc w:val="center"/>
              <w:textAlignment w:val="bottom"/>
              <w:rPr>
                <w:color w:val="000000"/>
                <w:kern w:val="0"/>
                <w:szCs w:val="21"/>
                <w:lang w:bidi="ar"/>
              </w:rPr>
            </w:pPr>
            <w:r>
              <w:rPr>
                <w:color w:val="000000"/>
                <w:kern w:val="0"/>
                <w:szCs w:val="21"/>
                <w:lang w:bidi="ar"/>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42.3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34</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0.22</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0.21</w:t>
            </w:r>
          </w:p>
        </w:tc>
        <w:tc>
          <w:tcPr>
            <w:tcW w:w="1456" w:type="dxa"/>
            <w:vAlign w:val="bottom"/>
          </w:tcPr>
          <w:p>
            <w:pPr>
              <w:widowControl/>
              <w:jc w:val="center"/>
              <w:textAlignment w:val="bottom"/>
              <w:rPr>
                <w:color w:val="000000"/>
                <w:kern w:val="0"/>
                <w:szCs w:val="21"/>
                <w:lang w:bidi="ar"/>
              </w:rPr>
            </w:pPr>
            <w:r>
              <w:rPr>
                <w:color w:val="000000"/>
                <w:kern w:val="0"/>
                <w:szCs w:val="21"/>
                <w:lang w:bidi="ar"/>
              </w:rPr>
              <w:t>2.41</w:t>
            </w:r>
          </w:p>
        </w:tc>
        <w:tc>
          <w:tcPr>
            <w:tcW w:w="1540" w:type="dxa"/>
            <w:vAlign w:val="bottom"/>
          </w:tcPr>
          <w:p>
            <w:pPr>
              <w:widowControl/>
              <w:jc w:val="center"/>
              <w:textAlignment w:val="bottom"/>
              <w:rPr>
                <w:color w:val="000000"/>
                <w:kern w:val="0"/>
                <w:szCs w:val="21"/>
                <w:lang w:bidi="ar"/>
              </w:rPr>
            </w:pPr>
            <w:r>
              <w:rPr>
                <w:color w:val="000000"/>
                <w:kern w:val="0"/>
                <w:szCs w:val="21"/>
                <w:lang w:bidi="ar"/>
              </w:rPr>
              <w:t>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43.3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35</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0.2</w:t>
            </w:r>
          </w:p>
        </w:tc>
        <w:tc>
          <w:tcPr>
            <w:tcW w:w="1456" w:type="dxa"/>
            <w:vAlign w:val="bottom"/>
          </w:tcPr>
          <w:p>
            <w:pPr>
              <w:widowControl/>
              <w:jc w:val="center"/>
              <w:textAlignment w:val="bottom"/>
              <w:rPr>
                <w:color w:val="000000"/>
                <w:kern w:val="0"/>
                <w:szCs w:val="21"/>
                <w:lang w:bidi="ar"/>
              </w:rPr>
            </w:pPr>
            <w:r>
              <w:rPr>
                <w:color w:val="000000"/>
                <w:kern w:val="0"/>
                <w:szCs w:val="21"/>
                <w:lang w:bidi="ar"/>
              </w:rPr>
              <w:t>2.3</w:t>
            </w:r>
          </w:p>
        </w:tc>
        <w:tc>
          <w:tcPr>
            <w:tcW w:w="1540" w:type="dxa"/>
            <w:vAlign w:val="bottom"/>
          </w:tcPr>
          <w:p>
            <w:pPr>
              <w:widowControl/>
              <w:jc w:val="center"/>
              <w:textAlignment w:val="bottom"/>
              <w:rPr>
                <w:color w:val="000000"/>
                <w:kern w:val="0"/>
                <w:szCs w:val="21"/>
                <w:lang w:bidi="ar"/>
              </w:rPr>
            </w:pPr>
            <w:r>
              <w:rPr>
                <w:color w:val="000000"/>
                <w:kern w:val="0"/>
                <w:szCs w:val="21"/>
                <w:lang w:bidi="ar"/>
              </w:rPr>
              <w:t>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44.3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36</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0.19</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0.19</w:t>
            </w:r>
          </w:p>
        </w:tc>
        <w:tc>
          <w:tcPr>
            <w:tcW w:w="1456" w:type="dxa"/>
            <w:vAlign w:val="bottom"/>
          </w:tcPr>
          <w:p>
            <w:pPr>
              <w:widowControl/>
              <w:jc w:val="center"/>
              <w:textAlignment w:val="bottom"/>
              <w:rPr>
                <w:color w:val="000000"/>
                <w:kern w:val="0"/>
                <w:szCs w:val="21"/>
                <w:lang w:bidi="ar"/>
              </w:rPr>
            </w:pPr>
            <w:r>
              <w:rPr>
                <w:color w:val="000000"/>
                <w:kern w:val="0"/>
                <w:szCs w:val="21"/>
                <w:lang w:bidi="ar"/>
              </w:rPr>
              <w:t>2.2</w:t>
            </w:r>
          </w:p>
        </w:tc>
        <w:tc>
          <w:tcPr>
            <w:tcW w:w="1540" w:type="dxa"/>
            <w:vAlign w:val="bottom"/>
          </w:tcPr>
          <w:p>
            <w:pPr>
              <w:widowControl/>
              <w:jc w:val="center"/>
              <w:textAlignment w:val="bottom"/>
              <w:rPr>
                <w:color w:val="000000"/>
                <w:kern w:val="0"/>
                <w:szCs w:val="21"/>
                <w:lang w:bidi="ar"/>
              </w:rPr>
            </w:pPr>
            <w:r>
              <w:rPr>
                <w:color w:val="000000"/>
                <w:kern w:val="0"/>
                <w:szCs w:val="21"/>
                <w:lang w:bidi="ar"/>
              </w:rPr>
              <w:t>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45.3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37</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0.18</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0.18</w:t>
            </w:r>
          </w:p>
        </w:tc>
        <w:tc>
          <w:tcPr>
            <w:tcW w:w="1456" w:type="dxa"/>
            <w:vAlign w:val="bottom"/>
          </w:tcPr>
          <w:p>
            <w:pPr>
              <w:widowControl/>
              <w:jc w:val="center"/>
              <w:textAlignment w:val="bottom"/>
              <w:rPr>
                <w:color w:val="000000"/>
                <w:kern w:val="0"/>
                <w:szCs w:val="21"/>
                <w:lang w:bidi="ar"/>
              </w:rPr>
            </w:pPr>
            <w:r>
              <w:rPr>
                <w:color w:val="000000"/>
                <w:kern w:val="0"/>
                <w:szCs w:val="21"/>
                <w:lang w:bidi="ar"/>
              </w:rPr>
              <w:t>2.1</w:t>
            </w:r>
          </w:p>
        </w:tc>
        <w:tc>
          <w:tcPr>
            <w:tcW w:w="1540" w:type="dxa"/>
            <w:vAlign w:val="bottom"/>
          </w:tcPr>
          <w:p>
            <w:pPr>
              <w:widowControl/>
              <w:jc w:val="center"/>
              <w:textAlignment w:val="bottom"/>
              <w:rPr>
                <w:color w:val="000000"/>
                <w:kern w:val="0"/>
                <w:szCs w:val="21"/>
                <w:lang w:bidi="ar"/>
              </w:rPr>
            </w:pPr>
            <w:r>
              <w:rPr>
                <w:color w:val="000000"/>
                <w:kern w:val="0"/>
                <w:szCs w:val="21"/>
                <w:lang w:bidi="ar"/>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46.3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38</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0.17</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0.17</w:t>
            </w:r>
          </w:p>
        </w:tc>
        <w:tc>
          <w:tcPr>
            <w:tcW w:w="1456" w:type="dxa"/>
            <w:vAlign w:val="bottom"/>
          </w:tcPr>
          <w:p>
            <w:pPr>
              <w:widowControl/>
              <w:jc w:val="center"/>
              <w:textAlignment w:val="bottom"/>
              <w:rPr>
                <w:color w:val="000000"/>
                <w:kern w:val="0"/>
                <w:szCs w:val="21"/>
                <w:lang w:bidi="ar"/>
              </w:rPr>
            </w:pPr>
            <w:r>
              <w:rPr>
                <w:color w:val="000000"/>
                <w:kern w:val="0"/>
                <w:szCs w:val="21"/>
                <w:lang w:bidi="ar"/>
              </w:rPr>
              <w:t>2.01</w:t>
            </w:r>
          </w:p>
        </w:tc>
        <w:tc>
          <w:tcPr>
            <w:tcW w:w="1540" w:type="dxa"/>
            <w:vAlign w:val="bottom"/>
          </w:tcPr>
          <w:p>
            <w:pPr>
              <w:widowControl/>
              <w:jc w:val="center"/>
              <w:textAlignment w:val="bottom"/>
              <w:rPr>
                <w:color w:val="000000"/>
                <w:kern w:val="0"/>
                <w:szCs w:val="21"/>
                <w:lang w:bidi="ar"/>
              </w:rPr>
            </w:pPr>
            <w:r>
              <w:rPr>
                <w:color w:val="000000"/>
                <w:kern w:val="0"/>
                <w:szCs w:val="21"/>
                <w:lang w:bidi="ar"/>
              </w:rPr>
              <w:t>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47.3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39</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0.16</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0.16</w:t>
            </w:r>
          </w:p>
        </w:tc>
        <w:tc>
          <w:tcPr>
            <w:tcW w:w="1456" w:type="dxa"/>
            <w:vAlign w:val="bottom"/>
          </w:tcPr>
          <w:p>
            <w:pPr>
              <w:widowControl/>
              <w:jc w:val="center"/>
              <w:textAlignment w:val="bottom"/>
              <w:rPr>
                <w:color w:val="000000"/>
                <w:kern w:val="0"/>
                <w:szCs w:val="21"/>
                <w:lang w:bidi="ar"/>
              </w:rPr>
            </w:pPr>
            <w:r>
              <w:rPr>
                <w:color w:val="000000"/>
                <w:kern w:val="0"/>
                <w:szCs w:val="21"/>
                <w:lang w:bidi="ar"/>
              </w:rPr>
              <w:t>1.93</w:t>
            </w:r>
          </w:p>
        </w:tc>
        <w:tc>
          <w:tcPr>
            <w:tcW w:w="1540" w:type="dxa"/>
            <w:vAlign w:val="bottom"/>
          </w:tcPr>
          <w:p>
            <w:pPr>
              <w:widowControl/>
              <w:jc w:val="center"/>
              <w:textAlignment w:val="bottom"/>
              <w:rPr>
                <w:color w:val="000000"/>
                <w:kern w:val="0"/>
                <w:szCs w:val="21"/>
                <w:lang w:bidi="ar"/>
              </w:rPr>
            </w:pPr>
            <w:r>
              <w:rPr>
                <w:color w:val="000000"/>
                <w:kern w:val="0"/>
                <w:szCs w:val="21"/>
                <w:lang w:bidi="ar"/>
              </w:rPr>
              <w:t>1.98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8" w:type="pct"/>
            <w:shd w:val="clear" w:color="auto" w:fill="auto"/>
            <w:vAlign w:val="center"/>
          </w:tcPr>
          <w:p>
            <w:pPr>
              <w:widowControl/>
              <w:jc w:val="center"/>
              <w:textAlignment w:val="bottom"/>
              <w:rPr>
                <w:color w:val="000000"/>
                <w:kern w:val="0"/>
                <w:szCs w:val="21"/>
                <w:lang w:bidi="ar"/>
              </w:rPr>
            </w:pPr>
            <w:r>
              <w:rPr>
                <w:color w:val="000000"/>
                <w:kern w:val="0"/>
                <w:szCs w:val="21"/>
                <w:lang w:bidi="ar"/>
              </w:rPr>
              <w:t>48.3</w:t>
            </w:r>
          </w:p>
        </w:tc>
        <w:tc>
          <w:tcPr>
            <w:tcW w:w="854" w:type="pct"/>
            <w:shd w:val="clear" w:color="auto" w:fill="auto"/>
            <w:vAlign w:val="center"/>
          </w:tcPr>
          <w:p>
            <w:pPr>
              <w:widowControl/>
              <w:jc w:val="center"/>
              <w:textAlignment w:val="center"/>
              <w:rPr>
                <w:color w:val="000000"/>
                <w:szCs w:val="21"/>
              </w:rPr>
            </w:pPr>
            <w:r>
              <w:rPr>
                <w:color w:val="000000"/>
                <w:kern w:val="0"/>
                <w:szCs w:val="21"/>
                <w:lang w:bidi="ar"/>
              </w:rPr>
              <w:t>40</w:t>
            </w:r>
          </w:p>
        </w:tc>
        <w:tc>
          <w:tcPr>
            <w:tcW w:w="1490"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0.15</w:t>
            </w:r>
          </w:p>
        </w:tc>
        <w:tc>
          <w:tcPr>
            <w:tcW w:w="1492" w:type="dxa"/>
            <w:shd w:val="clear" w:color="auto" w:fill="auto"/>
            <w:vAlign w:val="bottom"/>
          </w:tcPr>
          <w:p>
            <w:pPr>
              <w:widowControl/>
              <w:jc w:val="center"/>
              <w:textAlignment w:val="bottom"/>
              <w:rPr>
                <w:color w:val="000000"/>
                <w:kern w:val="0"/>
                <w:szCs w:val="21"/>
                <w:lang w:bidi="ar"/>
              </w:rPr>
            </w:pPr>
            <w:r>
              <w:rPr>
                <w:color w:val="000000"/>
                <w:kern w:val="0"/>
                <w:szCs w:val="21"/>
                <w:lang w:bidi="ar"/>
              </w:rPr>
              <w:t>0.15</w:t>
            </w:r>
          </w:p>
        </w:tc>
        <w:tc>
          <w:tcPr>
            <w:tcW w:w="1456" w:type="dxa"/>
            <w:vAlign w:val="bottom"/>
          </w:tcPr>
          <w:p>
            <w:pPr>
              <w:widowControl/>
              <w:jc w:val="center"/>
              <w:textAlignment w:val="bottom"/>
              <w:rPr>
                <w:color w:val="000000"/>
                <w:kern w:val="0"/>
                <w:szCs w:val="21"/>
                <w:lang w:bidi="ar"/>
              </w:rPr>
            </w:pPr>
            <w:r>
              <w:rPr>
                <w:color w:val="000000"/>
                <w:kern w:val="0"/>
                <w:szCs w:val="21"/>
                <w:lang w:bidi="ar"/>
              </w:rPr>
              <w:t>1.85</w:t>
            </w:r>
          </w:p>
        </w:tc>
        <w:tc>
          <w:tcPr>
            <w:tcW w:w="1540" w:type="dxa"/>
            <w:vAlign w:val="bottom"/>
          </w:tcPr>
          <w:p>
            <w:pPr>
              <w:widowControl/>
              <w:jc w:val="center"/>
              <w:textAlignment w:val="bottom"/>
              <w:rPr>
                <w:color w:val="000000"/>
                <w:kern w:val="0"/>
                <w:szCs w:val="21"/>
                <w:lang w:bidi="ar"/>
              </w:rPr>
            </w:pPr>
            <w:r>
              <w:rPr>
                <w:color w:val="000000"/>
                <w:kern w:val="0"/>
                <w:szCs w:val="21"/>
                <w:lang w:bidi="ar"/>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32" w:type="pct"/>
            <w:gridSpan w:val="2"/>
            <w:shd w:val="clear" w:color="auto" w:fill="auto"/>
            <w:vAlign w:val="center"/>
          </w:tcPr>
          <w:p>
            <w:pPr>
              <w:jc w:val="center"/>
              <w:rPr>
                <w:color w:val="000000"/>
                <w:szCs w:val="21"/>
              </w:rPr>
            </w:pPr>
            <w:r>
              <w:rPr>
                <w:rFonts w:hint="eastAsia" w:cs="宋体"/>
                <w:color w:val="000000"/>
                <w:kern w:val="0"/>
                <w:szCs w:val="21"/>
                <w:lang w:bidi="ar"/>
              </w:rPr>
              <w:t>最大值</w:t>
            </w:r>
          </w:p>
        </w:tc>
        <w:tc>
          <w:tcPr>
            <w:tcW w:w="1490" w:type="dxa"/>
            <w:shd w:val="clear" w:color="auto" w:fill="auto"/>
            <w:vAlign w:val="bottom"/>
          </w:tcPr>
          <w:p>
            <w:pPr>
              <w:widowControl/>
              <w:jc w:val="center"/>
              <w:textAlignment w:val="bottom"/>
              <w:rPr>
                <w:b/>
                <w:bCs/>
                <w:color w:val="000000"/>
                <w:kern w:val="0"/>
                <w:szCs w:val="21"/>
                <w:lang w:bidi="ar"/>
              </w:rPr>
            </w:pPr>
            <w:r>
              <w:rPr>
                <w:b/>
                <w:bCs/>
                <w:color w:val="000000"/>
                <w:kern w:val="0"/>
                <w:szCs w:val="21"/>
                <w:lang w:bidi="ar"/>
              </w:rPr>
              <w:t>2.82</w:t>
            </w:r>
          </w:p>
        </w:tc>
        <w:tc>
          <w:tcPr>
            <w:tcW w:w="1492" w:type="dxa"/>
            <w:shd w:val="clear" w:color="auto" w:fill="auto"/>
            <w:vAlign w:val="bottom"/>
          </w:tcPr>
          <w:p>
            <w:pPr>
              <w:widowControl/>
              <w:jc w:val="center"/>
              <w:textAlignment w:val="bottom"/>
              <w:rPr>
                <w:b/>
                <w:bCs/>
                <w:color w:val="000000"/>
                <w:kern w:val="0"/>
                <w:szCs w:val="21"/>
                <w:lang w:bidi="ar"/>
              </w:rPr>
            </w:pPr>
            <w:r>
              <w:rPr>
                <w:b/>
                <w:bCs/>
                <w:color w:val="000000"/>
                <w:kern w:val="0"/>
                <w:szCs w:val="21"/>
                <w:lang w:bidi="ar"/>
              </w:rPr>
              <w:t>3.67</w:t>
            </w:r>
          </w:p>
        </w:tc>
        <w:tc>
          <w:tcPr>
            <w:tcW w:w="1456" w:type="dxa"/>
            <w:vAlign w:val="bottom"/>
          </w:tcPr>
          <w:p>
            <w:pPr>
              <w:widowControl/>
              <w:jc w:val="center"/>
              <w:textAlignment w:val="bottom"/>
              <w:rPr>
                <w:b/>
                <w:bCs/>
                <w:color w:val="000000"/>
                <w:kern w:val="0"/>
                <w:szCs w:val="21"/>
                <w:lang w:bidi="ar"/>
              </w:rPr>
            </w:pPr>
            <w:r>
              <w:rPr>
                <w:b/>
                <w:bCs/>
                <w:color w:val="000000"/>
                <w:kern w:val="0"/>
                <w:szCs w:val="21"/>
                <w:lang w:bidi="ar"/>
              </w:rPr>
              <w:t>28.69</w:t>
            </w:r>
          </w:p>
        </w:tc>
        <w:tc>
          <w:tcPr>
            <w:tcW w:w="1540" w:type="dxa"/>
            <w:vAlign w:val="bottom"/>
          </w:tcPr>
          <w:p>
            <w:pPr>
              <w:widowControl/>
              <w:jc w:val="center"/>
              <w:textAlignment w:val="bottom"/>
              <w:rPr>
                <w:b/>
                <w:bCs/>
                <w:color w:val="000000"/>
                <w:kern w:val="0"/>
                <w:szCs w:val="21"/>
                <w:lang w:bidi="ar"/>
              </w:rPr>
            </w:pPr>
            <w:r>
              <w:rPr>
                <w:b/>
                <w:bCs/>
                <w:color w:val="000000"/>
                <w:kern w:val="0"/>
                <w:szCs w:val="21"/>
                <w:lang w:bidi="ar"/>
              </w:rPr>
              <w:t>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32" w:type="pct"/>
            <w:gridSpan w:val="2"/>
            <w:shd w:val="clear" w:color="auto" w:fill="auto"/>
            <w:vAlign w:val="center"/>
          </w:tcPr>
          <w:p>
            <w:pPr>
              <w:jc w:val="center"/>
              <w:rPr>
                <w:color w:val="000000"/>
                <w:szCs w:val="21"/>
              </w:rPr>
            </w:pPr>
            <w:r>
              <w:rPr>
                <w:rFonts w:hint="eastAsia" w:cs="宋体"/>
                <w:color w:val="000000"/>
                <w:kern w:val="0"/>
                <w:szCs w:val="21"/>
                <w:lang w:bidi="ar"/>
              </w:rPr>
              <w:t>最大值处距线路中心距离（m）</w:t>
            </w:r>
          </w:p>
        </w:tc>
        <w:tc>
          <w:tcPr>
            <w:tcW w:w="854" w:type="pct"/>
            <w:shd w:val="clear" w:color="auto" w:fill="auto"/>
            <w:vAlign w:val="center"/>
          </w:tcPr>
          <w:p>
            <w:pPr>
              <w:widowControl/>
              <w:jc w:val="center"/>
              <w:textAlignment w:val="bottom"/>
              <w:rPr>
                <w:color w:val="000000"/>
                <w:kern w:val="0"/>
                <w:szCs w:val="21"/>
                <w:lang w:bidi="ar"/>
              </w:rPr>
            </w:pPr>
            <w:r>
              <w:rPr>
                <w:rFonts w:hint="eastAsia"/>
                <w:color w:val="000000"/>
                <w:kern w:val="0"/>
                <w:szCs w:val="21"/>
                <w:lang w:bidi="ar"/>
              </w:rPr>
              <w:t>10.3</w:t>
            </w:r>
          </w:p>
        </w:tc>
        <w:tc>
          <w:tcPr>
            <w:tcW w:w="855" w:type="pct"/>
            <w:shd w:val="clear" w:color="auto" w:fill="auto"/>
            <w:vAlign w:val="center"/>
          </w:tcPr>
          <w:p>
            <w:pPr>
              <w:widowControl/>
              <w:jc w:val="center"/>
              <w:textAlignment w:val="bottom"/>
              <w:rPr>
                <w:color w:val="000000"/>
                <w:kern w:val="0"/>
                <w:szCs w:val="21"/>
                <w:lang w:bidi="ar"/>
              </w:rPr>
            </w:pPr>
            <w:r>
              <w:rPr>
                <w:rFonts w:hint="eastAsia"/>
                <w:color w:val="000000"/>
                <w:kern w:val="0"/>
                <w:szCs w:val="21"/>
                <w:lang w:bidi="ar"/>
              </w:rPr>
              <w:t>8.3</w:t>
            </w:r>
          </w:p>
        </w:tc>
        <w:tc>
          <w:tcPr>
            <w:tcW w:w="854" w:type="pct"/>
            <w:vAlign w:val="center"/>
          </w:tcPr>
          <w:p>
            <w:pPr>
              <w:widowControl/>
              <w:jc w:val="center"/>
              <w:textAlignment w:val="bottom"/>
              <w:rPr>
                <w:color w:val="000000"/>
                <w:kern w:val="0"/>
                <w:szCs w:val="21"/>
                <w:lang w:bidi="ar"/>
              </w:rPr>
            </w:pPr>
            <w:r>
              <w:rPr>
                <w:rFonts w:hint="eastAsia"/>
                <w:color w:val="000000"/>
                <w:kern w:val="0"/>
                <w:szCs w:val="21"/>
                <w:lang w:bidi="ar"/>
              </w:rPr>
              <w:t>0</w:t>
            </w:r>
          </w:p>
        </w:tc>
        <w:tc>
          <w:tcPr>
            <w:tcW w:w="903" w:type="pct"/>
            <w:vAlign w:val="center"/>
          </w:tcPr>
          <w:p>
            <w:pPr>
              <w:widowControl/>
              <w:jc w:val="center"/>
              <w:textAlignment w:val="bottom"/>
              <w:rPr>
                <w:color w:val="000000"/>
                <w:kern w:val="0"/>
                <w:szCs w:val="21"/>
                <w:lang w:bidi="ar"/>
              </w:rPr>
            </w:pPr>
            <w:r>
              <w:rPr>
                <w:rFonts w:hint="eastAsia"/>
                <w:color w:val="000000"/>
                <w:kern w:val="0"/>
                <w:szCs w:val="21"/>
                <w:lang w:bidi="ar"/>
              </w:rPr>
              <w:t>0</w:t>
            </w:r>
          </w:p>
        </w:tc>
      </w:tr>
    </w:tbl>
    <w:p>
      <w:pPr>
        <w:pStyle w:val="5"/>
        <w:ind w:firstLine="0" w:firstLineChars="0"/>
        <w:rPr>
          <w:szCs w:val="32"/>
        </w:rPr>
      </w:pPr>
    </w:p>
    <w:p>
      <w:pPr>
        <w:pStyle w:val="5"/>
        <w:ind w:firstLine="0" w:firstLineChars="0"/>
      </w:pPr>
      <w:r>
        <w:drawing>
          <wp:inline distT="0" distB="0" distL="114300" distR="114300">
            <wp:extent cx="5392420" cy="3091180"/>
            <wp:effectExtent l="0" t="0" r="17780" b="13970"/>
            <wp:docPr id="19"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3"/>
                    <pic:cNvPicPr>
                      <a:picLocks noChangeAspect="1"/>
                    </pic:cNvPicPr>
                  </pic:nvPicPr>
                  <pic:blipFill>
                    <a:blip r:embed="rId139"/>
                    <a:stretch>
                      <a:fillRect/>
                    </a:stretch>
                  </pic:blipFill>
                  <pic:spPr>
                    <a:xfrm>
                      <a:off x="0" y="0"/>
                      <a:ext cx="5392420" cy="3091180"/>
                    </a:xfrm>
                    <a:prstGeom prst="rect">
                      <a:avLst/>
                    </a:prstGeom>
                    <a:noFill/>
                    <a:ln>
                      <a:noFill/>
                    </a:ln>
                  </pic:spPr>
                </pic:pic>
              </a:graphicData>
            </a:graphic>
          </wp:inline>
        </w:drawing>
      </w:r>
    </w:p>
    <w:p>
      <w:pPr>
        <w:pStyle w:val="10"/>
        <w:rPr>
          <w:rFonts w:ascii="Times New Roman" w:hAnsi="Times New Roman" w:eastAsia="宋体"/>
          <w:b/>
          <w:bCs/>
        </w:rPr>
      </w:pPr>
      <w:bookmarkStart w:id="824" w:name="_Ref23690"/>
      <w:r>
        <w:rPr>
          <w:rFonts w:ascii="Times New Roman" w:hAnsi="Times New Roman" w:eastAsia="宋体"/>
          <w:b/>
          <w:bCs/>
        </w:rPr>
        <w:t>图</w:t>
      </w:r>
      <w:r>
        <w:rPr>
          <w:rFonts w:ascii="Times New Roman" w:hAnsi="Times New Roman" w:eastAsia="宋体"/>
          <w:b/>
          <w:bCs/>
        </w:rPr>
        <w:fldChar w:fldCharType="begin"/>
      </w:r>
      <w:r>
        <w:rPr>
          <w:rFonts w:ascii="Times New Roman" w:hAnsi="Times New Roman" w:eastAsia="宋体"/>
          <w:b/>
          <w:bCs/>
        </w:rPr>
        <w:instrText xml:space="preserve"> SEQ 图 \* ARABIC </w:instrText>
      </w:r>
      <w:r>
        <w:rPr>
          <w:rFonts w:ascii="Times New Roman" w:hAnsi="Times New Roman" w:eastAsia="宋体"/>
          <w:b/>
          <w:bCs/>
        </w:rPr>
        <w:fldChar w:fldCharType="separate"/>
      </w:r>
      <w:r>
        <w:rPr>
          <w:rFonts w:ascii="Times New Roman" w:hAnsi="Times New Roman" w:eastAsia="宋体"/>
          <w:b/>
          <w:bCs/>
        </w:rPr>
        <w:t>24</w:t>
      </w:r>
      <w:r>
        <w:rPr>
          <w:rFonts w:ascii="Times New Roman" w:hAnsi="Times New Roman" w:eastAsia="宋体"/>
          <w:b/>
          <w:bCs/>
        </w:rPr>
        <w:fldChar w:fldCharType="end"/>
      </w:r>
      <w:bookmarkEnd w:id="824"/>
      <w:r>
        <w:rPr>
          <w:rFonts w:ascii="Times New Roman" w:hAnsi="Times New Roman" w:eastAsia="宋体"/>
          <w:b/>
          <w:bCs/>
        </w:rPr>
        <w:t>单回线路经过居民区抬升至11.5m工频电场强度预测结果图（2×JL3/G1A-400/35型导线）</w:t>
      </w:r>
    </w:p>
    <w:p>
      <w:r>
        <w:drawing>
          <wp:inline distT="0" distB="0" distL="114300" distR="114300">
            <wp:extent cx="5400040" cy="3094355"/>
            <wp:effectExtent l="0" t="0" r="10160" b="10795"/>
            <wp:docPr id="2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4"/>
                    <pic:cNvPicPr>
                      <a:picLocks noChangeAspect="1"/>
                    </pic:cNvPicPr>
                  </pic:nvPicPr>
                  <pic:blipFill>
                    <a:blip r:embed="rId140"/>
                    <a:stretch>
                      <a:fillRect/>
                    </a:stretch>
                  </pic:blipFill>
                  <pic:spPr>
                    <a:xfrm>
                      <a:off x="0" y="0"/>
                      <a:ext cx="5400040" cy="3094355"/>
                    </a:xfrm>
                    <a:prstGeom prst="rect">
                      <a:avLst/>
                    </a:prstGeom>
                    <a:noFill/>
                    <a:ln>
                      <a:noFill/>
                    </a:ln>
                  </pic:spPr>
                </pic:pic>
              </a:graphicData>
            </a:graphic>
          </wp:inline>
        </w:drawing>
      </w:r>
    </w:p>
    <w:p>
      <w:pPr>
        <w:pStyle w:val="5"/>
        <w:wordWrap w:val="0"/>
        <w:ind w:firstLine="0" w:firstLineChars="0"/>
      </w:pPr>
      <w:bookmarkStart w:id="825" w:name="_Ref23719"/>
      <w:r>
        <w:rPr>
          <w:b/>
          <w:bCs/>
          <w:sz w:val="21"/>
          <w:szCs w:val="21"/>
        </w:rPr>
        <w:t>图</w:t>
      </w:r>
      <w:r>
        <w:rPr>
          <w:b/>
          <w:bCs/>
          <w:sz w:val="21"/>
          <w:szCs w:val="21"/>
        </w:rPr>
        <w:fldChar w:fldCharType="begin"/>
      </w:r>
      <w:r>
        <w:rPr>
          <w:b/>
          <w:bCs/>
          <w:sz w:val="21"/>
          <w:szCs w:val="21"/>
        </w:rPr>
        <w:instrText xml:space="preserve"> SEQ 图 \* ARABIC </w:instrText>
      </w:r>
      <w:r>
        <w:rPr>
          <w:b/>
          <w:bCs/>
          <w:sz w:val="21"/>
          <w:szCs w:val="21"/>
        </w:rPr>
        <w:fldChar w:fldCharType="separate"/>
      </w:r>
      <w:r>
        <w:rPr>
          <w:b/>
          <w:bCs/>
          <w:sz w:val="21"/>
          <w:szCs w:val="21"/>
        </w:rPr>
        <w:t>25</w:t>
      </w:r>
      <w:r>
        <w:rPr>
          <w:b/>
          <w:bCs/>
          <w:sz w:val="21"/>
          <w:szCs w:val="21"/>
        </w:rPr>
        <w:fldChar w:fldCharType="end"/>
      </w:r>
      <w:bookmarkEnd w:id="825"/>
      <w:r>
        <w:rPr>
          <w:b/>
          <w:bCs/>
          <w:sz w:val="21"/>
          <w:szCs w:val="21"/>
        </w:rPr>
        <w:t>单回线路经过居民区抬升至11.5m工频</w:t>
      </w:r>
      <w:r>
        <w:rPr>
          <w:rFonts w:hint="eastAsia"/>
          <w:b/>
          <w:bCs/>
          <w:sz w:val="21"/>
          <w:szCs w:val="21"/>
        </w:rPr>
        <w:t>磁感应</w:t>
      </w:r>
      <w:r>
        <w:rPr>
          <w:b/>
          <w:bCs/>
          <w:sz w:val="21"/>
          <w:szCs w:val="21"/>
        </w:rPr>
        <w:t>强度预测结果图（2×JL3/G1A-400/35型导线）</w:t>
      </w:r>
    </w:p>
    <w:p>
      <w:pPr>
        <w:spacing w:line="360" w:lineRule="auto"/>
        <w:outlineLvl w:val="1"/>
        <w:rPr>
          <w:b/>
          <w:bCs/>
          <w:color w:val="000000" w:themeColor="text1"/>
          <w:sz w:val="28"/>
          <w:szCs w:val="28"/>
          <w14:textFill>
            <w14:solidFill>
              <w14:schemeClr w14:val="tx1"/>
            </w14:solidFill>
          </w14:textFill>
        </w:rPr>
      </w:pPr>
      <w:bookmarkStart w:id="826" w:name="_Toc21582"/>
      <w:r>
        <w:rPr>
          <w:rFonts w:hint="eastAsia"/>
          <w:b/>
          <w:bCs/>
          <w:color w:val="000000" w:themeColor="text1"/>
          <w:sz w:val="28"/>
          <w:szCs w:val="28"/>
          <w14:textFill>
            <w14:solidFill>
              <w14:schemeClr w14:val="tx1"/>
            </w14:solidFill>
          </w14:textFill>
        </w:rPr>
        <w:t>3</w:t>
      </w:r>
      <w:r>
        <w:rPr>
          <w:b/>
          <w:bCs/>
          <w:color w:val="000000" w:themeColor="text1"/>
          <w:sz w:val="28"/>
          <w:szCs w:val="28"/>
          <w14:textFill>
            <w14:solidFill>
              <w14:schemeClr w14:val="tx1"/>
            </w14:solidFill>
          </w14:textFill>
        </w:rPr>
        <w:t>.4电磁环境敏感目标环境影响预测与评价</w:t>
      </w:r>
      <w:bookmarkEnd w:id="826"/>
    </w:p>
    <w:p>
      <w:pPr>
        <w:pStyle w:val="107"/>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（1）变电站新建工程</w:t>
      </w:r>
    </w:p>
    <w:p>
      <w:pPr>
        <w:pStyle w:val="107"/>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本工程拟建伊拉湖220kV变电站电磁环境评价范围内无电磁环境敏感目标。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（2）输电线路工程</w:t>
      </w:r>
    </w:p>
    <w:p>
      <w:pPr>
        <w:keepNext/>
        <w:keepLines/>
        <w:spacing w:line="360" w:lineRule="auto"/>
        <w:ind w:firstLine="480" w:firstLineChars="200"/>
        <w:rPr>
          <w:sz w:val="24"/>
          <w:szCs w:val="32"/>
        </w:rPr>
      </w:pPr>
      <w:r>
        <w:rPr>
          <w:rFonts w:hint="eastAsia"/>
          <w:sz w:val="24"/>
          <w:szCs w:val="32"/>
        </w:rPr>
        <w:t>拟建线路工程电磁环境敏感目标影响预测结果</w:t>
      </w:r>
      <w:r>
        <w:rPr>
          <w:rFonts w:hint="eastAsia"/>
          <w:color w:val="000000" w:themeColor="text1"/>
          <w:sz w:val="24"/>
          <w14:textFill>
            <w14:solidFill>
              <w14:schemeClr w14:val="tx1"/>
            </w14:solidFill>
          </w14:textFill>
        </w:rPr>
        <w:t>。</w:t>
      </w:r>
    </w:p>
    <w:p>
      <w:pPr>
        <w:sectPr>
          <w:pgSz w:w="11906" w:h="16838"/>
          <w:pgMar w:top="1440" w:right="1701" w:bottom="1440" w:left="1701" w:header="851" w:footer="992" w:gutter="0"/>
          <w:cols w:space="720" w:num="1"/>
          <w:docGrid w:type="lines" w:linePitch="326" w:charSpace="0"/>
        </w:sectPr>
      </w:pPr>
    </w:p>
    <w:bookmarkEnd w:id="774"/>
    <w:bookmarkEnd w:id="775"/>
    <w:bookmarkEnd w:id="812"/>
    <w:bookmarkEnd w:id="813"/>
    <w:bookmarkEnd w:id="814"/>
    <w:bookmarkEnd w:id="815"/>
    <w:bookmarkEnd w:id="816"/>
    <w:p>
      <w:pPr>
        <w:pStyle w:val="2"/>
        <w:numPr>
          <w:ilvl w:val="0"/>
          <w:numId w:val="21"/>
        </w:numPr>
        <w:spacing w:before="0" w:after="0" w:line="360" w:lineRule="auto"/>
        <w:rPr>
          <w:rFonts w:eastAsia="宋体"/>
          <w:color w:val="000000" w:themeColor="text1"/>
          <w14:textFill>
            <w14:solidFill>
              <w14:schemeClr w14:val="tx1"/>
            </w14:solidFill>
          </w14:textFill>
        </w:rPr>
      </w:pPr>
      <w:bookmarkStart w:id="827" w:name="_Toc24647700"/>
      <w:bookmarkStart w:id="828" w:name="_Toc1455"/>
      <w:bookmarkStart w:id="829" w:name="_Toc413055190"/>
      <w:r>
        <w:rPr>
          <w:rFonts w:hint="eastAsia" w:eastAsia="宋体"/>
          <w:color w:val="000000" w:themeColor="text1"/>
          <w:sz w:val="28"/>
          <w:szCs w:val="28"/>
          <w14:textFill>
            <w14:solidFill>
              <w14:schemeClr w14:val="tx1"/>
            </w14:solidFill>
          </w14:textFill>
        </w:rPr>
        <w:t>电磁环境影响评价综合结论</w:t>
      </w:r>
      <w:bookmarkEnd w:id="827"/>
      <w:bookmarkEnd w:id="828"/>
      <w:bookmarkEnd w:id="829"/>
    </w:p>
    <w:p>
      <w:pPr>
        <w:pStyle w:val="2"/>
        <w:numPr>
          <w:ilvl w:val="1"/>
          <w:numId w:val="21"/>
        </w:numPr>
        <w:spacing w:before="0" w:after="0" w:line="360" w:lineRule="auto"/>
        <w:rPr>
          <w:color w:val="000000" w:themeColor="text1"/>
          <w:sz w:val="28"/>
          <w14:textFill>
            <w14:solidFill>
              <w14:schemeClr w14:val="tx1"/>
            </w14:solidFill>
          </w14:textFill>
        </w:rPr>
      </w:pPr>
      <w:bookmarkStart w:id="830" w:name="_Toc25409"/>
      <w:bookmarkStart w:id="831" w:name="_Toc24647701"/>
      <w:r>
        <w:rPr>
          <w:rFonts w:hint="eastAsia" w:ascii="宋体" w:hAnsi="宋体" w:eastAsia="宋体" w:cs="宋体"/>
          <w:color w:val="000000" w:themeColor="text1"/>
          <w:sz w:val="28"/>
          <w14:textFill>
            <w14:solidFill>
              <w14:schemeClr w14:val="tx1"/>
            </w14:solidFill>
          </w14:textFill>
        </w:rPr>
        <w:t>伊拉湖220kV变电站新建工程电磁环境影响结论</w:t>
      </w:r>
      <w:bookmarkEnd w:id="830"/>
      <w:bookmarkEnd w:id="831"/>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由类比可行性分析可知，水磨沟220kV变电站</w:t>
      </w:r>
      <w:r>
        <w:rPr>
          <w:color w:val="000000" w:themeColor="text1"/>
          <w14:textFill>
            <w14:solidFill>
              <w14:schemeClr w14:val="tx1"/>
            </w14:solidFill>
          </w14:textFill>
        </w:rPr>
        <w:t>运行期产生的工频电场、工频磁场水平能够反映本工程</w:t>
      </w:r>
      <w:r>
        <w:rPr>
          <w:rFonts w:hint="eastAsia"/>
          <w:color w:val="000000" w:themeColor="text1"/>
          <w14:textFill>
            <w14:solidFill>
              <w14:schemeClr w14:val="tx1"/>
            </w14:solidFill>
          </w14:textFill>
        </w:rPr>
        <w:t>伊拉湖220kV变电站</w:t>
      </w:r>
      <w:r>
        <w:rPr>
          <w:color w:val="000000" w:themeColor="text1"/>
          <w14:textFill>
            <w14:solidFill>
              <w14:schemeClr w14:val="tx1"/>
            </w14:solidFill>
          </w14:textFill>
        </w:rPr>
        <w:t>本期投运后产生的电磁环境水平。由上述类比监测结果可知，类比对象</w:t>
      </w:r>
      <w:r>
        <w:rPr>
          <w:rFonts w:hint="eastAsia"/>
          <w:color w:val="000000" w:themeColor="text1"/>
          <w14:textFill>
            <w14:solidFill>
              <w14:schemeClr w14:val="tx1"/>
            </w14:solidFill>
          </w14:textFill>
        </w:rPr>
        <w:t>水磨沟220kV变电站</w:t>
      </w:r>
      <w:r>
        <w:rPr>
          <w:color w:val="000000" w:themeColor="text1"/>
          <w14:textFill>
            <w14:solidFill>
              <w14:schemeClr w14:val="tx1"/>
            </w14:solidFill>
          </w14:textFill>
        </w:rPr>
        <w:t>厂界的工频电场、工频磁场能够满足相应环境标准的限值要求。因此可以预测，本工程</w:t>
      </w:r>
      <w:r>
        <w:rPr>
          <w:rFonts w:hint="eastAsia"/>
          <w:color w:val="000000" w:themeColor="text1"/>
          <w14:textFill>
            <w14:solidFill>
              <w14:schemeClr w14:val="tx1"/>
            </w14:solidFill>
          </w14:textFill>
        </w:rPr>
        <w:t>伊拉湖220kV变电站</w:t>
      </w:r>
      <w:r>
        <w:rPr>
          <w:color w:val="000000" w:themeColor="text1"/>
          <w14:textFill>
            <w14:solidFill>
              <w14:schemeClr w14:val="tx1"/>
            </w14:solidFill>
          </w14:textFill>
        </w:rPr>
        <w:t>本期工程投运后产生的工频电场、工频磁场也能够满足4000V/m和100μT的公众曝露限值要求。</w:t>
      </w:r>
    </w:p>
    <w:p>
      <w:pPr>
        <w:pStyle w:val="2"/>
        <w:numPr>
          <w:ilvl w:val="1"/>
          <w:numId w:val="21"/>
        </w:numPr>
        <w:spacing w:before="0" w:after="0" w:line="360" w:lineRule="auto"/>
        <w:rPr>
          <w:color w:val="000000" w:themeColor="text1"/>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新建电缆线路工程</w:t>
      </w:r>
      <w:r>
        <w:rPr>
          <w:rFonts w:hint="eastAsia" w:ascii="宋体" w:hAnsi="宋体" w:eastAsia="宋体" w:cs="宋体"/>
          <w:color w:val="000000" w:themeColor="text1"/>
          <w:sz w:val="28"/>
          <w14:textFill>
            <w14:solidFill>
              <w14:schemeClr w14:val="tx1"/>
            </w14:solidFill>
          </w14:textFill>
        </w:rPr>
        <w:t>电磁环境影响结论</w:t>
      </w:r>
    </w:p>
    <w:p>
      <w:pPr>
        <w:pStyle w:val="5"/>
      </w:pPr>
      <w:r>
        <w:rPr>
          <w:rFonts w:hint="eastAsia"/>
          <w:color w:val="000000" w:themeColor="text1"/>
          <w14:textFill>
            <w14:solidFill>
              <w14:schemeClr w14:val="tx1"/>
            </w14:solidFill>
          </w14:textFill>
        </w:rPr>
        <w:t>由类比可行性分析可知，</w:t>
      </w:r>
      <w:r>
        <w:rPr>
          <w:rFonts w:hint="eastAsia"/>
        </w:rPr>
        <w:t>郑州220kV洞翰Ⅰ线、洞翰Ⅱ线、洞徐Ⅰ线、洞徐Ⅱ线电缆线路监测断面的工频电场、工频磁场均满足工频电场4000V/m、工频磁场100μT的评价标准限值要求。因此可以预测，本工程电缆线路建成投运后工频电场、工频磁场可以满足《电磁环境控制限值》（GB8702-2014）相关标准要求。</w:t>
      </w:r>
    </w:p>
    <w:p>
      <w:pPr>
        <w:pStyle w:val="2"/>
        <w:numPr>
          <w:ilvl w:val="1"/>
          <w:numId w:val="21"/>
        </w:numPr>
        <w:spacing w:before="0" w:after="0" w:line="360" w:lineRule="auto"/>
        <w:rPr>
          <w:color w:val="000000" w:themeColor="text1"/>
          <w:sz w:val="28"/>
          <w14:textFill>
            <w14:solidFill>
              <w14:schemeClr w14:val="tx1"/>
            </w14:solidFill>
          </w14:textFill>
        </w:rPr>
      </w:pPr>
      <w:bookmarkStart w:id="832" w:name="_Toc24647703"/>
      <w:bookmarkStart w:id="833" w:name="_Toc413055192"/>
      <w:bookmarkStart w:id="834" w:name="_Toc20161"/>
      <w:r>
        <w:rPr>
          <w:rFonts w:hint="eastAsia" w:ascii="宋体" w:hAnsi="宋体" w:eastAsia="宋体" w:cs="宋体"/>
          <w:color w:val="000000" w:themeColor="text1"/>
          <w:sz w:val="28"/>
          <w14:textFill>
            <w14:solidFill>
              <w14:schemeClr w14:val="tx1"/>
            </w14:solidFill>
          </w14:textFill>
        </w:rPr>
        <w:t>输电线路电磁环境影响结论</w:t>
      </w:r>
      <w:bookmarkEnd w:id="832"/>
      <w:bookmarkEnd w:id="833"/>
      <w:bookmarkEnd w:id="834"/>
    </w:p>
    <w:p>
      <w:pPr>
        <w:pStyle w:val="2"/>
        <w:numPr>
          <w:ilvl w:val="2"/>
          <w:numId w:val="21"/>
        </w:numPr>
        <w:spacing w:before="0" w:after="0" w:line="360" w:lineRule="auto"/>
        <w:rPr>
          <w:color w:val="000000" w:themeColor="text1"/>
          <w14:textFill>
            <w14:solidFill>
              <w14:schemeClr w14:val="tx1"/>
            </w14:solidFill>
          </w14:textFill>
        </w:rPr>
      </w:pPr>
      <w:r>
        <w:rPr>
          <w:rFonts w:eastAsia="宋体"/>
          <w:sz w:val="24"/>
          <w:szCs w:val="24"/>
        </w:rPr>
        <w:t>吐鲁番电厂-阿拉沟变Ⅰ、Ⅱ回π入伊拉湖变220千伏线路工程（导线型号：（2×JL3/G1A-630/45型导线）</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（1）单回线路</w:t>
      </w:r>
      <w:r>
        <w:rPr>
          <w:rFonts w:hint="eastAsia"/>
        </w:rPr>
        <w:t>（2×JL3/G1A-630/45型导线）</w:t>
      </w:r>
      <w:r>
        <w:rPr>
          <w:rFonts w:hint="eastAsia"/>
          <w:color w:val="000000" w:themeColor="text1"/>
          <w14:textFill>
            <w14:solidFill>
              <w14:schemeClr w14:val="tx1"/>
            </w14:solidFill>
          </w14:textFill>
        </w:rPr>
        <w:t>电磁环境预测结果：</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1）非居民区</w:t>
      </w:r>
    </w:p>
    <w:p>
      <w:pPr>
        <w:pStyle w:val="5"/>
      </w:pPr>
      <w:r>
        <w:rPr>
          <w:rFonts w:hint="eastAsia"/>
        </w:rPr>
        <w:t>本工程单回线路（2×JL3/G1A-630/45型导线）经过非居民区，导线弧垂最小对地距离6.5</w:t>
      </w:r>
      <w:r>
        <w:t>m，线路下方距离地面1.5m高度处的工频电场强度最大值为</w:t>
      </w:r>
      <w:r>
        <w:rPr>
          <w:rFonts w:hint="eastAsia"/>
        </w:rPr>
        <w:t>7.46</w:t>
      </w:r>
      <w:r>
        <w:t>kV/m，工频磁感应强度最大值为</w:t>
      </w:r>
      <w:r>
        <w:rPr>
          <w:rFonts w:hint="eastAsia"/>
        </w:rPr>
        <w:t>95.65</w:t>
      </w:r>
      <w:r>
        <w:t>μT，满足《电磁环境控制限值》（GB8702-2014）10kV/m、100μT的控制限值。</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2）居民区</w:t>
      </w:r>
    </w:p>
    <w:p>
      <w:pPr>
        <w:pStyle w:val="107"/>
        <w:wordWrap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本工程单回线路</w:t>
      </w:r>
      <w:r>
        <w:rPr>
          <w:rFonts w:hint="eastAsia"/>
          <w:sz w:val="24"/>
        </w:rPr>
        <w:t>（2×JL3/G1A-630/45型导线）</w:t>
      </w:r>
      <w:r>
        <w:rPr>
          <w:color w:val="000000" w:themeColor="text1"/>
          <w:sz w:val="24"/>
          <w14:textFill>
            <w14:solidFill>
              <w14:schemeClr w14:val="tx1"/>
            </w14:solidFill>
          </w14:textFill>
        </w:rPr>
        <w:t>经过居民区，导线弧垂最小对地距离7.5m，线路下方距离地面1.5m、4.5m高度处的工频电场强度最大值分别为5.93kV/m、10.37kV/m，均不满足《电磁环境控制限值》（GB8702-2014）中4000V/m的控制限值；工频磁感应强度最大值分别为78.34μT、157.53μT，不满足《电磁环境控制限值》（GB8702-2014）中100μT的控制限值。</w:t>
      </w:r>
    </w:p>
    <w:p>
      <w:pPr>
        <w:pStyle w:val="107"/>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3）单回线路电磁环境影响控制措施</w:t>
      </w:r>
    </w:p>
    <w:p>
      <w:pPr>
        <w:pStyle w:val="107"/>
        <w:spacing w:line="360" w:lineRule="auto"/>
        <w:ind w:firstLine="480"/>
        <w:rPr>
          <w:sz w:val="24"/>
          <w:szCs w:val="32"/>
        </w:rPr>
      </w:pPr>
      <w:r>
        <w:rPr>
          <w:rFonts w:hint="eastAsia"/>
          <w:sz w:val="24"/>
          <w:szCs w:val="32"/>
        </w:rPr>
        <w:t>由预测结果可知，本工程拟建单回线路（2×JL3/G1A-630/45型导线）经过居民区时，本项目新建220kV单回线路段经过居民区，导线对地距离为11.5m时，距离地面1.5m、4.5m高度处的工频电场强度最大值分别为2.95kV/m、3.85kV/m，均满足《电磁环境控制限值》（GB8702-2014）中4000V/m控制限值要求；距离地面1.5m、4.5m高度处的工频磁感应强度最大值分别为44.63μT、69.87μT，均满足《电磁环境控制限值》（GB8702-2014）100μT的控制限值要求。</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（2）单回线路</w:t>
      </w:r>
      <w:r>
        <w:rPr>
          <w:rFonts w:hint="eastAsia"/>
        </w:rPr>
        <w:t>（2×JL3/G1A-400/35型导线）</w:t>
      </w:r>
      <w:r>
        <w:rPr>
          <w:rFonts w:hint="eastAsia"/>
          <w:color w:val="000000" w:themeColor="text1"/>
          <w14:textFill>
            <w14:solidFill>
              <w14:schemeClr w14:val="tx1"/>
            </w14:solidFill>
          </w14:textFill>
        </w:rPr>
        <w:t>电磁环境预测结果：</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1）非居民区</w:t>
      </w:r>
    </w:p>
    <w:p>
      <w:pPr>
        <w:pStyle w:val="5"/>
      </w:pPr>
      <w:r>
        <w:rPr>
          <w:rFonts w:hint="eastAsia"/>
        </w:rPr>
        <w:t>本工程单回线路（2×JL3/G1A-400/35型导线）经过非居民区，导线弧垂最小对地距离6.5</w:t>
      </w:r>
      <w:r>
        <w:t>m，线路下方距离地面1.5m高度处的工频电场强度最大值为</w:t>
      </w:r>
      <w:r>
        <w:rPr>
          <w:rFonts w:hint="eastAsia"/>
        </w:rPr>
        <w:t>7.02</w:t>
      </w:r>
      <w:r>
        <w:t>kV/m，工频磁感应强度最大值为</w:t>
      </w:r>
      <w:r>
        <w:rPr>
          <w:rFonts w:hint="eastAsia"/>
        </w:rPr>
        <w:t>60.97</w:t>
      </w:r>
      <w:r>
        <w:t>μT，满足《电磁环境控制限值》（GB8702-2014）10kV/m、100μT的控制限值。</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2）居民区</w:t>
      </w:r>
    </w:p>
    <w:p>
      <w:pPr>
        <w:pStyle w:val="107"/>
        <w:wordWrap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本工程单回线路</w:t>
      </w:r>
      <w:r>
        <w:rPr>
          <w:rFonts w:hint="eastAsia"/>
          <w:sz w:val="24"/>
        </w:rPr>
        <w:t>（2×JL3/G1A-400/35型导线）</w:t>
      </w:r>
      <w:r>
        <w:rPr>
          <w:color w:val="000000" w:themeColor="text1"/>
          <w:sz w:val="24"/>
          <w14:textFill>
            <w14:solidFill>
              <w14:schemeClr w14:val="tx1"/>
            </w14:solidFill>
          </w14:textFill>
        </w:rPr>
        <w:t>经过居民区，导线弧垂最小对地距离7.5m，线路下方距离地面1.5m、4.5m高度处的工频电场强度最大值分别为5.</w:t>
      </w:r>
      <w:r>
        <w:rPr>
          <w:rFonts w:hint="eastAsia"/>
          <w:color w:val="000000" w:themeColor="text1"/>
          <w:sz w:val="24"/>
          <w14:textFill>
            <w14:solidFill>
              <w14:schemeClr w14:val="tx1"/>
            </w14:solidFill>
          </w14:textFill>
        </w:rPr>
        <w:t>58</w:t>
      </w:r>
      <w:r>
        <w:rPr>
          <w:color w:val="000000" w:themeColor="text1"/>
          <w:sz w:val="24"/>
          <w14:textFill>
            <w14:solidFill>
              <w14:schemeClr w14:val="tx1"/>
            </w14:solidFill>
          </w14:textFill>
        </w:rPr>
        <w:t>kV/m、</w:t>
      </w:r>
      <w:r>
        <w:rPr>
          <w:rFonts w:hint="eastAsia"/>
          <w:color w:val="000000" w:themeColor="text1"/>
          <w:sz w:val="24"/>
          <w14:textFill>
            <w14:solidFill>
              <w14:schemeClr w14:val="tx1"/>
            </w14:solidFill>
          </w14:textFill>
        </w:rPr>
        <w:t>9.84</w:t>
      </w:r>
      <w:r>
        <w:rPr>
          <w:color w:val="000000" w:themeColor="text1"/>
          <w:sz w:val="24"/>
          <w14:textFill>
            <w14:solidFill>
              <w14:schemeClr w14:val="tx1"/>
            </w14:solidFill>
          </w14:textFill>
        </w:rPr>
        <w:t>kV/m，均不满足《电磁环境控制限值》（GB8702-2014）中4000V/m的控制限值；工频磁感应强度最大值分别为</w:t>
      </w:r>
      <w:r>
        <w:rPr>
          <w:rFonts w:hint="eastAsia"/>
          <w:color w:val="000000" w:themeColor="text1"/>
          <w:sz w:val="24"/>
          <w14:textFill>
            <w14:solidFill>
              <w14:schemeClr w14:val="tx1"/>
            </w14:solidFill>
          </w14:textFill>
        </w:rPr>
        <w:t>49.56</w:t>
      </w:r>
      <w:r>
        <w:rPr>
          <w:color w:val="000000" w:themeColor="text1"/>
          <w:sz w:val="24"/>
          <w14:textFill>
            <w14:solidFill>
              <w14:schemeClr w14:val="tx1"/>
            </w14:solidFill>
          </w14:textFill>
        </w:rPr>
        <w:t>μT、</w:t>
      </w:r>
      <w:r>
        <w:rPr>
          <w:rFonts w:hint="eastAsia"/>
          <w:color w:val="000000" w:themeColor="text1"/>
          <w:sz w:val="24"/>
          <w14:textFill>
            <w14:solidFill>
              <w14:schemeClr w14:val="tx1"/>
            </w14:solidFill>
          </w14:textFill>
        </w:rPr>
        <w:t>101.85</w:t>
      </w:r>
      <w:r>
        <w:rPr>
          <w:color w:val="000000" w:themeColor="text1"/>
          <w:sz w:val="24"/>
          <w14:textFill>
            <w14:solidFill>
              <w14:schemeClr w14:val="tx1"/>
            </w14:solidFill>
          </w14:textFill>
        </w:rPr>
        <w:t>μT，不满足《电磁环境控制限值》（GB8702-2014）中100μT的控制限值。</w:t>
      </w:r>
    </w:p>
    <w:p>
      <w:pPr>
        <w:pStyle w:val="107"/>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3）单回线路电磁环境影响控制措施</w:t>
      </w:r>
    </w:p>
    <w:p>
      <w:pPr>
        <w:pStyle w:val="107"/>
        <w:spacing w:line="360" w:lineRule="auto"/>
        <w:ind w:firstLine="480"/>
        <w:rPr>
          <w:sz w:val="24"/>
          <w:szCs w:val="32"/>
        </w:rPr>
      </w:pPr>
      <w:r>
        <w:rPr>
          <w:rFonts w:hint="eastAsia"/>
          <w:sz w:val="24"/>
          <w:szCs w:val="32"/>
        </w:rPr>
        <w:t>由预测结果可知，本工程拟建单回线路（2×JL3/G1A-400/35型导线）经过居民区时，本项目新建220kV单回线路段经过居民区，导线对地距离为11.5m时，距离地面1.5m、4.5m高度处的工频电场强度最大值分别为2.82kV/m、3.67kV/m，均满足《电磁环境控制限值》（GB8702-2014）中4000V/m控制限值要求；距离地面1.5m、4.5m高度处的工频磁感应强度最大值分别为28.69μT、44.93μT，均满足《电磁环境控制限值》（GB8702-2014）100μT的控制限值要求。</w:t>
      </w:r>
    </w:p>
    <w:p>
      <w:pPr>
        <w:pStyle w:val="2"/>
        <w:numPr>
          <w:ilvl w:val="2"/>
          <w:numId w:val="21"/>
        </w:numPr>
        <w:spacing w:before="0" w:after="0" w:line="360" w:lineRule="auto"/>
      </w:pPr>
      <w:r>
        <w:rPr>
          <w:rFonts w:eastAsia="宋体"/>
          <w:sz w:val="24"/>
          <w:szCs w:val="24"/>
        </w:rPr>
        <w:t>吐鲁番电厂-阿拉沟变Ⅰ、Ⅱ回改接入托克逊变220千伏线路工程（导线型号：2×JL3/G1A-400/35）</w:t>
      </w:r>
    </w:p>
    <w:p>
      <w:pPr>
        <w:pStyle w:val="5"/>
        <w:rPr>
          <w:color w:val="000000" w:themeColor="text1"/>
          <w14:textFill>
            <w14:solidFill>
              <w14:schemeClr w14:val="tx1"/>
            </w14:solidFill>
          </w14:textFill>
        </w:rPr>
      </w:pPr>
      <w:r>
        <w:rPr>
          <w:rFonts w:hint="eastAsia"/>
          <w:color w:val="000000" w:themeColor="text1"/>
          <w14:textFill>
            <w14:solidFill>
              <w14:schemeClr w14:val="tx1"/>
            </w14:solidFill>
          </w14:textFill>
        </w:rPr>
        <w:t>（1）单回线路</w:t>
      </w:r>
      <w:r>
        <w:rPr>
          <w:rFonts w:hint="eastAsia"/>
        </w:rPr>
        <w:t>（2×JL3/G1A-400/35型导线）</w:t>
      </w:r>
      <w:r>
        <w:rPr>
          <w:rFonts w:hint="eastAsia"/>
          <w:color w:val="000000" w:themeColor="text1"/>
          <w14:textFill>
            <w14:solidFill>
              <w14:schemeClr w14:val="tx1"/>
            </w14:solidFill>
          </w14:textFill>
        </w:rPr>
        <w:t>电磁环境预测结果：</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1）非居民区</w:t>
      </w:r>
    </w:p>
    <w:p>
      <w:pPr>
        <w:pStyle w:val="5"/>
      </w:pPr>
      <w:r>
        <w:rPr>
          <w:rFonts w:hint="eastAsia"/>
        </w:rPr>
        <w:t>本工程单回线路（2×JL3/G1A-400/35型导线）经过非居民区，导线弧垂最小对地距离6.5</w:t>
      </w:r>
      <w:r>
        <w:t>m，线路下方距离地面1.5m高度处的工频电场强度最大值为</w:t>
      </w:r>
      <w:r>
        <w:rPr>
          <w:rFonts w:hint="eastAsia"/>
        </w:rPr>
        <w:t>7.02</w:t>
      </w:r>
      <w:r>
        <w:t>kV/m，工频磁感应强度最大值为</w:t>
      </w:r>
      <w:r>
        <w:rPr>
          <w:rFonts w:hint="eastAsia"/>
        </w:rPr>
        <w:t>60.97</w:t>
      </w:r>
      <w:r>
        <w:t>μT，满足《电磁环境控制限值》（GB8702-2014）10kV/m、100μT的控制限值。</w:t>
      </w:r>
    </w:p>
    <w:p>
      <w:pPr>
        <w:pStyle w:val="107"/>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2）居民区</w:t>
      </w:r>
    </w:p>
    <w:p>
      <w:pPr>
        <w:pStyle w:val="107"/>
        <w:wordWrap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本工程单回线路</w:t>
      </w:r>
      <w:r>
        <w:rPr>
          <w:rFonts w:hint="eastAsia"/>
          <w:sz w:val="24"/>
        </w:rPr>
        <w:t>（2×JL3/G1A-400/35型导线）</w:t>
      </w:r>
      <w:r>
        <w:rPr>
          <w:color w:val="000000" w:themeColor="text1"/>
          <w:sz w:val="24"/>
          <w14:textFill>
            <w14:solidFill>
              <w14:schemeClr w14:val="tx1"/>
            </w14:solidFill>
          </w14:textFill>
        </w:rPr>
        <w:t>经过居民区，导线弧垂最小对地距离7.5m，线路下方距离地面1.5m、4.5m高度处的工频电场强度最大值分别为5.</w:t>
      </w:r>
      <w:r>
        <w:rPr>
          <w:rFonts w:hint="eastAsia"/>
          <w:color w:val="000000" w:themeColor="text1"/>
          <w:sz w:val="24"/>
          <w14:textFill>
            <w14:solidFill>
              <w14:schemeClr w14:val="tx1"/>
            </w14:solidFill>
          </w14:textFill>
        </w:rPr>
        <w:t>58</w:t>
      </w:r>
      <w:r>
        <w:rPr>
          <w:color w:val="000000" w:themeColor="text1"/>
          <w:sz w:val="24"/>
          <w14:textFill>
            <w14:solidFill>
              <w14:schemeClr w14:val="tx1"/>
            </w14:solidFill>
          </w14:textFill>
        </w:rPr>
        <w:t>kV/m、</w:t>
      </w:r>
      <w:r>
        <w:rPr>
          <w:rFonts w:hint="eastAsia"/>
          <w:color w:val="000000" w:themeColor="text1"/>
          <w:sz w:val="24"/>
          <w14:textFill>
            <w14:solidFill>
              <w14:schemeClr w14:val="tx1"/>
            </w14:solidFill>
          </w14:textFill>
        </w:rPr>
        <w:t>9.84</w:t>
      </w:r>
      <w:r>
        <w:rPr>
          <w:color w:val="000000" w:themeColor="text1"/>
          <w:sz w:val="24"/>
          <w14:textFill>
            <w14:solidFill>
              <w14:schemeClr w14:val="tx1"/>
            </w14:solidFill>
          </w14:textFill>
        </w:rPr>
        <w:t>kV/m，均不满足《电磁环境控制限值》（GB8702-2014）中4000V/m的控制限值；工频磁感应强度最大值分别为</w:t>
      </w:r>
      <w:r>
        <w:rPr>
          <w:rFonts w:hint="eastAsia"/>
          <w:color w:val="000000" w:themeColor="text1"/>
          <w:sz w:val="24"/>
          <w14:textFill>
            <w14:solidFill>
              <w14:schemeClr w14:val="tx1"/>
            </w14:solidFill>
          </w14:textFill>
        </w:rPr>
        <w:t>49.56</w:t>
      </w:r>
      <w:r>
        <w:rPr>
          <w:color w:val="000000" w:themeColor="text1"/>
          <w:sz w:val="24"/>
          <w14:textFill>
            <w14:solidFill>
              <w14:schemeClr w14:val="tx1"/>
            </w14:solidFill>
          </w14:textFill>
        </w:rPr>
        <w:t>μT、</w:t>
      </w:r>
      <w:r>
        <w:rPr>
          <w:rFonts w:hint="eastAsia"/>
          <w:color w:val="000000" w:themeColor="text1"/>
          <w:sz w:val="24"/>
          <w14:textFill>
            <w14:solidFill>
              <w14:schemeClr w14:val="tx1"/>
            </w14:solidFill>
          </w14:textFill>
        </w:rPr>
        <w:t>101.85</w:t>
      </w:r>
      <w:r>
        <w:rPr>
          <w:color w:val="000000" w:themeColor="text1"/>
          <w:sz w:val="24"/>
          <w14:textFill>
            <w14:solidFill>
              <w14:schemeClr w14:val="tx1"/>
            </w14:solidFill>
          </w14:textFill>
        </w:rPr>
        <w:t>μT，不满足《电磁环境控制限值》（GB8702-2014）中100μT的控制限值。</w:t>
      </w:r>
    </w:p>
    <w:p>
      <w:pPr>
        <w:pStyle w:val="107"/>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3）单回线路电磁环境影响控制措施</w:t>
      </w:r>
    </w:p>
    <w:p>
      <w:pPr>
        <w:pStyle w:val="5"/>
        <w:rPr>
          <w:color w:val="000000" w:themeColor="text1"/>
          <w14:textFill>
            <w14:solidFill>
              <w14:schemeClr w14:val="tx1"/>
            </w14:solidFill>
          </w14:textFill>
        </w:rPr>
      </w:pPr>
      <w:r>
        <w:rPr>
          <w:rFonts w:hint="eastAsia"/>
          <w:szCs w:val="32"/>
        </w:rPr>
        <w:t>由预测结果可知，本工程拟建单回线路（2×JL3/G1A-400/35型导线）经过居民区时，本项目新建220kV单回线路段经过居民区，导线对地距离为11.5m时，距离地面1.5m、4.5m高度处的工频电场强度最大值分别为2.82kV/m、3.67kV/m，均满足《电磁环境控制限值》（GB8702-2014）中4000V/m控制限值要求；距离地面1.5m、4.5m高度处的工频磁感应强度最大值分别为28.69μT、44.93μT，均满足《电磁环境控制限值》（GB8702-2014）100μT的控制限值要求。</w:t>
      </w:r>
    </w:p>
    <w:p>
      <w:pPr>
        <w:pStyle w:val="2"/>
        <w:numPr>
          <w:ilvl w:val="2"/>
          <w:numId w:val="21"/>
        </w:numPr>
        <w:spacing w:before="0" w:after="0" w:line="360" w:lineRule="auto"/>
        <w:rPr>
          <w:color w:val="000000" w:themeColor="text1"/>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输电线路电磁环境敏感目标预测结论</w:t>
      </w:r>
    </w:p>
    <w:p>
      <w:pPr>
        <w:spacing w:line="360" w:lineRule="auto"/>
        <w:ind w:firstLine="480" w:firstLineChars="200"/>
        <w:rPr>
          <w:rFonts w:hint="eastAsia" w:eastAsia="宋体"/>
          <w:b/>
          <w:bCs/>
          <w:sz w:val="28"/>
          <w:szCs w:val="21"/>
          <w:lang w:eastAsia="zh-CN"/>
        </w:rPr>
      </w:pPr>
      <w:r>
        <w:rPr>
          <w:rFonts w:hint="eastAsia"/>
          <w:color w:val="000000" w:themeColor="text1"/>
          <w:sz w:val="24"/>
          <w14:textFill>
            <w14:solidFill>
              <w14:schemeClr w14:val="tx1"/>
            </w14:solidFill>
          </w14:textFill>
        </w:rPr>
        <w:t>本环评针对输电线路评价范围内的电磁环境敏感目标按照相应导线对地距离进行了相应环境影响预测，本工程沿线电磁环境敏感建筑物均为一层平顶建筑，因此预测距离地面</w:t>
      </w:r>
      <w:r>
        <w:rPr>
          <w:color w:val="000000" w:themeColor="text1"/>
          <w:sz w:val="24"/>
          <w14:textFill>
            <w14:solidFill>
              <w14:schemeClr w14:val="tx1"/>
            </w14:solidFill>
          </w14:textFill>
        </w:rPr>
        <w:t>1.5m</w:t>
      </w:r>
      <w:r>
        <w:rPr>
          <w:rFonts w:hint="eastAsia"/>
          <w:color w:val="000000" w:themeColor="text1"/>
          <w:sz w:val="24"/>
          <w14:textFill>
            <w14:solidFill>
              <w14:schemeClr w14:val="tx1"/>
            </w14:solidFill>
          </w14:textFill>
        </w:rPr>
        <w:t>、4.5m高度处的工频电场强度、工频磁感应强度。预测结果显示本工程拟建输电线路评价范围内的工频电场强度、工频磁感应强度均满足《电磁环境控制限值》（</w:t>
      </w:r>
      <w:r>
        <w:rPr>
          <w:color w:val="000000" w:themeColor="text1"/>
          <w:sz w:val="24"/>
          <w14:textFill>
            <w14:solidFill>
              <w14:schemeClr w14:val="tx1"/>
            </w14:solidFill>
          </w14:textFill>
        </w:rPr>
        <w:t>GB8702-2014</w:t>
      </w:r>
      <w:r>
        <w:rPr>
          <w:rFonts w:hint="eastAsia"/>
          <w:color w:val="000000" w:themeColor="text1"/>
          <w:sz w:val="24"/>
          <w14:textFill>
            <w14:solidFill>
              <w14:schemeClr w14:val="tx1"/>
            </w14:solidFill>
          </w14:textFill>
        </w:rPr>
        <w:t>）中</w:t>
      </w:r>
      <w:r>
        <w:rPr>
          <w:color w:val="000000" w:themeColor="text1"/>
          <w:sz w:val="24"/>
          <w14:textFill>
            <w14:solidFill>
              <w14:schemeClr w14:val="tx1"/>
            </w14:solidFill>
          </w14:textFill>
        </w:rPr>
        <w:t>4000V/m</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100μT</w:t>
      </w:r>
      <w:r>
        <w:rPr>
          <w:rFonts w:hint="eastAsia"/>
          <w:color w:val="000000" w:themeColor="text1"/>
          <w:sz w:val="24"/>
          <w14:textFill>
            <w14:solidFill>
              <w14:schemeClr w14:val="tx1"/>
            </w14:solidFill>
          </w14:textFill>
        </w:rPr>
        <w:t>的标准限值要求</w:t>
      </w:r>
      <w:r>
        <w:rPr>
          <w:rFonts w:hint="eastAsia"/>
          <w:color w:val="000000" w:themeColor="text1"/>
          <w:sz w:val="24"/>
          <w:lang w:eastAsia="zh-CN"/>
          <w14:textFill>
            <w14:solidFill>
              <w14:schemeClr w14:val="tx1"/>
            </w14:solidFill>
          </w14:textFill>
        </w:rPr>
        <w:t>。</w:t>
      </w:r>
    </w:p>
    <w:sectPr>
      <w:headerReference r:id="rId14" w:type="default"/>
      <w:footerReference r:id="rId15" w:type="default"/>
      <w:pgSz w:w="11907" w:h="16840"/>
      <w:pgMar w:top="1134" w:right="1418" w:bottom="1134" w:left="141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Segoe UI">
    <w:panose1 w:val="020B0502040204020203"/>
    <w:charset w:val="00"/>
    <w:family w:val="swiss"/>
    <w:pitch w:val="default"/>
    <w:sig w:usb0="E10022FF" w:usb1="C000E47F" w:usb2="00000029" w:usb3="00000000" w:csb0="200001DF" w:csb1="20000000"/>
  </w:font>
  <w:font w:name="等线">
    <w:altName w:val="微软雅黑"/>
    <w:panose1 w:val="02010600030101010101"/>
    <w:charset w:val="86"/>
    <w:family w:val="auto"/>
    <w:pitch w:val="default"/>
    <w:sig w:usb0="00000000" w:usb1="00000000" w:usb2="00000016" w:usb3="00000000" w:csb0="0004000F" w:csb1="00000000"/>
  </w:font>
  <w:font w:name="PingFang SC">
    <w:altName w:val="Segoe Print"/>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outside" w:y="1"/>
      <w:rPr>
        <w:rStyle w:val="40"/>
      </w:rPr>
    </w:pPr>
    <w:r>
      <w:fldChar w:fldCharType="begin"/>
    </w:r>
    <w:r>
      <w:rPr>
        <w:rStyle w:val="40"/>
      </w:rPr>
      <w:instrText xml:space="preserve">PAGE  </w:instrText>
    </w:r>
    <w:r>
      <w:fldChar w:fldCharType="end"/>
    </w:r>
  </w:p>
  <w:p>
    <w:pPr>
      <w:pStyle w:val="2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97</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100</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jc w:val="center"/>
    </w:pPr>
    <w:r>
      <w:fldChar w:fldCharType="begin"/>
    </w:r>
    <w:r>
      <w:instrText xml:space="preserve">PAGE   \* MERGEFORMAT</w:instrText>
    </w:r>
    <w:r>
      <w:fldChar w:fldCharType="separate"/>
    </w:r>
    <w:r>
      <w:rPr>
        <w:lang w:val="zh-CN"/>
      </w:rPr>
      <w:t>3</w:t>
    </w:r>
    <w:r>
      <w:fldChar w:fldCharType="end"/>
    </w:r>
  </w:p>
  <w:p>
    <w:pPr>
      <w:pStyle w:val="23"/>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snapToGrid w:val="0"/>
      <w:jc w:val="left"/>
      <w:rPr>
        <w:rStyle w:val="40"/>
        <w:sz w:val="18"/>
        <w:szCs w:val="18"/>
      </w:rPr>
    </w:pPr>
    <w:r>
      <w:rPr>
        <w:sz w:val="18"/>
        <w:szCs w:val="18"/>
      </w:rPr>
      <w:fldChar w:fldCharType="begin"/>
    </w:r>
    <w:r>
      <w:rPr>
        <w:rStyle w:val="40"/>
        <w:sz w:val="18"/>
        <w:szCs w:val="18"/>
      </w:rPr>
      <w:instrText xml:space="preserve">PAGE  </w:instrText>
    </w:r>
    <w:r>
      <w:rPr>
        <w:sz w:val="18"/>
        <w:szCs w:val="18"/>
      </w:rPr>
      <w:fldChar w:fldCharType="separate"/>
    </w:r>
    <w:r>
      <w:rPr>
        <w:rStyle w:val="40"/>
        <w:sz w:val="18"/>
        <w:szCs w:val="18"/>
      </w:rPr>
      <w:t>106</w:t>
    </w:r>
    <w:r>
      <w:rPr>
        <w:sz w:val="18"/>
        <w:szCs w:val="18"/>
      </w:rPr>
      <w:fldChar w:fldCharType="end"/>
    </w:r>
  </w:p>
  <w:p>
    <w:pPr>
      <w:snapToGrid w:val="0"/>
      <w:jc w:val="left"/>
      <w:rPr>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ind w:left="3960" w:hanging="3960" w:hangingChars="2200"/>
      <w:jc w:val="left"/>
      <w:rPr>
        <w:rFonts w:ascii="宋体" w:hAnsi="宋体"/>
        <w:sz w:val="18"/>
      </w:rPr>
    </w:pPr>
    <w:r>
      <w:rPr>
        <w:rFonts w:hint="eastAsia" w:ascii="宋体" w:hAnsi="宋体"/>
        <w:sz w:val="18"/>
      </w:rPr>
      <w:t>吐鲁番伊拉湖220千伏输变电工程环境影响报告表支持性文件册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8EEF4D"/>
    <w:multiLevelType w:val="multilevel"/>
    <w:tmpl w:val="9B8EEF4D"/>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space"/>
      <w:lvlText w:val="%1.%2.%3"/>
      <w:lvlJc w:val="left"/>
      <w:pPr>
        <w:ind w:left="1418" w:hanging="567"/>
      </w:pPr>
      <w:rPr>
        <w:rFonts w:hint="default"/>
        <w:b/>
        <w:bCs/>
        <w:sz w:val="24"/>
        <w:szCs w:val="24"/>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AC6E6694"/>
    <w:multiLevelType w:val="multilevel"/>
    <w:tmpl w:val="AC6E6694"/>
    <w:lvl w:ilvl="0" w:tentative="0">
      <w:start w:val="1"/>
      <w:numFmt w:val="decimal"/>
      <w:lvlText w:val="%1"/>
      <w:lvlJc w:val="left"/>
      <w:pPr>
        <w:ind w:left="425" w:hanging="425"/>
      </w:pPr>
      <w:rPr>
        <w:rFonts w:hint="default" w:ascii="Times New Roman" w:hAnsi="Times New Roman" w:eastAsia="宋体" w:cs="宋体"/>
      </w:rPr>
    </w:lvl>
    <w:lvl w:ilvl="1" w:tentative="0">
      <w:start w:val="1"/>
      <w:numFmt w:val="decimal"/>
      <w:lvlText w:val="%1.%2"/>
      <w:lvlJc w:val="left"/>
      <w:pPr>
        <w:ind w:left="567" w:hanging="567"/>
      </w:pPr>
      <w:rPr>
        <w:rFonts w:hint="default" w:ascii="Times New Roman" w:hAnsi="Times New Roman" w:eastAsia="宋体" w:cs="宋体"/>
      </w:rPr>
    </w:lvl>
    <w:lvl w:ilvl="2" w:tentative="0">
      <w:start w:val="1"/>
      <w:numFmt w:val="decimal"/>
      <w:lvlText w:val="%1.%2.%3"/>
      <w:lvlJc w:val="left"/>
      <w:pPr>
        <w:ind w:left="709" w:hanging="709"/>
      </w:pPr>
      <w:rPr>
        <w:rFonts w:hint="default" w:ascii="Times New Roman" w:hAnsi="Times New Roman" w:eastAsia="宋体" w:cs="宋体"/>
      </w:rPr>
    </w:lvl>
    <w:lvl w:ilvl="3" w:tentative="0">
      <w:start w:val="1"/>
      <w:numFmt w:val="decimal"/>
      <w:lvlText w:val="%1.%2.%3.%4"/>
      <w:lvlJc w:val="left"/>
      <w:pPr>
        <w:ind w:left="850" w:hanging="850"/>
      </w:pPr>
      <w:rPr>
        <w:rFonts w:hint="default" w:ascii="Times New Roman" w:hAnsi="Times New Roman"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EC940DA1"/>
    <w:multiLevelType w:val="multilevel"/>
    <w:tmpl w:val="EC940DA1"/>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67"/>
        </w:tabs>
        <w:ind w:left="0" w:firstLine="0"/>
      </w:pPr>
      <w:rPr>
        <w:rFonts w:hint="default" w:ascii="Times New Roman" w:hAnsi="Times New Roman" w:cs="Times New Roman"/>
      </w:rPr>
    </w:lvl>
    <w:lvl w:ilvl="2" w:tentative="0">
      <w:start w:val="1"/>
      <w:numFmt w:val="decimal"/>
      <w:lvlText w:val="%1.%2.%3"/>
      <w:lvlJc w:val="left"/>
      <w:pPr>
        <w:tabs>
          <w:tab w:val="left" w:pos="0"/>
        </w:tabs>
        <w:ind w:left="0" w:firstLine="0"/>
      </w:pPr>
      <w:rPr>
        <w:rFonts w:hint="eastAsia"/>
      </w:rPr>
    </w:lvl>
    <w:lvl w:ilvl="3" w:tentative="0">
      <w:start w:val="1"/>
      <w:numFmt w:val="decimal"/>
      <w:pStyle w:val="7"/>
      <w:lvlText w:val="%1.%2.%3.%4"/>
      <w:lvlJc w:val="left"/>
      <w:pPr>
        <w:tabs>
          <w:tab w:val="left" w:pos="0"/>
        </w:tabs>
        <w:ind w:left="1660" w:hanging="1660"/>
      </w:pPr>
      <w:rPr>
        <w:rFonts w:hint="eastAsia"/>
      </w:rPr>
    </w:lvl>
    <w:lvl w:ilvl="4" w:tentative="0">
      <w:start w:val="1"/>
      <w:numFmt w:val="decimal"/>
      <w:suff w:val="nothing"/>
      <w:lvlText w:val="%1.%2.%3.%4.%5"/>
      <w:lvlJc w:val="left"/>
      <w:pPr>
        <w:tabs>
          <w:tab w:val="left" w:pos="0"/>
        </w:tabs>
        <w:ind w:left="0" w:firstLine="0"/>
      </w:pPr>
      <w:rPr>
        <w:rFonts w:hint="default"/>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FBBEA188"/>
    <w:multiLevelType w:val="multilevel"/>
    <w:tmpl w:val="FBBEA188"/>
    <w:lvl w:ilvl="0" w:tentative="0">
      <w:start w:val="1"/>
      <w:numFmt w:val="decimal"/>
      <w:lvlText w:val="%1"/>
      <w:lvlJc w:val="left"/>
      <w:pPr>
        <w:ind w:left="425" w:hanging="425"/>
      </w:pPr>
      <w:rPr>
        <w:rFonts w:hint="default" w:ascii="Times New Roman" w:hAnsi="Times New Roman" w:eastAsia="宋体" w:cs="宋体"/>
      </w:rPr>
    </w:lvl>
    <w:lvl w:ilvl="1" w:tentative="0">
      <w:start w:val="1"/>
      <w:numFmt w:val="decimal"/>
      <w:lvlText w:val="%1.%2"/>
      <w:lvlJc w:val="left"/>
      <w:pPr>
        <w:ind w:left="567" w:hanging="567"/>
      </w:pPr>
      <w:rPr>
        <w:rFonts w:hint="default" w:ascii="Times New Roman" w:hAnsi="Times New Roman" w:eastAsia="宋体" w:cs="宋体"/>
        <w:sz w:val="28"/>
        <w:szCs w:val="28"/>
      </w:rPr>
    </w:lvl>
    <w:lvl w:ilvl="2" w:tentative="0">
      <w:start w:val="1"/>
      <w:numFmt w:val="decimal"/>
      <w:lvlText w:val="%1.%2.%3"/>
      <w:lvlJc w:val="left"/>
      <w:pPr>
        <w:ind w:left="709" w:hanging="709"/>
      </w:pPr>
      <w:rPr>
        <w:rFonts w:hint="default" w:ascii="Times New Roman" w:hAnsi="Times New Roman" w:eastAsia="宋体" w:cs="宋体"/>
        <w:b/>
        <w:bCs/>
        <w:sz w:val="28"/>
        <w:szCs w:val="28"/>
      </w:rPr>
    </w:lvl>
    <w:lvl w:ilvl="3" w:tentative="0">
      <w:start w:val="1"/>
      <w:numFmt w:val="decimal"/>
      <w:lvlText w:val="%1.%2.%3.%4"/>
      <w:lvlJc w:val="left"/>
      <w:pPr>
        <w:ind w:left="850" w:hanging="850"/>
      </w:pPr>
      <w:rPr>
        <w:rFonts w:hint="default" w:ascii="Times New Roman" w:hAnsi="Times New Roman"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FFFFFF80"/>
    <w:multiLevelType w:val="singleLevel"/>
    <w:tmpl w:val="FFFFFF80"/>
    <w:lvl w:ilvl="0" w:tentative="0">
      <w:start w:val="1"/>
      <w:numFmt w:val="bullet"/>
      <w:pStyle w:val="19"/>
      <w:lvlText w:val=""/>
      <w:lvlJc w:val="left"/>
      <w:pPr>
        <w:tabs>
          <w:tab w:val="left" w:pos="2040"/>
        </w:tabs>
        <w:ind w:left="2040" w:hanging="360"/>
      </w:pPr>
      <w:rPr>
        <w:rFonts w:hint="default" w:ascii="Wingdings" w:hAnsi="Wingdings"/>
      </w:rPr>
    </w:lvl>
  </w:abstractNum>
  <w:abstractNum w:abstractNumId="5">
    <w:nsid w:val="00000017"/>
    <w:multiLevelType w:val="singleLevel"/>
    <w:tmpl w:val="00000017"/>
    <w:lvl w:ilvl="0" w:tentative="0">
      <w:start w:val="1"/>
      <w:numFmt w:val="bullet"/>
      <w:pStyle w:val="11"/>
      <w:lvlText w:val=""/>
      <w:lvlJc w:val="left"/>
      <w:pPr>
        <w:tabs>
          <w:tab w:val="left" w:pos="360"/>
        </w:tabs>
        <w:ind w:left="360" w:hanging="360"/>
      </w:pPr>
      <w:rPr>
        <w:rFonts w:hint="default" w:ascii="Wingdings" w:hAnsi="Wingdings"/>
      </w:rPr>
    </w:lvl>
  </w:abstractNum>
  <w:abstractNum w:abstractNumId="6">
    <w:nsid w:val="03852888"/>
    <w:multiLevelType w:val="multilevel"/>
    <w:tmpl w:val="03852888"/>
    <w:lvl w:ilvl="0" w:tentative="0">
      <w:start w:val="1"/>
      <w:numFmt w:val="decimal"/>
      <w:lvlText w:val="%1"/>
      <w:lvlJc w:val="left"/>
      <w:pPr>
        <w:ind w:left="425" w:hanging="425"/>
      </w:pPr>
      <w:rPr>
        <w:rFonts w:hint="default" w:ascii="Times New Roman" w:hAnsi="Times New Roman" w:eastAsia="宋体" w:cs="宋体"/>
      </w:rPr>
    </w:lvl>
    <w:lvl w:ilvl="1" w:tentative="0">
      <w:start w:val="1"/>
      <w:numFmt w:val="decimal"/>
      <w:lvlText w:val="%1.%2"/>
      <w:lvlJc w:val="left"/>
      <w:pPr>
        <w:ind w:left="567" w:hanging="567"/>
      </w:pPr>
      <w:rPr>
        <w:rFonts w:hint="default" w:ascii="Times New Roman" w:hAnsi="Times New Roman" w:eastAsia="宋体" w:cs="宋体"/>
      </w:rPr>
    </w:lvl>
    <w:lvl w:ilvl="2" w:tentative="0">
      <w:start w:val="1"/>
      <w:numFmt w:val="decimal"/>
      <w:lvlText w:val="%1.%2.%3"/>
      <w:lvlJc w:val="left"/>
      <w:pPr>
        <w:ind w:left="709" w:hanging="709"/>
      </w:pPr>
      <w:rPr>
        <w:rFonts w:hint="default" w:ascii="Times New Roman" w:hAnsi="Times New Roman" w:eastAsia="宋体" w:cs="宋体"/>
        <w:sz w:val="24"/>
        <w:szCs w:val="24"/>
      </w:rPr>
    </w:lvl>
    <w:lvl w:ilvl="3" w:tentative="0">
      <w:start w:val="1"/>
      <w:numFmt w:val="decimal"/>
      <w:lvlText w:val="%1.%2.%3.%4"/>
      <w:lvlJc w:val="left"/>
      <w:pPr>
        <w:ind w:left="850" w:hanging="850"/>
      </w:pPr>
      <w:rPr>
        <w:rFonts w:hint="default" w:ascii="Times New Roman" w:hAnsi="Times New Roman"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0AF80159"/>
    <w:multiLevelType w:val="multilevel"/>
    <w:tmpl w:val="0AF80159"/>
    <w:lvl w:ilvl="0" w:tentative="0">
      <w:start w:val="1"/>
      <w:numFmt w:val="decimal"/>
      <w:lvlText w:val="%1"/>
      <w:lvlJc w:val="left"/>
      <w:pPr>
        <w:ind w:left="425" w:hanging="425"/>
      </w:pPr>
      <w:rPr>
        <w:rFonts w:hint="default" w:ascii="Times New Roman" w:hAnsi="Times New Roman" w:eastAsia="宋体" w:cs="宋体"/>
      </w:rPr>
    </w:lvl>
    <w:lvl w:ilvl="1" w:tentative="0">
      <w:start w:val="1"/>
      <w:numFmt w:val="decimal"/>
      <w:lvlText w:val="%1.%2"/>
      <w:lvlJc w:val="left"/>
      <w:pPr>
        <w:ind w:left="567" w:hanging="567"/>
      </w:pPr>
      <w:rPr>
        <w:rFonts w:hint="default" w:ascii="Times New Roman" w:hAnsi="Times New Roman" w:eastAsia="宋体" w:cs="宋体"/>
      </w:rPr>
    </w:lvl>
    <w:lvl w:ilvl="2" w:tentative="0">
      <w:start w:val="1"/>
      <w:numFmt w:val="decimal"/>
      <w:lvlText w:val="%1.%2.%3"/>
      <w:lvlJc w:val="left"/>
      <w:pPr>
        <w:ind w:left="709" w:hanging="709"/>
      </w:pPr>
      <w:rPr>
        <w:rFonts w:hint="default" w:ascii="Times New Roman" w:hAnsi="Times New Roman" w:eastAsia="宋体" w:cs="宋体"/>
      </w:rPr>
    </w:lvl>
    <w:lvl w:ilvl="3" w:tentative="0">
      <w:start w:val="1"/>
      <w:numFmt w:val="decimal"/>
      <w:lvlText w:val="%1.%2.%3.%4"/>
      <w:lvlJc w:val="left"/>
      <w:pPr>
        <w:ind w:left="850" w:hanging="850"/>
      </w:pPr>
      <w:rPr>
        <w:rFonts w:hint="default" w:ascii="Times New Roman" w:hAnsi="Times New Roman"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
    <w:nsid w:val="1E1E3100"/>
    <w:multiLevelType w:val="multilevel"/>
    <w:tmpl w:val="1E1E3100"/>
    <w:lvl w:ilvl="0" w:tentative="0">
      <w:start w:val="1"/>
      <w:numFmt w:val="decimal"/>
      <w:lvlText w:val="%1"/>
      <w:lvlJc w:val="left"/>
      <w:pPr>
        <w:ind w:left="425" w:hanging="425"/>
      </w:pPr>
      <w:rPr>
        <w:rFonts w:hint="default" w:ascii="Times New Roman" w:hAnsi="Times New Roman" w:eastAsia="宋体" w:cs="宋体"/>
      </w:rPr>
    </w:lvl>
    <w:lvl w:ilvl="1" w:tentative="0">
      <w:start w:val="1"/>
      <w:numFmt w:val="decimal"/>
      <w:lvlText w:val="%1.%2"/>
      <w:lvlJc w:val="left"/>
      <w:pPr>
        <w:ind w:left="567" w:hanging="567"/>
      </w:pPr>
      <w:rPr>
        <w:rFonts w:hint="default" w:ascii="Times New Roman" w:hAnsi="Times New Roman" w:eastAsia="宋体" w:cs="宋体"/>
      </w:rPr>
    </w:lvl>
    <w:lvl w:ilvl="2" w:tentative="0">
      <w:start w:val="1"/>
      <w:numFmt w:val="decimal"/>
      <w:lvlText w:val="%1.%2.%3"/>
      <w:lvlJc w:val="left"/>
      <w:pPr>
        <w:ind w:left="709" w:hanging="709"/>
      </w:pPr>
      <w:rPr>
        <w:rFonts w:hint="default" w:ascii="Times New Roman" w:hAnsi="Times New Roman" w:eastAsia="宋体" w:cs="宋体"/>
      </w:rPr>
    </w:lvl>
    <w:lvl w:ilvl="3" w:tentative="0">
      <w:start w:val="1"/>
      <w:numFmt w:val="decimal"/>
      <w:lvlText w:val="%1.%2.%3.%4"/>
      <w:lvlJc w:val="left"/>
      <w:pPr>
        <w:ind w:left="850" w:hanging="850"/>
      </w:pPr>
      <w:rPr>
        <w:rFonts w:hint="default" w:ascii="Times New Roman" w:hAnsi="Times New Roman"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9">
    <w:nsid w:val="2A8D11D1"/>
    <w:multiLevelType w:val="multilevel"/>
    <w:tmpl w:val="2A8D11D1"/>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
    <w:nsid w:val="2B4D6526"/>
    <w:multiLevelType w:val="multilevel"/>
    <w:tmpl w:val="2B4D6526"/>
    <w:lvl w:ilvl="0" w:tentative="0">
      <w:start w:val="1"/>
      <w:numFmt w:val="decimal"/>
      <w:lvlText w:val="%1"/>
      <w:lvlJc w:val="left"/>
      <w:pPr>
        <w:ind w:left="425" w:hanging="425"/>
      </w:pPr>
      <w:rPr>
        <w:rFonts w:hint="default" w:ascii="Times New Roman" w:hAnsi="Times New Roman" w:eastAsia="宋体" w:cs="宋体"/>
        <w:b/>
        <w:sz w:val="24"/>
        <w:szCs w:val="24"/>
      </w:rPr>
    </w:lvl>
    <w:lvl w:ilvl="1" w:tentative="0">
      <w:start w:val="1"/>
      <w:numFmt w:val="decimal"/>
      <w:lvlText w:val="%1.%2"/>
      <w:lvlJc w:val="left"/>
      <w:pPr>
        <w:ind w:left="567" w:hanging="567"/>
      </w:pPr>
      <w:rPr>
        <w:rFonts w:hint="default" w:ascii="Times New Roman" w:hAnsi="Times New Roman" w:eastAsia="宋体" w:cs="宋体"/>
        <w:b/>
        <w:bCs/>
        <w:sz w:val="24"/>
        <w:szCs w:val="24"/>
      </w:rPr>
    </w:lvl>
    <w:lvl w:ilvl="2" w:tentative="0">
      <w:start w:val="1"/>
      <w:numFmt w:val="decimal"/>
      <w:lvlText w:val="%1.%2.%3"/>
      <w:lvlJc w:val="left"/>
      <w:pPr>
        <w:ind w:left="709" w:hanging="709"/>
      </w:pPr>
      <w:rPr>
        <w:rFonts w:hint="default" w:ascii="Times New Roman" w:hAnsi="Times New Roman" w:eastAsia="宋体" w:cs="宋体"/>
      </w:rPr>
    </w:lvl>
    <w:lvl w:ilvl="3" w:tentative="0">
      <w:start w:val="1"/>
      <w:numFmt w:val="decimal"/>
      <w:lvlText w:val="%1.%2.%3.%4"/>
      <w:lvlJc w:val="left"/>
      <w:pPr>
        <w:ind w:left="850" w:hanging="850"/>
      </w:pPr>
      <w:rPr>
        <w:rFonts w:hint="default" w:ascii="Times New Roman" w:hAnsi="Times New Roman"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1">
    <w:nsid w:val="319B50E2"/>
    <w:multiLevelType w:val="multilevel"/>
    <w:tmpl w:val="319B50E2"/>
    <w:lvl w:ilvl="0" w:tentative="0">
      <w:start w:val="1"/>
      <w:numFmt w:val="decimal"/>
      <w:lvlText w:val="%1"/>
      <w:lvlJc w:val="left"/>
      <w:pPr>
        <w:ind w:left="425" w:hanging="425"/>
      </w:pPr>
      <w:rPr>
        <w:rFonts w:hint="default" w:ascii="Times New Roman" w:hAnsi="Times New Roman" w:eastAsia="宋体" w:cs="宋体"/>
      </w:rPr>
    </w:lvl>
    <w:lvl w:ilvl="1" w:tentative="0">
      <w:start w:val="1"/>
      <w:numFmt w:val="decimal"/>
      <w:lvlText w:val="%1.%2"/>
      <w:lvlJc w:val="left"/>
      <w:pPr>
        <w:ind w:left="567" w:hanging="567"/>
      </w:pPr>
      <w:rPr>
        <w:rFonts w:hint="default" w:ascii="Times New Roman" w:hAnsi="Times New Roman" w:eastAsia="宋体" w:cs="宋体"/>
      </w:rPr>
    </w:lvl>
    <w:lvl w:ilvl="2" w:tentative="0">
      <w:start w:val="1"/>
      <w:numFmt w:val="decimal"/>
      <w:lvlText w:val="%1.%2.%3"/>
      <w:lvlJc w:val="left"/>
      <w:pPr>
        <w:ind w:left="709" w:hanging="709"/>
      </w:pPr>
      <w:rPr>
        <w:rFonts w:hint="default" w:ascii="Times New Roman" w:hAnsi="Times New Roman" w:eastAsia="宋体" w:cs="宋体"/>
      </w:rPr>
    </w:lvl>
    <w:lvl w:ilvl="3" w:tentative="0">
      <w:start w:val="1"/>
      <w:numFmt w:val="decimal"/>
      <w:lvlText w:val="%1.%2.%3.%4"/>
      <w:lvlJc w:val="left"/>
      <w:pPr>
        <w:ind w:left="850" w:hanging="850"/>
      </w:pPr>
      <w:rPr>
        <w:rFonts w:hint="default" w:ascii="Times New Roman" w:hAnsi="Times New Roman"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2">
    <w:nsid w:val="35E00B9F"/>
    <w:multiLevelType w:val="multilevel"/>
    <w:tmpl w:val="35E00B9F"/>
    <w:lvl w:ilvl="0" w:tentative="0">
      <w:start w:val="1"/>
      <w:numFmt w:val="decimal"/>
      <w:lvlText w:val="%1"/>
      <w:lvlJc w:val="left"/>
      <w:pPr>
        <w:ind w:left="425" w:hanging="425"/>
      </w:pPr>
      <w:rPr>
        <w:rFonts w:hint="default" w:ascii="Times New Roman" w:hAnsi="Times New Roman" w:eastAsia="宋体" w:cs="宋体"/>
        <w:b/>
        <w:bCs/>
      </w:rPr>
    </w:lvl>
    <w:lvl w:ilvl="1" w:tentative="0">
      <w:start w:val="1"/>
      <w:numFmt w:val="decimal"/>
      <w:lvlText w:val="%1.%2"/>
      <w:lvlJc w:val="left"/>
      <w:pPr>
        <w:ind w:left="567" w:hanging="567"/>
      </w:pPr>
      <w:rPr>
        <w:rFonts w:hint="default" w:ascii="Times New Roman" w:hAnsi="Times New Roman" w:eastAsia="宋体" w:cs="宋体"/>
        <w:b/>
        <w:bCs/>
      </w:rPr>
    </w:lvl>
    <w:lvl w:ilvl="2" w:tentative="0">
      <w:start w:val="1"/>
      <w:numFmt w:val="decimal"/>
      <w:lvlText w:val="%1.%2.%3"/>
      <w:lvlJc w:val="left"/>
      <w:pPr>
        <w:ind w:left="709" w:hanging="709"/>
      </w:pPr>
      <w:rPr>
        <w:rFonts w:hint="default" w:ascii="Times New Roman" w:hAnsi="Times New Roman" w:eastAsia="宋体" w:cs="宋体"/>
      </w:rPr>
    </w:lvl>
    <w:lvl w:ilvl="3" w:tentative="0">
      <w:start w:val="1"/>
      <w:numFmt w:val="decimal"/>
      <w:lvlText w:val="%1.%2.%3.%4"/>
      <w:lvlJc w:val="left"/>
      <w:pPr>
        <w:ind w:left="850" w:hanging="850"/>
      </w:pPr>
      <w:rPr>
        <w:rFonts w:hint="default" w:ascii="Times New Roman" w:hAnsi="Times New Roman"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3">
    <w:nsid w:val="3CFB21A8"/>
    <w:multiLevelType w:val="multilevel"/>
    <w:tmpl w:val="3CFB21A8"/>
    <w:lvl w:ilvl="0" w:tentative="0">
      <w:start w:val="1"/>
      <w:numFmt w:val="decimal"/>
      <w:lvlText w:val="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4332733B"/>
    <w:multiLevelType w:val="singleLevel"/>
    <w:tmpl w:val="4332733B"/>
    <w:lvl w:ilvl="0" w:tentative="0">
      <w:start w:val="1"/>
      <w:numFmt w:val="decimal"/>
      <w:suff w:val="nothing"/>
      <w:lvlText w:val="（%1）"/>
      <w:lvlJc w:val="left"/>
    </w:lvl>
  </w:abstractNum>
  <w:abstractNum w:abstractNumId="15">
    <w:nsid w:val="507E370E"/>
    <w:multiLevelType w:val="multilevel"/>
    <w:tmpl w:val="507E370E"/>
    <w:lvl w:ilvl="0" w:tentative="0">
      <w:start w:val="1"/>
      <w:numFmt w:val="decimal"/>
      <w:lvlText w:val="%1"/>
      <w:lvlJc w:val="center"/>
      <w:pPr>
        <w:ind w:left="582" w:hanging="440"/>
      </w:pPr>
      <w:rPr>
        <w:rFonts w:hint="eastAsia"/>
      </w:rPr>
    </w:lvl>
    <w:lvl w:ilvl="1" w:tentative="0">
      <w:start w:val="1"/>
      <w:numFmt w:val="lowerLetter"/>
      <w:lvlText w:val="%2)"/>
      <w:lvlJc w:val="left"/>
      <w:pPr>
        <w:ind w:left="1022" w:hanging="440"/>
      </w:pPr>
    </w:lvl>
    <w:lvl w:ilvl="2" w:tentative="0">
      <w:start w:val="1"/>
      <w:numFmt w:val="lowerRoman"/>
      <w:lvlText w:val="%3."/>
      <w:lvlJc w:val="right"/>
      <w:pPr>
        <w:ind w:left="1462" w:hanging="440"/>
      </w:pPr>
    </w:lvl>
    <w:lvl w:ilvl="3" w:tentative="0">
      <w:start w:val="1"/>
      <w:numFmt w:val="decimal"/>
      <w:lvlText w:val="%4."/>
      <w:lvlJc w:val="left"/>
      <w:pPr>
        <w:ind w:left="1902" w:hanging="440"/>
      </w:pPr>
    </w:lvl>
    <w:lvl w:ilvl="4" w:tentative="0">
      <w:start w:val="1"/>
      <w:numFmt w:val="lowerLetter"/>
      <w:lvlText w:val="%5)"/>
      <w:lvlJc w:val="left"/>
      <w:pPr>
        <w:ind w:left="2342" w:hanging="440"/>
      </w:pPr>
    </w:lvl>
    <w:lvl w:ilvl="5" w:tentative="0">
      <w:start w:val="1"/>
      <w:numFmt w:val="lowerRoman"/>
      <w:lvlText w:val="%6."/>
      <w:lvlJc w:val="right"/>
      <w:pPr>
        <w:ind w:left="2782" w:hanging="440"/>
      </w:pPr>
    </w:lvl>
    <w:lvl w:ilvl="6" w:tentative="0">
      <w:start w:val="1"/>
      <w:numFmt w:val="decimal"/>
      <w:lvlText w:val="%7."/>
      <w:lvlJc w:val="left"/>
      <w:pPr>
        <w:ind w:left="3222" w:hanging="440"/>
      </w:pPr>
    </w:lvl>
    <w:lvl w:ilvl="7" w:tentative="0">
      <w:start w:val="1"/>
      <w:numFmt w:val="lowerLetter"/>
      <w:lvlText w:val="%8)"/>
      <w:lvlJc w:val="left"/>
      <w:pPr>
        <w:ind w:left="3662" w:hanging="440"/>
      </w:pPr>
    </w:lvl>
    <w:lvl w:ilvl="8" w:tentative="0">
      <w:start w:val="1"/>
      <w:numFmt w:val="lowerRoman"/>
      <w:lvlText w:val="%9."/>
      <w:lvlJc w:val="right"/>
      <w:pPr>
        <w:ind w:left="4102" w:hanging="440"/>
      </w:pPr>
    </w:lvl>
  </w:abstractNum>
  <w:abstractNum w:abstractNumId="16">
    <w:nsid w:val="58975D68"/>
    <w:multiLevelType w:val="multilevel"/>
    <w:tmpl w:val="58975D68"/>
    <w:lvl w:ilvl="0" w:tentative="0">
      <w:start w:val="1"/>
      <w:numFmt w:val="decimal"/>
      <w:lvlText w:val="%1"/>
      <w:lvlJc w:val="left"/>
      <w:pPr>
        <w:ind w:left="425" w:hanging="425"/>
      </w:pPr>
      <w:rPr>
        <w:rFonts w:hint="default"/>
        <w:b/>
        <w:bCs/>
        <w:sz w:val="28"/>
        <w:szCs w:val="28"/>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7">
    <w:nsid w:val="59A7161B"/>
    <w:multiLevelType w:val="multilevel"/>
    <w:tmpl w:val="59A7161B"/>
    <w:lvl w:ilvl="0" w:tentative="0">
      <w:start w:val="1"/>
      <w:numFmt w:val="decimal"/>
      <w:lvlText w:val="%1"/>
      <w:lvlJc w:val="left"/>
      <w:pPr>
        <w:ind w:left="425" w:hanging="425"/>
      </w:pPr>
      <w:rPr>
        <w:rFonts w:hint="default" w:ascii="Times New Roman" w:hAnsi="Times New Roman" w:eastAsia="宋体" w:cs="宋体"/>
      </w:rPr>
    </w:lvl>
    <w:lvl w:ilvl="1" w:tentative="0">
      <w:start w:val="1"/>
      <w:numFmt w:val="decimal"/>
      <w:lvlText w:val="%1.%2"/>
      <w:lvlJc w:val="left"/>
      <w:pPr>
        <w:ind w:left="567" w:hanging="567"/>
      </w:pPr>
      <w:rPr>
        <w:rFonts w:hint="default" w:ascii="Times New Roman" w:hAnsi="Times New Roman" w:eastAsia="宋体" w:cs="宋体"/>
      </w:rPr>
    </w:lvl>
    <w:lvl w:ilvl="2" w:tentative="0">
      <w:start w:val="1"/>
      <w:numFmt w:val="decimal"/>
      <w:lvlText w:val="%1.%2.%3"/>
      <w:lvlJc w:val="left"/>
      <w:pPr>
        <w:ind w:left="709" w:hanging="709"/>
      </w:pPr>
      <w:rPr>
        <w:rFonts w:hint="default" w:ascii="Times New Roman" w:hAnsi="Times New Roman" w:eastAsia="宋体" w:cs="宋体"/>
      </w:rPr>
    </w:lvl>
    <w:lvl w:ilvl="3" w:tentative="0">
      <w:start w:val="1"/>
      <w:numFmt w:val="decimal"/>
      <w:lvlText w:val="%1.%2.%3.%4"/>
      <w:lvlJc w:val="left"/>
      <w:pPr>
        <w:ind w:left="850" w:hanging="850"/>
      </w:pPr>
      <w:rPr>
        <w:rFonts w:hint="default" w:ascii="Times New Roman" w:hAnsi="Times New Roman"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8">
    <w:nsid w:val="6B085DFD"/>
    <w:multiLevelType w:val="multilevel"/>
    <w:tmpl w:val="6B085DFD"/>
    <w:lvl w:ilvl="0" w:tentative="0">
      <w:start w:val="1"/>
      <w:numFmt w:val="decimal"/>
      <w:lvlText w:val="%1"/>
      <w:lvlJc w:val="center"/>
      <w:pPr>
        <w:ind w:left="582" w:hanging="440"/>
      </w:pPr>
      <w:rPr>
        <w:rFonts w:hint="eastAsia"/>
      </w:rPr>
    </w:lvl>
    <w:lvl w:ilvl="1" w:tentative="0">
      <w:start w:val="1"/>
      <w:numFmt w:val="lowerLetter"/>
      <w:lvlText w:val="%2)"/>
      <w:lvlJc w:val="left"/>
      <w:pPr>
        <w:ind w:left="1022" w:hanging="440"/>
      </w:pPr>
    </w:lvl>
    <w:lvl w:ilvl="2" w:tentative="0">
      <w:start w:val="1"/>
      <w:numFmt w:val="lowerRoman"/>
      <w:lvlText w:val="%3."/>
      <w:lvlJc w:val="right"/>
      <w:pPr>
        <w:ind w:left="1462" w:hanging="440"/>
      </w:pPr>
    </w:lvl>
    <w:lvl w:ilvl="3" w:tentative="0">
      <w:start w:val="1"/>
      <w:numFmt w:val="decimal"/>
      <w:lvlText w:val="%4."/>
      <w:lvlJc w:val="left"/>
      <w:pPr>
        <w:ind w:left="1902" w:hanging="440"/>
      </w:pPr>
    </w:lvl>
    <w:lvl w:ilvl="4" w:tentative="0">
      <w:start w:val="1"/>
      <w:numFmt w:val="lowerLetter"/>
      <w:lvlText w:val="%5)"/>
      <w:lvlJc w:val="left"/>
      <w:pPr>
        <w:ind w:left="2342" w:hanging="440"/>
      </w:pPr>
    </w:lvl>
    <w:lvl w:ilvl="5" w:tentative="0">
      <w:start w:val="1"/>
      <w:numFmt w:val="lowerRoman"/>
      <w:lvlText w:val="%6."/>
      <w:lvlJc w:val="right"/>
      <w:pPr>
        <w:ind w:left="2782" w:hanging="440"/>
      </w:pPr>
    </w:lvl>
    <w:lvl w:ilvl="6" w:tentative="0">
      <w:start w:val="1"/>
      <w:numFmt w:val="decimal"/>
      <w:lvlText w:val="%7."/>
      <w:lvlJc w:val="left"/>
      <w:pPr>
        <w:ind w:left="3222" w:hanging="440"/>
      </w:pPr>
    </w:lvl>
    <w:lvl w:ilvl="7" w:tentative="0">
      <w:start w:val="1"/>
      <w:numFmt w:val="lowerLetter"/>
      <w:lvlText w:val="%8)"/>
      <w:lvlJc w:val="left"/>
      <w:pPr>
        <w:ind w:left="3662" w:hanging="440"/>
      </w:pPr>
    </w:lvl>
    <w:lvl w:ilvl="8" w:tentative="0">
      <w:start w:val="1"/>
      <w:numFmt w:val="lowerRoman"/>
      <w:lvlText w:val="%9."/>
      <w:lvlJc w:val="right"/>
      <w:pPr>
        <w:ind w:left="4102" w:hanging="440"/>
      </w:pPr>
    </w:lvl>
  </w:abstractNum>
  <w:abstractNum w:abstractNumId="19">
    <w:nsid w:val="6EC301E2"/>
    <w:multiLevelType w:val="multilevel"/>
    <w:tmpl w:val="6EC301E2"/>
    <w:lvl w:ilvl="0" w:tentative="0">
      <w:start w:val="1"/>
      <w:numFmt w:val="decimal"/>
      <w:lvlText w:val="%1"/>
      <w:lvlJc w:val="left"/>
      <w:pPr>
        <w:ind w:left="425" w:hanging="425"/>
      </w:pPr>
      <w:rPr>
        <w:rFonts w:hint="default" w:ascii="Times New Roman" w:hAnsi="Times New Roman" w:eastAsia="宋体" w:cs="宋体"/>
      </w:rPr>
    </w:lvl>
    <w:lvl w:ilvl="1" w:tentative="0">
      <w:start w:val="1"/>
      <w:numFmt w:val="decimal"/>
      <w:lvlText w:val="%1.%2"/>
      <w:lvlJc w:val="left"/>
      <w:pPr>
        <w:ind w:left="567" w:hanging="567"/>
      </w:pPr>
      <w:rPr>
        <w:rFonts w:hint="default" w:ascii="Times New Roman" w:hAnsi="Times New Roman" w:eastAsia="宋体" w:cs="宋体"/>
      </w:rPr>
    </w:lvl>
    <w:lvl w:ilvl="2" w:tentative="0">
      <w:start w:val="1"/>
      <w:numFmt w:val="decimal"/>
      <w:lvlText w:val="%1.%2.%3"/>
      <w:lvlJc w:val="left"/>
      <w:pPr>
        <w:ind w:left="709" w:hanging="709"/>
      </w:pPr>
      <w:rPr>
        <w:rFonts w:hint="default" w:ascii="Times New Roman" w:hAnsi="Times New Roman" w:eastAsia="宋体" w:cs="宋体"/>
      </w:rPr>
    </w:lvl>
    <w:lvl w:ilvl="3" w:tentative="0">
      <w:start w:val="1"/>
      <w:numFmt w:val="decimal"/>
      <w:lvlText w:val="%1.%2.%3.%4"/>
      <w:lvlJc w:val="left"/>
      <w:pPr>
        <w:ind w:left="850" w:hanging="850"/>
      </w:pPr>
      <w:rPr>
        <w:rFonts w:hint="default" w:ascii="Times New Roman" w:hAnsi="Times New Roman"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0">
    <w:nsid w:val="6F3D49CA"/>
    <w:multiLevelType w:val="multilevel"/>
    <w:tmpl w:val="6F3D49CA"/>
    <w:lvl w:ilvl="0" w:tentative="0">
      <w:start w:val="1"/>
      <w:numFmt w:val="decimal"/>
      <w:lvlText w:val="%1"/>
      <w:lvlJc w:val="center"/>
      <w:pPr>
        <w:ind w:left="582" w:hanging="440"/>
      </w:pPr>
      <w:rPr>
        <w:rFonts w:hint="eastAsia"/>
      </w:rPr>
    </w:lvl>
    <w:lvl w:ilvl="1" w:tentative="0">
      <w:start w:val="1"/>
      <w:numFmt w:val="lowerLetter"/>
      <w:lvlText w:val="%2)"/>
      <w:lvlJc w:val="left"/>
      <w:pPr>
        <w:ind w:left="1022" w:hanging="440"/>
      </w:pPr>
    </w:lvl>
    <w:lvl w:ilvl="2" w:tentative="0">
      <w:start w:val="1"/>
      <w:numFmt w:val="lowerRoman"/>
      <w:lvlText w:val="%3."/>
      <w:lvlJc w:val="right"/>
      <w:pPr>
        <w:ind w:left="1462" w:hanging="440"/>
      </w:pPr>
    </w:lvl>
    <w:lvl w:ilvl="3" w:tentative="0">
      <w:start w:val="1"/>
      <w:numFmt w:val="decimal"/>
      <w:lvlText w:val="%4."/>
      <w:lvlJc w:val="left"/>
      <w:pPr>
        <w:ind w:left="1902" w:hanging="440"/>
      </w:pPr>
    </w:lvl>
    <w:lvl w:ilvl="4" w:tentative="0">
      <w:start w:val="1"/>
      <w:numFmt w:val="lowerLetter"/>
      <w:lvlText w:val="%5)"/>
      <w:lvlJc w:val="left"/>
      <w:pPr>
        <w:ind w:left="2342" w:hanging="440"/>
      </w:pPr>
    </w:lvl>
    <w:lvl w:ilvl="5" w:tentative="0">
      <w:start w:val="1"/>
      <w:numFmt w:val="lowerRoman"/>
      <w:lvlText w:val="%6."/>
      <w:lvlJc w:val="right"/>
      <w:pPr>
        <w:ind w:left="2782" w:hanging="440"/>
      </w:pPr>
    </w:lvl>
    <w:lvl w:ilvl="6" w:tentative="0">
      <w:start w:val="1"/>
      <w:numFmt w:val="decimal"/>
      <w:lvlText w:val="%7."/>
      <w:lvlJc w:val="left"/>
      <w:pPr>
        <w:ind w:left="3222" w:hanging="440"/>
      </w:pPr>
    </w:lvl>
    <w:lvl w:ilvl="7" w:tentative="0">
      <w:start w:val="1"/>
      <w:numFmt w:val="lowerLetter"/>
      <w:lvlText w:val="%8)"/>
      <w:lvlJc w:val="left"/>
      <w:pPr>
        <w:ind w:left="3662" w:hanging="440"/>
      </w:pPr>
    </w:lvl>
    <w:lvl w:ilvl="8" w:tentative="0">
      <w:start w:val="1"/>
      <w:numFmt w:val="lowerRoman"/>
      <w:lvlText w:val="%9."/>
      <w:lvlJc w:val="right"/>
      <w:pPr>
        <w:ind w:left="4102" w:hanging="440"/>
      </w:pPr>
    </w:lvl>
  </w:abstractNum>
  <w:abstractNum w:abstractNumId="21">
    <w:nsid w:val="73060283"/>
    <w:multiLevelType w:val="multilevel"/>
    <w:tmpl w:val="73060283"/>
    <w:lvl w:ilvl="0" w:tentative="0">
      <w:start w:val="1"/>
      <w:numFmt w:val="decimal"/>
      <w:lvlText w:val="%1"/>
      <w:lvlJc w:val="left"/>
      <w:pPr>
        <w:ind w:left="425" w:hanging="425"/>
      </w:pPr>
      <w:rPr>
        <w:rFonts w:hint="default" w:ascii="Times New Roman" w:hAnsi="Times New Roman" w:eastAsia="宋体" w:cs="宋体"/>
      </w:rPr>
    </w:lvl>
    <w:lvl w:ilvl="1" w:tentative="0">
      <w:start w:val="1"/>
      <w:numFmt w:val="decimal"/>
      <w:lvlText w:val="%1.%2"/>
      <w:lvlJc w:val="left"/>
      <w:pPr>
        <w:ind w:left="567" w:hanging="567"/>
      </w:pPr>
      <w:rPr>
        <w:rFonts w:hint="default" w:ascii="Times New Roman" w:hAnsi="Times New Roman" w:eastAsia="宋体" w:cs="宋体"/>
        <w:b/>
        <w:bCs/>
      </w:rPr>
    </w:lvl>
    <w:lvl w:ilvl="2" w:tentative="0">
      <w:start w:val="1"/>
      <w:numFmt w:val="decimal"/>
      <w:lvlText w:val="%1.%2.%3"/>
      <w:lvlJc w:val="left"/>
      <w:pPr>
        <w:ind w:left="709" w:hanging="709"/>
      </w:pPr>
      <w:rPr>
        <w:rFonts w:hint="default" w:ascii="Times New Roman" w:hAnsi="Times New Roman" w:eastAsia="宋体" w:cs="宋体"/>
        <w:b/>
        <w:bCs/>
        <w:sz w:val="24"/>
        <w:szCs w:val="24"/>
      </w:rPr>
    </w:lvl>
    <w:lvl w:ilvl="3" w:tentative="0">
      <w:start w:val="1"/>
      <w:numFmt w:val="decimal"/>
      <w:lvlText w:val="%1.%2.%3.%4"/>
      <w:lvlJc w:val="left"/>
      <w:pPr>
        <w:ind w:left="850" w:hanging="850"/>
      </w:pPr>
      <w:rPr>
        <w:rFonts w:hint="default" w:ascii="Times New Roman" w:hAnsi="Times New Roman" w:eastAsia="宋体" w:cs="宋体"/>
        <w:b/>
        <w:bCs/>
        <w:sz w:val="24"/>
        <w:szCs w:val="24"/>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2">
    <w:nsid w:val="78AC1F6B"/>
    <w:multiLevelType w:val="multilevel"/>
    <w:tmpl w:val="78AC1F6B"/>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5"/>
  </w:num>
  <w:num w:numId="3">
    <w:abstractNumId w:val="4"/>
  </w:num>
  <w:num w:numId="4">
    <w:abstractNumId w:val="16"/>
  </w:num>
  <w:num w:numId="5">
    <w:abstractNumId w:val="6"/>
  </w:num>
  <w:num w:numId="6">
    <w:abstractNumId w:val="19"/>
  </w:num>
  <w:num w:numId="7">
    <w:abstractNumId w:val="11"/>
  </w:num>
  <w:num w:numId="8">
    <w:abstractNumId w:val="1"/>
  </w:num>
  <w:num w:numId="9">
    <w:abstractNumId w:val="13"/>
  </w:num>
  <w:num w:numId="10">
    <w:abstractNumId w:val="18"/>
  </w:num>
  <w:num w:numId="11">
    <w:abstractNumId w:val="20"/>
  </w:num>
  <w:num w:numId="12">
    <w:abstractNumId w:val="15"/>
  </w:num>
  <w:num w:numId="13">
    <w:abstractNumId w:val="17"/>
  </w:num>
  <w:num w:numId="14">
    <w:abstractNumId w:val="8"/>
  </w:num>
  <w:num w:numId="15">
    <w:abstractNumId w:val="21"/>
  </w:num>
  <w:num w:numId="16">
    <w:abstractNumId w:val="22"/>
  </w:num>
  <w:num w:numId="17">
    <w:abstractNumId w:val="10"/>
  </w:num>
  <w:num w:numId="18">
    <w:abstractNumId w:val="0"/>
  </w:num>
  <w:num w:numId="19">
    <w:abstractNumId w:val="7"/>
  </w:num>
  <w:num w:numId="20">
    <w:abstractNumId w:val="12"/>
  </w:num>
  <w:num w:numId="21">
    <w:abstractNumId w:val="3"/>
  </w:num>
  <w:num w:numId="22">
    <w:abstractNumId w:val="9"/>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oNotHyphenateCaps/>
  <w:drawingGridHorizontalSpacing w:val="105"/>
  <w:drawingGridVerticalSpacing w:val="156"/>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M3Njg3YTY2OWU2OWFkYmJkYjNmMjg1N2FlMDQ5MjMifQ=="/>
  </w:docVars>
  <w:rsids>
    <w:rsidRoot w:val="00172A27"/>
    <w:rsid w:val="00000D98"/>
    <w:rsid w:val="00001CED"/>
    <w:rsid w:val="00001E67"/>
    <w:rsid w:val="00002014"/>
    <w:rsid w:val="00003CD8"/>
    <w:rsid w:val="00004159"/>
    <w:rsid w:val="000054C0"/>
    <w:rsid w:val="00005722"/>
    <w:rsid w:val="00007DE9"/>
    <w:rsid w:val="00010E37"/>
    <w:rsid w:val="00012E65"/>
    <w:rsid w:val="00013BBC"/>
    <w:rsid w:val="00014965"/>
    <w:rsid w:val="0001523A"/>
    <w:rsid w:val="00015A0F"/>
    <w:rsid w:val="00015E32"/>
    <w:rsid w:val="00016DCA"/>
    <w:rsid w:val="00016ECB"/>
    <w:rsid w:val="000229B7"/>
    <w:rsid w:val="0002350B"/>
    <w:rsid w:val="00023978"/>
    <w:rsid w:val="00023C42"/>
    <w:rsid w:val="0002684C"/>
    <w:rsid w:val="000269F6"/>
    <w:rsid w:val="0002705E"/>
    <w:rsid w:val="000277F2"/>
    <w:rsid w:val="00027DEF"/>
    <w:rsid w:val="00030A03"/>
    <w:rsid w:val="00031939"/>
    <w:rsid w:val="00031B73"/>
    <w:rsid w:val="00032746"/>
    <w:rsid w:val="00032D25"/>
    <w:rsid w:val="00034557"/>
    <w:rsid w:val="00034E11"/>
    <w:rsid w:val="00036043"/>
    <w:rsid w:val="00040D75"/>
    <w:rsid w:val="0004240A"/>
    <w:rsid w:val="000434FF"/>
    <w:rsid w:val="00043C4C"/>
    <w:rsid w:val="00046F7C"/>
    <w:rsid w:val="000510E9"/>
    <w:rsid w:val="00051A34"/>
    <w:rsid w:val="00051FD3"/>
    <w:rsid w:val="0005219D"/>
    <w:rsid w:val="00054646"/>
    <w:rsid w:val="00054DA3"/>
    <w:rsid w:val="00054F5B"/>
    <w:rsid w:val="0005568F"/>
    <w:rsid w:val="0006004C"/>
    <w:rsid w:val="00060C57"/>
    <w:rsid w:val="0006153D"/>
    <w:rsid w:val="00061B1F"/>
    <w:rsid w:val="00061DCD"/>
    <w:rsid w:val="00061E8B"/>
    <w:rsid w:val="000621DA"/>
    <w:rsid w:val="00062D16"/>
    <w:rsid w:val="000651A5"/>
    <w:rsid w:val="000664DB"/>
    <w:rsid w:val="00067F65"/>
    <w:rsid w:val="00070B1C"/>
    <w:rsid w:val="00071164"/>
    <w:rsid w:val="0007127D"/>
    <w:rsid w:val="00071AE5"/>
    <w:rsid w:val="000727F2"/>
    <w:rsid w:val="000741ED"/>
    <w:rsid w:val="00074783"/>
    <w:rsid w:val="00075C06"/>
    <w:rsid w:val="000801E0"/>
    <w:rsid w:val="00080241"/>
    <w:rsid w:val="0008066C"/>
    <w:rsid w:val="00080CF0"/>
    <w:rsid w:val="00080E13"/>
    <w:rsid w:val="00082A29"/>
    <w:rsid w:val="00082C78"/>
    <w:rsid w:val="0008331D"/>
    <w:rsid w:val="00083C18"/>
    <w:rsid w:val="00091202"/>
    <w:rsid w:val="00091610"/>
    <w:rsid w:val="00092217"/>
    <w:rsid w:val="00092899"/>
    <w:rsid w:val="00092D2C"/>
    <w:rsid w:val="00092FDB"/>
    <w:rsid w:val="00094BD8"/>
    <w:rsid w:val="000951B2"/>
    <w:rsid w:val="00095801"/>
    <w:rsid w:val="00095F3C"/>
    <w:rsid w:val="00096CE2"/>
    <w:rsid w:val="00096DC8"/>
    <w:rsid w:val="00096FCA"/>
    <w:rsid w:val="000A003E"/>
    <w:rsid w:val="000A098C"/>
    <w:rsid w:val="000A178E"/>
    <w:rsid w:val="000A276D"/>
    <w:rsid w:val="000A2D65"/>
    <w:rsid w:val="000A31C4"/>
    <w:rsid w:val="000A39B1"/>
    <w:rsid w:val="000A4929"/>
    <w:rsid w:val="000A557E"/>
    <w:rsid w:val="000A5B6E"/>
    <w:rsid w:val="000A77B3"/>
    <w:rsid w:val="000A7840"/>
    <w:rsid w:val="000B02C8"/>
    <w:rsid w:val="000B058F"/>
    <w:rsid w:val="000B5B5A"/>
    <w:rsid w:val="000B693F"/>
    <w:rsid w:val="000C005D"/>
    <w:rsid w:val="000C09AC"/>
    <w:rsid w:val="000C0A63"/>
    <w:rsid w:val="000C1B18"/>
    <w:rsid w:val="000C437E"/>
    <w:rsid w:val="000C50D9"/>
    <w:rsid w:val="000C514E"/>
    <w:rsid w:val="000C765F"/>
    <w:rsid w:val="000C7FB7"/>
    <w:rsid w:val="000D1447"/>
    <w:rsid w:val="000D1ABF"/>
    <w:rsid w:val="000D1BE7"/>
    <w:rsid w:val="000D2F57"/>
    <w:rsid w:val="000D39B0"/>
    <w:rsid w:val="000D461B"/>
    <w:rsid w:val="000D46B9"/>
    <w:rsid w:val="000D6AC3"/>
    <w:rsid w:val="000E30A4"/>
    <w:rsid w:val="000E3791"/>
    <w:rsid w:val="000E515A"/>
    <w:rsid w:val="000E5F16"/>
    <w:rsid w:val="000E64D7"/>
    <w:rsid w:val="000E7F3F"/>
    <w:rsid w:val="000F0381"/>
    <w:rsid w:val="000F1E3D"/>
    <w:rsid w:val="000F23EF"/>
    <w:rsid w:val="000F2604"/>
    <w:rsid w:val="000F4452"/>
    <w:rsid w:val="000F50E6"/>
    <w:rsid w:val="000F514A"/>
    <w:rsid w:val="000F6DA1"/>
    <w:rsid w:val="000F701B"/>
    <w:rsid w:val="000F7312"/>
    <w:rsid w:val="00101C4E"/>
    <w:rsid w:val="0010376D"/>
    <w:rsid w:val="00103F2F"/>
    <w:rsid w:val="0010417F"/>
    <w:rsid w:val="00104749"/>
    <w:rsid w:val="00105188"/>
    <w:rsid w:val="001053E5"/>
    <w:rsid w:val="001056A0"/>
    <w:rsid w:val="00105730"/>
    <w:rsid w:val="001057CA"/>
    <w:rsid w:val="00106037"/>
    <w:rsid w:val="00106590"/>
    <w:rsid w:val="00110060"/>
    <w:rsid w:val="001102D4"/>
    <w:rsid w:val="001118C7"/>
    <w:rsid w:val="00111BDF"/>
    <w:rsid w:val="001123C0"/>
    <w:rsid w:val="0011435B"/>
    <w:rsid w:val="00114D49"/>
    <w:rsid w:val="00114FC7"/>
    <w:rsid w:val="00115279"/>
    <w:rsid w:val="00117114"/>
    <w:rsid w:val="00117459"/>
    <w:rsid w:val="0011749A"/>
    <w:rsid w:val="00117CC8"/>
    <w:rsid w:val="00120A2B"/>
    <w:rsid w:val="00121890"/>
    <w:rsid w:val="001238FC"/>
    <w:rsid w:val="00123D16"/>
    <w:rsid w:val="001257D5"/>
    <w:rsid w:val="00127A68"/>
    <w:rsid w:val="00130A64"/>
    <w:rsid w:val="00130ACE"/>
    <w:rsid w:val="00132374"/>
    <w:rsid w:val="00133819"/>
    <w:rsid w:val="00134920"/>
    <w:rsid w:val="00135F6C"/>
    <w:rsid w:val="00140927"/>
    <w:rsid w:val="00140B13"/>
    <w:rsid w:val="00141B68"/>
    <w:rsid w:val="00141FFC"/>
    <w:rsid w:val="0014339A"/>
    <w:rsid w:val="00144B63"/>
    <w:rsid w:val="001466DA"/>
    <w:rsid w:val="00146BEB"/>
    <w:rsid w:val="001474D9"/>
    <w:rsid w:val="00150718"/>
    <w:rsid w:val="00151218"/>
    <w:rsid w:val="00153C28"/>
    <w:rsid w:val="00154B77"/>
    <w:rsid w:val="00154DE1"/>
    <w:rsid w:val="0015557F"/>
    <w:rsid w:val="00155B40"/>
    <w:rsid w:val="00157435"/>
    <w:rsid w:val="0016082A"/>
    <w:rsid w:val="00161EB9"/>
    <w:rsid w:val="00163EEA"/>
    <w:rsid w:val="00164469"/>
    <w:rsid w:val="00164D13"/>
    <w:rsid w:val="0016548A"/>
    <w:rsid w:val="00165778"/>
    <w:rsid w:val="00167603"/>
    <w:rsid w:val="00167A07"/>
    <w:rsid w:val="0017005A"/>
    <w:rsid w:val="0017046A"/>
    <w:rsid w:val="001704A3"/>
    <w:rsid w:val="001707AD"/>
    <w:rsid w:val="00172510"/>
    <w:rsid w:val="00172525"/>
    <w:rsid w:val="00172A27"/>
    <w:rsid w:val="0017504D"/>
    <w:rsid w:val="001752B6"/>
    <w:rsid w:val="001757D8"/>
    <w:rsid w:val="0017657B"/>
    <w:rsid w:val="00177229"/>
    <w:rsid w:val="00177422"/>
    <w:rsid w:val="0018040E"/>
    <w:rsid w:val="001832CD"/>
    <w:rsid w:val="00184CDD"/>
    <w:rsid w:val="00184F10"/>
    <w:rsid w:val="00185546"/>
    <w:rsid w:val="001856BD"/>
    <w:rsid w:val="0019019E"/>
    <w:rsid w:val="0019146B"/>
    <w:rsid w:val="001918D6"/>
    <w:rsid w:val="00191E12"/>
    <w:rsid w:val="00193DAB"/>
    <w:rsid w:val="00194398"/>
    <w:rsid w:val="001945CE"/>
    <w:rsid w:val="001961BD"/>
    <w:rsid w:val="0019678E"/>
    <w:rsid w:val="00196A83"/>
    <w:rsid w:val="00197666"/>
    <w:rsid w:val="00197940"/>
    <w:rsid w:val="00197E18"/>
    <w:rsid w:val="001A039A"/>
    <w:rsid w:val="001A1674"/>
    <w:rsid w:val="001A17FB"/>
    <w:rsid w:val="001A2C3D"/>
    <w:rsid w:val="001A2E11"/>
    <w:rsid w:val="001A3B87"/>
    <w:rsid w:val="001A493E"/>
    <w:rsid w:val="001A51A5"/>
    <w:rsid w:val="001A6249"/>
    <w:rsid w:val="001A6C45"/>
    <w:rsid w:val="001A7D2A"/>
    <w:rsid w:val="001A7D93"/>
    <w:rsid w:val="001B105F"/>
    <w:rsid w:val="001B1D06"/>
    <w:rsid w:val="001B2E38"/>
    <w:rsid w:val="001B574C"/>
    <w:rsid w:val="001B5C54"/>
    <w:rsid w:val="001B61E2"/>
    <w:rsid w:val="001C0AF9"/>
    <w:rsid w:val="001C155A"/>
    <w:rsid w:val="001C35B3"/>
    <w:rsid w:val="001C36AE"/>
    <w:rsid w:val="001C43D6"/>
    <w:rsid w:val="001C48C0"/>
    <w:rsid w:val="001C56CC"/>
    <w:rsid w:val="001C64D5"/>
    <w:rsid w:val="001C6F65"/>
    <w:rsid w:val="001D041B"/>
    <w:rsid w:val="001D0F5E"/>
    <w:rsid w:val="001D2779"/>
    <w:rsid w:val="001D3A16"/>
    <w:rsid w:val="001D60E3"/>
    <w:rsid w:val="001D6726"/>
    <w:rsid w:val="001D6AFA"/>
    <w:rsid w:val="001D6CAB"/>
    <w:rsid w:val="001E0B77"/>
    <w:rsid w:val="001E0DD7"/>
    <w:rsid w:val="001E137B"/>
    <w:rsid w:val="001E2488"/>
    <w:rsid w:val="001E4285"/>
    <w:rsid w:val="001E6F58"/>
    <w:rsid w:val="001E7F5A"/>
    <w:rsid w:val="001F17DF"/>
    <w:rsid w:val="001F1B6D"/>
    <w:rsid w:val="001F3347"/>
    <w:rsid w:val="001F3A5F"/>
    <w:rsid w:val="001F417C"/>
    <w:rsid w:val="001F4440"/>
    <w:rsid w:val="001F449B"/>
    <w:rsid w:val="001F53B9"/>
    <w:rsid w:val="001F58DF"/>
    <w:rsid w:val="001F69E4"/>
    <w:rsid w:val="00201BCD"/>
    <w:rsid w:val="00202CAE"/>
    <w:rsid w:val="00204F4B"/>
    <w:rsid w:val="00204F9B"/>
    <w:rsid w:val="00206967"/>
    <w:rsid w:val="00206A65"/>
    <w:rsid w:val="00206EEA"/>
    <w:rsid w:val="00207E9B"/>
    <w:rsid w:val="00212D31"/>
    <w:rsid w:val="002130C7"/>
    <w:rsid w:val="002132BF"/>
    <w:rsid w:val="00214F00"/>
    <w:rsid w:val="00217562"/>
    <w:rsid w:val="0021790F"/>
    <w:rsid w:val="00217DE9"/>
    <w:rsid w:val="002203C3"/>
    <w:rsid w:val="002207D0"/>
    <w:rsid w:val="00221819"/>
    <w:rsid w:val="002218A8"/>
    <w:rsid w:val="0022306D"/>
    <w:rsid w:val="0022349D"/>
    <w:rsid w:val="00224284"/>
    <w:rsid w:val="00224725"/>
    <w:rsid w:val="002248AE"/>
    <w:rsid w:val="00224B0B"/>
    <w:rsid w:val="00224FEC"/>
    <w:rsid w:val="00225F1F"/>
    <w:rsid w:val="00226574"/>
    <w:rsid w:val="00226FF2"/>
    <w:rsid w:val="002278EC"/>
    <w:rsid w:val="00230425"/>
    <w:rsid w:val="002305C7"/>
    <w:rsid w:val="00230FF4"/>
    <w:rsid w:val="00232DDA"/>
    <w:rsid w:val="002357C7"/>
    <w:rsid w:val="00235808"/>
    <w:rsid w:val="00235FFF"/>
    <w:rsid w:val="002367C4"/>
    <w:rsid w:val="0023699C"/>
    <w:rsid w:val="00237EFF"/>
    <w:rsid w:val="00240A84"/>
    <w:rsid w:val="00242A8D"/>
    <w:rsid w:val="002446E6"/>
    <w:rsid w:val="00245C26"/>
    <w:rsid w:val="00247DF9"/>
    <w:rsid w:val="0025346B"/>
    <w:rsid w:val="0025382F"/>
    <w:rsid w:val="0025483A"/>
    <w:rsid w:val="00255946"/>
    <w:rsid w:val="00255A30"/>
    <w:rsid w:val="0025632C"/>
    <w:rsid w:val="0025679E"/>
    <w:rsid w:val="00260C68"/>
    <w:rsid w:val="002617E0"/>
    <w:rsid w:val="002628CA"/>
    <w:rsid w:val="00262FD5"/>
    <w:rsid w:val="002648B0"/>
    <w:rsid w:val="0026539B"/>
    <w:rsid w:val="00265A39"/>
    <w:rsid w:val="002669E9"/>
    <w:rsid w:val="00267244"/>
    <w:rsid w:val="00271D7F"/>
    <w:rsid w:val="00271DF8"/>
    <w:rsid w:val="002724AD"/>
    <w:rsid w:val="00275271"/>
    <w:rsid w:val="0027535E"/>
    <w:rsid w:val="00275AA6"/>
    <w:rsid w:val="00275B37"/>
    <w:rsid w:val="00275BC1"/>
    <w:rsid w:val="002770D1"/>
    <w:rsid w:val="002803A8"/>
    <w:rsid w:val="002807D5"/>
    <w:rsid w:val="0028118E"/>
    <w:rsid w:val="002811E1"/>
    <w:rsid w:val="00281F12"/>
    <w:rsid w:val="002827B3"/>
    <w:rsid w:val="00282CCD"/>
    <w:rsid w:val="00282F8E"/>
    <w:rsid w:val="002833E1"/>
    <w:rsid w:val="0028595F"/>
    <w:rsid w:val="00291196"/>
    <w:rsid w:val="00292B94"/>
    <w:rsid w:val="00293976"/>
    <w:rsid w:val="0029433E"/>
    <w:rsid w:val="00295058"/>
    <w:rsid w:val="00297E72"/>
    <w:rsid w:val="002A0C63"/>
    <w:rsid w:val="002A0F32"/>
    <w:rsid w:val="002A168C"/>
    <w:rsid w:val="002A18E1"/>
    <w:rsid w:val="002A1A3C"/>
    <w:rsid w:val="002A1DBB"/>
    <w:rsid w:val="002A2BC3"/>
    <w:rsid w:val="002A2C48"/>
    <w:rsid w:val="002A3EED"/>
    <w:rsid w:val="002A3F13"/>
    <w:rsid w:val="002A4A39"/>
    <w:rsid w:val="002A5A17"/>
    <w:rsid w:val="002A6425"/>
    <w:rsid w:val="002A6DA6"/>
    <w:rsid w:val="002A7D0D"/>
    <w:rsid w:val="002A7DB6"/>
    <w:rsid w:val="002B1AEC"/>
    <w:rsid w:val="002B2273"/>
    <w:rsid w:val="002B4519"/>
    <w:rsid w:val="002B458E"/>
    <w:rsid w:val="002B49E2"/>
    <w:rsid w:val="002B4F65"/>
    <w:rsid w:val="002B5188"/>
    <w:rsid w:val="002B6C7B"/>
    <w:rsid w:val="002B6E5F"/>
    <w:rsid w:val="002B705F"/>
    <w:rsid w:val="002B7132"/>
    <w:rsid w:val="002B7380"/>
    <w:rsid w:val="002B79DD"/>
    <w:rsid w:val="002B7A3A"/>
    <w:rsid w:val="002B7B00"/>
    <w:rsid w:val="002B7C44"/>
    <w:rsid w:val="002C1338"/>
    <w:rsid w:val="002C1388"/>
    <w:rsid w:val="002C204E"/>
    <w:rsid w:val="002C3762"/>
    <w:rsid w:val="002C3C6A"/>
    <w:rsid w:val="002C3C78"/>
    <w:rsid w:val="002C3D8C"/>
    <w:rsid w:val="002C76AD"/>
    <w:rsid w:val="002D42DB"/>
    <w:rsid w:val="002D4DA7"/>
    <w:rsid w:val="002D4EA2"/>
    <w:rsid w:val="002E1109"/>
    <w:rsid w:val="002E1F3A"/>
    <w:rsid w:val="002E232E"/>
    <w:rsid w:val="002E298A"/>
    <w:rsid w:val="002F02A4"/>
    <w:rsid w:val="002F2208"/>
    <w:rsid w:val="002F272B"/>
    <w:rsid w:val="002F2D93"/>
    <w:rsid w:val="002F3DBE"/>
    <w:rsid w:val="002F4D33"/>
    <w:rsid w:val="002F51B8"/>
    <w:rsid w:val="002F5617"/>
    <w:rsid w:val="002F7C6D"/>
    <w:rsid w:val="002F7D99"/>
    <w:rsid w:val="00300026"/>
    <w:rsid w:val="00300365"/>
    <w:rsid w:val="003003DA"/>
    <w:rsid w:val="00300F0C"/>
    <w:rsid w:val="003027E4"/>
    <w:rsid w:val="0030290E"/>
    <w:rsid w:val="0030332C"/>
    <w:rsid w:val="00305E19"/>
    <w:rsid w:val="00306AF1"/>
    <w:rsid w:val="0030789A"/>
    <w:rsid w:val="00307C05"/>
    <w:rsid w:val="00310B37"/>
    <w:rsid w:val="00310F67"/>
    <w:rsid w:val="00311877"/>
    <w:rsid w:val="00311BEE"/>
    <w:rsid w:val="00312296"/>
    <w:rsid w:val="0031340E"/>
    <w:rsid w:val="00314919"/>
    <w:rsid w:val="00315B69"/>
    <w:rsid w:val="00316464"/>
    <w:rsid w:val="0032073A"/>
    <w:rsid w:val="00320964"/>
    <w:rsid w:val="00320969"/>
    <w:rsid w:val="003217D5"/>
    <w:rsid w:val="00321D8E"/>
    <w:rsid w:val="00323D6A"/>
    <w:rsid w:val="003248F4"/>
    <w:rsid w:val="00325ED7"/>
    <w:rsid w:val="0032603F"/>
    <w:rsid w:val="00326A97"/>
    <w:rsid w:val="00327CB1"/>
    <w:rsid w:val="00327D8C"/>
    <w:rsid w:val="00327DFA"/>
    <w:rsid w:val="0033280E"/>
    <w:rsid w:val="00334996"/>
    <w:rsid w:val="00335299"/>
    <w:rsid w:val="00335496"/>
    <w:rsid w:val="003360F1"/>
    <w:rsid w:val="00336969"/>
    <w:rsid w:val="00336C52"/>
    <w:rsid w:val="003378FF"/>
    <w:rsid w:val="003403A7"/>
    <w:rsid w:val="00340A98"/>
    <w:rsid w:val="00341B3E"/>
    <w:rsid w:val="00341B42"/>
    <w:rsid w:val="00343915"/>
    <w:rsid w:val="0034459A"/>
    <w:rsid w:val="00344879"/>
    <w:rsid w:val="00344D7A"/>
    <w:rsid w:val="00345154"/>
    <w:rsid w:val="0034560E"/>
    <w:rsid w:val="00350523"/>
    <w:rsid w:val="00352975"/>
    <w:rsid w:val="00352E00"/>
    <w:rsid w:val="00353F4C"/>
    <w:rsid w:val="003552C4"/>
    <w:rsid w:val="00356868"/>
    <w:rsid w:val="00356E42"/>
    <w:rsid w:val="00360FBD"/>
    <w:rsid w:val="00361B18"/>
    <w:rsid w:val="0036485B"/>
    <w:rsid w:val="00365867"/>
    <w:rsid w:val="00365A42"/>
    <w:rsid w:val="00365A93"/>
    <w:rsid w:val="00366285"/>
    <w:rsid w:val="00373B0D"/>
    <w:rsid w:val="00375A21"/>
    <w:rsid w:val="00376988"/>
    <w:rsid w:val="00377E63"/>
    <w:rsid w:val="00380120"/>
    <w:rsid w:val="00380849"/>
    <w:rsid w:val="003813DE"/>
    <w:rsid w:val="00381A72"/>
    <w:rsid w:val="00381FD9"/>
    <w:rsid w:val="00382EA6"/>
    <w:rsid w:val="00385CCD"/>
    <w:rsid w:val="00387BF7"/>
    <w:rsid w:val="00387FFA"/>
    <w:rsid w:val="003904CE"/>
    <w:rsid w:val="003906EE"/>
    <w:rsid w:val="00394736"/>
    <w:rsid w:val="003948B9"/>
    <w:rsid w:val="00394D7A"/>
    <w:rsid w:val="00394EEC"/>
    <w:rsid w:val="0039601E"/>
    <w:rsid w:val="003963A9"/>
    <w:rsid w:val="00396DC4"/>
    <w:rsid w:val="00396EAC"/>
    <w:rsid w:val="00397148"/>
    <w:rsid w:val="00397FA2"/>
    <w:rsid w:val="003A0543"/>
    <w:rsid w:val="003A1948"/>
    <w:rsid w:val="003A2A04"/>
    <w:rsid w:val="003A3FAF"/>
    <w:rsid w:val="003A4073"/>
    <w:rsid w:val="003A58A1"/>
    <w:rsid w:val="003A6B83"/>
    <w:rsid w:val="003A799C"/>
    <w:rsid w:val="003A7FDE"/>
    <w:rsid w:val="003B0401"/>
    <w:rsid w:val="003B152A"/>
    <w:rsid w:val="003B19BF"/>
    <w:rsid w:val="003B1EAD"/>
    <w:rsid w:val="003B264D"/>
    <w:rsid w:val="003B3B9A"/>
    <w:rsid w:val="003B545B"/>
    <w:rsid w:val="003B5967"/>
    <w:rsid w:val="003B758D"/>
    <w:rsid w:val="003C0AAD"/>
    <w:rsid w:val="003C2C3D"/>
    <w:rsid w:val="003C300D"/>
    <w:rsid w:val="003C384F"/>
    <w:rsid w:val="003C5A5B"/>
    <w:rsid w:val="003C65FF"/>
    <w:rsid w:val="003C71A0"/>
    <w:rsid w:val="003C7417"/>
    <w:rsid w:val="003C7935"/>
    <w:rsid w:val="003D1C9E"/>
    <w:rsid w:val="003D331F"/>
    <w:rsid w:val="003D3EE9"/>
    <w:rsid w:val="003D53F3"/>
    <w:rsid w:val="003D780B"/>
    <w:rsid w:val="003E091E"/>
    <w:rsid w:val="003E0AE0"/>
    <w:rsid w:val="003E1ACA"/>
    <w:rsid w:val="003E1F7B"/>
    <w:rsid w:val="003E2258"/>
    <w:rsid w:val="003E7681"/>
    <w:rsid w:val="003F0809"/>
    <w:rsid w:val="003F2123"/>
    <w:rsid w:val="003F4AD2"/>
    <w:rsid w:val="003F4B74"/>
    <w:rsid w:val="003F58EC"/>
    <w:rsid w:val="003F611C"/>
    <w:rsid w:val="003F755C"/>
    <w:rsid w:val="00400C6C"/>
    <w:rsid w:val="00401060"/>
    <w:rsid w:val="0040192B"/>
    <w:rsid w:val="0040573B"/>
    <w:rsid w:val="004059A2"/>
    <w:rsid w:val="004062C4"/>
    <w:rsid w:val="00406F01"/>
    <w:rsid w:val="00410891"/>
    <w:rsid w:val="00410B0B"/>
    <w:rsid w:val="00410E18"/>
    <w:rsid w:val="00411B36"/>
    <w:rsid w:val="004120D4"/>
    <w:rsid w:val="004121D7"/>
    <w:rsid w:val="00413B41"/>
    <w:rsid w:val="00413D5B"/>
    <w:rsid w:val="0041422A"/>
    <w:rsid w:val="004143BB"/>
    <w:rsid w:val="00416D50"/>
    <w:rsid w:val="00417772"/>
    <w:rsid w:val="004177FB"/>
    <w:rsid w:val="00420E6A"/>
    <w:rsid w:val="00421361"/>
    <w:rsid w:val="00422AD8"/>
    <w:rsid w:val="004249DA"/>
    <w:rsid w:val="00424A03"/>
    <w:rsid w:val="00424BBC"/>
    <w:rsid w:val="00427FF8"/>
    <w:rsid w:val="00431D7F"/>
    <w:rsid w:val="00431DC5"/>
    <w:rsid w:val="00433CA9"/>
    <w:rsid w:val="0043521D"/>
    <w:rsid w:val="00435C92"/>
    <w:rsid w:val="00435CC5"/>
    <w:rsid w:val="00436671"/>
    <w:rsid w:val="004369DB"/>
    <w:rsid w:val="004375F7"/>
    <w:rsid w:val="00440D34"/>
    <w:rsid w:val="00442024"/>
    <w:rsid w:val="0044254C"/>
    <w:rsid w:val="00443755"/>
    <w:rsid w:val="00443F6A"/>
    <w:rsid w:val="004441EC"/>
    <w:rsid w:val="00444442"/>
    <w:rsid w:val="00450A17"/>
    <w:rsid w:val="0045177B"/>
    <w:rsid w:val="0045183E"/>
    <w:rsid w:val="00451BA2"/>
    <w:rsid w:val="0045244A"/>
    <w:rsid w:val="00452A37"/>
    <w:rsid w:val="00455F94"/>
    <w:rsid w:val="00456403"/>
    <w:rsid w:val="00456523"/>
    <w:rsid w:val="00460384"/>
    <w:rsid w:val="0046039D"/>
    <w:rsid w:val="00461368"/>
    <w:rsid w:val="004638B8"/>
    <w:rsid w:val="004644BC"/>
    <w:rsid w:val="00464B36"/>
    <w:rsid w:val="00464BAE"/>
    <w:rsid w:val="004661C2"/>
    <w:rsid w:val="00466321"/>
    <w:rsid w:val="00466902"/>
    <w:rsid w:val="004672AF"/>
    <w:rsid w:val="00471548"/>
    <w:rsid w:val="004727B0"/>
    <w:rsid w:val="00472848"/>
    <w:rsid w:val="00473984"/>
    <w:rsid w:val="0047446F"/>
    <w:rsid w:val="004746D2"/>
    <w:rsid w:val="00476AF7"/>
    <w:rsid w:val="004774E7"/>
    <w:rsid w:val="00480247"/>
    <w:rsid w:val="0048081D"/>
    <w:rsid w:val="00480BD5"/>
    <w:rsid w:val="0048101B"/>
    <w:rsid w:val="0048117E"/>
    <w:rsid w:val="004832F4"/>
    <w:rsid w:val="004855F6"/>
    <w:rsid w:val="00486F0C"/>
    <w:rsid w:val="004878CF"/>
    <w:rsid w:val="0049079E"/>
    <w:rsid w:val="00490C80"/>
    <w:rsid w:val="004910E7"/>
    <w:rsid w:val="00491138"/>
    <w:rsid w:val="00492B93"/>
    <w:rsid w:val="00492D9B"/>
    <w:rsid w:val="0049327A"/>
    <w:rsid w:val="00494439"/>
    <w:rsid w:val="00494670"/>
    <w:rsid w:val="00494A27"/>
    <w:rsid w:val="00497C5C"/>
    <w:rsid w:val="004A01A7"/>
    <w:rsid w:val="004A0264"/>
    <w:rsid w:val="004A0EB4"/>
    <w:rsid w:val="004A19D1"/>
    <w:rsid w:val="004A2D3D"/>
    <w:rsid w:val="004A35F9"/>
    <w:rsid w:val="004A3646"/>
    <w:rsid w:val="004A3823"/>
    <w:rsid w:val="004A45CB"/>
    <w:rsid w:val="004A4C75"/>
    <w:rsid w:val="004A4E53"/>
    <w:rsid w:val="004A59BB"/>
    <w:rsid w:val="004A6EFB"/>
    <w:rsid w:val="004B3DD7"/>
    <w:rsid w:val="004B4030"/>
    <w:rsid w:val="004B43A3"/>
    <w:rsid w:val="004B4C49"/>
    <w:rsid w:val="004B57A8"/>
    <w:rsid w:val="004B58A5"/>
    <w:rsid w:val="004B63D9"/>
    <w:rsid w:val="004B6835"/>
    <w:rsid w:val="004B7299"/>
    <w:rsid w:val="004C0882"/>
    <w:rsid w:val="004C4AB7"/>
    <w:rsid w:val="004C5383"/>
    <w:rsid w:val="004C55BE"/>
    <w:rsid w:val="004C5DA1"/>
    <w:rsid w:val="004C5ED4"/>
    <w:rsid w:val="004C6D67"/>
    <w:rsid w:val="004C7525"/>
    <w:rsid w:val="004C77CC"/>
    <w:rsid w:val="004D10D7"/>
    <w:rsid w:val="004D2D62"/>
    <w:rsid w:val="004D6175"/>
    <w:rsid w:val="004D702D"/>
    <w:rsid w:val="004E07F5"/>
    <w:rsid w:val="004E2555"/>
    <w:rsid w:val="004E2D7B"/>
    <w:rsid w:val="004E3E24"/>
    <w:rsid w:val="004E4C3E"/>
    <w:rsid w:val="004E4C92"/>
    <w:rsid w:val="004E5ADC"/>
    <w:rsid w:val="004E5B30"/>
    <w:rsid w:val="004E662E"/>
    <w:rsid w:val="004E6BDB"/>
    <w:rsid w:val="004E6BE2"/>
    <w:rsid w:val="004F0779"/>
    <w:rsid w:val="004F1230"/>
    <w:rsid w:val="004F156F"/>
    <w:rsid w:val="004F173F"/>
    <w:rsid w:val="004F177C"/>
    <w:rsid w:val="004F2665"/>
    <w:rsid w:val="004F2DCE"/>
    <w:rsid w:val="004F4F53"/>
    <w:rsid w:val="004F7875"/>
    <w:rsid w:val="005039CB"/>
    <w:rsid w:val="00504492"/>
    <w:rsid w:val="00505466"/>
    <w:rsid w:val="0050558F"/>
    <w:rsid w:val="005057E0"/>
    <w:rsid w:val="00505B44"/>
    <w:rsid w:val="00506286"/>
    <w:rsid w:val="005064F9"/>
    <w:rsid w:val="00506527"/>
    <w:rsid w:val="00507F1C"/>
    <w:rsid w:val="005101E8"/>
    <w:rsid w:val="00510813"/>
    <w:rsid w:val="00510BB5"/>
    <w:rsid w:val="00511148"/>
    <w:rsid w:val="00511DE0"/>
    <w:rsid w:val="00511FB8"/>
    <w:rsid w:val="00512ED6"/>
    <w:rsid w:val="00515A7E"/>
    <w:rsid w:val="00515D97"/>
    <w:rsid w:val="005166D7"/>
    <w:rsid w:val="00516C66"/>
    <w:rsid w:val="005179F6"/>
    <w:rsid w:val="00517F02"/>
    <w:rsid w:val="00522034"/>
    <w:rsid w:val="00524547"/>
    <w:rsid w:val="00524663"/>
    <w:rsid w:val="005258A2"/>
    <w:rsid w:val="00526003"/>
    <w:rsid w:val="005277DD"/>
    <w:rsid w:val="00530155"/>
    <w:rsid w:val="00530787"/>
    <w:rsid w:val="00530CE5"/>
    <w:rsid w:val="00530F7C"/>
    <w:rsid w:val="0053149F"/>
    <w:rsid w:val="00531DB2"/>
    <w:rsid w:val="00534567"/>
    <w:rsid w:val="00534F43"/>
    <w:rsid w:val="00535A84"/>
    <w:rsid w:val="00535C0A"/>
    <w:rsid w:val="00536889"/>
    <w:rsid w:val="005416B1"/>
    <w:rsid w:val="00542DC8"/>
    <w:rsid w:val="00542E07"/>
    <w:rsid w:val="005438D5"/>
    <w:rsid w:val="00543936"/>
    <w:rsid w:val="00543A12"/>
    <w:rsid w:val="005444D8"/>
    <w:rsid w:val="00544728"/>
    <w:rsid w:val="005455F9"/>
    <w:rsid w:val="00545C4D"/>
    <w:rsid w:val="005461CC"/>
    <w:rsid w:val="0054709F"/>
    <w:rsid w:val="0054769C"/>
    <w:rsid w:val="00550517"/>
    <w:rsid w:val="00551F42"/>
    <w:rsid w:val="00552D02"/>
    <w:rsid w:val="00553D83"/>
    <w:rsid w:val="005549FE"/>
    <w:rsid w:val="00554A7B"/>
    <w:rsid w:val="0055572C"/>
    <w:rsid w:val="0055671B"/>
    <w:rsid w:val="005603EC"/>
    <w:rsid w:val="00560647"/>
    <w:rsid w:val="0056064F"/>
    <w:rsid w:val="00561B84"/>
    <w:rsid w:val="005631A8"/>
    <w:rsid w:val="00563336"/>
    <w:rsid w:val="0056440D"/>
    <w:rsid w:val="00564FFC"/>
    <w:rsid w:val="00565653"/>
    <w:rsid w:val="00565EDA"/>
    <w:rsid w:val="005660B0"/>
    <w:rsid w:val="005662B5"/>
    <w:rsid w:val="00570297"/>
    <w:rsid w:val="00571D98"/>
    <w:rsid w:val="005720AE"/>
    <w:rsid w:val="0057271C"/>
    <w:rsid w:val="00572E23"/>
    <w:rsid w:val="00574FA8"/>
    <w:rsid w:val="00577C28"/>
    <w:rsid w:val="0058030D"/>
    <w:rsid w:val="005804BE"/>
    <w:rsid w:val="005817A1"/>
    <w:rsid w:val="00581E1A"/>
    <w:rsid w:val="00582045"/>
    <w:rsid w:val="005845FD"/>
    <w:rsid w:val="00584BEE"/>
    <w:rsid w:val="00590520"/>
    <w:rsid w:val="00590525"/>
    <w:rsid w:val="00590884"/>
    <w:rsid w:val="00590AE3"/>
    <w:rsid w:val="005918F1"/>
    <w:rsid w:val="005926B0"/>
    <w:rsid w:val="00593380"/>
    <w:rsid w:val="00593D2D"/>
    <w:rsid w:val="00595839"/>
    <w:rsid w:val="00595E84"/>
    <w:rsid w:val="00596430"/>
    <w:rsid w:val="005978A3"/>
    <w:rsid w:val="005A06B7"/>
    <w:rsid w:val="005A0885"/>
    <w:rsid w:val="005A1759"/>
    <w:rsid w:val="005A3BEC"/>
    <w:rsid w:val="005A413C"/>
    <w:rsid w:val="005A47C3"/>
    <w:rsid w:val="005A4D25"/>
    <w:rsid w:val="005A5653"/>
    <w:rsid w:val="005A7675"/>
    <w:rsid w:val="005A7CCA"/>
    <w:rsid w:val="005B17B5"/>
    <w:rsid w:val="005B21B8"/>
    <w:rsid w:val="005B2236"/>
    <w:rsid w:val="005B2A5D"/>
    <w:rsid w:val="005B3CD2"/>
    <w:rsid w:val="005B59DD"/>
    <w:rsid w:val="005B6087"/>
    <w:rsid w:val="005C234C"/>
    <w:rsid w:val="005C3194"/>
    <w:rsid w:val="005C3ADB"/>
    <w:rsid w:val="005C3B65"/>
    <w:rsid w:val="005C426F"/>
    <w:rsid w:val="005C584A"/>
    <w:rsid w:val="005C61DF"/>
    <w:rsid w:val="005D0369"/>
    <w:rsid w:val="005D1A65"/>
    <w:rsid w:val="005D2002"/>
    <w:rsid w:val="005D2222"/>
    <w:rsid w:val="005D32BA"/>
    <w:rsid w:val="005D4CAC"/>
    <w:rsid w:val="005D53FE"/>
    <w:rsid w:val="005D582B"/>
    <w:rsid w:val="005D5A88"/>
    <w:rsid w:val="005D5B57"/>
    <w:rsid w:val="005D6521"/>
    <w:rsid w:val="005D719B"/>
    <w:rsid w:val="005D7A0F"/>
    <w:rsid w:val="005D7C87"/>
    <w:rsid w:val="005E0438"/>
    <w:rsid w:val="005E1445"/>
    <w:rsid w:val="005E1791"/>
    <w:rsid w:val="005E17E1"/>
    <w:rsid w:val="005E1BE6"/>
    <w:rsid w:val="005E2C66"/>
    <w:rsid w:val="005E2CE6"/>
    <w:rsid w:val="005E34FE"/>
    <w:rsid w:val="005E6324"/>
    <w:rsid w:val="005E733D"/>
    <w:rsid w:val="005F0674"/>
    <w:rsid w:val="005F228B"/>
    <w:rsid w:val="005F29CD"/>
    <w:rsid w:val="005F38EC"/>
    <w:rsid w:val="005F4DFB"/>
    <w:rsid w:val="005F5D4E"/>
    <w:rsid w:val="005F61DE"/>
    <w:rsid w:val="005F6CC0"/>
    <w:rsid w:val="005F7441"/>
    <w:rsid w:val="00601C55"/>
    <w:rsid w:val="0060229E"/>
    <w:rsid w:val="006032EC"/>
    <w:rsid w:val="00603B40"/>
    <w:rsid w:val="00603B91"/>
    <w:rsid w:val="00603E5B"/>
    <w:rsid w:val="00604BC8"/>
    <w:rsid w:val="00605528"/>
    <w:rsid w:val="00606929"/>
    <w:rsid w:val="00610AF2"/>
    <w:rsid w:val="006122F7"/>
    <w:rsid w:val="00613F77"/>
    <w:rsid w:val="00614AEE"/>
    <w:rsid w:val="00614C20"/>
    <w:rsid w:val="00615B4C"/>
    <w:rsid w:val="00615B5D"/>
    <w:rsid w:val="00616241"/>
    <w:rsid w:val="006166C0"/>
    <w:rsid w:val="00616BE6"/>
    <w:rsid w:val="00621246"/>
    <w:rsid w:val="00621456"/>
    <w:rsid w:val="0062146F"/>
    <w:rsid w:val="00622E2E"/>
    <w:rsid w:val="00624569"/>
    <w:rsid w:val="00624BC3"/>
    <w:rsid w:val="00624C91"/>
    <w:rsid w:val="006253AB"/>
    <w:rsid w:val="006268BF"/>
    <w:rsid w:val="00626D14"/>
    <w:rsid w:val="00627180"/>
    <w:rsid w:val="0063300E"/>
    <w:rsid w:val="006343AF"/>
    <w:rsid w:val="0063459C"/>
    <w:rsid w:val="006347AF"/>
    <w:rsid w:val="0063634A"/>
    <w:rsid w:val="006377DE"/>
    <w:rsid w:val="00640864"/>
    <w:rsid w:val="006415E6"/>
    <w:rsid w:val="0064250D"/>
    <w:rsid w:val="0064576B"/>
    <w:rsid w:val="00645A21"/>
    <w:rsid w:val="00650381"/>
    <w:rsid w:val="006505F7"/>
    <w:rsid w:val="006510EE"/>
    <w:rsid w:val="0065126F"/>
    <w:rsid w:val="0065152A"/>
    <w:rsid w:val="00651812"/>
    <w:rsid w:val="00652211"/>
    <w:rsid w:val="00652DA4"/>
    <w:rsid w:val="00652F0C"/>
    <w:rsid w:val="006535EB"/>
    <w:rsid w:val="00654812"/>
    <w:rsid w:val="00655A9E"/>
    <w:rsid w:val="006561FC"/>
    <w:rsid w:val="0065653B"/>
    <w:rsid w:val="00656DA1"/>
    <w:rsid w:val="0066166A"/>
    <w:rsid w:val="006626E0"/>
    <w:rsid w:val="00662F20"/>
    <w:rsid w:val="00663016"/>
    <w:rsid w:val="00663B64"/>
    <w:rsid w:val="00664ABD"/>
    <w:rsid w:val="00664FAC"/>
    <w:rsid w:val="00665FC3"/>
    <w:rsid w:val="006700AC"/>
    <w:rsid w:val="0067190E"/>
    <w:rsid w:val="00671BC9"/>
    <w:rsid w:val="00671F0F"/>
    <w:rsid w:val="0067238F"/>
    <w:rsid w:val="00674282"/>
    <w:rsid w:val="00674605"/>
    <w:rsid w:val="006746C8"/>
    <w:rsid w:val="006748B8"/>
    <w:rsid w:val="006751BD"/>
    <w:rsid w:val="00677006"/>
    <w:rsid w:val="006771B9"/>
    <w:rsid w:val="00680F3F"/>
    <w:rsid w:val="006817B1"/>
    <w:rsid w:val="00681B31"/>
    <w:rsid w:val="006826E5"/>
    <w:rsid w:val="00682B1E"/>
    <w:rsid w:val="00683398"/>
    <w:rsid w:val="0068355D"/>
    <w:rsid w:val="0068448E"/>
    <w:rsid w:val="006845D0"/>
    <w:rsid w:val="006852E3"/>
    <w:rsid w:val="0068535B"/>
    <w:rsid w:val="0068736E"/>
    <w:rsid w:val="0068762D"/>
    <w:rsid w:val="0069290A"/>
    <w:rsid w:val="006958F4"/>
    <w:rsid w:val="00696197"/>
    <w:rsid w:val="00697032"/>
    <w:rsid w:val="006975AC"/>
    <w:rsid w:val="00697BAA"/>
    <w:rsid w:val="006A1062"/>
    <w:rsid w:val="006A15FB"/>
    <w:rsid w:val="006A4610"/>
    <w:rsid w:val="006A4A01"/>
    <w:rsid w:val="006A63C2"/>
    <w:rsid w:val="006A72BF"/>
    <w:rsid w:val="006B00D9"/>
    <w:rsid w:val="006B169F"/>
    <w:rsid w:val="006B1AC8"/>
    <w:rsid w:val="006B332A"/>
    <w:rsid w:val="006B33BD"/>
    <w:rsid w:val="006B45C7"/>
    <w:rsid w:val="006B5837"/>
    <w:rsid w:val="006B67F0"/>
    <w:rsid w:val="006C0DA5"/>
    <w:rsid w:val="006C24E1"/>
    <w:rsid w:val="006C2FAE"/>
    <w:rsid w:val="006C2FCE"/>
    <w:rsid w:val="006C332B"/>
    <w:rsid w:val="006C3F75"/>
    <w:rsid w:val="006D0123"/>
    <w:rsid w:val="006D0561"/>
    <w:rsid w:val="006D170E"/>
    <w:rsid w:val="006D215F"/>
    <w:rsid w:val="006D2397"/>
    <w:rsid w:val="006D3739"/>
    <w:rsid w:val="006D42FC"/>
    <w:rsid w:val="006D532B"/>
    <w:rsid w:val="006D63C2"/>
    <w:rsid w:val="006D67FF"/>
    <w:rsid w:val="006E010C"/>
    <w:rsid w:val="006E0202"/>
    <w:rsid w:val="006E06AF"/>
    <w:rsid w:val="006E267F"/>
    <w:rsid w:val="006E41E0"/>
    <w:rsid w:val="006E5FE7"/>
    <w:rsid w:val="006E695B"/>
    <w:rsid w:val="006E6AD1"/>
    <w:rsid w:val="006F135A"/>
    <w:rsid w:val="006F1789"/>
    <w:rsid w:val="006F3007"/>
    <w:rsid w:val="006F5112"/>
    <w:rsid w:val="006F5668"/>
    <w:rsid w:val="006F5826"/>
    <w:rsid w:val="00700B6E"/>
    <w:rsid w:val="00700D86"/>
    <w:rsid w:val="007011EE"/>
    <w:rsid w:val="00703D18"/>
    <w:rsid w:val="00706C5D"/>
    <w:rsid w:val="00706E90"/>
    <w:rsid w:val="007101F7"/>
    <w:rsid w:val="00710A28"/>
    <w:rsid w:val="00711474"/>
    <w:rsid w:val="007118E6"/>
    <w:rsid w:val="00712CF1"/>
    <w:rsid w:val="007152DA"/>
    <w:rsid w:val="00715636"/>
    <w:rsid w:val="00716356"/>
    <w:rsid w:val="0071792E"/>
    <w:rsid w:val="00720AA7"/>
    <w:rsid w:val="00720F19"/>
    <w:rsid w:val="00721F57"/>
    <w:rsid w:val="007225C9"/>
    <w:rsid w:val="0072319D"/>
    <w:rsid w:val="00723396"/>
    <w:rsid w:val="00725AE4"/>
    <w:rsid w:val="00730B62"/>
    <w:rsid w:val="00732173"/>
    <w:rsid w:val="007331D2"/>
    <w:rsid w:val="00734195"/>
    <w:rsid w:val="007344C4"/>
    <w:rsid w:val="0073487C"/>
    <w:rsid w:val="00734D9D"/>
    <w:rsid w:val="00735CD7"/>
    <w:rsid w:val="00736024"/>
    <w:rsid w:val="00740023"/>
    <w:rsid w:val="007412E9"/>
    <w:rsid w:val="00741C18"/>
    <w:rsid w:val="007445FF"/>
    <w:rsid w:val="0074749A"/>
    <w:rsid w:val="007508E6"/>
    <w:rsid w:val="00750988"/>
    <w:rsid w:val="00752AB1"/>
    <w:rsid w:val="00752F02"/>
    <w:rsid w:val="00754034"/>
    <w:rsid w:val="00754BF1"/>
    <w:rsid w:val="00755A30"/>
    <w:rsid w:val="00755D9F"/>
    <w:rsid w:val="00755E1C"/>
    <w:rsid w:val="00755E5D"/>
    <w:rsid w:val="00755F8C"/>
    <w:rsid w:val="00756556"/>
    <w:rsid w:val="00756B94"/>
    <w:rsid w:val="0076132B"/>
    <w:rsid w:val="007623AE"/>
    <w:rsid w:val="00763331"/>
    <w:rsid w:val="00764B04"/>
    <w:rsid w:val="007700F1"/>
    <w:rsid w:val="007709B3"/>
    <w:rsid w:val="00770B19"/>
    <w:rsid w:val="00771093"/>
    <w:rsid w:val="00772118"/>
    <w:rsid w:val="00772893"/>
    <w:rsid w:val="00773717"/>
    <w:rsid w:val="00774FA0"/>
    <w:rsid w:val="00775410"/>
    <w:rsid w:val="007757B2"/>
    <w:rsid w:val="0077648E"/>
    <w:rsid w:val="00776620"/>
    <w:rsid w:val="00777B6D"/>
    <w:rsid w:val="007821D1"/>
    <w:rsid w:val="007846B2"/>
    <w:rsid w:val="00784855"/>
    <w:rsid w:val="00784F39"/>
    <w:rsid w:val="00785314"/>
    <w:rsid w:val="0078545C"/>
    <w:rsid w:val="007854B5"/>
    <w:rsid w:val="007864A6"/>
    <w:rsid w:val="007867A2"/>
    <w:rsid w:val="00786A8F"/>
    <w:rsid w:val="0078751B"/>
    <w:rsid w:val="007906C4"/>
    <w:rsid w:val="007940EA"/>
    <w:rsid w:val="007967E8"/>
    <w:rsid w:val="00796ECC"/>
    <w:rsid w:val="007970B8"/>
    <w:rsid w:val="00797939"/>
    <w:rsid w:val="00797FB3"/>
    <w:rsid w:val="007A4FA3"/>
    <w:rsid w:val="007A5CF2"/>
    <w:rsid w:val="007A63F2"/>
    <w:rsid w:val="007A6993"/>
    <w:rsid w:val="007A69B6"/>
    <w:rsid w:val="007A6E0E"/>
    <w:rsid w:val="007A7643"/>
    <w:rsid w:val="007B0FDC"/>
    <w:rsid w:val="007B2020"/>
    <w:rsid w:val="007B3FA1"/>
    <w:rsid w:val="007B40BB"/>
    <w:rsid w:val="007B51A0"/>
    <w:rsid w:val="007B5E42"/>
    <w:rsid w:val="007B6603"/>
    <w:rsid w:val="007B68DE"/>
    <w:rsid w:val="007B78BC"/>
    <w:rsid w:val="007C1857"/>
    <w:rsid w:val="007C25A6"/>
    <w:rsid w:val="007C3296"/>
    <w:rsid w:val="007C3C8C"/>
    <w:rsid w:val="007C3E4D"/>
    <w:rsid w:val="007C514F"/>
    <w:rsid w:val="007C685D"/>
    <w:rsid w:val="007C734D"/>
    <w:rsid w:val="007D0F95"/>
    <w:rsid w:val="007D13DD"/>
    <w:rsid w:val="007D164E"/>
    <w:rsid w:val="007D19CC"/>
    <w:rsid w:val="007D25C2"/>
    <w:rsid w:val="007D2AC4"/>
    <w:rsid w:val="007D33DC"/>
    <w:rsid w:val="007D3A53"/>
    <w:rsid w:val="007D43B2"/>
    <w:rsid w:val="007D58E3"/>
    <w:rsid w:val="007D6144"/>
    <w:rsid w:val="007D74E4"/>
    <w:rsid w:val="007D7ECB"/>
    <w:rsid w:val="007E25A1"/>
    <w:rsid w:val="007E2687"/>
    <w:rsid w:val="007E4069"/>
    <w:rsid w:val="007E42E5"/>
    <w:rsid w:val="007E4BD2"/>
    <w:rsid w:val="007E5AEC"/>
    <w:rsid w:val="007E7145"/>
    <w:rsid w:val="007F01BA"/>
    <w:rsid w:val="007F05C6"/>
    <w:rsid w:val="007F0F36"/>
    <w:rsid w:val="007F3916"/>
    <w:rsid w:val="007F3CE1"/>
    <w:rsid w:val="007F4269"/>
    <w:rsid w:val="007F5C68"/>
    <w:rsid w:val="007F6C08"/>
    <w:rsid w:val="00801179"/>
    <w:rsid w:val="00801555"/>
    <w:rsid w:val="00802401"/>
    <w:rsid w:val="00802479"/>
    <w:rsid w:val="008026E3"/>
    <w:rsid w:val="00805372"/>
    <w:rsid w:val="00805B7B"/>
    <w:rsid w:val="00810C6E"/>
    <w:rsid w:val="008112E2"/>
    <w:rsid w:val="008123F1"/>
    <w:rsid w:val="0081293E"/>
    <w:rsid w:val="00814CB3"/>
    <w:rsid w:val="00814FFB"/>
    <w:rsid w:val="0081507E"/>
    <w:rsid w:val="0081703B"/>
    <w:rsid w:val="00817F88"/>
    <w:rsid w:val="008204F5"/>
    <w:rsid w:val="00820568"/>
    <w:rsid w:val="00821A52"/>
    <w:rsid w:val="008235F2"/>
    <w:rsid w:val="00826185"/>
    <w:rsid w:val="008266E7"/>
    <w:rsid w:val="0082732F"/>
    <w:rsid w:val="00827608"/>
    <w:rsid w:val="00830670"/>
    <w:rsid w:val="00831A80"/>
    <w:rsid w:val="008332C8"/>
    <w:rsid w:val="00833743"/>
    <w:rsid w:val="008340A4"/>
    <w:rsid w:val="00836799"/>
    <w:rsid w:val="008367D4"/>
    <w:rsid w:val="00837028"/>
    <w:rsid w:val="00837131"/>
    <w:rsid w:val="008378B7"/>
    <w:rsid w:val="008423EF"/>
    <w:rsid w:val="00844DAB"/>
    <w:rsid w:val="00844DDB"/>
    <w:rsid w:val="00845F57"/>
    <w:rsid w:val="00846563"/>
    <w:rsid w:val="00851AA3"/>
    <w:rsid w:val="008521E0"/>
    <w:rsid w:val="008525B0"/>
    <w:rsid w:val="00856B81"/>
    <w:rsid w:val="008572FC"/>
    <w:rsid w:val="008607E0"/>
    <w:rsid w:val="0086154D"/>
    <w:rsid w:val="00862228"/>
    <w:rsid w:val="008625F2"/>
    <w:rsid w:val="00862D8E"/>
    <w:rsid w:val="00865186"/>
    <w:rsid w:val="008652DB"/>
    <w:rsid w:val="008655CC"/>
    <w:rsid w:val="00865B50"/>
    <w:rsid w:val="00867CBC"/>
    <w:rsid w:val="00867DD2"/>
    <w:rsid w:val="00867EA1"/>
    <w:rsid w:val="00871119"/>
    <w:rsid w:val="008719FE"/>
    <w:rsid w:val="0087596C"/>
    <w:rsid w:val="00875E66"/>
    <w:rsid w:val="00876C30"/>
    <w:rsid w:val="00877017"/>
    <w:rsid w:val="008772CD"/>
    <w:rsid w:val="008773C0"/>
    <w:rsid w:val="00877554"/>
    <w:rsid w:val="00877D3F"/>
    <w:rsid w:val="00877D7C"/>
    <w:rsid w:val="00877E2E"/>
    <w:rsid w:val="00880122"/>
    <w:rsid w:val="0088034A"/>
    <w:rsid w:val="00880364"/>
    <w:rsid w:val="00880709"/>
    <w:rsid w:val="00880AFF"/>
    <w:rsid w:val="00881930"/>
    <w:rsid w:val="00882A4A"/>
    <w:rsid w:val="00882D67"/>
    <w:rsid w:val="008843CF"/>
    <w:rsid w:val="00884AAD"/>
    <w:rsid w:val="00884F1C"/>
    <w:rsid w:val="00885542"/>
    <w:rsid w:val="00886C4C"/>
    <w:rsid w:val="0088711C"/>
    <w:rsid w:val="0088757E"/>
    <w:rsid w:val="008922B5"/>
    <w:rsid w:val="00892ECF"/>
    <w:rsid w:val="00892F06"/>
    <w:rsid w:val="0089322A"/>
    <w:rsid w:val="00894285"/>
    <w:rsid w:val="00894F3D"/>
    <w:rsid w:val="00895210"/>
    <w:rsid w:val="00895705"/>
    <w:rsid w:val="008959C4"/>
    <w:rsid w:val="00895F09"/>
    <w:rsid w:val="008A3B81"/>
    <w:rsid w:val="008A401F"/>
    <w:rsid w:val="008A40AE"/>
    <w:rsid w:val="008A4E19"/>
    <w:rsid w:val="008A563E"/>
    <w:rsid w:val="008A67C5"/>
    <w:rsid w:val="008A7B6A"/>
    <w:rsid w:val="008B1CCA"/>
    <w:rsid w:val="008B22E1"/>
    <w:rsid w:val="008B3028"/>
    <w:rsid w:val="008B3847"/>
    <w:rsid w:val="008B3C78"/>
    <w:rsid w:val="008B3E12"/>
    <w:rsid w:val="008B41C5"/>
    <w:rsid w:val="008B4766"/>
    <w:rsid w:val="008B4AE9"/>
    <w:rsid w:val="008B5E4E"/>
    <w:rsid w:val="008B6B2D"/>
    <w:rsid w:val="008B6E40"/>
    <w:rsid w:val="008B719D"/>
    <w:rsid w:val="008C01C0"/>
    <w:rsid w:val="008C21A8"/>
    <w:rsid w:val="008C30AD"/>
    <w:rsid w:val="008C3C09"/>
    <w:rsid w:val="008C45B3"/>
    <w:rsid w:val="008C4BA0"/>
    <w:rsid w:val="008C4BFA"/>
    <w:rsid w:val="008D068E"/>
    <w:rsid w:val="008D0D09"/>
    <w:rsid w:val="008D0F7A"/>
    <w:rsid w:val="008D1123"/>
    <w:rsid w:val="008D23AD"/>
    <w:rsid w:val="008D2525"/>
    <w:rsid w:val="008D28AB"/>
    <w:rsid w:val="008D301A"/>
    <w:rsid w:val="008D3A08"/>
    <w:rsid w:val="008D4CE2"/>
    <w:rsid w:val="008D4EBA"/>
    <w:rsid w:val="008D62BE"/>
    <w:rsid w:val="008D63BE"/>
    <w:rsid w:val="008D6470"/>
    <w:rsid w:val="008D671F"/>
    <w:rsid w:val="008D7F51"/>
    <w:rsid w:val="008E009F"/>
    <w:rsid w:val="008E0CFF"/>
    <w:rsid w:val="008E0E4D"/>
    <w:rsid w:val="008E32B6"/>
    <w:rsid w:val="008E4D59"/>
    <w:rsid w:val="008E5D6B"/>
    <w:rsid w:val="008E689B"/>
    <w:rsid w:val="008E76F0"/>
    <w:rsid w:val="008F15FE"/>
    <w:rsid w:val="008F1E33"/>
    <w:rsid w:val="008F2A94"/>
    <w:rsid w:val="008F33B6"/>
    <w:rsid w:val="008F48F8"/>
    <w:rsid w:val="008F50FE"/>
    <w:rsid w:val="008F5187"/>
    <w:rsid w:val="008F5608"/>
    <w:rsid w:val="008F5F2A"/>
    <w:rsid w:val="008F6794"/>
    <w:rsid w:val="008F6F28"/>
    <w:rsid w:val="008F709C"/>
    <w:rsid w:val="0090052E"/>
    <w:rsid w:val="009017EE"/>
    <w:rsid w:val="00901EDB"/>
    <w:rsid w:val="009024B9"/>
    <w:rsid w:val="0090312B"/>
    <w:rsid w:val="009033CE"/>
    <w:rsid w:val="00904961"/>
    <w:rsid w:val="00904A7B"/>
    <w:rsid w:val="00910807"/>
    <w:rsid w:val="00910E9D"/>
    <w:rsid w:val="00912863"/>
    <w:rsid w:val="00916CAE"/>
    <w:rsid w:val="0091736D"/>
    <w:rsid w:val="0092167D"/>
    <w:rsid w:val="0092196F"/>
    <w:rsid w:val="00921F05"/>
    <w:rsid w:val="00922148"/>
    <w:rsid w:val="00922F5E"/>
    <w:rsid w:val="00924966"/>
    <w:rsid w:val="009277B7"/>
    <w:rsid w:val="0093099F"/>
    <w:rsid w:val="00931001"/>
    <w:rsid w:val="009316B4"/>
    <w:rsid w:val="00931863"/>
    <w:rsid w:val="00931FCF"/>
    <w:rsid w:val="0093279E"/>
    <w:rsid w:val="00933524"/>
    <w:rsid w:val="00933C45"/>
    <w:rsid w:val="00933DFC"/>
    <w:rsid w:val="009407D0"/>
    <w:rsid w:val="0094106D"/>
    <w:rsid w:val="009414CA"/>
    <w:rsid w:val="0094278D"/>
    <w:rsid w:val="009428B6"/>
    <w:rsid w:val="00944ACD"/>
    <w:rsid w:val="009463CE"/>
    <w:rsid w:val="0095177F"/>
    <w:rsid w:val="0095308A"/>
    <w:rsid w:val="00953F0D"/>
    <w:rsid w:val="00954E2A"/>
    <w:rsid w:val="00955A58"/>
    <w:rsid w:val="00955AEE"/>
    <w:rsid w:val="00956F14"/>
    <w:rsid w:val="00956F50"/>
    <w:rsid w:val="009573A9"/>
    <w:rsid w:val="00957530"/>
    <w:rsid w:val="00957FAE"/>
    <w:rsid w:val="009602B7"/>
    <w:rsid w:val="00960BD0"/>
    <w:rsid w:val="009614B4"/>
    <w:rsid w:val="009620FD"/>
    <w:rsid w:val="0096247A"/>
    <w:rsid w:val="00962AFB"/>
    <w:rsid w:val="00962C0F"/>
    <w:rsid w:val="00963669"/>
    <w:rsid w:val="00964EFF"/>
    <w:rsid w:val="00965F4B"/>
    <w:rsid w:val="00970F8A"/>
    <w:rsid w:val="00971692"/>
    <w:rsid w:val="00971F83"/>
    <w:rsid w:val="00971FB5"/>
    <w:rsid w:val="0097250A"/>
    <w:rsid w:val="00972B8E"/>
    <w:rsid w:val="00972C66"/>
    <w:rsid w:val="00972D2A"/>
    <w:rsid w:val="00973D4D"/>
    <w:rsid w:val="00973DD3"/>
    <w:rsid w:val="00975CC5"/>
    <w:rsid w:val="00976328"/>
    <w:rsid w:val="00976B4E"/>
    <w:rsid w:val="0097752F"/>
    <w:rsid w:val="009775B0"/>
    <w:rsid w:val="00980026"/>
    <w:rsid w:val="009812DD"/>
    <w:rsid w:val="00981B7E"/>
    <w:rsid w:val="00982C65"/>
    <w:rsid w:val="00982FCC"/>
    <w:rsid w:val="00983052"/>
    <w:rsid w:val="00983660"/>
    <w:rsid w:val="009838AD"/>
    <w:rsid w:val="00983D5F"/>
    <w:rsid w:val="00984458"/>
    <w:rsid w:val="00984811"/>
    <w:rsid w:val="00985283"/>
    <w:rsid w:val="009854F7"/>
    <w:rsid w:val="009857E9"/>
    <w:rsid w:val="00986DB4"/>
    <w:rsid w:val="00987322"/>
    <w:rsid w:val="00987727"/>
    <w:rsid w:val="00987789"/>
    <w:rsid w:val="00987AAF"/>
    <w:rsid w:val="009905E3"/>
    <w:rsid w:val="0099116A"/>
    <w:rsid w:val="009911AF"/>
    <w:rsid w:val="00991532"/>
    <w:rsid w:val="00992F3D"/>
    <w:rsid w:val="00994A5C"/>
    <w:rsid w:val="00996136"/>
    <w:rsid w:val="009A05E2"/>
    <w:rsid w:val="009A0F3B"/>
    <w:rsid w:val="009A1497"/>
    <w:rsid w:val="009A16F1"/>
    <w:rsid w:val="009A20E3"/>
    <w:rsid w:val="009A2BB8"/>
    <w:rsid w:val="009A44B5"/>
    <w:rsid w:val="009A4A0C"/>
    <w:rsid w:val="009A4B23"/>
    <w:rsid w:val="009A4CFE"/>
    <w:rsid w:val="009A559F"/>
    <w:rsid w:val="009A72C7"/>
    <w:rsid w:val="009A76BE"/>
    <w:rsid w:val="009A76E2"/>
    <w:rsid w:val="009A7DEA"/>
    <w:rsid w:val="009B0897"/>
    <w:rsid w:val="009B36B1"/>
    <w:rsid w:val="009B3C8F"/>
    <w:rsid w:val="009B5C08"/>
    <w:rsid w:val="009B6CB1"/>
    <w:rsid w:val="009C3D3E"/>
    <w:rsid w:val="009C3DCD"/>
    <w:rsid w:val="009C58BC"/>
    <w:rsid w:val="009C5A24"/>
    <w:rsid w:val="009C6811"/>
    <w:rsid w:val="009C6914"/>
    <w:rsid w:val="009C7AE9"/>
    <w:rsid w:val="009D0852"/>
    <w:rsid w:val="009D0B91"/>
    <w:rsid w:val="009D1BD1"/>
    <w:rsid w:val="009D1FBF"/>
    <w:rsid w:val="009D3AA4"/>
    <w:rsid w:val="009D48C0"/>
    <w:rsid w:val="009D4CA6"/>
    <w:rsid w:val="009D5182"/>
    <w:rsid w:val="009D5A27"/>
    <w:rsid w:val="009D738A"/>
    <w:rsid w:val="009E270D"/>
    <w:rsid w:val="009E3282"/>
    <w:rsid w:val="009E399C"/>
    <w:rsid w:val="009E3A7C"/>
    <w:rsid w:val="009E43C1"/>
    <w:rsid w:val="009E51D8"/>
    <w:rsid w:val="009E5954"/>
    <w:rsid w:val="009E7D40"/>
    <w:rsid w:val="009E7E95"/>
    <w:rsid w:val="009F116F"/>
    <w:rsid w:val="009F2AC4"/>
    <w:rsid w:val="009F3271"/>
    <w:rsid w:val="009F329E"/>
    <w:rsid w:val="009F553B"/>
    <w:rsid w:val="009F5C7A"/>
    <w:rsid w:val="009F6DEA"/>
    <w:rsid w:val="009F7ED3"/>
    <w:rsid w:val="00A016E9"/>
    <w:rsid w:val="00A01942"/>
    <w:rsid w:val="00A03607"/>
    <w:rsid w:val="00A04185"/>
    <w:rsid w:val="00A047FF"/>
    <w:rsid w:val="00A04B18"/>
    <w:rsid w:val="00A04FEF"/>
    <w:rsid w:val="00A054C9"/>
    <w:rsid w:val="00A0589B"/>
    <w:rsid w:val="00A06744"/>
    <w:rsid w:val="00A070F9"/>
    <w:rsid w:val="00A071E4"/>
    <w:rsid w:val="00A10713"/>
    <w:rsid w:val="00A122CD"/>
    <w:rsid w:val="00A12A32"/>
    <w:rsid w:val="00A1404B"/>
    <w:rsid w:val="00A14248"/>
    <w:rsid w:val="00A14947"/>
    <w:rsid w:val="00A16151"/>
    <w:rsid w:val="00A17CA2"/>
    <w:rsid w:val="00A23DC5"/>
    <w:rsid w:val="00A24C98"/>
    <w:rsid w:val="00A2571C"/>
    <w:rsid w:val="00A25F8C"/>
    <w:rsid w:val="00A26ED2"/>
    <w:rsid w:val="00A27544"/>
    <w:rsid w:val="00A3019D"/>
    <w:rsid w:val="00A34028"/>
    <w:rsid w:val="00A34907"/>
    <w:rsid w:val="00A34986"/>
    <w:rsid w:val="00A35568"/>
    <w:rsid w:val="00A36649"/>
    <w:rsid w:val="00A367AC"/>
    <w:rsid w:val="00A36833"/>
    <w:rsid w:val="00A36CD0"/>
    <w:rsid w:val="00A37056"/>
    <w:rsid w:val="00A40A56"/>
    <w:rsid w:val="00A42F3D"/>
    <w:rsid w:val="00A4358F"/>
    <w:rsid w:val="00A46346"/>
    <w:rsid w:val="00A46F67"/>
    <w:rsid w:val="00A47A88"/>
    <w:rsid w:val="00A47CF0"/>
    <w:rsid w:val="00A502CF"/>
    <w:rsid w:val="00A52275"/>
    <w:rsid w:val="00A5294A"/>
    <w:rsid w:val="00A54AA1"/>
    <w:rsid w:val="00A55F8E"/>
    <w:rsid w:val="00A568FF"/>
    <w:rsid w:val="00A61496"/>
    <w:rsid w:val="00A61833"/>
    <w:rsid w:val="00A61BB8"/>
    <w:rsid w:val="00A61F01"/>
    <w:rsid w:val="00A624C6"/>
    <w:rsid w:val="00A62A5B"/>
    <w:rsid w:val="00A63CEC"/>
    <w:rsid w:val="00A6659A"/>
    <w:rsid w:val="00A66ABB"/>
    <w:rsid w:val="00A6754A"/>
    <w:rsid w:val="00A67E98"/>
    <w:rsid w:val="00A7031E"/>
    <w:rsid w:val="00A7121F"/>
    <w:rsid w:val="00A7274D"/>
    <w:rsid w:val="00A72826"/>
    <w:rsid w:val="00A728B1"/>
    <w:rsid w:val="00A728C4"/>
    <w:rsid w:val="00A72ACF"/>
    <w:rsid w:val="00A730C0"/>
    <w:rsid w:val="00A73428"/>
    <w:rsid w:val="00A73885"/>
    <w:rsid w:val="00A74780"/>
    <w:rsid w:val="00A748D7"/>
    <w:rsid w:val="00A74C35"/>
    <w:rsid w:val="00A75108"/>
    <w:rsid w:val="00A76245"/>
    <w:rsid w:val="00A763DE"/>
    <w:rsid w:val="00A76425"/>
    <w:rsid w:val="00A76D02"/>
    <w:rsid w:val="00A771FA"/>
    <w:rsid w:val="00A77E60"/>
    <w:rsid w:val="00A803D6"/>
    <w:rsid w:val="00A80F32"/>
    <w:rsid w:val="00A81282"/>
    <w:rsid w:val="00A812FE"/>
    <w:rsid w:val="00A83B7D"/>
    <w:rsid w:val="00A85291"/>
    <w:rsid w:val="00A8711C"/>
    <w:rsid w:val="00A8713F"/>
    <w:rsid w:val="00A9066A"/>
    <w:rsid w:val="00A906D4"/>
    <w:rsid w:val="00A91167"/>
    <w:rsid w:val="00A9171C"/>
    <w:rsid w:val="00A9247B"/>
    <w:rsid w:val="00A926DB"/>
    <w:rsid w:val="00A92FFD"/>
    <w:rsid w:val="00A93141"/>
    <w:rsid w:val="00A9377C"/>
    <w:rsid w:val="00A95975"/>
    <w:rsid w:val="00A961DA"/>
    <w:rsid w:val="00A96DC7"/>
    <w:rsid w:val="00A9708D"/>
    <w:rsid w:val="00AA06F5"/>
    <w:rsid w:val="00AA2C17"/>
    <w:rsid w:val="00AA2E91"/>
    <w:rsid w:val="00AA3038"/>
    <w:rsid w:val="00AA3399"/>
    <w:rsid w:val="00AA4172"/>
    <w:rsid w:val="00AA5FD1"/>
    <w:rsid w:val="00AA6F75"/>
    <w:rsid w:val="00AA7D3F"/>
    <w:rsid w:val="00AB0767"/>
    <w:rsid w:val="00AB1914"/>
    <w:rsid w:val="00AB2243"/>
    <w:rsid w:val="00AB23C4"/>
    <w:rsid w:val="00AB3FFF"/>
    <w:rsid w:val="00AB4BFE"/>
    <w:rsid w:val="00AB52B5"/>
    <w:rsid w:val="00AB5330"/>
    <w:rsid w:val="00AB75C7"/>
    <w:rsid w:val="00AB7747"/>
    <w:rsid w:val="00AC205C"/>
    <w:rsid w:val="00AC2532"/>
    <w:rsid w:val="00AC3145"/>
    <w:rsid w:val="00AC344F"/>
    <w:rsid w:val="00AC36AE"/>
    <w:rsid w:val="00AC3983"/>
    <w:rsid w:val="00AC3F30"/>
    <w:rsid w:val="00AC6A38"/>
    <w:rsid w:val="00AC716D"/>
    <w:rsid w:val="00AD0EF9"/>
    <w:rsid w:val="00AD1149"/>
    <w:rsid w:val="00AD1507"/>
    <w:rsid w:val="00AD3915"/>
    <w:rsid w:val="00AD3948"/>
    <w:rsid w:val="00AD3DEB"/>
    <w:rsid w:val="00AD4538"/>
    <w:rsid w:val="00AD4C87"/>
    <w:rsid w:val="00AD56D4"/>
    <w:rsid w:val="00AD5A70"/>
    <w:rsid w:val="00AD738B"/>
    <w:rsid w:val="00AE08A6"/>
    <w:rsid w:val="00AE1BF4"/>
    <w:rsid w:val="00AE2247"/>
    <w:rsid w:val="00AE227D"/>
    <w:rsid w:val="00AE315E"/>
    <w:rsid w:val="00AE4780"/>
    <w:rsid w:val="00AE5AB2"/>
    <w:rsid w:val="00AE5C48"/>
    <w:rsid w:val="00AE5D97"/>
    <w:rsid w:val="00AE652A"/>
    <w:rsid w:val="00AE65C9"/>
    <w:rsid w:val="00AE6794"/>
    <w:rsid w:val="00AE6905"/>
    <w:rsid w:val="00AF2031"/>
    <w:rsid w:val="00AF2AE7"/>
    <w:rsid w:val="00AF3D0E"/>
    <w:rsid w:val="00AF6485"/>
    <w:rsid w:val="00B00252"/>
    <w:rsid w:val="00B00443"/>
    <w:rsid w:val="00B00652"/>
    <w:rsid w:val="00B0105F"/>
    <w:rsid w:val="00B01110"/>
    <w:rsid w:val="00B02262"/>
    <w:rsid w:val="00B0306D"/>
    <w:rsid w:val="00B030C2"/>
    <w:rsid w:val="00B033F2"/>
    <w:rsid w:val="00B034F3"/>
    <w:rsid w:val="00B03BDC"/>
    <w:rsid w:val="00B03CEC"/>
    <w:rsid w:val="00B05810"/>
    <w:rsid w:val="00B05C7E"/>
    <w:rsid w:val="00B10A34"/>
    <w:rsid w:val="00B1120D"/>
    <w:rsid w:val="00B11817"/>
    <w:rsid w:val="00B1209F"/>
    <w:rsid w:val="00B12A84"/>
    <w:rsid w:val="00B12AD0"/>
    <w:rsid w:val="00B14813"/>
    <w:rsid w:val="00B16280"/>
    <w:rsid w:val="00B16858"/>
    <w:rsid w:val="00B20424"/>
    <w:rsid w:val="00B20506"/>
    <w:rsid w:val="00B207B2"/>
    <w:rsid w:val="00B20D18"/>
    <w:rsid w:val="00B22442"/>
    <w:rsid w:val="00B22DAB"/>
    <w:rsid w:val="00B23D11"/>
    <w:rsid w:val="00B24110"/>
    <w:rsid w:val="00B24E88"/>
    <w:rsid w:val="00B24F30"/>
    <w:rsid w:val="00B2732E"/>
    <w:rsid w:val="00B27B21"/>
    <w:rsid w:val="00B30021"/>
    <w:rsid w:val="00B31ABF"/>
    <w:rsid w:val="00B32550"/>
    <w:rsid w:val="00B32A9D"/>
    <w:rsid w:val="00B335AE"/>
    <w:rsid w:val="00B33C6F"/>
    <w:rsid w:val="00B349AB"/>
    <w:rsid w:val="00B35EBA"/>
    <w:rsid w:val="00B37098"/>
    <w:rsid w:val="00B37CE1"/>
    <w:rsid w:val="00B37CF8"/>
    <w:rsid w:val="00B37F76"/>
    <w:rsid w:val="00B40ACF"/>
    <w:rsid w:val="00B41C4B"/>
    <w:rsid w:val="00B4376A"/>
    <w:rsid w:val="00B44817"/>
    <w:rsid w:val="00B46BAA"/>
    <w:rsid w:val="00B46D88"/>
    <w:rsid w:val="00B509BA"/>
    <w:rsid w:val="00B50B5F"/>
    <w:rsid w:val="00B50EE0"/>
    <w:rsid w:val="00B51C62"/>
    <w:rsid w:val="00B52FF8"/>
    <w:rsid w:val="00B5328C"/>
    <w:rsid w:val="00B534C3"/>
    <w:rsid w:val="00B53E47"/>
    <w:rsid w:val="00B54128"/>
    <w:rsid w:val="00B55826"/>
    <w:rsid w:val="00B56909"/>
    <w:rsid w:val="00B56B12"/>
    <w:rsid w:val="00B570B2"/>
    <w:rsid w:val="00B60426"/>
    <w:rsid w:val="00B606D1"/>
    <w:rsid w:val="00B622DD"/>
    <w:rsid w:val="00B63522"/>
    <w:rsid w:val="00B63E4A"/>
    <w:rsid w:val="00B65180"/>
    <w:rsid w:val="00B661F9"/>
    <w:rsid w:val="00B704FF"/>
    <w:rsid w:val="00B71761"/>
    <w:rsid w:val="00B71824"/>
    <w:rsid w:val="00B7363F"/>
    <w:rsid w:val="00B745B8"/>
    <w:rsid w:val="00B74C29"/>
    <w:rsid w:val="00B756CB"/>
    <w:rsid w:val="00B7696B"/>
    <w:rsid w:val="00B76F1D"/>
    <w:rsid w:val="00B81388"/>
    <w:rsid w:val="00B81BF9"/>
    <w:rsid w:val="00B846E9"/>
    <w:rsid w:val="00B863CA"/>
    <w:rsid w:val="00B925B1"/>
    <w:rsid w:val="00B92A19"/>
    <w:rsid w:val="00B92FA6"/>
    <w:rsid w:val="00B9544C"/>
    <w:rsid w:val="00B964A5"/>
    <w:rsid w:val="00B974AC"/>
    <w:rsid w:val="00BA11A5"/>
    <w:rsid w:val="00BA29E9"/>
    <w:rsid w:val="00BA3079"/>
    <w:rsid w:val="00BA6A11"/>
    <w:rsid w:val="00BB0CEE"/>
    <w:rsid w:val="00BB0D8C"/>
    <w:rsid w:val="00BB2C25"/>
    <w:rsid w:val="00BB3618"/>
    <w:rsid w:val="00BB37B6"/>
    <w:rsid w:val="00BB3DD7"/>
    <w:rsid w:val="00BB50B2"/>
    <w:rsid w:val="00BB7248"/>
    <w:rsid w:val="00BC0C9E"/>
    <w:rsid w:val="00BC21D2"/>
    <w:rsid w:val="00BC32DC"/>
    <w:rsid w:val="00BC4D59"/>
    <w:rsid w:val="00BC5439"/>
    <w:rsid w:val="00BC7067"/>
    <w:rsid w:val="00BD08DD"/>
    <w:rsid w:val="00BD1B51"/>
    <w:rsid w:val="00BD375A"/>
    <w:rsid w:val="00BD47F6"/>
    <w:rsid w:val="00BD4910"/>
    <w:rsid w:val="00BE01AE"/>
    <w:rsid w:val="00BE0276"/>
    <w:rsid w:val="00BE0307"/>
    <w:rsid w:val="00BE312D"/>
    <w:rsid w:val="00BE3E42"/>
    <w:rsid w:val="00BE3FCA"/>
    <w:rsid w:val="00BE4A28"/>
    <w:rsid w:val="00BE4FB5"/>
    <w:rsid w:val="00BE65B0"/>
    <w:rsid w:val="00BE67E1"/>
    <w:rsid w:val="00BE7614"/>
    <w:rsid w:val="00BF09DD"/>
    <w:rsid w:val="00BF31E4"/>
    <w:rsid w:val="00BF533D"/>
    <w:rsid w:val="00BF5DE9"/>
    <w:rsid w:val="00BF5E0D"/>
    <w:rsid w:val="00BF713E"/>
    <w:rsid w:val="00C006DA"/>
    <w:rsid w:val="00C00D71"/>
    <w:rsid w:val="00C02D6A"/>
    <w:rsid w:val="00C031FF"/>
    <w:rsid w:val="00C050F5"/>
    <w:rsid w:val="00C05719"/>
    <w:rsid w:val="00C10578"/>
    <w:rsid w:val="00C107A0"/>
    <w:rsid w:val="00C1154A"/>
    <w:rsid w:val="00C12346"/>
    <w:rsid w:val="00C12C50"/>
    <w:rsid w:val="00C14C2B"/>
    <w:rsid w:val="00C14E58"/>
    <w:rsid w:val="00C171AE"/>
    <w:rsid w:val="00C17D62"/>
    <w:rsid w:val="00C17ED5"/>
    <w:rsid w:val="00C2059E"/>
    <w:rsid w:val="00C212C3"/>
    <w:rsid w:val="00C21FDC"/>
    <w:rsid w:val="00C237FD"/>
    <w:rsid w:val="00C24EE7"/>
    <w:rsid w:val="00C2596A"/>
    <w:rsid w:val="00C259D5"/>
    <w:rsid w:val="00C271BE"/>
    <w:rsid w:val="00C27425"/>
    <w:rsid w:val="00C3123B"/>
    <w:rsid w:val="00C31AD9"/>
    <w:rsid w:val="00C328FE"/>
    <w:rsid w:val="00C33A05"/>
    <w:rsid w:val="00C33B20"/>
    <w:rsid w:val="00C359DB"/>
    <w:rsid w:val="00C421EB"/>
    <w:rsid w:val="00C42500"/>
    <w:rsid w:val="00C4258A"/>
    <w:rsid w:val="00C43522"/>
    <w:rsid w:val="00C436D8"/>
    <w:rsid w:val="00C43929"/>
    <w:rsid w:val="00C43B09"/>
    <w:rsid w:val="00C4409D"/>
    <w:rsid w:val="00C455BE"/>
    <w:rsid w:val="00C45D15"/>
    <w:rsid w:val="00C45D41"/>
    <w:rsid w:val="00C46047"/>
    <w:rsid w:val="00C460BB"/>
    <w:rsid w:val="00C46D26"/>
    <w:rsid w:val="00C5046E"/>
    <w:rsid w:val="00C50E8E"/>
    <w:rsid w:val="00C5144C"/>
    <w:rsid w:val="00C51E5F"/>
    <w:rsid w:val="00C53576"/>
    <w:rsid w:val="00C53E39"/>
    <w:rsid w:val="00C55911"/>
    <w:rsid w:val="00C55A00"/>
    <w:rsid w:val="00C56CAD"/>
    <w:rsid w:val="00C57F47"/>
    <w:rsid w:val="00C60BC1"/>
    <w:rsid w:val="00C60F10"/>
    <w:rsid w:val="00C61E4B"/>
    <w:rsid w:val="00C623E7"/>
    <w:rsid w:val="00C627E1"/>
    <w:rsid w:val="00C62914"/>
    <w:rsid w:val="00C62E3A"/>
    <w:rsid w:val="00C64503"/>
    <w:rsid w:val="00C64A1F"/>
    <w:rsid w:val="00C64BFF"/>
    <w:rsid w:val="00C668B2"/>
    <w:rsid w:val="00C67BD8"/>
    <w:rsid w:val="00C67CE8"/>
    <w:rsid w:val="00C70038"/>
    <w:rsid w:val="00C717FB"/>
    <w:rsid w:val="00C72A44"/>
    <w:rsid w:val="00C735EE"/>
    <w:rsid w:val="00C73E57"/>
    <w:rsid w:val="00C75418"/>
    <w:rsid w:val="00C75F78"/>
    <w:rsid w:val="00C763C9"/>
    <w:rsid w:val="00C77421"/>
    <w:rsid w:val="00C77700"/>
    <w:rsid w:val="00C77E2B"/>
    <w:rsid w:val="00C80057"/>
    <w:rsid w:val="00C802EC"/>
    <w:rsid w:val="00C82C79"/>
    <w:rsid w:val="00C82FD7"/>
    <w:rsid w:val="00C830ED"/>
    <w:rsid w:val="00C84581"/>
    <w:rsid w:val="00C84753"/>
    <w:rsid w:val="00C8630C"/>
    <w:rsid w:val="00C87C2E"/>
    <w:rsid w:val="00C87C60"/>
    <w:rsid w:val="00C91012"/>
    <w:rsid w:val="00C91611"/>
    <w:rsid w:val="00C9223B"/>
    <w:rsid w:val="00C922F8"/>
    <w:rsid w:val="00C9439D"/>
    <w:rsid w:val="00C94A50"/>
    <w:rsid w:val="00C951D7"/>
    <w:rsid w:val="00C95AED"/>
    <w:rsid w:val="00CA0C6E"/>
    <w:rsid w:val="00CA1719"/>
    <w:rsid w:val="00CA3585"/>
    <w:rsid w:val="00CA3809"/>
    <w:rsid w:val="00CA3A65"/>
    <w:rsid w:val="00CA3D5A"/>
    <w:rsid w:val="00CA410E"/>
    <w:rsid w:val="00CA4C7C"/>
    <w:rsid w:val="00CA5B39"/>
    <w:rsid w:val="00CB0183"/>
    <w:rsid w:val="00CB1EA3"/>
    <w:rsid w:val="00CB2BD4"/>
    <w:rsid w:val="00CB4B78"/>
    <w:rsid w:val="00CB552C"/>
    <w:rsid w:val="00CB5FB0"/>
    <w:rsid w:val="00CB6A9E"/>
    <w:rsid w:val="00CB732D"/>
    <w:rsid w:val="00CB7EB7"/>
    <w:rsid w:val="00CC0D26"/>
    <w:rsid w:val="00CC1539"/>
    <w:rsid w:val="00CC18BE"/>
    <w:rsid w:val="00CC1D24"/>
    <w:rsid w:val="00CC3B1A"/>
    <w:rsid w:val="00CC3B87"/>
    <w:rsid w:val="00CC52FD"/>
    <w:rsid w:val="00CC6181"/>
    <w:rsid w:val="00CC64EC"/>
    <w:rsid w:val="00CC6D4B"/>
    <w:rsid w:val="00CC71AE"/>
    <w:rsid w:val="00CC72B7"/>
    <w:rsid w:val="00CC7ECE"/>
    <w:rsid w:val="00CD06B8"/>
    <w:rsid w:val="00CD0E0E"/>
    <w:rsid w:val="00CD153B"/>
    <w:rsid w:val="00CD2BCD"/>
    <w:rsid w:val="00CD33A6"/>
    <w:rsid w:val="00CD36AA"/>
    <w:rsid w:val="00CD3791"/>
    <w:rsid w:val="00CD37F0"/>
    <w:rsid w:val="00CD3BEF"/>
    <w:rsid w:val="00CD4DDF"/>
    <w:rsid w:val="00CD4F37"/>
    <w:rsid w:val="00CD65B0"/>
    <w:rsid w:val="00CD6EAC"/>
    <w:rsid w:val="00CD765B"/>
    <w:rsid w:val="00CE02CD"/>
    <w:rsid w:val="00CE10E9"/>
    <w:rsid w:val="00CE1C24"/>
    <w:rsid w:val="00CE1C75"/>
    <w:rsid w:val="00CE2493"/>
    <w:rsid w:val="00CE3222"/>
    <w:rsid w:val="00CF221B"/>
    <w:rsid w:val="00CF4965"/>
    <w:rsid w:val="00CF7977"/>
    <w:rsid w:val="00D00327"/>
    <w:rsid w:val="00D003D0"/>
    <w:rsid w:val="00D0072E"/>
    <w:rsid w:val="00D01289"/>
    <w:rsid w:val="00D03A38"/>
    <w:rsid w:val="00D06092"/>
    <w:rsid w:val="00D106DA"/>
    <w:rsid w:val="00D10930"/>
    <w:rsid w:val="00D127B2"/>
    <w:rsid w:val="00D134F1"/>
    <w:rsid w:val="00D13EAD"/>
    <w:rsid w:val="00D14130"/>
    <w:rsid w:val="00D15310"/>
    <w:rsid w:val="00D15727"/>
    <w:rsid w:val="00D15FAF"/>
    <w:rsid w:val="00D16332"/>
    <w:rsid w:val="00D165ED"/>
    <w:rsid w:val="00D17FEC"/>
    <w:rsid w:val="00D214E0"/>
    <w:rsid w:val="00D21571"/>
    <w:rsid w:val="00D22706"/>
    <w:rsid w:val="00D23D19"/>
    <w:rsid w:val="00D24972"/>
    <w:rsid w:val="00D2515E"/>
    <w:rsid w:val="00D2680E"/>
    <w:rsid w:val="00D269BD"/>
    <w:rsid w:val="00D307B9"/>
    <w:rsid w:val="00D308ED"/>
    <w:rsid w:val="00D309EE"/>
    <w:rsid w:val="00D31B76"/>
    <w:rsid w:val="00D31E6C"/>
    <w:rsid w:val="00D325A6"/>
    <w:rsid w:val="00D32F02"/>
    <w:rsid w:val="00D33F48"/>
    <w:rsid w:val="00D35003"/>
    <w:rsid w:val="00D41C0D"/>
    <w:rsid w:val="00D42B67"/>
    <w:rsid w:val="00D4489A"/>
    <w:rsid w:val="00D45165"/>
    <w:rsid w:val="00D459B2"/>
    <w:rsid w:val="00D459FC"/>
    <w:rsid w:val="00D45A20"/>
    <w:rsid w:val="00D4612E"/>
    <w:rsid w:val="00D46559"/>
    <w:rsid w:val="00D465FF"/>
    <w:rsid w:val="00D4754D"/>
    <w:rsid w:val="00D47741"/>
    <w:rsid w:val="00D50E82"/>
    <w:rsid w:val="00D51BFA"/>
    <w:rsid w:val="00D52865"/>
    <w:rsid w:val="00D54343"/>
    <w:rsid w:val="00D54443"/>
    <w:rsid w:val="00D54C15"/>
    <w:rsid w:val="00D55BE6"/>
    <w:rsid w:val="00D56178"/>
    <w:rsid w:val="00D5667D"/>
    <w:rsid w:val="00D56CF0"/>
    <w:rsid w:val="00D56F5C"/>
    <w:rsid w:val="00D622BC"/>
    <w:rsid w:val="00D64E43"/>
    <w:rsid w:val="00D64EA1"/>
    <w:rsid w:val="00D65901"/>
    <w:rsid w:val="00D65D19"/>
    <w:rsid w:val="00D66222"/>
    <w:rsid w:val="00D66B98"/>
    <w:rsid w:val="00D70117"/>
    <w:rsid w:val="00D704B1"/>
    <w:rsid w:val="00D709FE"/>
    <w:rsid w:val="00D70B63"/>
    <w:rsid w:val="00D72A6A"/>
    <w:rsid w:val="00D72B92"/>
    <w:rsid w:val="00D72ED4"/>
    <w:rsid w:val="00D7327D"/>
    <w:rsid w:val="00D73F61"/>
    <w:rsid w:val="00D74860"/>
    <w:rsid w:val="00D7504A"/>
    <w:rsid w:val="00D75421"/>
    <w:rsid w:val="00D754C0"/>
    <w:rsid w:val="00D75B2E"/>
    <w:rsid w:val="00D75E35"/>
    <w:rsid w:val="00D761A5"/>
    <w:rsid w:val="00D76646"/>
    <w:rsid w:val="00D776A2"/>
    <w:rsid w:val="00D801C4"/>
    <w:rsid w:val="00D80240"/>
    <w:rsid w:val="00D81A38"/>
    <w:rsid w:val="00D81E87"/>
    <w:rsid w:val="00D81F02"/>
    <w:rsid w:val="00D82D8E"/>
    <w:rsid w:val="00D8557B"/>
    <w:rsid w:val="00D90836"/>
    <w:rsid w:val="00D92C9C"/>
    <w:rsid w:val="00D92D05"/>
    <w:rsid w:val="00D9376F"/>
    <w:rsid w:val="00D954F4"/>
    <w:rsid w:val="00D95896"/>
    <w:rsid w:val="00D95B38"/>
    <w:rsid w:val="00D95CC6"/>
    <w:rsid w:val="00D960CE"/>
    <w:rsid w:val="00D97BBC"/>
    <w:rsid w:val="00DA0233"/>
    <w:rsid w:val="00DA0B89"/>
    <w:rsid w:val="00DA20B8"/>
    <w:rsid w:val="00DA2244"/>
    <w:rsid w:val="00DA29EC"/>
    <w:rsid w:val="00DA2CB8"/>
    <w:rsid w:val="00DA2DA3"/>
    <w:rsid w:val="00DA428D"/>
    <w:rsid w:val="00DA6615"/>
    <w:rsid w:val="00DA76AE"/>
    <w:rsid w:val="00DB0252"/>
    <w:rsid w:val="00DB1257"/>
    <w:rsid w:val="00DB162F"/>
    <w:rsid w:val="00DB181E"/>
    <w:rsid w:val="00DB1C7A"/>
    <w:rsid w:val="00DB207D"/>
    <w:rsid w:val="00DB2983"/>
    <w:rsid w:val="00DB343D"/>
    <w:rsid w:val="00DB3494"/>
    <w:rsid w:val="00DB4098"/>
    <w:rsid w:val="00DB41B6"/>
    <w:rsid w:val="00DB4D9D"/>
    <w:rsid w:val="00DB5579"/>
    <w:rsid w:val="00DB57D1"/>
    <w:rsid w:val="00DB5CFE"/>
    <w:rsid w:val="00DB63B8"/>
    <w:rsid w:val="00DC06DB"/>
    <w:rsid w:val="00DC1356"/>
    <w:rsid w:val="00DC163D"/>
    <w:rsid w:val="00DC6022"/>
    <w:rsid w:val="00DC72A6"/>
    <w:rsid w:val="00DD02C9"/>
    <w:rsid w:val="00DD03D0"/>
    <w:rsid w:val="00DD1E28"/>
    <w:rsid w:val="00DD2113"/>
    <w:rsid w:val="00DD265E"/>
    <w:rsid w:val="00DD297B"/>
    <w:rsid w:val="00DD3708"/>
    <w:rsid w:val="00DD3B75"/>
    <w:rsid w:val="00DD3DF8"/>
    <w:rsid w:val="00DD59B3"/>
    <w:rsid w:val="00DD5D70"/>
    <w:rsid w:val="00DD6514"/>
    <w:rsid w:val="00DD6A41"/>
    <w:rsid w:val="00DD6B6F"/>
    <w:rsid w:val="00DE0C8E"/>
    <w:rsid w:val="00DE0D63"/>
    <w:rsid w:val="00DE1313"/>
    <w:rsid w:val="00DE1DBD"/>
    <w:rsid w:val="00DE2202"/>
    <w:rsid w:val="00DE3D77"/>
    <w:rsid w:val="00DE67FA"/>
    <w:rsid w:val="00DF1930"/>
    <w:rsid w:val="00DF1ED1"/>
    <w:rsid w:val="00DF37C6"/>
    <w:rsid w:val="00DF514A"/>
    <w:rsid w:val="00DF6625"/>
    <w:rsid w:val="00E00637"/>
    <w:rsid w:val="00E0142A"/>
    <w:rsid w:val="00E018F2"/>
    <w:rsid w:val="00E02765"/>
    <w:rsid w:val="00E0358D"/>
    <w:rsid w:val="00E036E3"/>
    <w:rsid w:val="00E036F5"/>
    <w:rsid w:val="00E06283"/>
    <w:rsid w:val="00E06327"/>
    <w:rsid w:val="00E06E2B"/>
    <w:rsid w:val="00E073DE"/>
    <w:rsid w:val="00E100E6"/>
    <w:rsid w:val="00E10FF8"/>
    <w:rsid w:val="00E11408"/>
    <w:rsid w:val="00E12417"/>
    <w:rsid w:val="00E13FEA"/>
    <w:rsid w:val="00E14293"/>
    <w:rsid w:val="00E1497E"/>
    <w:rsid w:val="00E14B66"/>
    <w:rsid w:val="00E1504D"/>
    <w:rsid w:val="00E1650D"/>
    <w:rsid w:val="00E2064B"/>
    <w:rsid w:val="00E212AB"/>
    <w:rsid w:val="00E2194F"/>
    <w:rsid w:val="00E2281E"/>
    <w:rsid w:val="00E231C4"/>
    <w:rsid w:val="00E232FD"/>
    <w:rsid w:val="00E23699"/>
    <w:rsid w:val="00E2379A"/>
    <w:rsid w:val="00E2406B"/>
    <w:rsid w:val="00E25239"/>
    <w:rsid w:val="00E259CF"/>
    <w:rsid w:val="00E265B1"/>
    <w:rsid w:val="00E2745C"/>
    <w:rsid w:val="00E275B0"/>
    <w:rsid w:val="00E30E47"/>
    <w:rsid w:val="00E34D89"/>
    <w:rsid w:val="00E35603"/>
    <w:rsid w:val="00E37DBC"/>
    <w:rsid w:val="00E40120"/>
    <w:rsid w:val="00E412D0"/>
    <w:rsid w:val="00E41FAF"/>
    <w:rsid w:val="00E4269C"/>
    <w:rsid w:val="00E43FE4"/>
    <w:rsid w:val="00E44C12"/>
    <w:rsid w:val="00E4518F"/>
    <w:rsid w:val="00E45A72"/>
    <w:rsid w:val="00E46BE0"/>
    <w:rsid w:val="00E47010"/>
    <w:rsid w:val="00E47206"/>
    <w:rsid w:val="00E47B6A"/>
    <w:rsid w:val="00E47CDB"/>
    <w:rsid w:val="00E52028"/>
    <w:rsid w:val="00E52605"/>
    <w:rsid w:val="00E53A2E"/>
    <w:rsid w:val="00E53F05"/>
    <w:rsid w:val="00E550B0"/>
    <w:rsid w:val="00E5513B"/>
    <w:rsid w:val="00E55E36"/>
    <w:rsid w:val="00E566BC"/>
    <w:rsid w:val="00E567C6"/>
    <w:rsid w:val="00E60982"/>
    <w:rsid w:val="00E60C8D"/>
    <w:rsid w:val="00E6162F"/>
    <w:rsid w:val="00E622D7"/>
    <w:rsid w:val="00E6265F"/>
    <w:rsid w:val="00E6311B"/>
    <w:rsid w:val="00E63163"/>
    <w:rsid w:val="00E6586E"/>
    <w:rsid w:val="00E65D97"/>
    <w:rsid w:val="00E662AE"/>
    <w:rsid w:val="00E6636C"/>
    <w:rsid w:val="00E67EFD"/>
    <w:rsid w:val="00E70291"/>
    <w:rsid w:val="00E702DC"/>
    <w:rsid w:val="00E71831"/>
    <w:rsid w:val="00E71FFB"/>
    <w:rsid w:val="00E742EE"/>
    <w:rsid w:val="00E7545C"/>
    <w:rsid w:val="00E760F7"/>
    <w:rsid w:val="00E76453"/>
    <w:rsid w:val="00E76D1D"/>
    <w:rsid w:val="00E77511"/>
    <w:rsid w:val="00E806F8"/>
    <w:rsid w:val="00E8147C"/>
    <w:rsid w:val="00E83F10"/>
    <w:rsid w:val="00E8464A"/>
    <w:rsid w:val="00E85068"/>
    <w:rsid w:val="00E85AB4"/>
    <w:rsid w:val="00E874C3"/>
    <w:rsid w:val="00E875DE"/>
    <w:rsid w:val="00E87752"/>
    <w:rsid w:val="00E87802"/>
    <w:rsid w:val="00E8793B"/>
    <w:rsid w:val="00E90F81"/>
    <w:rsid w:val="00E91A6D"/>
    <w:rsid w:val="00E9242D"/>
    <w:rsid w:val="00E93344"/>
    <w:rsid w:val="00E94898"/>
    <w:rsid w:val="00E94AD1"/>
    <w:rsid w:val="00E956C8"/>
    <w:rsid w:val="00E960AC"/>
    <w:rsid w:val="00E9621E"/>
    <w:rsid w:val="00E97211"/>
    <w:rsid w:val="00E97A91"/>
    <w:rsid w:val="00E97DFA"/>
    <w:rsid w:val="00E97FDC"/>
    <w:rsid w:val="00EA07E3"/>
    <w:rsid w:val="00EA239E"/>
    <w:rsid w:val="00EA656F"/>
    <w:rsid w:val="00EB041C"/>
    <w:rsid w:val="00EB24E7"/>
    <w:rsid w:val="00EB2909"/>
    <w:rsid w:val="00EB358D"/>
    <w:rsid w:val="00EB3B58"/>
    <w:rsid w:val="00EB479B"/>
    <w:rsid w:val="00EB65EB"/>
    <w:rsid w:val="00EB7641"/>
    <w:rsid w:val="00EC2BE6"/>
    <w:rsid w:val="00EC3816"/>
    <w:rsid w:val="00EC3DCA"/>
    <w:rsid w:val="00EC5874"/>
    <w:rsid w:val="00EC5A5F"/>
    <w:rsid w:val="00ED14E1"/>
    <w:rsid w:val="00ED192D"/>
    <w:rsid w:val="00ED1EF3"/>
    <w:rsid w:val="00ED2764"/>
    <w:rsid w:val="00ED30B4"/>
    <w:rsid w:val="00ED31F5"/>
    <w:rsid w:val="00ED3BB1"/>
    <w:rsid w:val="00ED400C"/>
    <w:rsid w:val="00ED5457"/>
    <w:rsid w:val="00ED5647"/>
    <w:rsid w:val="00ED7A6B"/>
    <w:rsid w:val="00EE1029"/>
    <w:rsid w:val="00EE498E"/>
    <w:rsid w:val="00EE5433"/>
    <w:rsid w:val="00EE6B13"/>
    <w:rsid w:val="00EE76F7"/>
    <w:rsid w:val="00EF1184"/>
    <w:rsid w:val="00EF2759"/>
    <w:rsid w:val="00EF2785"/>
    <w:rsid w:val="00EF45EB"/>
    <w:rsid w:val="00EF4F43"/>
    <w:rsid w:val="00EF5099"/>
    <w:rsid w:val="00EF5E33"/>
    <w:rsid w:val="00EF6781"/>
    <w:rsid w:val="00EF6E1D"/>
    <w:rsid w:val="00EF768F"/>
    <w:rsid w:val="00F00075"/>
    <w:rsid w:val="00F01209"/>
    <w:rsid w:val="00F01DED"/>
    <w:rsid w:val="00F0231C"/>
    <w:rsid w:val="00F043DD"/>
    <w:rsid w:val="00F06778"/>
    <w:rsid w:val="00F07822"/>
    <w:rsid w:val="00F10783"/>
    <w:rsid w:val="00F11E18"/>
    <w:rsid w:val="00F14379"/>
    <w:rsid w:val="00F15C95"/>
    <w:rsid w:val="00F15D17"/>
    <w:rsid w:val="00F1661E"/>
    <w:rsid w:val="00F225D8"/>
    <w:rsid w:val="00F22985"/>
    <w:rsid w:val="00F23046"/>
    <w:rsid w:val="00F241AB"/>
    <w:rsid w:val="00F26D9B"/>
    <w:rsid w:val="00F3007C"/>
    <w:rsid w:val="00F30910"/>
    <w:rsid w:val="00F31382"/>
    <w:rsid w:val="00F35829"/>
    <w:rsid w:val="00F35AF6"/>
    <w:rsid w:val="00F36FA4"/>
    <w:rsid w:val="00F4198D"/>
    <w:rsid w:val="00F420EE"/>
    <w:rsid w:val="00F42868"/>
    <w:rsid w:val="00F43007"/>
    <w:rsid w:val="00F43D81"/>
    <w:rsid w:val="00F4403E"/>
    <w:rsid w:val="00F44344"/>
    <w:rsid w:val="00F465A7"/>
    <w:rsid w:val="00F47E98"/>
    <w:rsid w:val="00F504EB"/>
    <w:rsid w:val="00F50B7C"/>
    <w:rsid w:val="00F5202D"/>
    <w:rsid w:val="00F5225D"/>
    <w:rsid w:val="00F52CF6"/>
    <w:rsid w:val="00F53B1B"/>
    <w:rsid w:val="00F53CBB"/>
    <w:rsid w:val="00F54496"/>
    <w:rsid w:val="00F5494C"/>
    <w:rsid w:val="00F561B5"/>
    <w:rsid w:val="00F56F8E"/>
    <w:rsid w:val="00F57544"/>
    <w:rsid w:val="00F61097"/>
    <w:rsid w:val="00F62512"/>
    <w:rsid w:val="00F647EC"/>
    <w:rsid w:val="00F6504C"/>
    <w:rsid w:val="00F656FB"/>
    <w:rsid w:val="00F65C73"/>
    <w:rsid w:val="00F67BAC"/>
    <w:rsid w:val="00F70AD2"/>
    <w:rsid w:val="00F71A71"/>
    <w:rsid w:val="00F71E5D"/>
    <w:rsid w:val="00F74345"/>
    <w:rsid w:val="00F74441"/>
    <w:rsid w:val="00F74E83"/>
    <w:rsid w:val="00F764BE"/>
    <w:rsid w:val="00F76DA9"/>
    <w:rsid w:val="00F77F30"/>
    <w:rsid w:val="00F8074D"/>
    <w:rsid w:val="00F811E9"/>
    <w:rsid w:val="00F815AB"/>
    <w:rsid w:val="00F81823"/>
    <w:rsid w:val="00F81C49"/>
    <w:rsid w:val="00F82589"/>
    <w:rsid w:val="00F827E5"/>
    <w:rsid w:val="00F8286D"/>
    <w:rsid w:val="00F82B19"/>
    <w:rsid w:val="00F82DA3"/>
    <w:rsid w:val="00F866FB"/>
    <w:rsid w:val="00F90161"/>
    <w:rsid w:val="00F90AA7"/>
    <w:rsid w:val="00F91085"/>
    <w:rsid w:val="00F9212D"/>
    <w:rsid w:val="00F932B7"/>
    <w:rsid w:val="00F9662F"/>
    <w:rsid w:val="00F96AAC"/>
    <w:rsid w:val="00F96F98"/>
    <w:rsid w:val="00F975C4"/>
    <w:rsid w:val="00FA1C50"/>
    <w:rsid w:val="00FA301A"/>
    <w:rsid w:val="00FA406A"/>
    <w:rsid w:val="00FA5CB6"/>
    <w:rsid w:val="00FB0DB5"/>
    <w:rsid w:val="00FB12B0"/>
    <w:rsid w:val="00FB2438"/>
    <w:rsid w:val="00FB2504"/>
    <w:rsid w:val="00FB5E4B"/>
    <w:rsid w:val="00FC2937"/>
    <w:rsid w:val="00FC2C76"/>
    <w:rsid w:val="00FC31C7"/>
    <w:rsid w:val="00FC3446"/>
    <w:rsid w:val="00FC3C8D"/>
    <w:rsid w:val="00FC542C"/>
    <w:rsid w:val="00FC5CED"/>
    <w:rsid w:val="00FC6633"/>
    <w:rsid w:val="00FC66AC"/>
    <w:rsid w:val="00FC78AD"/>
    <w:rsid w:val="00FD18F4"/>
    <w:rsid w:val="00FD1A2A"/>
    <w:rsid w:val="00FD33C7"/>
    <w:rsid w:val="00FD34E9"/>
    <w:rsid w:val="00FD3C40"/>
    <w:rsid w:val="00FD3FB5"/>
    <w:rsid w:val="00FD592E"/>
    <w:rsid w:val="00FD609B"/>
    <w:rsid w:val="00FD74B4"/>
    <w:rsid w:val="00FE0AC6"/>
    <w:rsid w:val="00FE3622"/>
    <w:rsid w:val="00FE4AA9"/>
    <w:rsid w:val="00FE5130"/>
    <w:rsid w:val="00FF0DB5"/>
    <w:rsid w:val="00FF13B3"/>
    <w:rsid w:val="00FF477D"/>
    <w:rsid w:val="00FF4A8A"/>
    <w:rsid w:val="00FF6FCE"/>
    <w:rsid w:val="00FF7518"/>
    <w:rsid w:val="00FF7D3D"/>
    <w:rsid w:val="00FF7FD8"/>
    <w:rsid w:val="01316C40"/>
    <w:rsid w:val="016C58A7"/>
    <w:rsid w:val="017721C7"/>
    <w:rsid w:val="01B60BC4"/>
    <w:rsid w:val="01BD2D8E"/>
    <w:rsid w:val="01E56D07"/>
    <w:rsid w:val="021D462A"/>
    <w:rsid w:val="023F3BBA"/>
    <w:rsid w:val="02A348B8"/>
    <w:rsid w:val="02A54CD9"/>
    <w:rsid w:val="02B72B31"/>
    <w:rsid w:val="02BC0120"/>
    <w:rsid w:val="02CB3FCC"/>
    <w:rsid w:val="032C4E8C"/>
    <w:rsid w:val="035E6FA6"/>
    <w:rsid w:val="03685798"/>
    <w:rsid w:val="037003B2"/>
    <w:rsid w:val="03846F84"/>
    <w:rsid w:val="03C13351"/>
    <w:rsid w:val="03FD5018"/>
    <w:rsid w:val="04295F9B"/>
    <w:rsid w:val="044A6E51"/>
    <w:rsid w:val="044D21AB"/>
    <w:rsid w:val="048F79F6"/>
    <w:rsid w:val="04AA1E5D"/>
    <w:rsid w:val="04B51471"/>
    <w:rsid w:val="054145AC"/>
    <w:rsid w:val="05535C0F"/>
    <w:rsid w:val="05742AC8"/>
    <w:rsid w:val="05916831"/>
    <w:rsid w:val="05B75A95"/>
    <w:rsid w:val="05E958FC"/>
    <w:rsid w:val="05EC764B"/>
    <w:rsid w:val="06352F05"/>
    <w:rsid w:val="063E7D85"/>
    <w:rsid w:val="06732C5B"/>
    <w:rsid w:val="069A139F"/>
    <w:rsid w:val="06C00F4C"/>
    <w:rsid w:val="06EB43B9"/>
    <w:rsid w:val="070875E0"/>
    <w:rsid w:val="07090CAD"/>
    <w:rsid w:val="07293586"/>
    <w:rsid w:val="07295285"/>
    <w:rsid w:val="07396CE5"/>
    <w:rsid w:val="07727FD6"/>
    <w:rsid w:val="07770C56"/>
    <w:rsid w:val="07D83973"/>
    <w:rsid w:val="08167EB9"/>
    <w:rsid w:val="08247755"/>
    <w:rsid w:val="0850118B"/>
    <w:rsid w:val="0893224E"/>
    <w:rsid w:val="089F399C"/>
    <w:rsid w:val="092217DD"/>
    <w:rsid w:val="0930417C"/>
    <w:rsid w:val="09360ED5"/>
    <w:rsid w:val="093A7294"/>
    <w:rsid w:val="09E45159"/>
    <w:rsid w:val="09F10F1E"/>
    <w:rsid w:val="09F36FDE"/>
    <w:rsid w:val="0A024232"/>
    <w:rsid w:val="0A23066B"/>
    <w:rsid w:val="0A3B6D2F"/>
    <w:rsid w:val="0A3F6487"/>
    <w:rsid w:val="0AC229C7"/>
    <w:rsid w:val="0AC52D31"/>
    <w:rsid w:val="0B6266FE"/>
    <w:rsid w:val="0B832AA7"/>
    <w:rsid w:val="0BD27BF6"/>
    <w:rsid w:val="0C1E7B2F"/>
    <w:rsid w:val="0C977DC3"/>
    <w:rsid w:val="0CCD5C0F"/>
    <w:rsid w:val="0CEE7F6A"/>
    <w:rsid w:val="0D6C5BE0"/>
    <w:rsid w:val="0DC21CF2"/>
    <w:rsid w:val="0DF14B89"/>
    <w:rsid w:val="0DFB3293"/>
    <w:rsid w:val="0E110D06"/>
    <w:rsid w:val="0E653E11"/>
    <w:rsid w:val="0E721BC1"/>
    <w:rsid w:val="0ED87D2C"/>
    <w:rsid w:val="0F13775A"/>
    <w:rsid w:val="0F9A112B"/>
    <w:rsid w:val="0FA8407C"/>
    <w:rsid w:val="0FDF2210"/>
    <w:rsid w:val="0FE7165D"/>
    <w:rsid w:val="0FEC7C2A"/>
    <w:rsid w:val="10513149"/>
    <w:rsid w:val="106D2F64"/>
    <w:rsid w:val="10770356"/>
    <w:rsid w:val="107C1C15"/>
    <w:rsid w:val="108A0B1E"/>
    <w:rsid w:val="109460A5"/>
    <w:rsid w:val="109C4CD3"/>
    <w:rsid w:val="10A67900"/>
    <w:rsid w:val="10B63710"/>
    <w:rsid w:val="10E16942"/>
    <w:rsid w:val="10E76115"/>
    <w:rsid w:val="111C2F7A"/>
    <w:rsid w:val="113013DE"/>
    <w:rsid w:val="1141197D"/>
    <w:rsid w:val="114333A1"/>
    <w:rsid w:val="116F1A10"/>
    <w:rsid w:val="11710F20"/>
    <w:rsid w:val="11E92509"/>
    <w:rsid w:val="11FE7E6C"/>
    <w:rsid w:val="122B06C2"/>
    <w:rsid w:val="124B4CE6"/>
    <w:rsid w:val="124D097B"/>
    <w:rsid w:val="12851EC3"/>
    <w:rsid w:val="12AC1E1A"/>
    <w:rsid w:val="12E90F69"/>
    <w:rsid w:val="13405A56"/>
    <w:rsid w:val="138C6593"/>
    <w:rsid w:val="13951726"/>
    <w:rsid w:val="13B567C6"/>
    <w:rsid w:val="13E946D3"/>
    <w:rsid w:val="13F52475"/>
    <w:rsid w:val="14090E8A"/>
    <w:rsid w:val="14396509"/>
    <w:rsid w:val="1447165C"/>
    <w:rsid w:val="144B565A"/>
    <w:rsid w:val="145A6E3B"/>
    <w:rsid w:val="14770ED7"/>
    <w:rsid w:val="14B618BC"/>
    <w:rsid w:val="1518223D"/>
    <w:rsid w:val="153B4ABB"/>
    <w:rsid w:val="153B5455"/>
    <w:rsid w:val="155E50D6"/>
    <w:rsid w:val="158164E0"/>
    <w:rsid w:val="159A3FC0"/>
    <w:rsid w:val="15B71A60"/>
    <w:rsid w:val="15E94ED5"/>
    <w:rsid w:val="160039B5"/>
    <w:rsid w:val="164D66FB"/>
    <w:rsid w:val="1672312F"/>
    <w:rsid w:val="16C44F84"/>
    <w:rsid w:val="16EF3DAF"/>
    <w:rsid w:val="17075EE6"/>
    <w:rsid w:val="175E58FA"/>
    <w:rsid w:val="17735226"/>
    <w:rsid w:val="17844D1A"/>
    <w:rsid w:val="178F0AEC"/>
    <w:rsid w:val="17930FEB"/>
    <w:rsid w:val="17B943BD"/>
    <w:rsid w:val="17DD6C03"/>
    <w:rsid w:val="182E745F"/>
    <w:rsid w:val="187C43BB"/>
    <w:rsid w:val="188820EB"/>
    <w:rsid w:val="189F36BD"/>
    <w:rsid w:val="18BD126E"/>
    <w:rsid w:val="18D10121"/>
    <w:rsid w:val="18F43EED"/>
    <w:rsid w:val="19065D22"/>
    <w:rsid w:val="1917314C"/>
    <w:rsid w:val="192E42FA"/>
    <w:rsid w:val="19343F75"/>
    <w:rsid w:val="19823EE9"/>
    <w:rsid w:val="1A1C66C0"/>
    <w:rsid w:val="1A42393B"/>
    <w:rsid w:val="1ABD3A2C"/>
    <w:rsid w:val="1AC2061C"/>
    <w:rsid w:val="1AE834A6"/>
    <w:rsid w:val="1AEA65C6"/>
    <w:rsid w:val="1B046F80"/>
    <w:rsid w:val="1B081F17"/>
    <w:rsid w:val="1B0A178C"/>
    <w:rsid w:val="1B1D14E3"/>
    <w:rsid w:val="1B3267B5"/>
    <w:rsid w:val="1B450ECC"/>
    <w:rsid w:val="1B7349EE"/>
    <w:rsid w:val="1BAA6248"/>
    <w:rsid w:val="1BB20CE1"/>
    <w:rsid w:val="1BB61CB2"/>
    <w:rsid w:val="1BC25DC8"/>
    <w:rsid w:val="1BE10D9D"/>
    <w:rsid w:val="1BE65CB8"/>
    <w:rsid w:val="1BFB7340"/>
    <w:rsid w:val="1C1C74B2"/>
    <w:rsid w:val="1C481988"/>
    <w:rsid w:val="1C5E7925"/>
    <w:rsid w:val="1C887FC8"/>
    <w:rsid w:val="1D5F6196"/>
    <w:rsid w:val="1D6132A5"/>
    <w:rsid w:val="1D8E56D5"/>
    <w:rsid w:val="1DB530CD"/>
    <w:rsid w:val="1DE83861"/>
    <w:rsid w:val="1E45305E"/>
    <w:rsid w:val="1E7A43DA"/>
    <w:rsid w:val="1EAA00C4"/>
    <w:rsid w:val="1EB277FE"/>
    <w:rsid w:val="1EB30810"/>
    <w:rsid w:val="1ED82BC9"/>
    <w:rsid w:val="1EFC2EDD"/>
    <w:rsid w:val="1FA55C04"/>
    <w:rsid w:val="1FD564B6"/>
    <w:rsid w:val="1FE7539E"/>
    <w:rsid w:val="201F473F"/>
    <w:rsid w:val="20231FB8"/>
    <w:rsid w:val="204D0D3C"/>
    <w:rsid w:val="20836EB8"/>
    <w:rsid w:val="20963CB8"/>
    <w:rsid w:val="209E0EB2"/>
    <w:rsid w:val="20A40DFB"/>
    <w:rsid w:val="20A77DFF"/>
    <w:rsid w:val="20B07FB6"/>
    <w:rsid w:val="20C561B6"/>
    <w:rsid w:val="20F967EA"/>
    <w:rsid w:val="210655E1"/>
    <w:rsid w:val="210743EB"/>
    <w:rsid w:val="213B74B1"/>
    <w:rsid w:val="215A2310"/>
    <w:rsid w:val="215F5FD5"/>
    <w:rsid w:val="21BC7146"/>
    <w:rsid w:val="21BE4784"/>
    <w:rsid w:val="21DE318A"/>
    <w:rsid w:val="21EF5B80"/>
    <w:rsid w:val="22576990"/>
    <w:rsid w:val="225B1E71"/>
    <w:rsid w:val="227F6D2B"/>
    <w:rsid w:val="22821F7B"/>
    <w:rsid w:val="229C4EAB"/>
    <w:rsid w:val="22C37E78"/>
    <w:rsid w:val="233E2B9B"/>
    <w:rsid w:val="238B30B1"/>
    <w:rsid w:val="23B83A29"/>
    <w:rsid w:val="23C9430B"/>
    <w:rsid w:val="242E5C18"/>
    <w:rsid w:val="252D53FE"/>
    <w:rsid w:val="25733194"/>
    <w:rsid w:val="257A063E"/>
    <w:rsid w:val="25A302D9"/>
    <w:rsid w:val="25AF2E7C"/>
    <w:rsid w:val="25B841C1"/>
    <w:rsid w:val="25BD028B"/>
    <w:rsid w:val="25E06CDB"/>
    <w:rsid w:val="25EC2D81"/>
    <w:rsid w:val="260A4BA1"/>
    <w:rsid w:val="264528BD"/>
    <w:rsid w:val="26FE7379"/>
    <w:rsid w:val="2717133D"/>
    <w:rsid w:val="2720279D"/>
    <w:rsid w:val="272F411E"/>
    <w:rsid w:val="27320B90"/>
    <w:rsid w:val="27D15DD1"/>
    <w:rsid w:val="282056BC"/>
    <w:rsid w:val="28236790"/>
    <w:rsid w:val="2839752F"/>
    <w:rsid w:val="28A715DB"/>
    <w:rsid w:val="28A76295"/>
    <w:rsid w:val="28F60349"/>
    <w:rsid w:val="29206EB8"/>
    <w:rsid w:val="292F12BD"/>
    <w:rsid w:val="295D6CEB"/>
    <w:rsid w:val="296F00A3"/>
    <w:rsid w:val="29740F52"/>
    <w:rsid w:val="29C17E10"/>
    <w:rsid w:val="29C85FB6"/>
    <w:rsid w:val="29E325E0"/>
    <w:rsid w:val="2A2777B4"/>
    <w:rsid w:val="2A452503"/>
    <w:rsid w:val="2AB605C3"/>
    <w:rsid w:val="2AE7125B"/>
    <w:rsid w:val="2B1E47C5"/>
    <w:rsid w:val="2B67610A"/>
    <w:rsid w:val="2B9D1BD3"/>
    <w:rsid w:val="2BA936A8"/>
    <w:rsid w:val="2BD532BC"/>
    <w:rsid w:val="2BDD3602"/>
    <w:rsid w:val="2BF805CE"/>
    <w:rsid w:val="2BFF463C"/>
    <w:rsid w:val="2C1B4AA9"/>
    <w:rsid w:val="2C315A5A"/>
    <w:rsid w:val="2C33760B"/>
    <w:rsid w:val="2CC868D9"/>
    <w:rsid w:val="2D1510D6"/>
    <w:rsid w:val="2D540E2C"/>
    <w:rsid w:val="2D580BA0"/>
    <w:rsid w:val="2D646130"/>
    <w:rsid w:val="2D763723"/>
    <w:rsid w:val="2D8B1393"/>
    <w:rsid w:val="2D9E56F5"/>
    <w:rsid w:val="2DBC2A60"/>
    <w:rsid w:val="2E490687"/>
    <w:rsid w:val="2E667F96"/>
    <w:rsid w:val="2E6B342A"/>
    <w:rsid w:val="2E7013BD"/>
    <w:rsid w:val="2E8226AB"/>
    <w:rsid w:val="2E8E6235"/>
    <w:rsid w:val="2EBD328A"/>
    <w:rsid w:val="2EFE3836"/>
    <w:rsid w:val="2F422EBD"/>
    <w:rsid w:val="2F4306E5"/>
    <w:rsid w:val="2F5A18AC"/>
    <w:rsid w:val="2F7426E6"/>
    <w:rsid w:val="2F832C79"/>
    <w:rsid w:val="2F852301"/>
    <w:rsid w:val="2FAA6ECD"/>
    <w:rsid w:val="2FB75B43"/>
    <w:rsid w:val="2FEE43F2"/>
    <w:rsid w:val="2FEF2D58"/>
    <w:rsid w:val="2FF9091E"/>
    <w:rsid w:val="301307C0"/>
    <w:rsid w:val="301B3A0F"/>
    <w:rsid w:val="3034062C"/>
    <w:rsid w:val="30580BC9"/>
    <w:rsid w:val="305A2D1A"/>
    <w:rsid w:val="308E4484"/>
    <w:rsid w:val="30A56580"/>
    <w:rsid w:val="310D15A9"/>
    <w:rsid w:val="311665FB"/>
    <w:rsid w:val="311E2ED7"/>
    <w:rsid w:val="313025D7"/>
    <w:rsid w:val="31330173"/>
    <w:rsid w:val="315C449C"/>
    <w:rsid w:val="31B82709"/>
    <w:rsid w:val="31BC76D3"/>
    <w:rsid w:val="32135760"/>
    <w:rsid w:val="32400B34"/>
    <w:rsid w:val="329E6876"/>
    <w:rsid w:val="32B43CE9"/>
    <w:rsid w:val="335412E5"/>
    <w:rsid w:val="336D487E"/>
    <w:rsid w:val="33BC4BFA"/>
    <w:rsid w:val="33D22E81"/>
    <w:rsid w:val="33D934D4"/>
    <w:rsid w:val="33E161E9"/>
    <w:rsid w:val="33FE2F6A"/>
    <w:rsid w:val="341D7D55"/>
    <w:rsid w:val="342A1032"/>
    <w:rsid w:val="343A64B9"/>
    <w:rsid w:val="349D2F9E"/>
    <w:rsid w:val="35032091"/>
    <w:rsid w:val="35066AB4"/>
    <w:rsid w:val="359757DD"/>
    <w:rsid w:val="35D26CA0"/>
    <w:rsid w:val="36074A7F"/>
    <w:rsid w:val="363A1903"/>
    <w:rsid w:val="36923549"/>
    <w:rsid w:val="36B75FBF"/>
    <w:rsid w:val="36FB4891"/>
    <w:rsid w:val="37764720"/>
    <w:rsid w:val="37C10485"/>
    <w:rsid w:val="380362CB"/>
    <w:rsid w:val="38307993"/>
    <w:rsid w:val="384149B1"/>
    <w:rsid w:val="38EE7750"/>
    <w:rsid w:val="38F12CD3"/>
    <w:rsid w:val="38F94775"/>
    <w:rsid w:val="392971ED"/>
    <w:rsid w:val="3933030F"/>
    <w:rsid w:val="39415C83"/>
    <w:rsid w:val="39A6062B"/>
    <w:rsid w:val="39A76910"/>
    <w:rsid w:val="3A2A68E8"/>
    <w:rsid w:val="3A9722F7"/>
    <w:rsid w:val="3AB26166"/>
    <w:rsid w:val="3B3763D1"/>
    <w:rsid w:val="3B691AD2"/>
    <w:rsid w:val="3B9A1C8B"/>
    <w:rsid w:val="3BC33E98"/>
    <w:rsid w:val="3BC345D6"/>
    <w:rsid w:val="3BC767F9"/>
    <w:rsid w:val="3BDB4052"/>
    <w:rsid w:val="3BF35CDB"/>
    <w:rsid w:val="3C1E38B2"/>
    <w:rsid w:val="3CA71446"/>
    <w:rsid w:val="3CDA245A"/>
    <w:rsid w:val="3CE4322C"/>
    <w:rsid w:val="3CEE0A37"/>
    <w:rsid w:val="3D3D4026"/>
    <w:rsid w:val="3D4109B3"/>
    <w:rsid w:val="3DB54BB3"/>
    <w:rsid w:val="3DC0775B"/>
    <w:rsid w:val="3E172BC6"/>
    <w:rsid w:val="3E7C6694"/>
    <w:rsid w:val="3E7E32EB"/>
    <w:rsid w:val="3ED00440"/>
    <w:rsid w:val="3F651C3A"/>
    <w:rsid w:val="3F660E74"/>
    <w:rsid w:val="3FA44527"/>
    <w:rsid w:val="407A6407"/>
    <w:rsid w:val="40A12470"/>
    <w:rsid w:val="41016453"/>
    <w:rsid w:val="41A16A91"/>
    <w:rsid w:val="41CE456E"/>
    <w:rsid w:val="41F60D22"/>
    <w:rsid w:val="423A3BCC"/>
    <w:rsid w:val="425F2298"/>
    <w:rsid w:val="42702D0D"/>
    <w:rsid w:val="42A514A1"/>
    <w:rsid w:val="42CD5BA7"/>
    <w:rsid w:val="42F727BD"/>
    <w:rsid w:val="431B68A5"/>
    <w:rsid w:val="43393E7D"/>
    <w:rsid w:val="433A6FE6"/>
    <w:rsid w:val="4350713C"/>
    <w:rsid w:val="435A0D43"/>
    <w:rsid w:val="436653E0"/>
    <w:rsid w:val="43684374"/>
    <w:rsid w:val="437716C2"/>
    <w:rsid w:val="43D65583"/>
    <w:rsid w:val="4415476F"/>
    <w:rsid w:val="44223C70"/>
    <w:rsid w:val="44337121"/>
    <w:rsid w:val="449A71A0"/>
    <w:rsid w:val="44A8366B"/>
    <w:rsid w:val="44B50D54"/>
    <w:rsid w:val="44CD14E0"/>
    <w:rsid w:val="44D35D7A"/>
    <w:rsid w:val="450F2962"/>
    <w:rsid w:val="453C3DB3"/>
    <w:rsid w:val="458946E9"/>
    <w:rsid w:val="45971FB8"/>
    <w:rsid w:val="462769BB"/>
    <w:rsid w:val="46495EE0"/>
    <w:rsid w:val="46550C16"/>
    <w:rsid w:val="46730B34"/>
    <w:rsid w:val="469431EB"/>
    <w:rsid w:val="46A2306B"/>
    <w:rsid w:val="46B75AFF"/>
    <w:rsid w:val="46D7388F"/>
    <w:rsid w:val="46D955A7"/>
    <w:rsid w:val="47133957"/>
    <w:rsid w:val="47362EC5"/>
    <w:rsid w:val="47413F9E"/>
    <w:rsid w:val="4771436F"/>
    <w:rsid w:val="4779329E"/>
    <w:rsid w:val="478423FB"/>
    <w:rsid w:val="47A07E0C"/>
    <w:rsid w:val="47A14C13"/>
    <w:rsid w:val="47B84039"/>
    <w:rsid w:val="47F913CB"/>
    <w:rsid w:val="485A594E"/>
    <w:rsid w:val="4870272E"/>
    <w:rsid w:val="48891B8B"/>
    <w:rsid w:val="48915C49"/>
    <w:rsid w:val="489D06BA"/>
    <w:rsid w:val="48C943FB"/>
    <w:rsid w:val="49183B9F"/>
    <w:rsid w:val="49390315"/>
    <w:rsid w:val="49677FDF"/>
    <w:rsid w:val="49BA18BC"/>
    <w:rsid w:val="49DC7715"/>
    <w:rsid w:val="4A023139"/>
    <w:rsid w:val="4A7B576F"/>
    <w:rsid w:val="4AA942EE"/>
    <w:rsid w:val="4B534E79"/>
    <w:rsid w:val="4B624D3B"/>
    <w:rsid w:val="4B723A7C"/>
    <w:rsid w:val="4B837AD1"/>
    <w:rsid w:val="4C105B58"/>
    <w:rsid w:val="4C18798A"/>
    <w:rsid w:val="4C4A0649"/>
    <w:rsid w:val="4C700A2A"/>
    <w:rsid w:val="4CA2044C"/>
    <w:rsid w:val="4CAA38A8"/>
    <w:rsid w:val="4CC80664"/>
    <w:rsid w:val="4CE470D3"/>
    <w:rsid w:val="4D5D5A9B"/>
    <w:rsid w:val="4D7868DD"/>
    <w:rsid w:val="4DA207C4"/>
    <w:rsid w:val="4DEC4FB0"/>
    <w:rsid w:val="4E075D8A"/>
    <w:rsid w:val="4E0C1C94"/>
    <w:rsid w:val="4E687349"/>
    <w:rsid w:val="4E7219D9"/>
    <w:rsid w:val="4EA76881"/>
    <w:rsid w:val="4F3A3ACA"/>
    <w:rsid w:val="4F590F37"/>
    <w:rsid w:val="4FA7729B"/>
    <w:rsid w:val="4FC62A8C"/>
    <w:rsid w:val="4FE20F0D"/>
    <w:rsid w:val="4FE743AD"/>
    <w:rsid w:val="4FF16E00"/>
    <w:rsid w:val="50194255"/>
    <w:rsid w:val="502027CD"/>
    <w:rsid w:val="503C2C04"/>
    <w:rsid w:val="50504C4B"/>
    <w:rsid w:val="50545AFB"/>
    <w:rsid w:val="509C6E7C"/>
    <w:rsid w:val="50D654B6"/>
    <w:rsid w:val="510B30A8"/>
    <w:rsid w:val="513C39C1"/>
    <w:rsid w:val="5162104E"/>
    <w:rsid w:val="51893A14"/>
    <w:rsid w:val="51BF3DA2"/>
    <w:rsid w:val="52011459"/>
    <w:rsid w:val="524D26F9"/>
    <w:rsid w:val="52D36AE8"/>
    <w:rsid w:val="52DF5B97"/>
    <w:rsid w:val="52EA30A1"/>
    <w:rsid w:val="531A6B5C"/>
    <w:rsid w:val="53A039CC"/>
    <w:rsid w:val="53A1505A"/>
    <w:rsid w:val="540370CC"/>
    <w:rsid w:val="54063E08"/>
    <w:rsid w:val="542F70DE"/>
    <w:rsid w:val="543437E8"/>
    <w:rsid w:val="54B55930"/>
    <w:rsid w:val="54CE7D9E"/>
    <w:rsid w:val="551D7A09"/>
    <w:rsid w:val="55230AEC"/>
    <w:rsid w:val="55423387"/>
    <w:rsid w:val="55654C60"/>
    <w:rsid w:val="55972C22"/>
    <w:rsid w:val="559B174B"/>
    <w:rsid w:val="55CE0CF4"/>
    <w:rsid w:val="564256D0"/>
    <w:rsid w:val="567B6271"/>
    <w:rsid w:val="56891149"/>
    <w:rsid w:val="5698283B"/>
    <w:rsid w:val="56B22A9C"/>
    <w:rsid w:val="56BC1D2B"/>
    <w:rsid w:val="56F76060"/>
    <w:rsid w:val="57195385"/>
    <w:rsid w:val="572B672F"/>
    <w:rsid w:val="57955126"/>
    <w:rsid w:val="57B72A76"/>
    <w:rsid w:val="57C507E9"/>
    <w:rsid w:val="58031486"/>
    <w:rsid w:val="58150CDE"/>
    <w:rsid w:val="585C58B0"/>
    <w:rsid w:val="58685C31"/>
    <w:rsid w:val="591244B6"/>
    <w:rsid w:val="596953BF"/>
    <w:rsid w:val="59956E25"/>
    <w:rsid w:val="5A137381"/>
    <w:rsid w:val="5A166032"/>
    <w:rsid w:val="5A21751E"/>
    <w:rsid w:val="5A3C747D"/>
    <w:rsid w:val="5A587BA6"/>
    <w:rsid w:val="5A5E0E0A"/>
    <w:rsid w:val="5AAD5D22"/>
    <w:rsid w:val="5AB0697E"/>
    <w:rsid w:val="5ABE2233"/>
    <w:rsid w:val="5ACA2EB0"/>
    <w:rsid w:val="5ADF2469"/>
    <w:rsid w:val="5AF16BAF"/>
    <w:rsid w:val="5B05379F"/>
    <w:rsid w:val="5B13515F"/>
    <w:rsid w:val="5B275F32"/>
    <w:rsid w:val="5B276D18"/>
    <w:rsid w:val="5BDF5D95"/>
    <w:rsid w:val="5BE73590"/>
    <w:rsid w:val="5BF254F5"/>
    <w:rsid w:val="5C6B574B"/>
    <w:rsid w:val="5C851AA8"/>
    <w:rsid w:val="5C931A08"/>
    <w:rsid w:val="5CB37D24"/>
    <w:rsid w:val="5CCE0159"/>
    <w:rsid w:val="5CCE758F"/>
    <w:rsid w:val="5CEE6336"/>
    <w:rsid w:val="5CF001CC"/>
    <w:rsid w:val="5CF519CA"/>
    <w:rsid w:val="5D013F78"/>
    <w:rsid w:val="5D067CA8"/>
    <w:rsid w:val="5D46181B"/>
    <w:rsid w:val="5D745E23"/>
    <w:rsid w:val="5D7A464B"/>
    <w:rsid w:val="5DCA7BAE"/>
    <w:rsid w:val="5DE62E9E"/>
    <w:rsid w:val="5DF72B16"/>
    <w:rsid w:val="5DF87A0F"/>
    <w:rsid w:val="5E0919F9"/>
    <w:rsid w:val="5E7A37CF"/>
    <w:rsid w:val="5E9347E2"/>
    <w:rsid w:val="5ED510A9"/>
    <w:rsid w:val="5F1A2B43"/>
    <w:rsid w:val="5F4B63C2"/>
    <w:rsid w:val="5FB837BB"/>
    <w:rsid w:val="60180C16"/>
    <w:rsid w:val="60822846"/>
    <w:rsid w:val="60CE558A"/>
    <w:rsid w:val="61035BC2"/>
    <w:rsid w:val="61053CE4"/>
    <w:rsid w:val="612F10D6"/>
    <w:rsid w:val="61FC7C94"/>
    <w:rsid w:val="6218353E"/>
    <w:rsid w:val="622369C6"/>
    <w:rsid w:val="62364782"/>
    <w:rsid w:val="62B76672"/>
    <w:rsid w:val="62BD568B"/>
    <w:rsid w:val="6335216A"/>
    <w:rsid w:val="635F0A8B"/>
    <w:rsid w:val="63B77324"/>
    <w:rsid w:val="63BA7965"/>
    <w:rsid w:val="63D40BE9"/>
    <w:rsid w:val="63DD5155"/>
    <w:rsid w:val="63E0211F"/>
    <w:rsid w:val="640A6AD6"/>
    <w:rsid w:val="64205E03"/>
    <w:rsid w:val="64277DBE"/>
    <w:rsid w:val="64306D81"/>
    <w:rsid w:val="646C600B"/>
    <w:rsid w:val="64737674"/>
    <w:rsid w:val="65210ED6"/>
    <w:rsid w:val="65373578"/>
    <w:rsid w:val="65B91918"/>
    <w:rsid w:val="65C26E3E"/>
    <w:rsid w:val="65E833EF"/>
    <w:rsid w:val="65EE67C8"/>
    <w:rsid w:val="664A7109"/>
    <w:rsid w:val="664C2FA3"/>
    <w:rsid w:val="664F7340"/>
    <w:rsid w:val="66F44096"/>
    <w:rsid w:val="6739201A"/>
    <w:rsid w:val="673F2C7A"/>
    <w:rsid w:val="673F52FC"/>
    <w:rsid w:val="67524C3F"/>
    <w:rsid w:val="67B243DF"/>
    <w:rsid w:val="67B46C2A"/>
    <w:rsid w:val="67B63DBA"/>
    <w:rsid w:val="67FD5802"/>
    <w:rsid w:val="681F6961"/>
    <w:rsid w:val="68463E38"/>
    <w:rsid w:val="685C1A94"/>
    <w:rsid w:val="68610A2F"/>
    <w:rsid w:val="68805514"/>
    <w:rsid w:val="688E6E88"/>
    <w:rsid w:val="68C5521B"/>
    <w:rsid w:val="6911190F"/>
    <w:rsid w:val="69113FFF"/>
    <w:rsid w:val="69320F35"/>
    <w:rsid w:val="6937496B"/>
    <w:rsid w:val="694E2071"/>
    <w:rsid w:val="697A3B33"/>
    <w:rsid w:val="697F3EB1"/>
    <w:rsid w:val="69842CB6"/>
    <w:rsid w:val="699E2456"/>
    <w:rsid w:val="69A5071F"/>
    <w:rsid w:val="69B03EDD"/>
    <w:rsid w:val="69BF69DA"/>
    <w:rsid w:val="6A4D2FE5"/>
    <w:rsid w:val="6A7D19D4"/>
    <w:rsid w:val="6ABA11B1"/>
    <w:rsid w:val="6ACA1B48"/>
    <w:rsid w:val="6B2B3092"/>
    <w:rsid w:val="6B322639"/>
    <w:rsid w:val="6B342840"/>
    <w:rsid w:val="6B4E61B9"/>
    <w:rsid w:val="6B844696"/>
    <w:rsid w:val="6BD03F24"/>
    <w:rsid w:val="6BD1273E"/>
    <w:rsid w:val="6BEF2BFB"/>
    <w:rsid w:val="6C140AC3"/>
    <w:rsid w:val="6C21166E"/>
    <w:rsid w:val="6C636C38"/>
    <w:rsid w:val="6C8F2EFB"/>
    <w:rsid w:val="6CC82910"/>
    <w:rsid w:val="6DB34098"/>
    <w:rsid w:val="6DB545B6"/>
    <w:rsid w:val="6DD77EF0"/>
    <w:rsid w:val="6DE17D30"/>
    <w:rsid w:val="6DEC7701"/>
    <w:rsid w:val="6DF6023E"/>
    <w:rsid w:val="6E420CA2"/>
    <w:rsid w:val="6E4375A0"/>
    <w:rsid w:val="6E514CED"/>
    <w:rsid w:val="6E5239E1"/>
    <w:rsid w:val="6E79491A"/>
    <w:rsid w:val="6E992E30"/>
    <w:rsid w:val="6EB563D5"/>
    <w:rsid w:val="6EBB29E7"/>
    <w:rsid w:val="6ECB438C"/>
    <w:rsid w:val="6ECE341F"/>
    <w:rsid w:val="6EE86859"/>
    <w:rsid w:val="6F225983"/>
    <w:rsid w:val="6F575BF1"/>
    <w:rsid w:val="6F59390C"/>
    <w:rsid w:val="6FA64BE8"/>
    <w:rsid w:val="6FA81986"/>
    <w:rsid w:val="6FD6215B"/>
    <w:rsid w:val="6FFC5590"/>
    <w:rsid w:val="7025271E"/>
    <w:rsid w:val="70301DA3"/>
    <w:rsid w:val="7064478B"/>
    <w:rsid w:val="706D1DD0"/>
    <w:rsid w:val="70856B87"/>
    <w:rsid w:val="70B76B7F"/>
    <w:rsid w:val="70D527EE"/>
    <w:rsid w:val="712810C8"/>
    <w:rsid w:val="712A42DE"/>
    <w:rsid w:val="714109EC"/>
    <w:rsid w:val="71526589"/>
    <w:rsid w:val="715B4348"/>
    <w:rsid w:val="715B5300"/>
    <w:rsid w:val="715F4BD7"/>
    <w:rsid w:val="716C7BCA"/>
    <w:rsid w:val="7185070D"/>
    <w:rsid w:val="719321BF"/>
    <w:rsid w:val="719C75B8"/>
    <w:rsid w:val="71D27F8A"/>
    <w:rsid w:val="71F744C6"/>
    <w:rsid w:val="71F960CF"/>
    <w:rsid w:val="72141A90"/>
    <w:rsid w:val="726F4F19"/>
    <w:rsid w:val="72CB65F3"/>
    <w:rsid w:val="72E852C5"/>
    <w:rsid w:val="731F5D5E"/>
    <w:rsid w:val="734168B5"/>
    <w:rsid w:val="73436B25"/>
    <w:rsid w:val="73AB01D2"/>
    <w:rsid w:val="73D507A3"/>
    <w:rsid w:val="73DD7E3C"/>
    <w:rsid w:val="73FF76A1"/>
    <w:rsid w:val="741E793C"/>
    <w:rsid w:val="74245741"/>
    <w:rsid w:val="74861417"/>
    <w:rsid w:val="749B650D"/>
    <w:rsid w:val="74A6781D"/>
    <w:rsid w:val="74B16A46"/>
    <w:rsid w:val="750E6C6B"/>
    <w:rsid w:val="7510398F"/>
    <w:rsid w:val="75754BF5"/>
    <w:rsid w:val="75844A48"/>
    <w:rsid w:val="758D75E2"/>
    <w:rsid w:val="75E72288"/>
    <w:rsid w:val="75F90556"/>
    <w:rsid w:val="761D7F16"/>
    <w:rsid w:val="76A36431"/>
    <w:rsid w:val="76AB761C"/>
    <w:rsid w:val="76D12FD3"/>
    <w:rsid w:val="76DA5479"/>
    <w:rsid w:val="772C6482"/>
    <w:rsid w:val="7734249D"/>
    <w:rsid w:val="773D5A97"/>
    <w:rsid w:val="774028A2"/>
    <w:rsid w:val="77762421"/>
    <w:rsid w:val="77933457"/>
    <w:rsid w:val="77AA0978"/>
    <w:rsid w:val="77E51039"/>
    <w:rsid w:val="780F09F4"/>
    <w:rsid w:val="783158FF"/>
    <w:rsid w:val="785F6EE8"/>
    <w:rsid w:val="789C4F47"/>
    <w:rsid w:val="789D7871"/>
    <w:rsid w:val="78A508E9"/>
    <w:rsid w:val="78A90480"/>
    <w:rsid w:val="79150343"/>
    <w:rsid w:val="792505F6"/>
    <w:rsid w:val="793622EC"/>
    <w:rsid w:val="79724B45"/>
    <w:rsid w:val="7975522F"/>
    <w:rsid w:val="79811327"/>
    <w:rsid w:val="79B871A5"/>
    <w:rsid w:val="79C2609E"/>
    <w:rsid w:val="79DE1549"/>
    <w:rsid w:val="79ED63A5"/>
    <w:rsid w:val="7A364017"/>
    <w:rsid w:val="7A5679AA"/>
    <w:rsid w:val="7A8265E1"/>
    <w:rsid w:val="7A8335BE"/>
    <w:rsid w:val="7AE8187D"/>
    <w:rsid w:val="7AF011E7"/>
    <w:rsid w:val="7B0E7172"/>
    <w:rsid w:val="7B276F1B"/>
    <w:rsid w:val="7B64500E"/>
    <w:rsid w:val="7B686D42"/>
    <w:rsid w:val="7B7A22E4"/>
    <w:rsid w:val="7B841746"/>
    <w:rsid w:val="7BAC3888"/>
    <w:rsid w:val="7C0E2321"/>
    <w:rsid w:val="7C2B3C5E"/>
    <w:rsid w:val="7C4B003D"/>
    <w:rsid w:val="7C550BB3"/>
    <w:rsid w:val="7C6A0C2B"/>
    <w:rsid w:val="7C8F6B6C"/>
    <w:rsid w:val="7CB87F63"/>
    <w:rsid w:val="7D0239FF"/>
    <w:rsid w:val="7D213CB7"/>
    <w:rsid w:val="7D39779D"/>
    <w:rsid w:val="7D4B3D2C"/>
    <w:rsid w:val="7D5E40CD"/>
    <w:rsid w:val="7D693BED"/>
    <w:rsid w:val="7D733D8C"/>
    <w:rsid w:val="7D762090"/>
    <w:rsid w:val="7D950394"/>
    <w:rsid w:val="7DA6003D"/>
    <w:rsid w:val="7DDA5380"/>
    <w:rsid w:val="7E2800E1"/>
    <w:rsid w:val="7E294D9C"/>
    <w:rsid w:val="7E3E68DB"/>
    <w:rsid w:val="7E5C1F05"/>
    <w:rsid w:val="7E66592E"/>
    <w:rsid w:val="7EFD64E7"/>
    <w:rsid w:val="7F0103D2"/>
    <w:rsid w:val="7F1D5617"/>
    <w:rsid w:val="7F220675"/>
    <w:rsid w:val="7F2E37C0"/>
    <w:rsid w:val="7FA91A6A"/>
    <w:rsid w:val="7FB86343"/>
    <w:rsid w:val="7FE47E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qFormat="1"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ocked="1"/>
    <w:lsdException w:qFormat="1" w:uiPriority="39" w:semiHidden="0" w:name="toc 2" w:locked="1"/>
    <w:lsdException w:qFormat="1" w:uiPriority="39" w:semiHidden="0" w:name="toc 3" w:locked="1"/>
    <w:lsdException w:qFormat="1" w:uiPriority="39" w:semiHidden="0" w:name="toc 4" w:locked="1"/>
    <w:lsdException w:qFormat="1" w:uiPriority="39" w:semiHidden="0" w:name="toc 5" w:locked="1"/>
    <w:lsdException w:qFormat="1" w:uiPriority="39" w:semiHidden="0" w:name="toc 6" w:locked="1"/>
    <w:lsdException w:qFormat="1" w:uiPriority="39" w:semiHidden="0" w:name="toc 7" w:locked="1"/>
    <w:lsdException w:qFormat="1" w:uiPriority="39" w:semiHidden="0" w:name="toc 8" w:locked="1"/>
    <w:lsdException w:qFormat="1" w:uiPriority="39" w:semiHidden="0" w:name="toc 9" w:locked="1"/>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ocked="1"/>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ocked="1"/>
    <w:lsdException w:qFormat="1" w:unhideWhenUsed="0" w:uiPriority="0" w:semiHidden="0" w:name="Emphasis" w:locked="1"/>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4"/>
    <w:next w:val="5"/>
    <w:link w:val="88"/>
    <w:qFormat/>
    <w:locked/>
    <w:uiPriority w:val="0"/>
    <w:pPr>
      <w:keepNext/>
      <w:keepLines/>
      <w:spacing w:before="260" w:after="260" w:line="416" w:lineRule="auto"/>
      <w:outlineLvl w:val="1"/>
    </w:pPr>
    <w:rPr>
      <w:rFonts w:ascii="Calibri Light" w:hAnsi="Calibri Light"/>
      <w:b/>
      <w:bCs/>
      <w:sz w:val="32"/>
      <w:szCs w:val="32"/>
    </w:rPr>
  </w:style>
  <w:style w:type="paragraph" w:styleId="6">
    <w:name w:val="heading 3"/>
    <w:basedOn w:val="1"/>
    <w:next w:val="1"/>
    <w:link w:val="45"/>
    <w:qFormat/>
    <w:locked/>
    <w:uiPriority w:val="0"/>
    <w:pPr>
      <w:keepNext/>
      <w:keepLines/>
      <w:spacing w:before="260" w:after="260" w:line="416" w:lineRule="auto"/>
      <w:outlineLvl w:val="2"/>
    </w:pPr>
    <w:rPr>
      <w:b/>
      <w:bCs/>
      <w:sz w:val="32"/>
      <w:szCs w:val="32"/>
    </w:rPr>
  </w:style>
  <w:style w:type="paragraph" w:styleId="7">
    <w:name w:val="heading 4"/>
    <w:basedOn w:val="1"/>
    <w:next w:val="1"/>
    <w:qFormat/>
    <w:locked/>
    <w:uiPriority w:val="0"/>
    <w:pPr>
      <w:keepNext/>
      <w:keepLines/>
      <w:numPr>
        <w:ilvl w:val="3"/>
        <w:numId w:val="1"/>
      </w:numPr>
      <w:adjustRightInd w:val="0"/>
      <w:snapToGrid w:val="0"/>
      <w:spacing w:before="93" w:beforeLines="30" w:line="360" w:lineRule="auto"/>
      <w:jc w:val="left"/>
      <w:outlineLvl w:val="3"/>
    </w:pPr>
    <w:rPr>
      <w:rFonts w:ascii="Arial" w:hAnsi="Arial" w:eastAsia="黑体"/>
      <w:color w:val="000000"/>
      <w:sz w:val="30"/>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4">
    <w:name w:val="Plain Text"/>
    <w:basedOn w:val="1"/>
    <w:link w:val="87"/>
    <w:qFormat/>
    <w:uiPriority w:val="0"/>
    <w:rPr>
      <w:rFonts w:ascii="宋体" w:hAnsi="Courier New"/>
      <w:szCs w:val="21"/>
    </w:rPr>
  </w:style>
  <w:style w:type="paragraph" w:customStyle="1" w:styleId="5">
    <w:name w:val="zw"/>
    <w:basedOn w:val="4"/>
    <w:link w:val="57"/>
    <w:qFormat/>
    <w:uiPriority w:val="0"/>
    <w:pPr>
      <w:spacing w:line="360" w:lineRule="auto"/>
      <w:ind w:firstLine="480" w:firstLineChars="200"/>
    </w:pPr>
    <w:rPr>
      <w:rFonts w:ascii="Times New Roman" w:hAnsi="Times New Roman"/>
      <w:sz w:val="24"/>
      <w:szCs w:val="20"/>
    </w:rPr>
  </w:style>
  <w:style w:type="paragraph" w:styleId="8">
    <w:name w:val="toc 7"/>
    <w:basedOn w:val="1"/>
    <w:next w:val="1"/>
    <w:unhideWhenUsed/>
    <w:qFormat/>
    <w:locked/>
    <w:uiPriority w:val="39"/>
    <w:pPr>
      <w:ind w:left="2520" w:leftChars="1200"/>
    </w:pPr>
    <w:rPr>
      <w:rFonts w:ascii="Calibri" w:hAnsi="Calibri"/>
      <w:szCs w:val="22"/>
    </w:rPr>
  </w:style>
  <w:style w:type="paragraph" w:styleId="9">
    <w:name w:val="Normal Indent"/>
    <w:basedOn w:val="1"/>
    <w:link w:val="69"/>
    <w:qFormat/>
    <w:uiPriority w:val="0"/>
    <w:pPr>
      <w:spacing w:line="560" w:lineRule="exact"/>
      <w:ind w:firstLine="200" w:firstLineChars="200"/>
    </w:pPr>
  </w:style>
  <w:style w:type="paragraph" w:styleId="10">
    <w:name w:val="caption"/>
    <w:basedOn w:val="1"/>
    <w:next w:val="1"/>
    <w:link w:val="72"/>
    <w:qFormat/>
    <w:locked/>
    <w:uiPriority w:val="0"/>
    <w:pPr>
      <w:adjustRightInd w:val="0"/>
      <w:snapToGrid w:val="0"/>
    </w:pPr>
    <w:rPr>
      <w:rFonts w:ascii="Calibri Light" w:hAnsi="Calibri Light" w:eastAsia="黑体"/>
      <w:szCs w:val="20"/>
    </w:rPr>
  </w:style>
  <w:style w:type="paragraph" w:styleId="11">
    <w:name w:val="List Bullet"/>
    <w:basedOn w:val="1"/>
    <w:qFormat/>
    <w:uiPriority w:val="0"/>
    <w:pPr>
      <w:numPr>
        <w:ilvl w:val="0"/>
        <w:numId w:val="2"/>
      </w:numPr>
    </w:pPr>
    <w:rPr>
      <w:rFonts w:eastAsia="仿宋_GB2312"/>
      <w:sz w:val="28"/>
    </w:rPr>
  </w:style>
  <w:style w:type="paragraph" w:styleId="12">
    <w:name w:val="Document Map"/>
    <w:basedOn w:val="1"/>
    <w:link w:val="63"/>
    <w:qFormat/>
    <w:uiPriority w:val="0"/>
    <w:rPr>
      <w:rFonts w:ascii="宋体"/>
      <w:sz w:val="18"/>
      <w:szCs w:val="18"/>
    </w:rPr>
  </w:style>
  <w:style w:type="paragraph" w:styleId="13">
    <w:name w:val="annotation text"/>
    <w:basedOn w:val="1"/>
    <w:link w:val="55"/>
    <w:qFormat/>
    <w:uiPriority w:val="99"/>
    <w:pPr>
      <w:jc w:val="left"/>
    </w:pPr>
    <w:rPr>
      <w:kern w:val="0"/>
      <w:sz w:val="24"/>
      <w:szCs w:val="20"/>
    </w:rPr>
  </w:style>
  <w:style w:type="paragraph" w:styleId="14">
    <w:name w:val="Body Text"/>
    <w:basedOn w:val="1"/>
    <w:link w:val="58"/>
    <w:qFormat/>
    <w:uiPriority w:val="0"/>
    <w:pPr>
      <w:widowControl/>
      <w:snapToGrid w:val="0"/>
      <w:spacing w:before="60" w:after="160" w:line="259" w:lineRule="auto"/>
      <w:ind w:right="113"/>
    </w:pPr>
    <w:rPr>
      <w:kern w:val="0"/>
      <w:sz w:val="18"/>
      <w:szCs w:val="20"/>
    </w:rPr>
  </w:style>
  <w:style w:type="paragraph" w:styleId="15">
    <w:name w:val="Body Text Indent"/>
    <w:basedOn w:val="1"/>
    <w:link w:val="76"/>
    <w:semiHidden/>
    <w:qFormat/>
    <w:uiPriority w:val="0"/>
    <w:pPr>
      <w:spacing w:after="120"/>
      <w:ind w:left="420" w:leftChars="200"/>
    </w:pPr>
    <w:rPr>
      <w:kern w:val="0"/>
      <w:sz w:val="24"/>
    </w:rPr>
  </w:style>
  <w:style w:type="paragraph" w:styleId="16">
    <w:name w:val="index 4"/>
    <w:basedOn w:val="1"/>
    <w:next w:val="1"/>
    <w:qFormat/>
    <w:uiPriority w:val="0"/>
    <w:pPr>
      <w:adjustRightInd w:val="0"/>
      <w:spacing w:line="360" w:lineRule="atLeast"/>
      <w:ind w:left="1260"/>
      <w:textAlignment w:val="baseline"/>
    </w:pPr>
    <w:rPr>
      <w:rFonts w:eastAsia="Times New Roman"/>
      <w:szCs w:val="20"/>
    </w:rPr>
  </w:style>
  <w:style w:type="paragraph" w:styleId="17">
    <w:name w:val="toc 5"/>
    <w:basedOn w:val="1"/>
    <w:next w:val="1"/>
    <w:unhideWhenUsed/>
    <w:qFormat/>
    <w:locked/>
    <w:uiPriority w:val="39"/>
    <w:pPr>
      <w:ind w:left="1680" w:leftChars="800"/>
    </w:pPr>
    <w:rPr>
      <w:rFonts w:ascii="Calibri" w:hAnsi="Calibri"/>
      <w:szCs w:val="22"/>
    </w:rPr>
  </w:style>
  <w:style w:type="paragraph" w:styleId="18">
    <w:name w:val="toc 3"/>
    <w:basedOn w:val="1"/>
    <w:next w:val="1"/>
    <w:unhideWhenUsed/>
    <w:qFormat/>
    <w:locked/>
    <w:uiPriority w:val="39"/>
    <w:pPr>
      <w:ind w:left="840" w:leftChars="400"/>
    </w:pPr>
    <w:rPr>
      <w:rFonts w:ascii="Calibri" w:hAnsi="Calibri"/>
      <w:szCs w:val="22"/>
    </w:rPr>
  </w:style>
  <w:style w:type="paragraph" w:styleId="19">
    <w:name w:val="List Bullet 5"/>
    <w:basedOn w:val="1"/>
    <w:qFormat/>
    <w:uiPriority w:val="0"/>
    <w:pPr>
      <w:numPr>
        <w:ilvl w:val="0"/>
        <w:numId w:val="3"/>
      </w:numPr>
      <w:contextualSpacing/>
    </w:pPr>
  </w:style>
  <w:style w:type="paragraph" w:styleId="20">
    <w:name w:val="toc 8"/>
    <w:basedOn w:val="1"/>
    <w:next w:val="1"/>
    <w:unhideWhenUsed/>
    <w:qFormat/>
    <w:locked/>
    <w:uiPriority w:val="39"/>
    <w:pPr>
      <w:ind w:left="2940" w:leftChars="1400"/>
    </w:pPr>
    <w:rPr>
      <w:rFonts w:ascii="Calibri" w:hAnsi="Calibri"/>
      <w:szCs w:val="22"/>
    </w:rPr>
  </w:style>
  <w:style w:type="paragraph" w:styleId="21">
    <w:name w:val="Date"/>
    <w:basedOn w:val="1"/>
    <w:next w:val="1"/>
    <w:link w:val="51"/>
    <w:qFormat/>
    <w:uiPriority w:val="0"/>
    <w:pPr>
      <w:ind w:left="100" w:leftChars="2500"/>
    </w:pPr>
    <w:rPr>
      <w:kern w:val="0"/>
      <w:sz w:val="24"/>
      <w:szCs w:val="20"/>
    </w:rPr>
  </w:style>
  <w:style w:type="paragraph" w:styleId="22">
    <w:name w:val="Balloon Text"/>
    <w:basedOn w:val="1"/>
    <w:link w:val="50"/>
    <w:semiHidden/>
    <w:qFormat/>
    <w:uiPriority w:val="0"/>
    <w:rPr>
      <w:kern w:val="0"/>
      <w:sz w:val="18"/>
      <w:szCs w:val="18"/>
    </w:rPr>
  </w:style>
  <w:style w:type="paragraph" w:styleId="23">
    <w:name w:val="footer"/>
    <w:basedOn w:val="1"/>
    <w:next w:val="1"/>
    <w:link w:val="53"/>
    <w:qFormat/>
    <w:uiPriority w:val="99"/>
    <w:pPr>
      <w:tabs>
        <w:tab w:val="center" w:pos="4153"/>
        <w:tab w:val="right" w:pos="8306"/>
      </w:tabs>
      <w:snapToGrid w:val="0"/>
      <w:jc w:val="left"/>
    </w:pPr>
    <w:rPr>
      <w:kern w:val="0"/>
      <w:sz w:val="18"/>
      <w:szCs w:val="18"/>
    </w:rPr>
  </w:style>
  <w:style w:type="paragraph" w:styleId="24">
    <w:name w:val="envelope return"/>
    <w:basedOn w:val="1"/>
    <w:qFormat/>
    <w:uiPriority w:val="0"/>
    <w:pPr>
      <w:snapToGrid w:val="0"/>
    </w:pPr>
  </w:style>
  <w:style w:type="paragraph" w:styleId="25">
    <w:name w:val="header"/>
    <w:basedOn w:val="1"/>
    <w:link w:val="54"/>
    <w:qFormat/>
    <w:uiPriority w:val="99"/>
    <w:pPr>
      <w:pBdr>
        <w:bottom w:val="single" w:color="auto" w:sz="6" w:space="1"/>
      </w:pBdr>
      <w:tabs>
        <w:tab w:val="center" w:pos="4153"/>
        <w:tab w:val="right" w:pos="8306"/>
      </w:tabs>
      <w:snapToGrid w:val="0"/>
      <w:jc w:val="center"/>
    </w:pPr>
    <w:rPr>
      <w:kern w:val="0"/>
      <w:sz w:val="18"/>
      <w:szCs w:val="18"/>
    </w:rPr>
  </w:style>
  <w:style w:type="paragraph" w:styleId="26">
    <w:name w:val="toc 1"/>
    <w:basedOn w:val="1"/>
    <w:next w:val="1"/>
    <w:qFormat/>
    <w:locked/>
    <w:uiPriority w:val="39"/>
    <w:pPr>
      <w:spacing w:line="360" w:lineRule="auto"/>
      <w:jc w:val="left"/>
    </w:pPr>
    <w:rPr>
      <w:b/>
      <w:bCs/>
      <w:caps/>
      <w:sz w:val="28"/>
      <w:szCs w:val="20"/>
    </w:rPr>
  </w:style>
  <w:style w:type="paragraph" w:styleId="27">
    <w:name w:val="toc 4"/>
    <w:basedOn w:val="1"/>
    <w:next w:val="1"/>
    <w:unhideWhenUsed/>
    <w:qFormat/>
    <w:locked/>
    <w:uiPriority w:val="39"/>
    <w:pPr>
      <w:ind w:left="1260" w:leftChars="600"/>
    </w:pPr>
    <w:rPr>
      <w:rFonts w:ascii="Calibri" w:hAnsi="Calibri"/>
      <w:szCs w:val="22"/>
    </w:rPr>
  </w:style>
  <w:style w:type="paragraph" w:styleId="28">
    <w:name w:val="List"/>
    <w:basedOn w:val="1"/>
    <w:next w:val="1"/>
    <w:qFormat/>
    <w:uiPriority w:val="0"/>
    <w:pPr>
      <w:adjustRightInd w:val="0"/>
      <w:spacing w:line="460" w:lineRule="exact"/>
      <w:ind w:left="1276" w:hanging="425"/>
      <w:textAlignment w:val="baseline"/>
    </w:pPr>
    <w:rPr>
      <w:sz w:val="24"/>
    </w:rPr>
  </w:style>
  <w:style w:type="paragraph" w:styleId="29">
    <w:name w:val="toc 6"/>
    <w:basedOn w:val="1"/>
    <w:next w:val="1"/>
    <w:unhideWhenUsed/>
    <w:qFormat/>
    <w:locked/>
    <w:uiPriority w:val="39"/>
    <w:pPr>
      <w:ind w:left="2100" w:leftChars="1000"/>
    </w:pPr>
    <w:rPr>
      <w:rFonts w:ascii="Calibri" w:hAnsi="Calibri"/>
      <w:szCs w:val="22"/>
    </w:rPr>
  </w:style>
  <w:style w:type="paragraph" w:styleId="30">
    <w:name w:val="toc 2"/>
    <w:basedOn w:val="1"/>
    <w:next w:val="1"/>
    <w:unhideWhenUsed/>
    <w:qFormat/>
    <w:locked/>
    <w:uiPriority w:val="39"/>
    <w:pPr>
      <w:ind w:left="420" w:leftChars="200"/>
    </w:pPr>
    <w:rPr>
      <w:rFonts w:ascii="Calibri" w:hAnsi="Calibri"/>
      <w:szCs w:val="22"/>
    </w:rPr>
  </w:style>
  <w:style w:type="paragraph" w:styleId="31">
    <w:name w:val="toc 9"/>
    <w:basedOn w:val="1"/>
    <w:next w:val="1"/>
    <w:unhideWhenUsed/>
    <w:qFormat/>
    <w:locked/>
    <w:uiPriority w:val="39"/>
    <w:pPr>
      <w:ind w:left="3360" w:leftChars="1600"/>
    </w:pPr>
    <w:rPr>
      <w:rFonts w:ascii="Calibri" w:hAnsi="Calibri"/>
      <w:szCs w:val="22"/>
    </w:rPr>
  </w:style>
  <w:style w:type="paragraph" w:styleId="32">
    <w:name w:val="HTML Preformatted"/>
    <w:basedOn w:val="1"/>
    <w:link w:val="9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33">
    <w:name w:val="Normal (Web)"/>
    <w:basedOn w:val="1"/>
    <w:link w:val="81"/>
    <w:qFormat/>
    <w:uiPriority w:val="99"/>
    <w:pPr>
      <w:widowControl/>
      <w:spacing w:before="100" w:beforeAutospacing="1" w:after="100" w:afterAutospacing="1"/>
      <w:jc w:val="left"/>
    </w:pPr>
    <w:rPr>
      <w:rFonts w:ascii="宋体" w:hAnsi="宋体"/>
      <w:kern w:val="0"/>
      <w:sz w:val="24"/>
      <w:szCs w:val="20"/>
    </w:rPr>
  </w:style>
  <w:style w:type="paragraph" w:styleId="34">
    <w:name w:val="index 1"/>
    <w:next w:val="1"/>
    <w:unhideWhenUsed/>
    <w:qFormat/>
    <w:uiPriority w:val="0"/>
    <w:pPr>
      <w:widowControl w:val="0"/>
      <w:adjustRightInd w:val="0"/>
      <w:snapToGrid w:val="0"/>
      <w:spacing w:line="440" w:lineRule="atLeast"/>
      <w:ind w:left="240" w:hanging="240"/>
    </w:pPr>
    <w:rPr>
      <w:rFonts w:ascii="宋体" w:hAnsi="Times New Roman" w:eastAsia="宋体" w:cs="Times New Roman"/>
      <w:kern w:val="2"/>
      <w:sz w:val="18"/>
      <w:szCs w:val="18"/>
      <w:lang w:val="en-US" w:eastAsia="zh-CN" w:bidi="ar-SA"/>
    </w:rPr>
  </w:style>
  <w:style w:type="paragraph" w:styleId="35">
    <w:name w:val="annotation subject"/>
    <w:basedOn w:val="13"/>
    <w:next w:val="13"/>
    <w:link w:val="80"/>
    <w:semiHidden/>
    <w:qFormat/>
    <w:uiPriority w:val="0"/>
    <w:rPr>
      <w:b/>
      <w:bCs/>
      <w:kern w:val="2"/>
      <w:szCs w:val="24"/>
    </w:rPr>
  </w:style>
  <w:style w:type="paragraph" w:styleId="36">
    <w:name w:val="Body Text First Indent 2"/>
    <w:basedOn w:val="15"/>
    <w:unhideWhenUsed/>
    <w:qFormat/>
    <w:uiPriority w:val="99"/>
    <w:pPr>
      <w:ind w:firstLine="420"/>
    </w:pPr>
  </w:style>
  <w:style w:type="table" w:styleId="38">
    <w:name w:val="Table Grid"/>
    <w:basedOn w:val="3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page number"/>
    <w:qFormat/>
    <w:uiPriority w:val="0"/>
  </w:style>
  <w:style w:type="character" w:styleId="41">
    <w:name w:val="HTML Definition"/>
    <w:qFormat/>
    <w:uiPriority w:val="0"/>
    <w:rPr>
      <w:i/>
      <w:iCs/>
    </w:rPr>
  </w:style>
  <w:style w:type="character" w:styleId="42">
    <w:name w:val="HTML Acronym"/>
    <w:qFormat/>
    <w:uiPriority w:val="0"/>
    <w:rPr>
      <w:rFonts w:ascii="ˎ̥" w:hAnsi="ˎ̥" w:eastAsia="宋体" w:cs="宋体"/>
      <w:color w:val="51585D"/>
      <w:sz w:val="21"/>
      <w:szCs w:val="18"/>
      <w:lang w:val="en-US" w:eastAsia="zh-CN" w:bidi="ar-SA"/>
    </w:rPr>
  </w:style>
  <w:style w:type="character" w:styleId="43">
    <w:name w:val="Hyperlink"/>
    <w:qFormat/>
    <w:uiPriority w:val="99"/>
    <w:rPr>
      <w:color w:val="0000FF"/>
      <w:u w:val="single"/>
    </w:rPr>
  </w:style>
  <w:style w:type="character" w:styleId="44">
    <w:name w:val="annotation reference"/>
    <w:qFormat/>
    <w:uiPriority w:val="99"/>
    <w:rPr>
      <w:sz w:val="21"/>
    </w:rPr>
  </w:style>
  <w:style w:type="character" w:customStyle="1" w:styleId="45">
    <w:name w:val="标题 3 字符"/>
    <w:link w:val="6"/>
    <w:semiHidden/>
    <w:qFormat/>
    <w:uiPriority w:val="0"/>
    <w:rPr>
      <w:b/>
      <w:bCs/>
      <w:kern w:val="2"/>
      <w:sz w:val="32"/>
      <w:szCs w:val="32"/>
    </w:rPr>
  </w:style>
  <w:style w:type="paragraph" w:customStyle="1" w:styleId="46">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47">
    <w:name w:val="日期 字符"/>
    <w:qFormat/>
    <w:uiPriority w:val="0"/>
    <w:rPr>
      <w:rFonts w:ascii="Times New Roman" w:hAnsi="Times New Roman" w:eastAsia="宋体" w:cs="Times New Roman"/>
      <w:sz w:val="24"/>
      <w:szCs w:val="24"/>
    </w:rPr>
  </w:style>
  <w:style w:type="character" w:customStyle="1" w:styleId="48">
    <w:name w:val="批注文字 字符"/>
    <w:qFormat/>
    <w:uiPriority w:val="99"/>
    <w:rPr>
      <w:rFonts w:eastAsia="Arial"/>
      <w:kern w:val="2"/>
      <w:sz w:val="28"/>
      <w:szCs w:val="24"/>
    </w:rPr>
  </w:style>
  <w:style w:type="character" w:customStyle="1" w:styleId="49">
    <w:name w:val="正文文本 字符1"/>
    <w:semiHidden/>
    <w:qFormat/>
    <w:uiPriority w:val="0"/>
    <w:rPr>
      <w:rFonts w:ascii="Times New Roman" w:hAnsi="Times New Roman" w:eastAsia="宋体" w:cs="Times New Roman"/>
      <w:sz w:val="24"/>
      <w:szCs w:val="24"/>
    </w:rPr>
  </w:style>
  <w:style w:type="character" w:customStyle="1" w:styleId="50">
    <w:name w:val="批注框文本 字符"/>
    <w:link w:val="22"/>
    <w:semiHidden/>
    <w:qFormat/>
    <w:locked/>
    <w:uiPriority w:val="0"/>
    <w:rPr>
      <w:rFonts w:ascii="Times New Roman" w:hAnsi="Times New Roman" w:eastAsia="宋体" w:cs="Times New Roman"/>
      <w:sz w:val="18"/>
      <w:szCs w:val="18"/>
    </w:rPr>
  </w:style>
  <w:style w:type="character" w:customStyle="1" w:styleId="51">
    <w:name w:val="日期 字符1"/>
    <w:link w:val="21"/>
    <w:qFormat/>
    <w:locked/>
    <w:uiPriority w:val="0"/>
    <w:rPr>
      <w:rFonts w:ascii="Times New Roman" w:hAnsi="Times New Roman" w:eastAsia="宋体"/>
      <w:sz w:val="24"/>
    </w:rPr>
  </w:style>
  <w:style w:type="character" w:customStyle="1" w:styleId="52">
    <w:name w:val="zw Char"/>
    <w:qFormat/>
    <w:uiPriority w:val="0"/>
    <w:rPr>
      <w:rFonts w:ascii="Times New Roman" w:hAnsi="Times New Roman" w:eastAsia="宋体" w:cs="Courier New"/>
      <w:kern w:val="0"/>
      <w:sz w:val="24"/>
    </w:rPr>
  </w:style>
  <w:style w:type="character" w:customStyle="1" w:styleId="53">
    <w:name w:val="页脚 字符"/>
    <w:link w:val="23"/>
    <w:qFormat/>
    <w:locked/>
    <w:uiPriority w:val="99"/>
    <w:rPr>
      <w:rFonts w:cs="Times New Roman"/>
      <w:sz w:val="18"/>
      <w:szCs w:val="18"/>
    </w:rPr>
  </w:style>
  <w:style w:type="character" w:customStyle="1" w:styleId="54">
    <w:name w:val="页眉 字符"/>
    <w:link w:val="25"/>
    <w:qFormat/>
    <w:locked/>
    <w:uiPriority w:val="99"/>
    <w:rPr>
      <w:rFonts w:cs="Times New Roman"/>
      <w:sz w:val="18"/>
      <w:szCs w:val="18"/>
    </w:rPr>
  </w:style>
  <w:style w:type="character" w:customStyle="1" w:styleId="55">
    <w:name w:val="批注文字 字符2"/>
    <w:link w:val="13"/>
    <w:qFormat/>
    <w:locked/>
    <w:uiPriority w:val="99"/>
    <w:rPr>
      <w:rFonts w:ascii="Times New Roman" w:hAnsi="Times New Roman" w:eastAsia="宋体"/>
      <w:sz w:val="24"/>
    </w:rPr>
  </w:style>
  <w:style w:type="character" w:customStyle="1" w:styleId="56">
    <w:name w:val="普通(网站) Char"/>
    <w:qFormat/>
    <w:locked/>
    <w:uiPriority w:val="0"/>
    <w:rPr>
      <w:rFonts w:ascii="宋体" w:hAnsi="宋体" w:eastAsia="宋体"/>
      <w:sz w:val="24"/>
    </w:rPr>
  </w:style>
  <w:style w:type="character" w:customStyle="1" w:styleId="57">
    <w:name w:val="zw Char Char"/>
    <w:link w:val="5"/>
    <w:qFormat/>
    <w:uiPriority w:val="0"/>
    <w:rPr>
      <w:kern w:val="2"/>
      <w:sz w:val="24"/>
    </w:rPr>
  </w:style>
  <w:style w:type="character" w:customStyle="1" w:styleId="58">
    <w:name w:val="正文文本 字符"/>
    <w:link w:val="14"/>
    <w:qFormat/>
    <w:locked/>
    <w:uiPriority w:val="0"/>
    <w:rPr>
      <w:sz w:val="18"/>
    </w:rPr>
  </w:style>
  <w:style w:type="character" w:customStyle="1" w:styleId="59">
    <w:name w:val="样式 样式 样式 样式 正文缩进s4 + 首行缩进:  2 字符 + 首行缩进:  2 字符 + Char + 仿宋_GB231..."/>
    <w:qFormat/>
    <w:uiPriority w:val="0"/>
    <w:rPr>
      <w:rFonts w:ascii="Wingdings" w:eastAsia="Wingdings" w:cs="Wingdings"/>
      <w:color w:val="auto"/>
      <w:kern w:val="2"/>
      <w:sz w:val="24"/>
      <w:szCs w:val="28"/>
      <w:lang w:val="en-US" w:eastAsia="zh-CN" w:bidi="ar-SA"/>
    </w:rPr>
  </w:style>
  <w:style w:type="character" w:customStyle="1" w:styleId="60">
    <w:name w:val="表格 Char"/>
    <w:link w:val="61"/>
    <w:qFormat/>
    <w:locked/>
    <w:uiPriority w:val="0"/>
    <w:rPr>
      <w:rFonts w:ascii="宋体"/>
      <w:sz w:val="21"/>
    </w:rPr>
  </w:style>
  <w:style w:type="paragraph" w:customStyle="1" w:styleId="61">
    <w:name w:val="表格"/>
    <w:basedOn w:val="1"/>
    <w:next w:val="1"/>
    <w:link w:val="60"/>
    <w:qFormat/>
    <w:uiPriority w:val="0"/>
    <w:pPr>
      <w:adjustRightInd w:val="0"/>
      <w:snapToGrid w:val="0"/>
      <w:spacing w:beforeLines="10" w:afterLines="10" w:line="259" w:lineRule="auto"/>
      <w:jc w:val="center"/>
    </w:pPr>
    <w:rPr>
      <w:rFonts w:ascii="宋体"/>
      <w:kern w:val="0"/>
      <w:szCs w:val="20"/>
    </w:rPr>
  </w:style>
  <w:style w:type="character" w:customStyle="1" w:styleId="62">
    <w:name w:val="fontstyle21"/>
    <w:qFormat/>
    <w:uiPriority w:val="0"/>
    <w:rPr>
      <w:rFonts w:ascii="仿宋_GB2312" w:eastAsia="仿宋_GB2312" w:cs="仿宋_GB2312"/>
      <w:color w:val="000000"/>
      <w:sz w:val="28"/>
      <w:szCs w:val="28"/>
    </w:rPr>
  </w:style>
  <w:style w:type="character" w:customStyle="1" w:styleId="63">
    <w:name w:val="文档结构图 字符"/>
    <w:link w:val="12"/>
    <w:qFormat/>
    <w:uiPriority w:val="0"/>
    <w:rPr>
      <w:rFonts w:ascii="宋体"/>
      <w:kern w:val="2"/>
      <w:sz w:val="18"/>
      <w:szCs w:val="18"/>
    </w:rPr>
  </w:style>
  <w:style w:type="character" w:customStyle="1" w:styleId="64">
    <w:name w:val="批注文字 字符1"/>
    <w:semiHidden/>
    <w:qFormat/>
    <w:uiPriority w:val="0"/>
    <w:rPr>
      <w:rFonts w:ascii="Times New Roman" w:hAnsi="Times New Roman" w:eastAsia="宋体" w:cs="Times New Roman"/>
      <w:sz w:val="24"/>
      <w:szCs w:val="24"/>
    </w:rPr>
  </w:style>
  <w:style w:type="character" w:customStyle="1" w:styleId="65">
    <w:name w:val="正文 宋体 小四 Char"/>
    <w:link w:val="66"/>
    <w:qFormat/>
    <w:uiPriority w:val="0"/>
    <w:rPr>
      <w:sz w:val="24"/>
      <w:szCs w:val="24"/>
    </w:rPr>
  </w:style>
  <w:style w:type="paragraph" w:customStyle="1" w:styleId="66">
    <w:name w:val="正文 宋体 小四"/>
    <w:basedOn w:val="1"/>
    <w:link w:val="65"/>
    <w:qFormat/>
    <w:uiPriority w:val="0"/>
    <w:pPr>
      <w:widowControl/>
      <w:spacing w:line="360" w:lineRule="auto"/>
      <w:ind w:firstLine="200" w:firstLineChars="200"/>
    </w:pPr>
    <w:rPr>
      <w:kern w:val="0"/>
      <w:sz w:val="24"/>
    </w:rPr>
  </w:style>
  <w:style w:type="character" w:customStyle="1" w:styleId="67">
    <w:name w:val="正文文本首行缩进 2 字符"/>
    <w:link w:val="68"/>
    <w:qFormat/>
    <w:uiPriority w:val="99"/>
    <w:rPr>
      <w:sz w:val="24"/>
      <w:szCs w:val="24"/>
    </w:rPr>
  </w:style>
  <w:style w:type="paragraph" w:customStyle="1" w:styleId="68">
    <w:name w:val="1"/>
    <w:basedOn w:val="15"/>
    <w:next w:val="36"/>
    <w:link w:val="67"/>
    <w:unhideWhenUsed/>
    <w:qFormat/>
    <w:uiPriority w:val="99"/>
    <w:pPr>
      <w:ind w:firstLine="420"/>
    </w:pPr>
  </w:style>
  <w:style w:type="character" w:customStyle="1" w:styleId="69">
    <w:name w:val="正文缩进 字符"/>
    <w:link w:val="9"/>
    <w:qFormat/>
    <w:uiPriority w:val="0"/>
    <w:rPr>
      <w:kern w:val="2"/>
      <w:sz w:val="21"/>
      <w:szCs w:val="24"/>
    </w:rPr>
  </w:style>
  <w:style w:type="character" w:customStyle="1" w:styleId="70">
    <w:name w:val="表格文字   居中 Char Char"/>
    <w:link w:val="71"/>
    <w:qFormat/>
    <w:uiPriority w:val="0"/>
    <w:rPr>
      <w:rFonts w:ascii="ˎ̥" w:hAnsi="ˎ̥" w:cs="宋体"/>
      <w:color w:val="51585D"/>
      <w:sz w:val="21"/>
      <w:szCs w:val="21"/>
      <w:shd w:val="clear" w:color="auto" w:fill="FFFFFF"/>
    </w:rPr>
  </w:style>
  <w:style w:type="paragraph" w:customStyle="1" w:styleId="71">
    <w:name w:val="表格文字   居中"/>
    <w:basedOn w:val="1"/>
    <w:link w:val="70"/>
    <w:qFormat/>
    <w:uiPriority w:val="0"/>
    <w:pPr>
      <w:shd w:val="clear" w:color="auto" w:fill="FFFFFF"/>
      <w:adjustRightInd w:val="0"/>
      <w:snapToGrid w:val="0"/>
      <w:jc w:val="center"/>
    </w:pPr>
    <w:rPr>
      <w:rFonts w:ascii="ˎ̥" w:hAnsi="ˎ̥" w:cs="宋体"/>
      <w:color w:val="51585D"/>
      <w:kern w:val="0"/>
      <w:szCs w:val="21"/>
    </w:rPr>
  </w:style>
  <w:style w:type="character" w:customStyle="1" w:styleId="72">
    <w:name w:val="题注 字符1"/>
    <w:link w:val="10"/>
    <w:qFormat/>
    <w:uiPriority w:val="0"/>
    <w:rPr>
      <w:rFonts w:ascii="Calibri Light" w:hAnsi="Calibri Light" w:eastAsia="黑体"/>
      <w:kern w:val="2"/>
      <w:sz w:val="21"/>
    </w:rPr>
  </w:style>
  <w:style w:type="character" w:customStyle="1" w:styleId="73">
    <w:name w:val="题注 字符"/>
    <w:qFormat/>
    <w:uiPriority w:val="0"/>
    <w:rPr>
      <w:rFonts w:ascii="Calibri Light" w:hAnsi="Calibri Light" w:eastAsia="黑体"/>
      <w:kern w:val="2"/>
      <w:sz w:val="21"/>
    </w:rPr>
  </w:style>
  <w:style w:type="character" w:customStyle="1" w:styleId="74">
    <w:name w:val="表格文字 Char"/>
    <w:link w:val="75"/>
    <w:qFormat/>
    <w:uiPriority w:val="0"/>
    <w:rPr>
      <w:rFonts w:cs="幼圆"/>
      <w:sz w:val="21"/>
    </w:rPr>
  </w:style>
  <w:style w:type="paragraph" w:customStyle="1" w:styleId="75">
    <w:name w:val="表格文字"/>
    <w:basedOn w:val="4"/>
    <w:next w:val="1"/>
    <w:link w:val="74"/>
    <w:qFormat/>
    <w:uiPriority w:val="0"/>
    <w:pPr>
      <w:tabs>
        <w:tab w:val="left" w:pos="3720"/>
      </w:tabs>
      <w:topLinePunct/>
      <w:adjustRightInd w:val="0"/>
      <w:snapToGrid w:val="0"/>
      <w:jc w:val="center"/>
      <w:textAlignment w:val="center"/>
    </w:pPr>
    <w:rPr>
      <w:rFonts w:ascii="Times New Roman" w:hAnsi="Times New Roman"/>
      <w:kern w:val="0"/>
      <w:szCs w:val="20"/>
    </w:rPr>
  </w:style>
  <w:style w:type="character" w:customStyle="1" w:styleId="76">
    <w:name w:val="正文文本缩进 字符"/>
    <w:link w:val="15"/>
    <w:qFormat/>
    <w:locked/>
    <w:uiPriority w:val="0"/>
    <w:rPr>
      <w:rFonts w:ascii="Times New Roman" w:hAnsi="Times New Roman" w:eastAsia="宋体" w:cs="Times New Roman"/>
      <w:sz w:val="24"/>
      <w:szCs w:val="24"/>
    </w:rPr>
  </w:style>
  <w:style w:type="character" w:customStyle="1" w:styleId="77">
    <w:name w:val="样式 样式 样式 正文缩进s4 + 首行缩进:  2 字符 + 首行缩进:  2 字符 + Char1"/>
    <w:link w:val="78"/>
    <w:qFormat/>
    <w:uiPriority w:val="0"/>
    <w:rPr>
      <w:rFonts w:ascii="Wingdings" w:hAnsi="Wingdings" w:eastAsia="Wingdings"/>
      <w:color w:val="000000"/>
      <w:kern w:val="2"/>
      <w:sz w:val="21"/>
      <w:szCs w:val="28"/>
    </w:rPr>
  </w:style>
  <w:style w:type="paragraph" w:customStyle="1" w:styleId="78">
    <w:name w:val="样式 样式 样式 正文缩进s4 + 首行缩进:  2 字符 + 首行缩进:  2 字符 +"/>
    <w:basedOn w:val="1"/>
    <w:link w:val="77"/>
    <w:qFormat/>
    <w:uiPriority w:val="0"/>
    <w:pPr>
      <w:adjustRightInd w:val="0"/>
      <w:snapToGrid w:val="0"/>
      <w:spacing w:line="360" w:lineRule="auto"/>
      <w:ind w:firstLine="480" w:firstLineChars="200"/>
    </w:pPr>
    <w:rPr>
      <w:rFonts w:ascii="Wingdings" w:hAnsi="Wingdings" w:eastAsia="Wingdings"/>
      <w:color w:val="000000"/>
      <w:szCs w:val="28"/>
    </w:rPr>
  </w:style>
  <w:style w:type="character" w:customStyle="1" w:styleId="79">
    <w:name w:val="表格文字 Char Char"/>
    <w:qFormat/>
    <w:uiPriority w:val="0"/>
    <w:rPr>
      <w:rFonts w:ascii="宋体" w:hAnsi="宋体" w:eastAsia="宋体" w:cs="Times New Roman"/>
      <w:kern w:val="0"/>
      <w:szCs w:val="20"/>
    </w:rPr>
  </w:style>
  <w:style w:type="character" w:customStyle="1" w:styleId="80">
    <w:name w:val="批注主题 字符"/>
    <w:link w:val="35"/>
    <w:semiHidden/>
    <w:qFormat/>
    <w:locked/>
    <w:uiPriority w:val="0"/>
    <w:rPr>
      <w:rFonts w:ascii="Times New Roman" w:hAnsi="Times New Roman" w:eastAsia="宋体" w:cs="Times New Roman"/>
      <w:b/>
      <w:bCs/>
      <w:kern w:val="2"/>
      <w:sz w:val="24"/>
      <w:szCs w:val="24"/>
    </w:rPr>
  </w:style>
  <w:style w:type="character" w:customStyle="1" w:styleId="81">
    <w:name w:val="普通(网站) 字符"/>
    <w:link w:val="33"/>
    <w:qFormat/>
    <w:locked/>
    <w:uiPriority w:val="0"/>
    <w:rPr>
      <w:rFonts w:ascii="宋体" w:hAnsi="宋体" w:eastAsia="宋体"/>
      <w:sz w:val="24"/>
    </w:rPr>
  </w:style>
  <w:style w:type="character" w:customStyle="1" w:styleId="82">
    <w:name w:val="zw居中 Char"/>
    <w:link w:val="83"/>
    <w:qFormat/>
    <w:uiPriority w:val="0"/>
    <w:rPr>
      <w:rFonts w:cs="幼圆"/>
      <w:kern w:val="2"/>
      <w:sz w:val="24"/>
      <w:szCs w:val="21"/>
    </w:rPr>
  </w:style>
  <w:style w:type="paragraph" w:customStyle="1" w:styleId="83">
    <w:name w:val="zw居中"/>
    <w:basedOn w:val="4"/>
    <w:link w:val="82"/>
    <w:qFormat/>
    <w:uiPriority w:val="0"/>
    <w:pPr>
      <w:adjustRightInd w:val="0"/>
      <w:snapToGrid w:val="0"/>
      <w:jc w:val="center"/>
    </w:pPr>
    <w:rPr>
      <w:rFonts w:ascii="Times New Roman" w:hAnsi="Times New Roman"/>
      <w:sz w:val="24"/>
    </w:rPr>
  </w:style>
  <w:style w:type="character" w:customStyle="1" w:styleId="84">
    <w:name w:val="fontstyle01"/>
    <w:qFormat/>
    <w:uiPriority w:val="0"/>
    <w:rPr>
      <w:rFonts w:ascii="仿宋_GB2312" w:eastAsia="仿宋_GB2312" w:cs="仿宋_GB2312"/>
      <w:color w:val="000000"/>
      <w:sz w:val="28"/>
      <w:szCs w:val="28"/>
    </w:rPr>
  </w:style>
  <w:style w:type="character" w:customStyle="1" w:styleId="85">
    <w:name w:val="样式 样式 首行缩进:  2 字符 + 首行缩进:  2 字符 Char Char"/>
    <w:link w:val="86"/>
    <w:qFormat/>
    <w:uiPriority w:val="0"/>
    <w:rPr>
      <w:rFonts w:eastAsia="仿宋_GB2312" w:cs="宋体"/>
      <w:sz w:val="28"/>
      <w:szCs w:val="28"/>
    </w:rPr>
  </w:style>
  <w:style w:type="paragraph" w:customStyle="1" w:styleId="86">
    <w:name w:val="样式 样式 首行缩进:  2 字符 + 首行缩进:  2 字符"/>
    <w:basedOn w:val="1"/>
    <w:link w:val="85"/>
    <w:qFormat/>
    <w:uiPriority w:val="0"/>
    <w:pPr>
      <w:widowControl/>
      <w:tabs>
        <w:tab w:val="left" w:pos="3735"/>
      </w:tabs>
      <w:spacing w:line="510" w:lineRule="exact"/>
      <w:ind w:firstLine="560" w:firstLineChars="200"/>
    </w:pPr>
    <w:rPr>
      <w:rFonts w:eastAsia="仿宋_GB2312" w:cs="宋体"/>
      <w:kern w:val="0"/>
      <w:sz w:val="28"/>
      <w:szCs w:val="28"/>
    </w:rPr>
  </w:style>
  <w:style w:type="character" w:customStyle="1" w:styleId="87">
    <w:name w:val="纯文本 字符"/>
    <w:link w:val="4"/>
    <w:qFormat/>
    <w:uiPriority w:val="0"/>
    <w:rPr>
      <w:rFonts w:ascii="宋体" w:hAnsi="Courier New" w:cs="Courier New"/>
      <w:kern w:val="2"/>
      <w:sz w:val="21"/>
      <w:szCs w:val="21"/>
    </w:rPr>
  </w:style>
  <w:style w:type="character" w:customStyle="1" w:styleId="88">
    <w:name w:val="标题 2 字符"/>
    <w:link w:val="3"/>
    <w:semiHidden/>
    <w:qFormat/>
    <w:uiPriority w:val="0"/>
    <w:rPr>
      <w:rFonts w:ascii="Calibri Light" w:hAnsi="Calibri Light" w:eastAsia="宋体" w:cs="Times New Roman"/>
      <w:b/>
      <w:bCs/>
      <w:kern w:val="2"/>
      <w:sz w:val="32"/>
      <w:szCs w:val="32"/>
    </w:rPr>
  </w:style>
  <w:style w:type="character" w:customStyle="1" w:styleId="89">
    <w:name w:val="样式 左侧:  0.98 厘米 Char1"/>
    <w:link w:val="90"/>
    <w:qFormat/>
    <w:uiPriority w:val="0"/>
    <w:rPr>
      <w:rFonts w:eastAsia="仿宋_GB2312"/>
      <w:kern w:val="2"/>
      <w:sz w:val="28"/>
    </w:rPr>
  </w:style>
  <w:style w:type="paragraph" w:customStyle="1" w:styleId="90">
    <w:name w:val="样式 左侧:  0.98 厘米"/>
    <w:basedOn w:val="1"/>
    <w:link w:val="89"/>
    <w:qFormat/>
    <w:uiPriority w:val="0"/>
    <w:pPr>
      <w:adjustRightInd w:val="0"/>
      <w:snapToGrid w:val="0"/>
      <w:spacing w:line="490" w:lineRule="exact"/>
      <w:ind w:firstLine="560" w:firstLineChars="200"/>
    </w:pPr>
    <w:rPr>
      <w:rFonts w:eastAsia="仿宋_GB2312"/>
      <w:sz w:val="28"/>
      <w:szCs w:val="20"/>
    </w:rPr>
  </w:style>
  <w:style w:type="character" w:customStyle="1" w:styleId="91">
    <w:name w:val="表格文字（小五） Char"/>
    <w:link w:val="92"/>
    <w:qFormat/>
    <w:uiPriority w:val="0"/>
    <w:rPr>
      <w:rFonts w:ascii="Arial" w:hAnsi="Arial"/>
      <w:kern w:val="2"/>
      <w:sz w:val="21"/>
    </w:rPr>
  </w:style>
  <w:style w:type="paragraph" w:customStyle="1" w:styleId="92">
    <w:name w:val="表格文字（小五）"/>
    <w:basedOn w:val="1"/>
    <w:next w:val="9"/>
    <w:link w:val="91"/>
    <w:qFormat/>
    <w:uiPriority w:val="0"/>
    <w:pPr>
      <w:tabs>
        <w:tab w:val="left" w:pos="746"/>
      </w:tabs>
      <w:spacing w:line="360" w:lineRule="exact"/>
      <w:jc w:val="center"/>
      <w:textAlignment w:val="center"/>
    </w:pPr>
    <w:rPr>
      <w:rFonts w:ascii="Arial" w:hAnsi="Arial"/>
      <w:szCs w:val="20"/>
    </w:rPr>
  </w:style>
  <w:style w:type="character" w:customStyle="1" w:styleId="93">
    <w:name w:val="fontstyle11"/>
    <w:qFormat/>
    <w:uiPriority w:val="0"/>
    <w:rPr>
      <w:rFonts w:hint="default" w:ascii="Times New Roman" w:hAnsi="Times New Roman" w:cs="Times New Roman"/>
      <w:color w:val="000000"/>
      <w:sz w:val="28"/>
      <w:szCs w:val="28"/>
    </w:rPr>
  </w:style>
  <w:style w:type="character" w:customStyle="1" w:styleId="94">
    <w:name w:val="题注 Char1"/>
    <w:qFormat/>
    <w:uiPriority w:val="35"/>
    <w:rPr>
      <w:rFonts w:ascii="Arial" w:hAnsi="Arial" w:eastAsia="黑体" w:cs="Arial"/>
      <w:sz w:val="20"/>
      <w:szCs w:val="20"/>
    </w:rPr>
  </w:style>
  <w:style w:type="character" w:customStyle="1" w:styleId="95">
    <w:name w:val="HTML 预设格式 字符"/>
    <w:link w:val="32"/>
    <w:qFormat/>
    <w:uiPriority w:val="0"/>
    <w:rPr>
      <w:rFonts w:ascii="宋体" w:hAnsi="宋体"/>
      <w:sz w:val="24"/>
      <w:szCs w:val="24"/>
    </w:rPr>
  </w:style>
  <w:style w:type="character" w:customStyle="1" w:styleId="96">
    <w:name w:val="项目编号 Char"/>
    <w:link w:val="97"/>
    <w:qFormat/>
    <w:locked/>
    <w:uiPriority w:val="0"/>
    <w:rPr>
      <w:b/>
      <w:bCs/>
      <w:kern w:val="2"/>
      <w:sz w:val="28"/>
      <w:szCs w:val="28"/>
    </w:rPr>
  </w:style>
  <w:style w:type="paragraph" w:customStyle="1" w:styleId="97">
    <w:name w:val="项目编号"/>
    <w:basedOn w:val="4"/>
    <w:next w:val="5"/>
    <w:link w:val="96"/>
    <w:qFormat/>
    <w:uiPriority w:val="0"/>
    <w:rPr>
      <w:rFonts w:ascii="Times New Roman" w:hAnsi="Times New Roman"/>
      <w:b/>
      <w:bCs/>
      <w:sz w:val="28"/>
      <w:szCs w:val="28"/>
    </w:rPr>
  </w:style>
  <w:style w:type="paragraph" w:customStyle="1" w:styleId="98">
    <w:name w:val="表中"/>
    <w:basedOn w:val="1"/>
    <w:qFormat/>
    <w:uiPriority w:val="0"/>
    <w:pPr>
      <w:adjustRightInd w:val="0"/>
      <w:snapToGrid w:val="0"/>
      <w:spacing w:line="360" w:lineRule="atLeast"/>
      <w:jc w:val="center"/>
    </w:pPr>
    <w:rPr>
      <w:rFonts w:ascii="宋体" w:hAnsi="宋体" w:cs="宋体"/>
      <w:snapToGrid w:val="0"/>
      <w:kern w:val="0"/>
      <w:szCs w:val="21"/>
    </w:rPr>
  </w:style>
  <w:style w:type="paragraph" w:customStyle="1" w:styleId="99">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100">
    <w:name w:val="修改索引"/>
    <w:basedOn w:val="4"/>
    <w:qFormat/>
    <w:uiPriority w:val="0"/>
    <w:pPr>
      <w:adjustRightInd w:val="0"/>
      <w:snapToGrid w:val="0"/>
      <w:jc w:val="left"/>
    </w:pPr>
    <w:rPr>
      <w:rFonts w:ascii="Arial" w:hAnsi="Arial" w:cs="宋体"/>
      <w:sz w:val="24"/>
    </w:rPr>
  </w:style>
  <w:style w:type="paragraph" w:customStyle="1" w:styleId="101">
    <w:name w:val="样式 (中文) 宋体 小四 行距: 1.5 倍行距 首行缩进:  2 字符"/>
    <w:basedOn w:val="1"/>
    <w:qFormat/>
    <w:uiPriority w:val="0"/>
    <w:pPr>
      <w:spacing w:line="360" w:lineRule="auto"/>
      <w:ind w:firstLine="200" w:firstLineChars="200"/>
    </w:pPr>
    <w:rPr>
      <w:sz w:val="24"/>
      <w:szCs w:val="20"/>
    </w:rPr>
  </w:style>
  <w:style w:type="paragraph" w:customStyle="1" w:styleId="102">
    <w:name w:val="样式 正文缩进s4标题4表正文正文非缩进图标题段1Body Text(ch)缩进ALT+Z特点四号正文不..."/>
    <w:basedOn w:val="9"/>
    <w:qFormat/>
    <w:uiPriority w:val="0"/>
    <w:pPr>
      <w:adjustRightInd w:val="0"/>
      <w:snapToGrid w:val="0"/>
      <w:spacing w:line="360" w:lineRule="auto"/>
      <w:ind w:firstLine="480"/>
    </w:pPr>
    <w:rPr>
      <w:sz w:val="24"/>
    </w:rPr>
  </w:style>
  <w:style w:type="paragraph" w:customStyle="1" w:styleId="103">
    <w:name w:val="编制说明"/>
    <w:basedOn w:val="4"/>
    <w:next w:val="5"/>
    <w:qFormat/>
    <w:uiPriority w:val="0"/>
    <w:pPr>
      <w:spacing w:before="120"/>
      <w:jc w:val="center"/>
    </w:pPr>
    <w:rPr>
      <w:rFonts w:hAnsi="宋体" w:eastAsia="微软雅黑"/>
      <w:b/>
      <w:sz w:val="32"/>
    </w:rPr>
  </w:style>
  <w:style w:type="paragraph" w:customStyle="1" w:styleId="104">
    <w:name w:val="Char Char20"/>
    <w:basedOn w:val="1"/>
    <w:qFormat/>
    <w:uiPriority w:val="0"/>
    <w:pPr>
      <w:widowControl/>
      <w:spacing w:after="160" w:line="240" w:lineRule="exact"/>
      <w:jc w:val="left"/>
    </w:pPr>
    <w:rPr>
      <w:rFonts w:eastAsia="仿宋_GB2312"/>
      <w:sz w:val="28"/>
    </w:rPr>
  </w:style>
  <w:style w:type="paragraph" w:customStyle="1" w:styleId="105">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106">
    <w:name w:val="样式（ 表格 ）"/>
    <w:basedOn w:val="61"/>
    <w:qFormat/>
    <w:uiPriority w:val="0"/>
    <w:pPr>
      <w:spacing w:beforeLines="0" w:afterLines="0" w:line="320" w:lineRule="exact"/>
    </w:pPr>
    <w:rPr>
      <w:rFonts w:cs="宋体"/>
      <w:color w:val="0000FF"/>
    </w:rPr>
  </w:style>
  <w:style w:type="paragraph" w:styleId="107">
    <w:name w:val="List Paragraph"/>
    <w:basedOn w:val="1"/>
    <w:qFormat/>
    <w:uiPriority w:val="99"/>
    <w:pPr>
      <w:ind w:firstLine="420" w:firstLineChars="200"/>
    </w:pPr>
  </w:style>
  <w:style w:type="paragraph" w:customStyle="1" w:styleId="108">
    <w:name w:val="证书编号"/>
    <w:basedOn w:val="1"/>
    <w:qFormat/>
    <w:uiPriority w:val="0"/>
    <w:pPr>
      <w:adjustRightInd w:val="0"/>
      <w:snapToGrid w:val="0"/>
    </w:pPr>
    <w:rPr>
      <w:rFonts w:ascii="黑体" w:hAnsi="宋体" w:eastAsia="黑体"/>
      <w:szCs w:val="21"/>
    </w:rPr>
  </w:style>
  <w:style w:type="paragraph" w:customStyle="1" w:styleId="109">
    <w:name w:val="2 Char Char Char Char Char Char Char Char Char Char Char Char Char Char Char Char"/>
    <w:basedOn w:val="1"/>
    <w:qFormat/>
    <w:uiPriority w:val="0"/>
    <w:pPr>
      <w:spacing w:line="360" w:lineRule="auto"/>
      <w:ind w:firstLine="200" w:firstLineChars="200"/>
    </w:pPr>
  </w:style>
  <w:style w:type="paragraph" w:customStyle="1" w:styleId="110">
    <w:name w:val="编制日期"/>
    <w:basedOn w:val="1"/>
    <w:next w:val="5"/>
    <w:qFormat/>
    <w:uiPriority w:val="0"/>
    <w:pPr>
      <w:jc w:val="center"/>
    </w:pPr>
    <w:rPr>
      <w:rFonts w:eastAsia="仿宋_GB2312"/>
      <w:sz w:val="32"/>
    </w:rPr>
  </w:style>
  <w:style w:type="paragraph" w:customStyle="1" w:styleId="111">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112">
    <w:name w:val="正文缩进1"/>
    <w:basedOn w:val="1"/>
    <w:qFormat/>
    <w:uiPriority w:val="0"/>
    <w:pPr>
      <w:ind w:firstLine="420" w:firstLineChars="200"/>
    </w:pPr>
    <w:rPr>
      <w:sz w:val="24"/>
    </w:rPr>
  </w:style>
  <w:style w:type="paragraph" w:customStyle="1" w:styleId="113">
    <w:name w:val="样式 样式 正文文本缩进 + 仿宋_GB2312 四号 段后: 0 磅 行距: 1.5 倍行距 + (符号) Times New..."/>
    <w:basedOn w:val="1"/>
    <w:qFormat/>
    <w:uiPriority w:val="0"/>
    <w:pPr>
      <w:widowControl/>
      <w:adjustRightInd w:val="0"/>
      <w:snapToGrid w:val="0"/>
      <w:spacing w:line="360" w:lineRule="auto"/>
      <w:ind w:firstLine="480" w:firstLineChars="200"/>
      <w:jc w:val="left"/>
    </w:pPr>
    <w:rPr>
      <w:kern w:val="0"/>
      <w:sz w:val="24"/>
    </w:rPr>
  </w:style>
  <w:style w:type="character" w:customStyle="1" w:styleId="114">
    <w:name w:val="font31"/>
    <w:basedOn w:val="39"/>
    <w:qFormat/>
    <w:uiPriority w:val="0"/>
    <w:rPr>
      <w:rFonts w:hint="eastAsia" w:ascii="宋体" w:hAnsi="宋体" w:eastAsia="宋体" w:cs="宋体"/>
      <w:b/>
      <w:bCs/>
      <w:color w:val="000000"/>
      <w:sz w:val="21"/>
      <w:szCs w:val="21"/>
      <w:u w:val="none"/>
    </w:rPr>
  </w:style>
  <w:style w:type="character" w:customStyle="1" w:styleId="115">
    <w:name w:val="font21"/>
    <w:basedOn w:val="39"/>
    <w:qFormat/>
    <w:uiPriority w:val="0"/>
    <w:rPr>
      <w:rFonts w:hint="eastAsia" w:ascii="宋体" w:hAnsi="宋体" w:eastAsia="宋体" w:cs="宋体"/>
      <w:color w:val="000000"/>
      <w:sz w:val="21"/>
      <w:szCs w:val="21"/>
      <w:u w:val="none"/>
    </w:rPr>
  </w:style>
  <w:style w:type="character" w:customStyle="1" w:styleId="116">
    <w:name w:val="黑体三号"/>
    <w:qFormat/>
    <w:uiPriority w:val="0"/>
    <w:rPr>
      <w:rFonts w:eastAsia="黑体"/>
      <w:sz w:val="32"/>
    </w:rPr>
  </w:style>
  <w:style w:type="paragraph" w:customStyle="1" w:styleId="117">
    <w:name w:val="报告表"/>
    <w:basedOn w:val="1"/>
    <w:next w:val="5"/>
    <w:qFormat/>
    <w:uiPriority w:val="0"/>
    <w:pPr>
      <w:adjustRightInd w:val="0"/>
      <w:snapToGrid w:val="0"/>
      <w:jc w:val="center"/>
    </w:pPr>
    <w:rPr>
      <w:rFonts w:eastAsia="仿宋_GB2312"/>
      <w:b/>
      <w:sz w:val="72"/>
    </w:rPr>
  </w:style>
  <w:style w:type="paragraph" w:customStyle="1" w:styleId="118">
    <w:name w:val="正文样式1"/>
    <w:basedOn w:val="1"/>
    <w:qFormat/>
    <w:uiPriority w:val="0"/>
    <w:pPr>
      <w:adjustRightInd w:val="0"/>
      <w:spacing w:line="490" w:lineRule="exact"/>
      <w:ind w:firstLine="567"/>
      <w:jc w:val="left"/>
      <w:textAlignment w:val="baseline"/>
    </w:pPr>
    <w:rPr>
      <w:kern w:val="28"/>
      <w:szCs w:val="20"/>
    </w:rPr>
  </w:style>
  <w:style w:type="character" w:customStyle="1" w:styleId="119">
    <w:name w:val="font11"/>
    <w:basedOn w:val="39"/>
    <w:qFormat/>
    <w:uiPriority w:val="0"/>
    <w:rPr>
      <w:rFonts w:hint="eastAsia" w:ascii="宋体" w:hAnsi="宋体" w:eastAsia="宋体" w:cs="宋体"/>
      <w:color w:val="000000"/>
      <w:sz w:val="21"/>
      <w:szCs w:val="21"/>
      <w:u w:val="none"/>
    </w:rPr>
  </w:style>
  <w:style w:type="character" w:customStyle="1" w:styleId="120">
    <w:name w:val="font01"/>
    <w:basedOn w:val="39"/>
    <w:qFormat/>
    <w:uiPriority w:val="0"/>
    <w:rPr>
      <w:rFonts w:hint="default" w:ascii="Times New Roman" w:hAnsi="Times New Roman" w:cs="Times New Roman"/>
      <w:color w:val="000000"/>
      <w:sz w:val="21"/>
      <w:szCs w:val="21"/>
      <w:u w:val="none"/>
    </w:rPr>
  </w:style>
  <w:style w:type="paragraph" w:customStyle="1" w:styleId="121">
    <w:name w:val="NormalIndent"/>
    <w:basedOn w:val="1"/>
    <w:qFormat/>
    <w:uiPriority w:val="0"/>
    <w:pPr>
      <w:ind w:firstLine="420" w:firstLineChars="200"/>
    </w:pPr>
  </w:style>
  <w:style w:type="paragraph" w:customStyle="1" w:styleId="122">
    <w:name w:val="a正常"/>
    <w:basedOn w:val="1"/>
    <w:qFormat/>
    <w:uiPriority w:val="0"/>
    <w:pPr>
      <w:spacing w:line="360" w:lineRule="auto"/>
      <w:ind w:firstLine="200" w:firstLineChars="200"/>
    </w:pPr>
    <w:rPr>
      <w:rFonts w:cs="宋体"/>
      <w:sz w:val="24"/>
    </w:rPr>
  </w:style>
  <w:style w:type="character" w:customStyle="1" w:styleId="123">
    <w:name w:val="font41"/>
    <w:basedOn w:val="39"/>
    <w:qFormat/>
    <w:uiPriority w:val="0"/>
    <w:rPr>
      <w:rFonts w:hint="eastAsia" w:ascii="宋体" w:hAnsi="宋体" w:eastAsia="宋体" w:cs="宋体"/>
      <w:b/>
      <w:bCs/>
      <w:color w:val="000000"/>
      <w:sz w:val="21"/>
      <w:szCs w:val="21"/>
      <w:u w:val="none"/>
    </w:rPr>
  </w:style>
  <w:style w:type="paragraph" w:customStyle="1" w:styleId="124">
    <w:name w:val="Table Paragraph"/>
    <w:basedOn w:val="1"/>
    <w:qFormat/>
    <w:uiPriority w:val="1"/>
    <w:rPr>
      <w:rFonts w:ascii="宋体" w:hAnsi="宋体" w:cs="宋体"/>
    </w:rPr>
  </w:style>
  <w:style w:type="paragraph" w:customStyle="1" w:styleId="125">
    <w:name w:val="表（标题）"/>
    <w:basedOn w:val="1"/>
    <w:qFormat/>
    <w:uiPriority w:val="0"/>
    <w:pPr>
      <w:spacing w:line="490" w:lineRule="exact"/>
      <w:jc w:val="center"/>
    </w:pPr>
    <w:rPr>
      <w:rFonts w:ascii="楷体_GB2312" w:eastAsia="楷体_GB2312" w:cs="宋体"/>
      <w:b/>
      <w:bCs/>
      <w:kern w:val="0"/>
      <w:sz w:val="32"/>
      <w:szCs w:val="21"/>
    </w:rPr>
  </w:style>
  <w:style w:type="paragraph" w:customStyle="1" w:styleId="126">
    <w:name w:val="列出段落91"/>
    <w:basedOn w:val="1"/>
    <w:qFormat/>
    <w:uiPriority w:val="99"/>
    <w:pPr>
      <w:spacing w:line="360" w:lineRule="auto"/>
      <w:ind w:firstLine="420"/>
    </w:pPr>
    <w:rPr>
      <w:rFonts w:ascii="宋体" w:hAnsi="宋体" w:cs="宋体"/>
    </w:rPr>
  </w:style>
  <w:style w:type="paragraph" w:customStyle="1" w:styleId="127">
    <w:name w:val="Table Text"/>
    <w:basedOn w:val="1"/>
    <w:semiHidden/>
    <w:qFormat/>
    <w:uiPriority w:val="0"/>
    <w:rPr>
      <w:rFonts w:ascii="宋体" w:hAnsi="宋体" w:cs="宋体"/>
      <w:sz w:val="19"/>
      <w:szCs w:val="19"/>
      <w:lang w:eastAsia="en-US"/>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35.bin"/><Relationship Id="rId98" Type="http://schemas.openxmlformats.org/officeDocument/2006/relationships/image" Target="media/image48.wmf"/><Relationship Id="rId97" Type="http://schemas.openxmlformats.org/officeDocument/2006/relationships/oleObject" Target="embeddings/oleObject34.bin"/><Relationship Id="rId96" Type="http://schemas.openxmlformats.org/officeDocument/2006/relationships/image" Target="media/image47.wmf"/><Relationship Id="rId95" Type="http://schemas.openxmlformats.org/officeDocument/2006/relationships/oleObject" Target="embeddings/oleObject33.bin"/><Relationship Id="rId94" Type="http://schemas.openxmlformats.org/officeDocument/2006/relationships/image" Target="media/image46.wmf"/><Relationship Id="rId93" Type="http://schemas.openxmlformats.org/officeDocument/2006/relationships/oleObject" Target="embeddings/oleObject32.bin"/><Relationship Id="rId92" Type="http://schemas.openxmlformats.org/officeDocument/2006/relationships/image" Target="media/image45.wmf"/><Relationship Id="rId91" Type="http://schemas.openxmlformats.org/officeDocument/2006/relationships/oleObject" Target="embeddings/oleObject31.bin"/><Relationship Id="rId90" Type="http://schemas.openxmlformats.org/officeDocument/2006/relationships/image" Target="media/image44.wmf"/><Relationship Id="rId9" Type="http://schemas.openxmlformats.org/officeDocument/2006/relationships/header" Target="header3.xml"/><Relationship Id="rId89" Type="http://schemas.openxmlformats.org/officeDocument/2006/relationships/oleObject" Target="embeddings/oleObject30.bin"/><Relationship Id="rId88" Type="http://schemas.openxmlformats.org/officeDocument/2006/relationships/image" Target="media/image43.wmf"/><Relationship Id="rId87" Type="http://schemas.openxmlformats.org/officeDocument/2006/relationships/oleObject" Target="embeddings/oleObject29.bin"/><Relationship Id="rId86" Type="http://schemas.openxmlformats.org/officeDocument/2006/relationships/image" Target="media/image42.wmf"/><Relationship Id="rId85" Type="http://schemas.openxmlformats.org/officeDocument/2006/relationships/oleObject" Target="embeddings/oleObject28.bin"/><Relationship Id="rId84" Type="http://schemas.openxmlformats.org/officeDocument/2006/relationships/image" Target="media/image41.wmf"/><Relationship Id="rId83" Type="http://schemas.openxmlformats.org/officeDocument/2006/relationships/oleObject" Target="embeddings/oleObject27.bin"/><Relationship Id="rId82" Type="http://schemas.openxmlformats.org/officeDocument/2006/relationships/image" Target="media/image40.wmf"/><Relationship Id="rId81" Type="http://schemas.openxmlformats.org/officeDocument/2006/relationships/oleObject" Target="embeddings/oleObject26.bin"/><Relationship Id="rId80" Type="http://schemas.openxmlformats.org/officeDocument/2006/relationships/image" Target="media/image39.wmf"/><Relationship Id="rId8" Type="http://schemas.openxmlformats.org/officeDocument/2006/relationships/header" Target="header2.xml"/><Relationship Id="rId79" Type="http://schemas.openxmlformats.org/officeDocument/2006/relationships/oleObject" Target="embeddings/oleObject25.bin"/><Relationship Id="rId78" Type="http://schemas.openxmlformats.org/officeDocument/2006/relationships/image" Target="media/image38.wmf"/><Relationship Id="rId77" Type="http://schemas.openxmlformats.org/officeDocument/2006/relationships/oleObject" Target="embeddings/oleObject24.bin"/><Relationship Id="rId76" Type="http://schemas.openxmlformats.org/officeDocument/2006/relationships/image" Target="media/image37.wmf"/><Relationship Id="rId75" Type="http://schemas.openxmlformats.org/officeDocument/2006/relationships/oleObject" Target="embeddings/oleObject23.bin"/><Relationship Id="rId74" Type="http://schemas.openxmlformats.org/officeDocument/2006/relationships/image" Target="media/image36.wmf"/><Relationship Id="rId73" Type="http://schemas.openxmlformats.org/officeDocument/2006/relationships/oleObject" Target="embeddings/oleObject22.bin"/><Relationship Id="rId72" Type="http://schemas.openxmlformats.org/officeDocument/2006/relationships/image" Target="media/image35.wmf"/><Relationship Id="rId71" Type="http://schemas.openxmlformats.org/officeDocument/2006/relationships/oleObject" Target="embeddings/oleObject21.bin"/><Relationship Id="rId70" Type="http://schemas.openxmlformats.org/officeDocument/2006/relationships/oleObject" Target="embeddings/oleObject20.bin"/><Relationship Id="rId7" Type="http://schemas.openxmlformats.org/officeDocument/2006/relationships/header" Target="header1.xml"/><Relationship Id="rId69" Type="http://schemas.openxmlformats.org/officeDocument/2006/relationships/oleObject" Target="embeddings/oleObject19.bin"/><Relationship Id="rId68" Type="http://schemas.openxmlformats.org/officeDocument/2006/relationships/image" Target="media/image34.wmf"/><Relationship Id="rId67" Type="http://schemas.openxmlformats.org/officeDocument/2006/relationships/oleObject" Target="embeddings/oleObject18.bin"/><Relationship Id="rId66" Type="http://schemas.openxmlformats.org/officeDocument/2006/relationships/image" Target="media/image33.wmf"/><Relationship Id="rId65" Type="http://schemas.openxmlformats.org/officeDocument/2006/relationships/oleObject" Target="embeddings/oleObject17.bin"/><Relationship Id="rId64" Type="http://schemas.openxmlformats.org/officeDocument/2006/relationships/image" Target="media/image32.wmf"/><Relationship Id="rId63" Type="http://schemas.openxmlformats.org/officeDocument/2006/relationships/oleObject" Target="embeddings/oleObject16.bin"/><Relationship Id="rId62" Type="http://schemas.openxmlformats.org/officeDocument/2006/relationships/image" Target="media/image31.wmf"/><Relationship Id="rId61" Type="http://schemas.openxmlformats.org/officeDocument/2006/relationships/oleObject" Target="embeddings/oleObject15.bin"/><Relationship Id="rId60" Type="http://schemas.openxmlformats.org/officeDocument/2006/relationships/image" Target="media/image30.wmf"/><Relationship Id="rId6" Type="http://schemas.openxmlformats.org/officeDocument/2006/relationships/footer" Target="footer4.xml"/><Relationship Id="rId59" Type="http://schemas.openxmlformats.org/officeDocument/2006/relationships/oleObject" Target="embeddings/oleObject14.bin"/><Relationship Id="rId58" Type="http://schemas.openxmlformats.org/officeDocument/2006/relationships/image" Target="media/image29.wmf"/><Relationship Id="rId57" Type="http://schemas.openxmlformats.org/officeDocument/2006/relationships/oleObject" Target="embeddings/oleObject13.bin"/><Relationship Id="rId56" Type="http://schemas.openxmlformats.org/officeDocument/2006/relationships/image" Target="media/image28.wmf"/><Relationship Id="rId55" Type="http://schemas.openxmlformats.org/officeDocument/2006/relationships/oleObject" Target="embeddings/oleObject12.bin"/><Relationship Id="rId54" Type="http://schemas.openxmlformats.org/officeDocument/2006/relationships/image" Target="media/image27.wmf"/><Relationship Id="rId53" Type="http://schemas.openxmlformats.org/officeDocument/2006/relationships/oleObject" Target="embeddings/oleObject11.bin"/><Relationship Id="rId52" Type="http://schemas.openxmlformats.org/officeDocument/2006/relationships/image" Target="media/image26.wmf"/><Relationship Id="rId51" Type="http://schemas.openxmlformats.org/officeDocument/2006/relationships/oleObject" Target="embeddings/oleObject10.bin"/><Relationship Id="rId50" Type="http://schemas.openxmlformats.org/officeDocument/2006/relationships/image" Target="media/image25.wmf"/><Relationship Id="rId5" Type="http://schemas.openxmlformats.org/officeDocument/2006/relationships/footer" Target="footer3.xml"/><Relationship Id="rId49" Type="http://schemas.openxmlformats.org/officeDocument/2006/relationships/oleObject" Target="embeddings/oleObject9.bin"/><Relationship Id="rId48" Type="http://schemas.openxmlformats.org/officeDocument/2006/relationships/image" Target="media/image24.wmf"/><Relationship Id="rId47" Type="http://schemas.openxmlformats.org/officeDocument/2006/relationships/oleObject" Target="embeddings/oleObject8.bin"/><Relationship Id="rId46" Type="http://schemas.openxmlformats.org/officeDocument/2006/relationships/image" Target="media/image23.wmf"/><Relationship Id="rId45" Type="http://schemas.openxmlformats.org/officeDocument/2006/relationships/oleObject" Target="embeddings/oleObject7.bin"/><Relationship Id="rId44" Type="http://schemas.openxmlformats.org/officeDocument/2006/relationships/image" Target="media/image22.wmf"/><Relationship Id="rId43" Type="http://schemas.openxmlformats.org/officeDocument/2006/relationships/oleObject" Target="embeddings/oleObject6.bin"/><Relationship Id="rId42" Type="http://schemas.openxmlformats.org/officeDocument/2006/relationships/image" Target="media/image21.wmf"/><Relationship Id="rId41" Type="http://schemas.openxmlformats.org/officeDocument/2006/relationships/oleObject" Target="embeddings/oleObject5.bin"/><Relationship Id="rId40" Type="http://schemas.openxmlformats.org/officeDocument/2006/relationships/image" Target="media/image20.wmf"/><Relationship Id="rId4" Type="http://schemas.openxmlformats.org/officeDocument/2006/relationships/footer" Target="footer2.xml"/><Relationship Id="rId39" Type="http://schemas.openxmlformats.org/officeDocument/2006/relationships/oleObject" Target="embeddings/oleObject4.bin"/><Relationship Id="rId38" Type="http://schemas.openxmlformats.org/officeDocument/2006/relationships/image" Target="media/image19.wmf"/><Relationship Id="rId37" Type="http://schemas.openxmlformats.org/officeDocument/2006/relationships/oleObject" Target="embeddings/oleObject3.bin"/><Relationship Id="rId36" Type="http://schemas.openxmlformats.org/officeDocument/2006/relationships/image" Target="media/image18.wmf"/><Relationship Id="rId35" Type="http://schemas.openxmlformats.org/officeDocument/2006/relationships/oleObject" Target="embeddings/oleObject2.bin"/><Relationship Id="rId34" Type="http://schemas.openxmlformats.org/officeDocument/2006/relationships/image" Target="media/image17.png"/><Relationship Id="rId33" Type="http://schemas.openxmlformats.org/officeDocument/2006/relationships/image" Target="media/image16.png"/><Relationship Id="rId32" Type="http://schemas.openxmlformats.org/officeDocument/2006/relationships/image" Target="media/image15.png"/><Relationship Id="rId31" Type="http://schemas.openxmlformats.org/officeDocument/2006/relationships/image" Target="media/image14.wmf"/><Relationship Id="rId30" Type="http://schemas.openxmlformats.org/officeDocument/2006/relationships/oleObject" Target="embeddings/oleObject1.bin"/><Relationship Id="rId3" Type="http://schemas.openxmlformats.org/officeDocument/2006/relationships/footer" Target="footer1.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jpeg"/><Relationship Id="rId26" Type="http://schemas.openxmlformats.org/officeDocument/2006/relationships/image" Target="media/image10.jpeg"/><Relationship Id="rId25" Type="http://schemas.openxmlformats.org/officeDocument/2006/relationships/image" Target="media/image9.jpeg"/><Relationship Id="rId24" Type="http://schemas.openxmlformats.org/officeDocument/2006/relationships/image" Target="media/image8.jpeg"/><Relationship Id="rId23" Type="http://schemas.openxmlformats.org/officeDocument/2006/relationships/image" Target="media/image7.jpeg"/><Relationship Id="rId22" Type="http://schemas.openxmlformats.org/officeDocument/2006/relationships/image" Target="media/image6.jpe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microsoft.com/office/2007/relationships/hdphoto" Target="media/image3.wdp"/><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9.xml"/><Relationship Id="rId144" Type="http://schemas.openxmlformats.org/officeDocument/2006/relationships/fontTable" Target="fontTable.xml"/><Relationship Id="rId143" Type="http://schemas.openxmlformats.org/officeDocument/2006/relationships/customXml" Target="../customXml/item2.xml"/><Relationship Id="rId142" Type="http://schemas.openxmlformats.org/officeDocument/2006/relationships/customXml" Target="../customXml/item1.xml"/><Relationship Id="rId141" Type="http://schemas.openxmlformats.org/officeDocument/2006/relationships/numbering" Target="numbering.xml"/><Relationship Id="rId140" Type="http://schemas.openxmlformats.org/officeDocument/2006/relationships/image" Target="media/image75.png"/><Relationship Id="rId14" Type="http://schemas.openxmlformats.org/officeDocument/2006/relationships/header" Target="header4.xml"/><Relationship Id="rId139" Type="http://schemas.openxmlformats.org/officeDocument/2006/relationships/image" Target="media/image74.png"/><Relationship Id="rId138" Type="http://schemas.openxmlformats.org/officeDocument/2006/relationships/image" Target="media/image73.png"/><Relationship Id="rId137" Type="http://schemas.openxmlformats.org/officeDocument/2006/relationships/image" Target="media/image72.png"/><Relationship Id="rId136" Type="http://schemas.openxmlformats.org/officeDocument/2006/relationships/image" Target="media/image71.png"/><Relationship Id="rId135" Type="http://schemas.openxmlformats.org/officeDocument/2006/relationships/image" Target="media/image70.png"/><Relationship Id="rId134" Type="http://schemas.openxmlformats.org/officeDocument/2006/relationships/image" Target="media/image69.png"/><Relationship Id="rId133" Type="http://schemas.openxmlformats.org/officeDocument/2006/relationships/image" Target="media/image68.png"/><Relationship Id="rId132" Type="http://schemas.openxmlformats.org/officeDocument/2006/relationships/image" Target="media/image67.png"/><Relationship Id="rId131" Type="http://schemas.openxmlformats.org/officeDocument/2006/relationships/image" Target="media/image66.png"/><Relationship Id="rId130" Type="http://schemas.openxmlformats.org/officeDocument/2006/relationships/image" Target="media/image65.png"/><Relationship Id="rId13" Type="http://schemas.openxmlformats.org/officeDocument/2006/relationships/footer" Target="footer8.xml"/><Relationship Id="rId129" Type="http://schemas.openxmlformats.org/officeDocument/2006/relationships/image" Target="media/image64.jpeg"/><Relationship Id="rId128" Type="http://schemas.openxmlformats.org/officeDocument/2006/relationships/image" Target="media/image63.wmf"/><Relationship Id="rId127" Type="http://schemas.openxmlformats.org/officeDocument/2006/relationships/oleObject" Target="embeddings/oleObject49.bin"/><Relationship Id="rId126" Type="http://schemas.openxmlformats.org/officeDocument/2006/relationships/image" Target="media/image62.wmf"/><Relationship Id="rId125" Type="http://schemas.openxmlformats.org/officeDocument/2006/relationships/oleObject" Target="embeddings/oleObject48.bin"/><Relationship Id="rId124" Type="http://schemas.openxmlformats.org/officeDocument/2006/relationships/image" Target="media/image61.wmf"/><Relationship Id="rId123" Type="http://schemas.openxmlformats.org/officeDocument/2006/relationships/oleObject" Target="embeddings/oleObject47.bin"/><Relationship Id="rId122" Type="http://schemas.openxmlformats.org/officeDocument/2006/relationships/image" Target="media/image60.wmf"/><Relationship Id="rId121" Type="http://schemas.openxmlformats.org/officeDocument/2006/relationships/oleObject" Target="embeddings/oleObject46.bin"/><Relationship Id="rId120" Type="http://schemas.openxmlformats.org/officeDocument/2006/relationships/image" Target="media/image59.wmf"/><Relationship Id="rId12" Type="http://schemas.openxmlformats.org/officeDocument/2006/relationships/footer" Target="footer7.xml"/><Relationship Id="rId119" Type="http://schemas.openxmlformats.org/officeDocument/2006/relationships/oleObject" Target="embeddings/oleObject45.bin"/><Relationship Id="rId118" Type="http://schemas.openxmlformats.org/officeDocument/2006/relationships/image" Target="media/image58.wmf"/><Relationship Id="rId117" Type="http://schemas.openxmlformats.org/officeDocument/2006/relationships/oleObject" Target="embeddings/oleObject44.bin"/><Relationship Id="rId116" Type="http://schemas.openxmlformats.org/officeDocument/2006/relationships/image" Target="media/image57.wmf"/><Relationship Id="rId115" Type="http://schemas.openxmlformats.org/officeDocument/2006/relationships/oleObject" Target="embeddings/oleObject43.bin"/><Relationship Id="rId114" Type="http://schemas.openxmlformats.org/officeDocument/2006/relationships/image" Target="media/image56.wmf"/><Relationship Id="rId113" Type="http://schemas.openxmlformats.org/officeDocument/2006/relationships/oleObject" Target="embeddings/oleObject42.bin"/><Relationship Id="rId112" Type="http://schemas.openxmlformats.org/officeDocument/2006/relationships/image" Target="media/image55.wmf"/><Relationship Id="rId111" Type="http://schemas.openxmlformats.org/officeDocument/2006/relationships/oleObject" Target="embeddings/oleObject41.bin"/><Relationship Id="rId110" Type="http://schemas.openxmlformats.org/officeDocument/2006/relationships/image" Target="media/image54.wmf"/><Relationship Id="rId11" Type="http://schemas.openxmlformats.org/officeDocument/2006/relationships/footer" Target="footer6.xml"/><Relationship Id="rId109" Type="http://schemas.openxmlformats.org/officeDocument/2006/relationships/oleObject" Target="embeddings/oleObject40.bin"/><Relationship Id="rId108" Type="http://schemas.openxmlformats.org/officeDocument/2006/relationships/image" Target="media/image53.wmf"/><Relationship Id="rId107" Type="http://schemas.openxmlformats.org/officeDocument/2006/relationships/oleObject" Target="embeddings/oleObject39.bin"/><Relationship Id="rId106" Type="http://schemas.openxmlformats.org/officeDocument/2006/relationships/image" Target="media/image52.wmf"/><Relationship Id="rId105" Type="http://schemas.openxmlformats.org/officeDocument/2006/relationships/oleObject" Target="embeddings/oleObject38.bin"/><Relationship Id="rId104" Type="http://schemas.openxmlformats.org/officeDocument/2006/relationships/image" Target="media/image51.wmf"/><Relationship Id="rId103" Type="http://schemas.openxmlformats.org/officeDocument/2006/relationships/oleObject" Target="embeddings/oleObject37.bin"/><Relationship Id="rId102" Type="http://schemas.openxmlformats.org/officeDocument/2006/relationships/image" Target="media/image50.wmf"/><Relationship Id="rId101" Type="http://schemas.openxmlformats.org/officeDocument/2006/relationships/oleObject" Target="embeddings/oleObject36.bin"/><Relationship Id="rId100" Type="http://schemas.openxmlformats.org/officeDocument/2006/relationships/image" Target="media/image49.wmf"/><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50e17cf7-6ca2-4155-8b7a-fa366e1c1b93</errorID>
      <errorWord>》（试行）</errorWord>
      <group>L1_Word</group>
      <groupName>字词问题</groupName>
      <ability>L2_Typo</ability>
      <abilityName>字词错误</abilityName>
      <candidateList>
        <item>（试行）》</item>
      </candidateList>
      <explain/>
      <paraID>44B3DDAD</paraID>
      <start>123</start>
      <end>128</end>
      <status>modified</status>
      <modifiedWord>（试行）》</modifiedWord>
      <trackRevisions>false</trackRevisions>
    </reviewItem>
    <reviewItem>
      <errorID>fca3b391-69ad-4bc7-b4f6-2addd197a8e8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7069CEF4</paraID>
      <start>1</start>
      <end>2</end>
      <status>unmodified</status>
      <modifiedWord/>
      <trackRevisions>false</trackRevisions>
    </reviewItem>
    <reviewItem>
      <errorID>ae5f81cf-815e-4661-a7fb-405f31ee0007</errorID>
      <errorWord>-</errorWord>
      <group>L1_Format</group>
      <groupName>格式问题</groupName>
      <ability>L2_HalfPunc</ability>
      <abilityName>全半角检查</abilityName>
      <candidateList>
        <item>－</item>
      </candidateList>
      <explain>文本全半角错误。</explain>
      <paraID>14282AE9</paraID>
      <start>8</start>
      <end>9</end>
      <status>unmodified</status>
      <modifiedWord/>
      <trackRevisions>false</trackRevisions>
    </reviewItem>
    <reviewItem>
      <errorID>e1cfe644-4edb-412e-b6e3-993b0acdc13b</errorID>
      <errorWord>-</errorWord>
      <group>L1_Format</group>
      <groupName>格式问题</groupName>
      <ability>L2_HalfPunc</ability>
      <abilityName>全半角检查</abilityName>
      <candidateList>
        <item>－</item>
      </candidateList>
      <explain>文本全半角错误。</explain>
      <paraID>617327DB</paraID>
      <start>6</start>
      <end>7</end>
      <status>unmodified</status>
      <modifiedWord/>
      <trackRevisions>false</trackRevisions>
    </reviewItem>
    <reviewItem>
      <errorID>53280203-5eef-4256-b0b9-0f062bab8963</errorID>
      <errorWord>-</errorWord>
      <group>L1_Format</group>
      <groupName>格式问题</groupName>
      <ability>L2_HalfPunc</ability>
      <abilityName>全半角检查</abilityName>
      <candidateList>
        <item>－</item>
      </candidateList>
      <explain>文本全半角错误。</explain>
      <paraID>19CCF86B</paraID>
      <start>6</start>
      <end>7</end>
      <status>unmodified</status>
      <modifiedWord/>
      <trackRevisions>false</trackRevisions>
    </reviewItem>
    <reviewItem>
      <errorID>6fd89545-8e05-4799-89f4-2081297247f9</errorID>
      <errorWord>-</errorWord>
      <group>L1_Format</group>
      <groupName>格式问题</groupName>
      <ability>L2_HalfPunc</ability>
      <abilityName>全半角检查</abilityName>
      <candidateList>
        <item>－</item>
      </candidateList>
      <explain>文本全半角错误。</explain>
      <paraID>361557A6</paraID>
      <start>8</start>
      <end>9</end>
      <status>unmodified</status>
      <modifiedWord/>
      <trackRevisions>false</trackRevisions>
    </reviewItem>
    <reviewItem>
      <errorID>92a2371e-ad36-4537-9e69-8720dad94827</errorID>
      <errorWord>-</errorWord>
      <group>L1_Format</group>
      <groupName>格式问题</groupName>
      <ability>L2_HalfPunc</ability>
      <abilityName>全半角检查</abilityName>
      <candidateList>
        <item>－</item>
      </candidateList>
      <explain>文本全半角错误。</explain>
      <paraID>6BD0537E</paraID>
      <start>6</start>
      <end>7</end>
      <status>unmodified</status>
      <modifiedWord/>
      <trackRevisions>false</trackRevisions>
    </reviewItem>
    <reviewItem>
      <errorID>c7dbf45f-f0cd-439e-87e7-0d404a508ac3</errorID>
      <errorWord>-</errorWord>
      <group>L1_Format</group>
      <groupName>格式问题</groupName>
      <ability>L2_HalfPunc</ability>
      <abilityName>全半角检查</abilityName>
      <candidateList>
        <item>－</item>
      </candidateList>
      <explain>文本全半角错误。</explain>
      <paraID>2B426412</paraID>
      <start>5</start>
      <end>6</end>
      <status>unmodified</status>
      <modifiedWord/>
      <trackRevisions>false</trackRevisions>
    </reviewItem>
    <reviewItem>
      <errorID>73be62c1-edd2-4d11-8e37-1d87ac988857</errorID>
      <errorWord>-</errorWord>
      <group>L1_Format</group>
      <groupName>格式问题</groupName>
      <ability>L2_HalfPunc</ability>
      <abilityName>全半角检查</abilityName>
      <candidateList>
        <item>－</item>
      </candidateList>
      <explain>文本全半角错误。</explain>
      <paraID> 7DF2D14</paraID>
      <start>5</start>
      <end>6</end>
      <status>unmodified</status>
      <modifiedWord/>
      <trackRevisions>false</trackRevisions>
    </reviewItem>
    <reviewItem>
      <errorID>3329002b-2e48-4ff4-89c9-12d9beb2288c</errorID>
      <errorWord>-</errorWord>
      <group>L1_Format</group>
      <groupName>格式问题</groupName>
      <ability>L2_HalfPunc</ability>
      <abilityName>全半角检查</abilityName>
      <candidateList>
        <item>－</item>
      </candidateList>
      <explain>文本全半角错误。</explain>
      <paraID>491B8BD6</paraID>
      <start>5</start>
      <end>6</end>
      <status>unmodified</status>
      <modifiedWord/>
      <trackRevisions>false</trackRevisions>
    </reviewItem>
    <reviewItem>
      <errorID>4eb574b7-d4dc-4644-aacd-32cce7739f9c</errorID>
      <errorWord>-</errorWord>
      <group>L1_Format</group>
      <groupName>格式问题</groupName>
      <ability>L2_HalfPunc</ability>
      <abilityName>全半角检查</abilityName>
      <candidateList>
        <item>－</item>
      </candidateList>
      <explain>文本全半角错误。</explain>
      <paraID>46DF7887</paraID>
      <start>6</start>
      <end>7</end>
      <status>unmodified</status>
      <modifiedWord/>
      <trackRevisions>false</trackRevisions>
    </reviewItem>
    <reviewItem>
      <errorID>8a0a57da-7014-4448-af1a-b87a35cafdd9</errorID>
      <errorWord>-</errorWord>
      <group>L1_Format</group>
      <groupName>格式问题</groupName>
      <ability>L2_HalfPunc</ability>
      <abilityName>全半角检查</abilityName>
      <candidateList>
        <item>－</item>
      </candidateList>
      <explain>文本全半角错误。</explain>
      <paraID> 61FBB7F</paraID>
      <start>6</start>
      <end>7</end>
      <status>unmodified</status>
      <modifiedWord/>
      <trackRevisions>false</trackRevisions>
    </reviewItem>
    <reviewItem>
      <errorID>af1f6c50-99f9-416e-aa83-b9899464f9d1</errorID>
      <errorWord>-</errorWord>
      <group>L1_Format</group>
      <groupName>格式问题</groupName>
      <ability>L2_HalfPunc</ability>
      <abilityName>全半角检查</abilityName>
      <candidateList>
        <item>－</item>
      </candidateList>
      <explain>文本全半角错误。</explain>
      <paraID>35EDDB3F</paraID>
      <start>5</start>
      <end>6</end>
      <status>unmodified</status>
      <modifiedWord/>
      <trackRevisions>false</trackRevisions>
    </reviewItem>
    <reviewItem>
      <errorID>f37226f0-b2f1-4e65-8f07-ede56bb346f5</errorID>
      <errorWord>-</errorWord>
      <group>L1_Format</group>
      <groupName>格式问题</groupName>
      <ability>L2_HalfPunc</ability>
      <abilityName>全半角检查</abilityName>
      <candidateList>
        <item>－</item>
      </candidateList>
      <explain>文本全半角错误。</explain>
      <paraID>1D4D82D8</paraID>
      <start>6</start>
      <end>7</end>
      <status>unmodified</status>
      <modifiedWord/>
      <trackRevisions>false</trackRevisions>
    </reviewItem>
    <reviewItem>
      <errorID>9db5d3c1-9f68-449b-8b51-b328b857f1ea</errorID>
      <errorWord>-</errorWord>
      <group>L1_Format</group>
      <groupName>格式问题</groupName>
      <ability>L2_HalfPunc</ability>
      <abilityName>全半角检查</abilityName>
      <candidateList>
        <item>－</item>
      </candidateList>
      <explain>文本全半角错误。</explain>
      <paraID>4A6436F1</paraID>
      <start>5</start>
      <end>6</end>
      <status>unmodified</status>
      <modifiedWord/>
      <trackRevisions>false</trackRevisions>
    </reviewItem>
    <reviewItem>
      <errorID>5a0e4822-9360-4aa0-aa3d-b7b056713ee7</errorID>
      <errorWord>-</errorWord>
      <group>L1_Format</group>
      <groupName>格式问题</groupName>
      <ability>L2_HalfPunc</ability>
      <abilityName>全半角检查</abilityName>
      <candidateList>
        <item>－</item>
      </candidateList>
      <explain>文本全半角错误。</explain>
      <paraID>7FD2CFC3</paraID>
      <start>8</start>
      <end>9</end>
      <status>unmodified</status>
      <modifiedWord/>
      <trackRevisions>false</trackRevisions>
    </reviewItem>
    <reviewItem>
      <errorID>84de8395-1c6a-4629-98fb-99e6cd7a4665</errorID>
      <errorWord>-</errorWord>
      <group>L1_Format</group>
      <groupName>格式问题</groupName>
      <ability>L2_HalfPunc</ability>
      <abilityName>全半角检查</abilityName>
      <candidateList>
        <item>－</item>
      </candidateList>
      <explain>文本全半角错误。</explain>
      <paraID>45B24A0C</paraID>
      <start>5</start>
      <end>6</end>
      <status>unmodified</status>
      <modifiedWord/>
      <trackRevisions>false</trackRevisions>
    </reviewItem>
    <reviewItem>
      <errorID>9ec2367b-f833-4db4-af0f-f2efb860c4eb</errorID>
      <errorWord>-</errorWord>
      <group>L1_Format</group>
      <groupName>格式问题</groupName>
      <ability>L2_HalfPunc</ability>
      <abilityName>全半角检查</abilityName>
      <candidateList>
        <item>－</item>
      </candidateList>
      <explain>文本全半角错误。</explain>
      <paraID>3A3C2E12</paraID>
      <start>6</start>
      <end>7</end>
      <status>unmodified</status>
      <modifiedWord/>
      <trackRevisions>false</trackRevisions>
    </reviewItem>
    <reviewItem>
      <errorID>a164bc1d-f173-4408-9e4c-6bc604b1dec4</errorID>
      <errorWord>(</errorWord>
      <group>L1_Format</group>
      <groupName>格式问题</groupName>
      <ability>L2_HalfPunc</ability>
      <abilityName>全半角检查</abilityName>
      <candidateList>
        <item>（</item>
      </candidateList>
      <explain>文本全半角错误。</explain>
      <paraID>36FEBD93</paraID>
      <start>41</start>
      <end>42</end>
      <status>unmodified</status>
      <modifiedWord/>
      <trackRevisions>false</trackRevisions>
    </reviewItem>
    <reviewItem>
      <errorID>e8f8669c-52f7-42b4-805d-56fb9e156ca8</errorID>
      <errorWord>(</errorWord>
      <group>L1_Format</group>
      <groupName>格式问题</groupName>
      <ability>L2_HalfPunc</ability>
      <abilityName>全半角检查</abilityName>
      <candidateList>
        <item>（</item>
      </candidateList>
      <explain>文本全半角错误。</explain>
      <paraID>7187292A</paraID>
      <start>45</start>
      <end>46</end>
      <status>unmodified</status>
      <modifiedWord/>
      <trackRevisions>false</trackRevisions>
    </reviewItem>
    <reviewItem>
      <errorID>a6d9d46d-71b6-4fc2-b618-ba9fd33b3c09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4E23C712</paraID>
      <start>57</start>
      <end>58</end>
      <status>unmodified</status>
      <modifiedWord/>
      <trackRevisions>false</trackRevisions>
    </reviewItem>
    <reviewItem>
      <errorID>3262335a-3572-474e-9d94-b0d7a0e71a16</errorID>
      <errorWord>-</errorWord>
      <group>L1_Format</group>
      <groupName>格式问题</groupName>
      <ability>L2_HalfPunc</ability>
      <abilityName>全半角检查</abilityName>
      <candidateList>
        <item>－</item>
      </candidateList>
      <explain>文本全半角错误。</explain>
      <paraID>672BCE51</paraID>
      <start>12</start>
      <end>13</end>
      <status>unmodified</status>
      <modifiedWord/>
      <trackRevisions>false</trackRevisions>
    </reviewItem>
    <reviewItem>
      <errorID>19cb0582-649f-468f-ac4e-4df6cccb1f8c</errorID>
      <errorWord>乌鲁木齐县达坂城</errorWord>
      <group>L1_Knowledge</group>
      <groupName>知识性问题</groupName>
      <ability>L2_Location</ability>
      <abilityName>地名检查</abilityName>
      <candidateList>
        <item>乌鲁木齐达坂城</item>
      </candidateList>
      <explain>地名表述错误</explain>
      <paraID>1696EC72</paraID>
      <start>34</start>
      <end>41</end>
      <status>modified</status>
      <modifiedWord>乌鲁木齐达坂城</modifiedWord>
      <trackRevisions>false</trackRevisions>
    </reviewItem>
    <reviewItem>
      <errorID>60fe8aae-ca1a-4667-a746-34b2044804a0</errorID>
      <errorWord>-</errorWord>
      <group>L1_Format</group>
      <groupName>格式问题</groupName>
      <ability>L2_HalfPunc</ability>
      <abilityName>全半角检查</abilityName>
      <candidateList>
        <item>－</item>
      </candidateList>
      <explain>文本全半角错误。</explain>
      <paraID>2ACE0904</paraID>
      <start>5</start>
      <end>6</end>
      <status>unmodified</status>
      <modifiedWord/>
      <trackRevisions>false</trackRevisions>
    </reviewItem>
    <reviewItem>
      <errorID>c9868f92-6ff7-4b42-a255-f62cf22ab5a7</errorID>
      <errorWord>-</errorWord>
      <group>L1_Format</group>
      <groupName>格式问题</groupName>
      <ability>L2_HalfPunc</ability>
      <abilityName>全半角检查</abilityName>
      <candidateList>
        <item>－</item>
      </candidateList>
      <explain>文本全半角错误。</explain>
      <paraID> 401619D</paraID>
      <start>5</start>
      <end>6</end>
      <status>unmodified</status>
      <modifiedWord/>
      <trackRevisions>false</trackRevisions>
    </reviewItem>
    <reviewItem>
      <errorID>fa62a226-08d8-4466-9c78-af5d7e7c53f6</errorID>
      <errorWord>即</errorWord>
      <group>L1_Word</group>
      <groupName>字词问题</groupName>
      <ability>L2_Typo</ability>
      <abilityName>字词错误</abilityName>
      <candidateList>
        <item>既</item>
      </candidateList>
      <explain>存在发音相同字词的误用。</explain>
      <paraID>6EE72279</paraID>
      <start>85</start>
      <end>86</end>
      <status>unmodified</status>
      <modifiedWord/>
      <trackRevisions>false</trackRevisions>
    </reviewItem>
    <reviewItem>
      <errorID>66cc395c-2ebc-445e-8fea-c2f8dca68c6a</errorID>
      <errorWord>，</errorWord>
      <group>L1_Word</group>
      <groupName>字词问题</groupName>
      <ability>L2_Typo</ability>
      <abilityName>字词错误</abilityName>
      <candidateList>
        <item>，监</item>
      </candidateList>
      <explain/>
      <paraID>2A7ABD36</paraID>
      <start>42</start>
      <end>43</end>
      <status>unmodified</status>
      <modifiedWord/>
      <trackRevisions>false</trackRevisions>
    </reviewItem>
    <reviewItem>
      <errorID>fac5a5fb-47cf-4b06-a8e4-d4156cdfeb1e</errorID>
      <errorWord>，</errorWord>
      <group>L1_Word</group>
      <groupName>字词问题</groupName>
      <ability>L2_Typo</ability>
      <abilityName>字词错误</abilityName>
      <candidateList>
        <item>，监</item>
      </candidateList>
      <explain/>
      <paraID>41B98D58</paraID>
      <start>44</start>
      <end>45</end>
      <status>unmodified</status>
      <modifiedWord/>
      <trackRevisions>false</trackRevisions>
    </reviewItem>
    <reviewItem>
      <errorID>cc590a5b-e696-4885-8feb-131e2c18b1e7</errorID>
      <errorWord>，</errorWord>
      <group>L1_Word</group>
      <groupName>字词问题</groupName>
      <ability>L2_Typo</ability>
      <abilityName>字词错误</abilityName>
      <candidateList>
        <item>，监</item>
      </candidateList>
      <explain/>
      <paraID>41B98D58</paraID>
      <start>150</start>
      <end>151</end>
      <status>unmodified</status>
      <modifiedWord/>
      <trackRevisions>false</trackRevisions>
    </reviewItem>
    <reviewItem>
      <errorID>49860b93-df7e-43ba-9836-b929976b20fc</errorID>
      <errorWord>-</errorWord>
      <group>L1_Format</group>
      <groupName>格式问题</groupName>
      <ability>L2_HalfPunc</ability>
      <abilityName>全半角检查</abilityName>
      <candidateList>
        <item>－</item>
      </candidateList>
      <explain>文本全半角错误。</explain>
      <paraID>25F3D11E</paraID>
      <start>7</start>
      <end>8</end>
      <status>unmodified</status>
      <modifiedWord/>
      <trackRevisions>false</trackRevisions>
    </reviewItem>
    <reviewItem>
      <errorID>cc57531e-2c2e-452f-b37c-957a2417deca</errorID>
      <errorWord>-</errorWord>
      <group>L1_Format</group>
      <groupName>格式问题</groupName>
      <ability>L2_HalfPunc</ability>
      <abilityName>全半角检查</abilityName>
      <candidateList>
        <item>－</item>
      </candidateList>
      <explain>文本全半角错误。</explain>
      <paraID>59234F0C</paraID>
      <start>7</start>
      <end>8</end>
      <status>unmodified</status>
      <modifiedWord/>
      <trackRevisions>false</trackRevisions>
    </reviewItem>
    <reviewItem>
      <errorID>fc9f6d7f-ffad-49d0-9756-faf0c989b30b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24B3EDC2</paraID>
      <start>15</start>
      <end>16</end>
      <status>unmodified</status>
      <modifiedWord/>
      <trackRevisions>false</trackRevisions>
    </reviewItem>
    <reviewItem>
      <errorID>2940ca73-372a-44ba-a042-e75bde253a7c</errorID>
      <errorWord>（</errorWord>
      <group>L1_Format</group>
      <groupName>格式问题</groupName>
      <ability>L2_HalfPunc</ability>
      <abilityName>全半角检查</abilityName>
      <candidateList>
        <item>(</item>
      </candidateList>
      <explain>文本全半角错误。</explain>
      <paraID>21326897</paraID>
      <start>0</start>
      <end>1</end>
      <status>unmodified</status>
      <modifiedWord/>
      <trackRevisions>false</trackRevisions>
    </reviewItem>
    <reviewItem>
      <errorID>bf60870c-97ff-428f-86d0-5de62de27d36</errorID>
      <errorWord>）</errorWord>
      <group>L1_Format</group>
      <groupName>格式问题</groupName>
      <ability>L2_HalfPunc</ability>
      <abilityName>全半角检查</abilityName>
      <candidateList>
        <item>)</item>
      </candidateList>
      <explain>文本全半角错误。</explain>
      <paraID>21326897</paraID>
      <start>11</start>
      <end>12</end>
      <status>unmodified</status>
      <modifiedWord/>
      <trackRevisions>false</trackRevisions>
    </reviewItem>
    <reviewItem>
      <errorID>f708128a-f62b-4dcc-90f2-b193ba56e3ba</errorID>
      <errorWord>（</errorWord>
      <group>L1_Format</group>
      <groupName>格式问题</groupName>
      <ability>L2_HalfPunc</ability>
      <abilityName>全半角检查</abilityName>
      <candidateList>
        <item>(</item>
      </candidateList>
      <explain>文本全半角错误。</explain>
      <paraID>4AAA51F6</paraID>
      <start>0</start>
      <end>1</end>
      <status>unmodified</status>
      <modifiedWord/>
      <trackRevisions>false</trackRevisions>
    </reviewItem>
    <reviewItem>
      <errorID>d39b3f9c-6636-47f3-b737-fe3fce0543aa</errorID>
      <errorWord>，</errorWord>
      <group>L1_Format</group>
      <groupName>格式问题</groupName>
      <ability>L2_HalfPunc</ability>
      <abilityName>全半角检查</abilityName>
      <candidateList>
        <item>, </item>
      </candidateList>
      <explain>文本全半角错误。</explain>
      <paraID>4AAA51F6</paraID>
      <start>4</start>
      <end>5</end>
      <status>unmodified</status>
      <modifiedWord/>
      <trackRevisions>false</trackRevisions>
    </reviewItem>
    <reviewItem>
      <errorID>c4841612-cfa1-47bd-a5de-c00f85da432e</errorID>
      <errorWord>）</errorWord>
      <group>L1_Format</group>
      <groupName>格式问题</groupName>
      <ability>L2_HalfPunc</ability>
      <abilityName>全半角检查</abilityName>
      <candidateList>
        <item>)</item>
      </candidateList>
      <explain>文本全半角错误。</explain>
      <paraID>4AAA51F6</paraID>
      <start>10</start>
      <end>11</end>
      <status>unmodified</status>
      <modifiedWord/>
      <trackRevisions>false</trackRevisions>
    </reviewItem>
    <reviewItem>
      <errorID>622f0e04-589e-4216-b788-0e5c39567d6c</errorID>
      <errorWord>-</errorWord>
      <group>L1_Format</group>
      <groupName>格式问题</groupName>
      <ability>L2_HalfPunc</ability>
      <abilityName>全半角检查</abilityName>
      <candidateList>
        <item>－</item>
      </candidateList>
      <explain>文本全半角错误。</explain>
      <paraID>2123558B</paraID>
      <start>7</start>
      <end>8</end>
      <status>unmodified</status>
      <modifiedWord/>
      <trackRevisions>false</trackRevisions>
    </reviewItem>
    <reviewItem>
      <errorID>6c934cdb-a48b-4b7f-85e1-f623dab77b43</errorID>
      <errorWord>-</errorWord>
      <group>L1_Format</group>
      <groupName>格式问题</groupName>
      <ability>L2_HalfPunc</ability>
      <abilityName>全半角检查</abilityName>
      <candidateList>
        <item>－</item>
      </candidateList>
      <explain>文本全半角错误。</explain>
      <paraID>3AB7A052</paraID>
      <start>7</start>
      <end>8</end>
      <status>unmodified</status>
      <modifiedWord/>
      <trackRevisions>false</trackRevisions>
    </reviewItem>
    <reviewItem>
      <errorID>d793a377-8b75-4e75-9db4-340c8c839474</errorID>
      <errorWord>)</errorWord>
      <group>L1_Format</group>
      <groupName>格式问题</groupName>
      <ability>L2_HalfPunc</ability>
      <abilityName>全半角检查</abilityName>
      <candidateList>
        <item>）</item>
      </candidateList>
      <explain>文本全半角错误。</explain>
      <paraID>50104282</paraID>
      <start>35</start>
      <end>36</end>
      <status>unmodified</status>
      <modifiedWord/>
      <trackRevisions>false</trackRevisions>
    </reviewItem>
    <reviewItem>
      <errorID>22283234-243f-4d78-9e96-8bee17467ed5</errorID>
      <errorWord>)</errorWord>
      <group>L1_Format</group>
      <groupName>格式问题</groupName>
      <ability>L2_HalfPunc</ability>
      <abilityName>全半角检查</abilityName>
      <candidateList>
        <item>）</item>
      </candidateList>
      <explain>文本全半角错误。</explain>
      <paraID>50104282</paraID>
      <start>53</start>
      <end>54</end>
      <status>unmodified</status>
      <modifiedWord/>
      <trackRevisions>false</trackRevisions>
    </reviewItem>
    <reviewItem>
      <errorID>176fc4d4-b731-4621-8753-97fe4fec3a33</errorID>
      <errorWord>-</errorWord>
      <group>L1_Format</group>
      <groupName>格式问题</groupName>
      <ability>L2_HalfPunc</ability>
      <abilityName>全半角检查</abilityName>
      <candidateList>
        <item>－</item>
      </candidateList>
      <explain>文本全半角错误。</explain>
      <paraID>1AD4646C</paraID>
      <start>7</start>
      <end>8</end>
      <status>unmodified</status>
      <modifiedWord/>
      <trackRevisions>false</trackRevisions>
    </reviewItem>
    <reviewItem>
      <errorID>3400e501-a526-476f-b60e-01afecbf06e0</errorID>
      <errorWord>)</errorWord>
      <group>L1_Format</group>
      <groupName>格式问题</groupName>
      <ability>L2_HalfPunc</ability>
      <abilityName>全半角检查</abilityName>
      <candidateList>
        <item>）</item>
      </candidateList>
      <explain>文本全半角错误。</explain>
      <paraID>611D4BFD</paraID>
      <start>32</start>
      <end>33</end>
      <status>unmodified</status>
      <modifiedWord/>
      <trackRevisions>false</trackRevisions>
    </reviewItem>
    <reviewItem>
      <errorID>0a9d468d-46c2-4eaf-9e03-ea42bd92640e</errorID>
      <errorWord>)</errorWord>
      <group>L1_Format</group>
      <groupName>格式问题</groupName>
      <ability>L2_HalfPunc</ability>
      <abilityName>全半角检查</abilityName>
      <candidateList>
        <item>）</item>
      </candidateList>
      <explain>文本全半角错误。</explain>
      <paraID>611D4BFD</paraID>
      <start>56</start>
      <end>57</end>
      <status>unmodified</status>
      <modifiedWord/>
      <trackRevisions>false</trackRevisions>
    </reviewItem>
    <reviewItem>
      <errorID>6a05279a-771a-4d7f-ae68-7e0e88a64752</errorID>
      <errorWord>-</errorWord>
      <group>L1_Format</group>
      <groupName>格式问题</groupName>
      <ability>L2_HalfPunc</ability>
      <abilityName>全半角检查</abilityName>
      <candidateList>
        <item>－</item>
      </candidateList>
      <explain>文本全半角错误。</explain>
      <paraID>3BF91110</paraID>
      <start>7</start>
      <end>8</end>
      <status>unmodified</status>
      <modifiedWord/>
      <trackRevisions>false</trackRevisions>
    </reviewItem>
    <reviewItem>
      <errorID>b9aaa5b2-e4bb-4692-82ac-d9d62f9808f3</errorID>
      <errorWord>)</errorWord>
      <group>L1_Format</group>
      <groupName>格式问题</groupName>
      <ability>L2_HalfPunc</ability>
      <abilityName>全半角检查</abilityName>
      <candidateList>
        <item>）</item>
      </candidateList>
      <explain>文本全半角错误。</explain>
      <paraID>5D1058B8</paraID>
      <start>24</start>
      <end>25</end>
      <status>unmodified</status>
      <modifiedWord/>
      <trackRevisions>false</trackRevisions>
    </reviewItem>
    <reviewItem>
      <errorID>667ca317-a31b-486a-9cae-c4e738c78177</errorID>
      <errorWord>)</errorWord>
      <group>L1_Format</group>
      <groupName>格式问题</groupName>
      <ability>L2_HalfPunc</ability>
      <abilityName>全半角检查</abilityName>
      <candidateList>
        <item>）</item>
      </candidateList>
      <explain>文本全半角错误。</explain>
      <paraID>5D1058B8</paraID>
      <start>40</start>
      <end>41</end>
      <status>unmodified</status>
      <modifiedWord/>
      <trackRevisions>false</trackRevisions>
    </reviewItem>
    <reviewItem>
      <errorID>22637966-9f12-45dc-a4c7-0de331110766</errorID>
      <errorWord>)</errorWord>
      <group>L1_Format</group>
      <groupName>格式问题</groupName>
      <ability>L2_HalfPunc</ability>
      <abilityName>全半角检查</abilityName>
      <candidateList>
        <item>）</item>
      </candidateList>
      <explain>文本全半角错误。</explain>
      <paraID>5D1058B8</paraID>
      <start>81</start>
      <end>82</end>
      <status>unmodified</status>
      <modifiedWord/>
      <trackRevisions>false</trackRevisions>
    </reviewItem>
    <reviewItem>
      <errorID>a110d840-68bc-45d1-b007-c1bf9bf5172b</errorID>
      <errorWord>)</errorWord>
      <group>L1_Format</group>
      <groupName>格式问题</groupName>
      <ability>L2_HalfPunc</ability>
      <abilityName>全半角检查</abilityName>
      <candidateList>
        <item>）</item>
      </candidateList>
      <explain>文本全半角错误。</explain>
      <paraID>5D1058B8</paraID>
      <start>107</start>
      <end>108</end>
      <status>unmodified</status>
      <modifiedWord/>
      <trackRevisions>false</trackRevisions>
    </reviewItem>
    <reviewItem>
      <errorID>6511b93c-3223-4f00-8b90-9241ffd30219</errorID>
      <errorWord>-</errorWord>
      <group>L1_Format</group>
      <groupName>格式问题</groupName>
      <ability>L2_HalfPunc</ability>
      <abilityName>全半角检查</abilityName>
      <candidateList>
        <item>－</item>
      </candidateList>
      <explain>文本全半角错误。</explain>
      <paraID>1B9BAA93</paraID>
      <start>8</start>
      <end>9</end>
      <status>unmodified</status>
      <modifiedWord/>
      <trackRevisions>false</trackRevisions>
    </reviewItem>
    <reviewItem>
      <errorID>6d082d7c-05d8-43b8-9e4e-643cbc06644f</errorID>
      <errorWord>-</errorWord>
      <group>L1_Format</group>
      <groupName>格式问题</groupName>
      <ability>L2_HalfPunc</ability>
      <abilityName>全半角检查</abilityName>
      <candidateList>
        <item>－</item>
      </candidateList>
      <explain>文本全半角错误。</explain>
      <paraID>104D5C74</paraID>
      <start>8</start>
      <end>9</end>
      <status>unmodified</status>
      <modifiedWord/>
      <trackRevisions>false</trackRevisions>
    </reviewItem>
    <reviewItem>
      <errorID>ffd7f86b-3e25-4181-90a8-ab4618e76080</errorID>
      <errorWord>与</errorWord>
      <group>L1_Word</group>
      <groupName>字词问题</groupName>
      <ability>L2_Typo</ability>
      <abilityName>字词错误</abilityName>
      <candidateList>
        <item>的</item>
      </candidateList>
      <explain>存在字形相近字词的误用。</explain>
      <paraID>6BB406D6</paraID>
      <start>89</start>
      <end>90</end>
      <status>unmodified</status>
      <modifiedWord/>
      <trackRevisions>false</trackRevisions>
    </reviewItem>
    <reviewItem>
      <errorID>6ed00975-4c1d-422f-b0bd-25044201c76e</errorID>
      <errorWord>-</errorWord>
      <group>L1_Format</group>
      <groupName>格式问题</groupName>
      <ability>L2_HalfPunc</ability>
      <abilityName>全半角检查</abilityName>
      <candidateList>
        <item>－</item>
      </candidateList>
      <explain>文本全半角错误。</explain>
      <paraID>18FA90D8</paraID>
      <start>92</start>
      <end>93</end>
      <status>unmodified</status>
      <modifiedWord/>
      <trackRevisions>false</trackRevisions>
    </reviewItem>
    <reviewItem>
      <errorID>ee54aaeb-0c4a-4eac-8a18-664dbbc65929</errorID>
      <errorWord>-</errorWord>
      <group>L1_Format</group>
      <groupName>格式问题</groupName>
      <ability>L2_HalfPunc</ability>
      <abilityName>全半角检查</abilityName>
      <candidateList>
        <item>－</item>
      </candidateList>
      <explain>文本全半角错误。</explain>
      <paraID>18FA90D8</paraID>
      <start>159</start>
      <end>160</end>
      <status>unmodified</status>
      <modifiedWord/>
      <trackRevisions>false</trackRevisions>
    </reviewItem>
    <reviewItem>
      <errorID>1744ba6a-c9d1-4a5b-9942-39193f136558</errorID>
      <errorWord>-</errorWord>
      <group>L1_Format</group>
      <groupName>格式问题</groupName>
      <ability>L2_HalfPunc</ability>
      <abilityName>全半角检查</abilityName>
      <candidateList>
        <item>－</item>
      </candidateList>
      <explain>文本全半角错误。</explain>
      <paraID>1C028CB2</paraID>
      <start>7</start>
      <end>8</end>
      <status>unmodified</status>
      <modifiedWord/>
      <trackRevisions>false</trackRevisions>
    </reviewItem>
    <reviewItem>
      <errorID>42c96394-ad35-4f46-98b7-d09b994d80b7</errorID>
      <errorWord>-</errorWord>
      <group>L1_Format</group>
      <groupName>格式问题</groupName>
      <ability>L2_HalfPunc</ability>
      <abilityName>全半角检查</abilityName>
      <candidateList>
        <item>－</item>
      </candidateList>
      <explain>文本全半角错误。</explain>
      <paraID> D2E989A</paraID>
      <start>7</start>
      <end>8</end>
      <status>unmodified</status>
      <modifiedWord/>
      <trackRevisions>false</trackRevisions>
    </reviewItem>
    <reviewItem>
      <errorID>81429ecc-a491-4ea4-819f-a40730dcb7f7</errorID>
      <errorWord>随</errorWord>
      <group>L1_Word</group>
      <groupName>字词问题</groupName>
      <ability>L2_Typo</ability>
      <abilityName>字词错误</abilityName>
      <candidateList>
        <item>随着</item>
      </candidateList>
      <explain/>
      <paraID>7AA65782</paraID>
      <start>68</start>
      <end>69</end>
      <status>unmodified</status>
      <modifiedWord/>
      <trackRevisions>false</trackRevisions>
    </reviewItem>
    <reviewItem>
      <errorID>ce239b40-d278-40a2-a0bd-df580df8f321</errorID>
      <errorWord>)</errorWord>
      <group>L1_Format</group>
      <groupName>格式问题</groupName>
      <ability>L2_HalfPunc</ability>
      <abilityName>全半角检查</abilityName>
      <candidateList>
        <item>）</item>
      </candidateList>
      <explain>文本全半角错误。</explain>
      <paraID>6D11B204</paraID>
      <start>95</start>
      <end>96</end>
      <status>unmodified</status>
      <modifiedWord/>
      <trackRevisions>false</trackRevisions>
    </reviewItem>
    <reviewItem>
      <errorID>bd10f5f7-385f-4e9b-bb31-e9cf0411e90d</errorID>
      <errorWord>)</errorWord>
      <group>L1_Format</group>
      <groupName>格式问题</groupName>
      <ability>L2_HalfPunc</ability>
      <abilityName>全半角检查</abilityName>
      <candidateList>
        <item>）</item>
      </candidateList>
      <explain>文本全半角错误。</explain>
      <paraID>5AE74022</paraID>
      <start>126</start>
      <end>127</end>
      <status>unmodified</status>
      <modifiedWord/>
      <trackRevisions>false</trackRevisions>
    </reviewItem>
    <reviewItem>
      <errorID>7a5a4c87-9be1-490d-99b9-a5044d384d16</errorID>
      <errorWord>)</errorWord>
      <group>L1_Format</group>
      <groupName>格式问题</groupName>
      <ability>L2_HalfPunc</ability>
      <abilityName>全半角检查</abilityName>
      <candidateList>
        <item>）</item>
      </candidateList>
      <explain>文本全半角错误。</explain>
      <paraID>111E6297</paraID>
      <start>32</start>
      <end>33</end>
      <status>unmodified</status>
      <modifiedWord/>
      <trackRevisions>false</trackRevisions>
    </reviewItem>
    <reviewItem>
      <errorID>18d0f92d-5a6c-45df-8f99-85d724706f5c</errorID>
      <errorWord>（</errorWord>
      <group>L1_Punc</group>
      <groupName>标点问题</groupName>
      <ability>L2_Punc</ability>
      <abilityName>标点符号检查</abilityName>
      <candidateList/>
      <explain>同一形式括号套用。</explain>
      <paraID>18A35695</paraID>
      <start>8</start>
      <end>9</end>
      <status>unmodified</status>
      <modifiedWord/>
      <trackRevisions>false</trackRevisions>
    </reviewItem>
    <reviewItem>
      <errorID>f93b5917-a2c7-4eba-a2e6-71a4d08b8a82</errorID>
      <errorWord>）</errorWord>
      <group>L1_Punc</group>
      <groupName>标点问题</groupName>
      <ability>L2_Punc</ability>
      <abilityName>标点符号检查</abilityName>
      <candidateList/>
      <explain>同一形式括号套用。</explain>
      <paraID>18A35695</paraID>
      <start>10</start>
      <end>11</end>
      <status>unmodified</status>
      <modifiedWord/>
      <trackRevisions>false</trackRevisions>
    </reviewItem>
    <reviewItem>
      <errorID>528ce7e8-0371-4d3f-811d-46212ac97579</errorID>
      <errorWord>)</errorWord>
      <group>L1_Format</group>
      <groupName>格式问题</groupName>
      <ability>L2_HalfPunc</ability>
      <abilityName>全半角检查</abilityName>
      <candidateList>
        <item>）</item>
      </candidateList>
      <explain>文本全半角错误。</explain>
      <paraID> 5DDE486</paraID>
      <start>17</start>
      <end>18</end>
      <status>unmodified</status>
      <modifiedWord/>
      <trackRevisions>false</trackRevisions>
    </reviewItem>
    <reviewItem>
      <errorID>46ec82d8-a918-4325-bb93-b78f8cb30c11</errorID>
      <errorWord>(</errorWord>
      <group>L1_Format</group>
      <groupName>格式问题</groupName>
      <ability>L2_HalfPunc</ability>
      <abilityName>全半角检查</abilityName>
      <candidateList>
        <item>（</item>
      </candidateList>
      <explain>文本全半角错误。</explain>
      <paraID>5AA22E70</paraID>
      <start>9</start>
      <end>10</end>
      <status>unmodified</status>
      <modifiedWord/>
      <trackRevisions>false</trackRevisions>
    </reviewItem>
    <reviewItem>
      <errorID>ae9f5947-720b-46d8-9abf-4b91742308b5</errorID>
      <errorWord>)</errorWord>
      <group>L1_Format</group>
      <groupName>格式问题</groupName>
      <ability>L2_HalfPunc</ability>
      <abilityName>全半角检查</abilityName>
      <candidateList>
        <item>）</item>
      </candidateList>
      <explain>文本全半角错误。</explain>
      <paraID>5AA22E70</paraID>
      <start>11</start>
      <end>12</end>
      <status>unmodified</status>
      <modifiedWord/>
      <trackRevisions>false</trackRevisions>
    </reviewItem>
    <reviewItem>
      <errorID>543bd499-b8cd-436e-843f-5e9834af69f0</errorID>
      <errorWord>)</errorWord>
      <group>L1_Format</group>
      <groupName>格式问题</groupName>
      <ability>L2_HalfPunc</ability>
      <abilityName>全半角检查</abilityName>
      <candidateList>
        <item>）</item>
      </candidateList>
      <explain>文本全半角错误。</explain>
      <paraID>4FCD5BD3</paraID>
      <start>8</start>
      <end>9</end>
      <status>unmodified</status>
      <modifiedWord/>
      <trackRevisions>false</trackRevisions>
    </reviewItem>
    <reviewItem>
      <errorID>9f1c7e92-062d-49aa-9100-e718bdef1c5d</errorID>
      <errorWord>)</errorWord>
      <group>L1_Format</group>
      <groupName>格式问题</groupName>
      <ability>L2_HalfPunc</ability>
      <abilityName>全半角检查</abilityName>
      <candidateList>
        <item>）</item>
      </candidateList>
      <explain>文本全半角错误。</explain>
      <paraID>40D2B84B</paraID>
      <start>57</start>
      <end>58</end>
      <status>unmodified</status>
      <modifiedWord/>
      <trackRevisions>false</trackRevisions>
    </reviewItem>
    <reviewItem>
      <errorID>90f692de-5583-4477-a931-7919adf156e5</errorID>
      <errorWord>)</errorWord>
      <group>L1_Format</group>
      <groupName>格式问题</groupName>
      <ability>L2_HalfPunc</ability>
      <abilityName>全半角检查</abilityName>
      <candidateList>
        <item>）</item>
      </candidateList>
      <explain>文本全半角错误。</explain>
      <paraID>40D2B84B</paraID>
      <start>110</start>
      <end>111</end>
      <status>unmodified</status>
      <modifiedWord/>
      <trackRevisions>false</trackRevisions>
    </reviewItem>
    <reviewItem>
      <errorID>200b6009-298a-4c63-b60c-0204bf2a7ce8</errorID>
      <errorWord>)</errorWord>
      <group>L1_Format</group>
      <groupName>格式问题</groupName>
      <ability>L2_HalfPunc</ability>
      <abilityName>全半角检查</abilityName>
      <candidateList>
        <item>）</item>
      </candidateList>
      <explain>文本全半角错误。</explain>
      <paraID>40D2B84B</paraID>
      <start>133</start>
      <end>134</end>
      <status>unmodified</status>
      <modifiedWord/>
      <trackRevisions>false</trackRevisions>
    </reviewItem>
    <reviewItem>
      <errorID>3808a99a-af36-44c5-bcb0-f43f4f23ea11</errorID>
      <errorWord>-</errorWord>
      <group>L1_Format</group>
      <groupName>格式问题</groupName>
      <ability>L2_HalfPunc</ability>
      <abilityName>全半角检查</abilityName>
      <candidateList>
        <item>－</item>
      </candidateList>
      <explain>文本全半角错误。</explain>
      <paraID>5D9424EA</paraID>
      <start>6</start>
      <end>7</end>
      <status>unmodified</status>
      <modifiedWord/>
      <trackRevisions>false</trackRevisions>
    </reviewItem>
    <reviewItem>
      <errorID>8ad0d97f-ef6b-423e-8303-eae05dab87c8</errorID>
      <errorWord>-</errorWord>
      <group>L1_Format</group>
      <groupName>格式问题</groupName>
      <ability>L2_HalfPunc</ability>
      <abilityName>全半角检查</abilityName>
      <candidateList>
        <item>－</item>
      </candidateList>
      <explain>文本全半角错误。</explain>
      <paraID>3F5F3B54</paraID>
      <start>6</start>
      <end>7</end>
      <status>unmodified</status>
      <modifiedWord/>
      <trackRevisions>false</trackRevisions>
    </reviewItem>
    <reviewItem>
      <errorID>340dbb70-39a3-4e95-a96b-8f752b4b8710</errorID>
      <errorWord>)</errorWord>
      <group>L1_Format</group>
      <groupName>格式问题</groupName>
      <ability>L2_HalfPunc</ability>
      <abilityName>全半角检查</abilityName>
      <candidateList>
        <item>）</item>
      </candidateList>
      <explain>文本全半角错误。</explain>
      <paraID>51FEAF93</paraID>
      <start>110</start>
      <end>111</end>
      <status>unmodified</status>
      <modifiedWord/>
      <trackRevisions>false</trackRevisions>
    </reviewItem>
    <reviewItem>
      <errorID>fe5c7a85-b871-4ad6-9839-eb18b237fbfe</errorID>
      <errorWord>（</errorWord>
      <group>L1_Format</group>
      <groupName>格式问题</groupName>
      <ability>L2_HalfPunc</ability>
      <abilityName>全半角检查</abilityName>
      <candidateList>
        <item>(</item>
      </candidateList>
      <explain>文本全半角错误。</explain>
      <paraID>4BF438FE</paraID>
      <start>6</start>
      <end>7</end>
      <status>unmodified</status>
      <modifiedWord/>
      <trackRevisions>false</trackRevisions>
    </reviewItem>
    <reviewItem>
      <errorID>b0e26a14-b4f7-4ae3-a132-83fe672300c9</errorID>
      <errorWord>）</errorWord>
      <group>L1_Format</group>
      <groupName>格式问题</groupName>
      <ability>L2_HalfPunc</ability>
      <abilityName>全半角检查</abilityName>
      <candidateList>
        <item>)</item>
      </candidateList>
      <explain>文本全半角错误。</explain>
      <paraID>4BF438FE</paraID>
      <start>8</start>
      <end>9</end>
      <status>unmodified</status>
      <modifiedWord/>
      <trackRevisions>false</trackRevisions>
    </reviewItem>
    <reviewItem>
      <errorID>0ad8af86-8510-45bb-811f-43759444e020</errorID>
      <errorWord>（</errorWord>
      <group>L1_Format</group>
      <groupName>格式问题</groupName>
      <ability>L2_HalfPunc</ability>
      <abilityName>全半角检查</abilityName>
      <candidateList>
        <item>(</item>
      </candidateList>
      <explain>文本全半角错误。</explain>
      <paraID>1E6F1EC0</paraID>
      <start>6</start>
      <end>7</end>
      <status>unmodified</status>
      <modifiedWord/>
      <trackRevisions>false</trackRevisions>
    </reviewItem>
    <reviewItem>
      <errorID>9f4f4f56-d92d-40ba-a2b8-a24c60c9fea5</errorID>
      <errorWord>）</errorWord>
      <group>L1_Format</group>
      <groupName>格式问题</groupName>
      <ability>L2_HalfPunc</ability>
      <abilityName>全半角检查</abilityName>
      <candidateList>
        <item>)</item>
      </candidateList>
      <explain>文本全半角错误。</explain>
      <paraID>1E6F1EC0</paraID>
      <start>8</start>
      <end>9</end>
      <status>unmodified</status>
      <modifiedWord/>
      <trackRevisions>false</trackRevisions>
    </reviewItem>
    <reviewItem>
      <errorID>7b63524a-aa56-4e02-a228-26920e27ed28</errorID>
      <errorWord>)</errorWord>
      <group>L1_Format</group>
      <groupName>格式问题</groupName>
      <ability>L2_HalfPunc</ability>
      <abilityName>全半角检查</abilityName>
      <candidateList>
        <item>）</item>
      </candidateList>
      <explain>文本全半角错误。</explain>
      <paraID> 92BD14E</paraID>
      <start>69</start>
      <end>70</end>
      <status>unmodified</status>
      <modifiedWord/>
      <trackRevisions>false</trackRevisions>
    </reviewItem>
    <reviewItem>
      <errorID>cc9c9b4a-e3ad-431a-ad3e-e1be424684bc</errorID>
      <errorWord>)</errorWord>
      <group>L1_Format</group>
      <groupName>格式问题</groupName>
      <ability>L2_HalfPunc</ability>
      <abilityName>全半角检查</abilityName>
      <candidateList>
        <item>）</item>
      </candidateList>
      <explain>文本全半角错误。</explain>
      <paraID>33F7143B</paraID>
      <start>62</start>
      <end>63</end>
      <status>unmodified</status>
      <modifiedWord/>
      <trackRevisions>false</trackRevisions>
    </reviewItem>
    <reviewItem>
      <errorID>56ae9ed5-76d7-4a33-8c92-3a8b0a831c28</errorID>
      <errorWord>)</errorWord>
      <group>L1_Format</group>
      <groupName>格式问题</groupName>
      <ability>L2_HalfPunc</ability>
      <abilityName>全半角检查</abilityName>
      <candidateList>
        <item>）</item>
      </candidateList>
      <explain>文本全半角错误。</explain>
      <paraID>33F7143B</paraID>
      <start>90</start>
      <end>91</end>
      <status>unmodified</status>
      <modifiedWord/>
      <trackRevisions>false</trackRevisions>
    </reviewItem>
    <reviewItem>
      <errorID>6b9ee3fb-dcf0-4f65-a178-9c1758aef2fe</errorID>
      <errorWord>-</errorWord>
      <group>L1_Format</group>
      <groupName>格式问题</groupName>
      <ability>L2_HalfPunc</ability>
      <abilityName>全半角检查</abilityName>
      <candidateList>
        <item>－</item>
      </candidateList>
      <explain>文本全半角错误。</explain>
      <paraID>699293F0</paraID>
      <start>8</start>
      <end>9</end>
      <status>unmodified</status>
      <modifiedWord/>
      <trackRevisions>false</trackRevisions>
    </reviewItem>
    <reviewItem>
      <errorID>ab1d4380-686b-42de-8d6f-373d9f3410f9</errorID>
      <errorWord>)</errorWord>
      <group>L1_Format</group>
      <groupName>格式问题</groupName>
      <ability>L2_HalfPunc</ability>
      <abilityName>全半角检查</abilityName>
      <candidateList>
        <item>）</item>
      </candidateList>
      <explain>文本全半角错误。</explain>
      <paraID>4C282F90</paraID>
      <start>90</start>
      <end>91</end>
      <status>unmodified</status>
      <modifiedWord/>
      <trackRevisions>false</trackRevisions>
    </reviewItem>
    <reviewItem>
      <errorID>908fdc09-013c-42df-b688-0313ed031a54</errorID>
      <errorWord>)</errorWord>
      <group>L1_Format</group>
      <groupName>格式问题</groupName>
      <ability>L2_HalfPunc</ability>
      <abilityName>全半角检查</abilityName>
      <candidateList>
        <item>）</item>
      </candidateList>
      <explain>文本全半角错误。</explain>
      <paraID>4C282F90</paraID>
      <start>118</start>
      <end>119</end>
      <status>unmodified</status>
      <modifiedWord/>
      <trackRevisions>false</trackRevisions>
    </reviewItem>
    <reviewItem>
      <errorID>cab22e42-efdd-4d84-8051-19be1cf093b5</errorID>
      <errorWord>-</errorWord>
      <group>L1_Format</group>
      <groupName>格式问题</groupName>
      <ability>L2_HalfPunc</ability>
      <abilityName>全半角检查</abilityName>
      <candidateList>
        <item>－</item>
      </candidateList>
      <explain>文本全半角错误。</explain>
      <paraID>3CB584AC</paraID>
      <start>8</start>
      <end>9</end>
      <status>unmodified</status>
      <modifiedWord/>
      <trackRevisions>false</trackRevisions>
    </reviewItem>
    <reviewItem>
      <errorID>3a4b0815-99f1-43e7-9610-aa9a028ec2d5</errorID>
      <errorWord>)</errorWord>
      <group>L1_Format</group>
      <groupName>格式问题</groupName>
      <ability>L2_HalfPunc</ability>
      <abilityName>全半角检查</abilityName>
      <candidateList>
        <item>）</item>
      </candidateList>
      <explain>文本全半角错误。</explain>
      <paraID> 16DF6B1</paraID>
      <start>65</start>
      <end>66</end>
      <status>unmodified</status>
      <modifiedWord/>
      <trackRevisions>false</trackRevisions>
    </reviewItem>
    <reviewItem>
      <errorID>1789530f-3252-42dd-bd97-fb926e84c298</errorID>
      <errorWord>)</errorWord>
      <group>L1_Format</group>
      <groupName>格式问题</groupName>
      <ability>L2_HalfPunc</ability>
      <abilityName>全半角检查</abilityName>
      <candidateList>
        <item>）</item>
      </candidateList>
      <explain>文本全半角错误。</explain>
      <paraID> 16DF6B1</paraID>
      <start>89</start>
      <end>90</end>
      <status>unmodified</status>
      <modifiedWord/>
      <trackRevisions>false</trackRevisions>
    </reviewItem>
    <reviewItem>
      <errorID>6ba10816-7cec-4a40-86dd-96522529c2bc</errorID>
      <errorWord>贡献</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 16DF6B1</paraID>
      <start>161</start>
      <end>163</end>
      <status>unmodified</status>
      <modifiedWord/>
      <trackRevisions>false</trackRevisions>
    </reviewItem>
    <reviewItem>
      <errorID>6ec0ddb7-7f1c-4b4d-89e4-58f4b385ab65</errorID>
      <errorWord>(</errorWord>
      <group>L1_Format</group>
      <groupName>格式问题</groupName>
      <ability>L2_HalfPunc</ability>
      <abilityName>全半角检查</abilityName>
      <candidateList>
        <item>（</item>
      </candidateList>
      <explain>文本全半角错误。</explain>
      <paraID>61920FD6</paraID>
      <start>82</start>
      <end>83</end>
      <status>unmodified</status>
      <modifiedWord/>
      <trackRevisions>false</trackRevisions>
    </reviewItem>
    <reviewItem>
      <errorID>933e7317-9aad-4d96-98e1-e22476e2b69d</errorID>
      <errorWord>)</errorWord>
      <group>L1_Format</group>
      <groupName>格式问题</groupName>
      <ability>L2_HalfPunc</ability>
      <abilityName>全半角检查</abilityName>
      <candidateList>
        <item>）</item>
      </candidateList>
      <explain>文本全半角错误。</explain>
      <paraID>61920FD6</paraID>
      <start>91</start>
      <end>92</end>
      <status>unmodified</status>
      <modifiedWord/>
      <trackRevisions>false</trackRevisions>
    </reviewItem>
    <reviewItem>
      <errorID>2c5d1c2e-e0d9-4b47-be03-217a5c9f4d45</errorID>
      <errorWord>(</errorWord>
      <group>L1_Format</group>
      <groupName>格式问题</groupName>
      <ability>L2_HalfPunc</ability>
      <abilityName>全半角检查</abilityName>
      <candidateList>
        <item>（</item>
      </candidateList>
      <explain>文本全半角错误。</explain>
      <paraID>3B767BE1</paraID>
      <start>37</start>
      <end>38</end>
      <status>unmodified</status>
      <modifiedWord/>
      <trackRevisions>false</trackRevisions>
    </reviewItem>
    <reviewItem>
      <errorID>348267f8-cdfe-44a9-8bd7-aaf6c6fcaf87</errorID>
      <errorWord>)</errorWord>
      <group>L1_Format</group>
      <groupName>格式问题</groupName>
      <ability>L2_HalfPunc</ability>
      <abilityName>全半角检查</abilityName>
      <candidateList>
        <item>）</item>
      </candidateList>
      <explain>文本全半角错误。</explain>
      <paraID>3B767BE1</paraID>
      <start>44</start>
      <end>45</end>
      <status>unmodified</status>
      <modifiedWord/>
      <trackRevisions>false</trackRevisions>
    </reviewItem>
    <reviewItem>
      <errorID>0861e8d9-200e-4734-8801-3096a0492ffb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4B7B393C</paraID>
      <start>69</start>
      <end>70</end>
      <status>unmodified</status>
      <modifiedWord/>
      <trackRevisions>false</trackRevisions>
    </reviewItem>
    <reviewItem>
      <errorID>d9a98b3b-5a27-44ae-a8b8-169d6c48dc65</errorID>
      <errorWord>（</errorWord>
      <group>L1_Punc</group>
      <groupName>标点问题</groupName>
      <ability>L2_Punc</ability>
      <abilityName>标点符号检查</abilityName>
      <candidateList/>
      <explain>同一形式括号套用。</explain>
      <paraID> 35B90F0</paraID>
      <start>63</start>
      <end>64</end>
      <status>unmodified</status>
      <modifiedWord/>
      <trackRevisions>false</trackRevisions>
    </reviewItem>
    <reviewItem>
      <errorID>ee2f5a64-fcc5-494d-b0fa-ab8315543afc</errorID>
      <errorWord>）</errorWord>
      <group>L1_Punc</group>
      <groupName>标点问题</groupName>
      <ability>L2_Punc</ability>
      <abilityName>标点符号检查</abilityName>
      <candidateList/>
      <explain>同一形式括号套用。</explain>
      <paraID> 35B90F0</paraID>
      <start>72</start>
      <end>73</end>
      <status>unmodified</status>
      <modifiedWord/>
      <trackRevisions>false</trackRevisions>
    </reviewItem>
    <reviewItem>
      <errorID>45c8eed1-4f5d-4ca3-8e94-25d3e3e4f5a6</errorID>
      <errorWord>作</errorWord>
      <group>L1_Word</group>
      <groupName>字词问题</groupName>
      <ability>L2_Typo</ability>
      <abilityName>字词错误</abilityName>
      <candidateList>
        <item>做</item>
      </candidateList>
      <explain>存在发音相同字词的误用。</explain>
      <paraID> 35B90F0</paraID>
      <start>73</start>
      <end>74</end>
      <status>modified</status>
      <modifiedWord>做</modifiedWord>
      <trackRevisions>false</trackRevisions>
    </reviewItem>
    <reviewItem>
      <errorID>5edceb55-7123-4412-96a8-b23fac5d4b08</errorID>
      <errorWord>发展与改革委员会</errorWord>
      <group>L1_Word</group>
      <groupName>字词问题</groupName>
      <ability>L2_Typo</ability>
      <abilityName>字词错误</abilityName>
      <candidateList>
        <item>发展和改革委员会</item>
      </candidateList>
      <explain/>
      <paraID>60E5658C</paraID>
      <start>64</start>
      <end>72</end>
      <status>modified</status>
      <modifiedWord>发展和改革委员会</modifiedWord>
      <trackRevisions>false</trackRevisions>
    </reviewItem>
    <reviewItem>
      <errorID>b47adcdc-b4e1-4984-8184-5e4a4c0ae9c2</errorID>
      <errorWord>，</errorWord>
      <group>L1_Word</group>
      <groupName>字词问题</groupName>
      <ability>L2_Typo</ability>
      <abilityName>字词错误</abilityName>
      <candidateList>
        <item>，有</item>
      </candidateList>
      <explain/>
      <paraID>45B4353F</paraID>
      <start>32</start>
      <end>34</end>
      <status>modified</status>
      <modifiedWord>，有</modifiedWord>
      <trackRevisions>false</trackRevisions>
    </reviewItem>
    <reviewItem>
      <errorID>a0ff593d-153c-466b-85dc-4ac0159d7f1a</errorID>
      <errorWord>其它</errorWord>
      <group>L1_Word</group>
      <groupName>字词问题</groupName>
      <ability>L2_Alias</ability>
      <abilityName>也作/曾用词</abilityName>
      <candidateList>
        <item>其他</item>
      </candidateList>
      <explain>词汇[其它]为不规范表述或旧称，其规范书面表述为[其他]。</explain>
      <paraID>53776917</paraID>
      <start>68</start>
      <end>70</end>
      <status>ignored</status>
      <modifiedWord/>
      <trackRevisions>false</trackRevisions>
    </reviewItem>
    <reviewItem>
      <errorID>19b86b54-04f6-407f-85f5-f507685889a1</errorID>
      <errorWord>对堆</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729A3985</paraID>
      <start>19</start>
      <end>20</end>
      <status>modified</status>
      <modifiedWord>对</modifiedWord>
      <trackRevisions>false</trackRevisions>
    </reviewItem>
    <reviewItem>
      <errorID>191b74bd-d8a7-4be4-ae85-5affb9f5ac73</errorID>
      <errorWord>按《中华人民共和国</errorWord>
      <group>L1_Word</group>
      <groupName>字词问题</groupName>
      <ability>L2_Typo</ability>
      <abilityName>字词错误</abilityName>
      <candidateList>
        <item>按照《中华人民共和国</item>
      </candidateList>
      <explain/>
      <paraID> 4874C13</paraID>
      <start>3</start>
      <end>13</end>
      <status>modified</status>
      <modifiedWord>按照《中华人民共和国</modifiedWord>
      <trackRevisions>false</trackRevisions>
    </reviewItem>
    <reviewItem>
      <errorID>e8db3f57-6120-47b1-be78-84d93b604b5c</errorID>
      <errorWord>按《中华人民共和国</errorWord>
      <group>L1_Word</group>
      <groupName>字词问题</groupName>
      <ability>L2_Typo</ability>
      <abilityName>字词错误</abilityName>
      <candidateList>
        <item>按照《中华人民共和国</item>
      </candidateList>
      <explain/>
      <paraID>557E37F6</paraID>
      <start>26</start>
      <end>36</end>
      <status>modified</status>
      <modifiedWord>按照《中华人民共和国</modifiedWord>
      <trackRevisions>false</trackRevisions>
    </reviewItem>
    <reviewItem>
      <errorID>39204313-4c4b-4ba8-beb5-018f7668c405</errorID>
      <errorWord>沉砂池</errorWord>
      <group>L1_Word</group>
      <groupName>字词问题</groupName>
      <ability>L2_Typo</ability>
      <abilityName>字词错误</abilityName>
      <candidateList>
        <item>沉沙池</item>
      </candidateList>
      <explain>存在发音相同字词的误用。</explain>
      <paraID>253544C0</paraID>
      <start>29</start>
      <end>32</end>
      <status>ignored</status>
      <modifiedWord/>
      <trackRevisions>false</trackRevisions>
    </reviewItem>
    <reviewItem>
      <errorID>e6ff297b-2851-43b9-9a59-e0529669f843</errorID>
      <errorWord>提高</errorWord>
      <group>L1_Grammar</group>
      <groupName>语法问题</groupName>
      <ability>L2_Grammar</ability>
      <abilityName>语法错误</abilityName>
      <candidateList>
        <item>增强</item>
      </candidateList>
      <explain>“提高～意识”搭配不当，建议修改为“增强～意识”。</explain>
      <paraID>6B0B2EBC</paraID>
      <start>25</start>
      <end>27</end>
      <status>modified</status>
      <modifiedWord>增强</modifiedWord>
      <trackRevisions>false</trackRevisions>
    </reviewItem>
    <reviewItem>
      <errorID>5fd65d50-0507-472d-933f-88e9eca47912</errorID>
      <errorWord>期</errorWord>
      <group>L1_Word</group>
      <groupName>字词问题</groupName>
      <ability>L2_Typo</ability>
      <abilityName>字词错误</abilityName>
      <candidateList>
        <item>期间</item>
      </candidateList>
      <explain>〈名〉某个时期里面：农忙～｜春节～｜抗战～。</explain>
      <paraID>2FC13831</paraID>
      <start>2</start>
      <end>3</end>
      <status>unmodified</status>
      <modifiedWord/>
      <trackRevisions>false</trackRevisions>
    </reviewItem>
    <reviewItem>
      <errorID>0437968c-9dd4-4f59-a852-73ff92fac515</errorID>
      <errorWord>期</errorWord>
      <group>L1_Word</group>
      <groupName>字词问题</groupName>
      <ability>L2_Typo</ability>
      <abilityName>字词错误</abilityName>
      <candidateList>
        <item>期间</item>
      </candidateList>
      <explain>〈名〉某个时期里面：农忙～｜春节～｜抗战～。</explain>
      <paraID>101F957D</paraID>
      <start>7</start>
      <end>8</end>
      <status>unmodified</status>
      <modifiedWord/>
      <trackRevisions>false</trackRevisions>
    </reviewItem>
    <reviewItem>
      <errorID>97f88757-f3de-4b9f-8ead-25357a6649ba</errorID>
      <errorWord>运</errorWord>
      <group>L1_Word</group>
      <groupName>字词问题</groupName>
      <ability>L2_Typo</ability>
      <abilityName>字词错误</abilityName>
      <candidateList>
        <item>运行</item>
      </candidateList>
      <explain/>
      <paraID>101F957D</paraID>
      <start>65</start>
      <end>66</end>
      <status>unmodified</status>
      <modifiedWord/>
      <trackRevisions>false</trackRevisions>
    </reviewItem>
    <reviewItem>
      <errorID>fe181e02-4b40-4976-a5a0-a06fb50727b7</errorID>
      <errorWord>(</errorWord>
      <group>L1_Format</group>
      <groupName>格式问题</groupName>
      <ability>L2_HalfPunc</ability>
      <abilityName>全半角检查</abilityName>
      <candidateList>
        <item>（</item>
      </candidateList>
      <explain>文本全半角错误。</explain>
      <paraID>24EDC7CD</paraID>
      <start>23</start>
      <end>24</end>
      <status>unmodified</status>
      <modifiedWord/>
      <trackRevisions>false</trackRevisions>
    </reviewItem>
    <reviewItem>
      <errorID>8f2e8585-1aac-47f7-9844-8d99a20b8440</errorID>
      <errorWord>)</errorWord>
      <group>L1_Format</group>
      <groupName>格式问题</groupName>
      <ability>L2_HalfPunc</ability>
      <abilityName>全半角检查</abilityName>
      <candidateList>
        <item>）</item>
      </candidateList>
      <explain>文本全半角错误。</explain>
      <paraID>24EDC7CD</paraID>
      <start>35</start>
      <end>36</end>
      <status>unmodified</status>
      <modifiedWord/>
      <trackRevisions>false</trackRevisions>
    </reviewItem>
    <reviewItem>
      <errorID>50e171c6-00cb-4cc2-96d2-8d4bfdaf94c9</errorID>
      <errorWord>提高</errorWord>
      <group>L1_Grammar</group>
      <groupName>语法问题</groupName>
      <ability>L2_Grammar</ability>
      <abilityName>语法错误</abilityName>
      <candidateList>
        <item>增强</item>
      </candidateList>
      <explain>“提高～意识”搭配不当，建议修改为“增强～意识”。</explain>
      <paraID>135C91FC</paraID>
      <start>117</start>
      <end>119</end>
      <status>unmodified</status>
      <modifiedWord/>
      <trackRevisions>false</trackRevisions>
    </reviewItem>
    <reviewItem>
      <errorID>0fda2f8c-be3d-46bb-bc04-19e5770e9af6</errorID>
      <errorWord>本</errorWord>
      <group>L1_Word</group>
      <groupName>字词问题</groupName>
      <ability>L2_Typo</ability>
      <abilityName>字词错误</abilityName>
      <candidateList>
        <item>本次</item>
      </candidateList>
      <explain/>
      <paraID> 450C9A6</paraID>
      <start>85</start>
      <end>87</end>
      <status>modified</status>
      <modifiedWord>本次</modifiedWord>
      <trackRevisions>false</trackRevisions>
    </reviewItem>
    <reviewItem>
      <errorID>b43c52dc-a188-4753-91e4-eb70868ff0dd</errorID>
      <errorWord>，</errorWord>
      <group>L1_Word</group>
      <groupName>字词问题</groupName>
      <ability>L2_Typo</ability>
      <abilityName>字词错误</abilityName>
      <candidateList>
        <item>，对</item>
      </candidateList>
      <explain/>
      <paraID>4850F53F</paraID>
      <start>119</start>
      <end>120</end>
      <status>unmodified</status>
      <modifiedWord/>
      <trackRevisions>false</trackRevisions>
    </reviewItem>
    <reviewItem>
      <errorID>d307969c-a91b-4e26-8fb3-939dbe098f9d</errorID>
      <errorWord>减小</errorWord>
      <group>L1_Word</group>
      <groupName>字词问题</groupName>
      <ability>L2_Typo</ability>
      <abilityName>字词错误</abilityName>
      <candidateList>
        <item>减少</item>
      </candidateList>
      <explain>存在字形相近字词的误用。</explain>
      <paraID> DD27548</paraID>
      <start>16</start>
      <end>18</end>
      <status>unmodified</status>
      <modifiedWord/>
      <trackRevisions>false</trackRevisions>
    </reviewItem>
    <reviewItem>
      <errorID>68e9b40a-bbcd-4172-979d-dcfe23170d8f</errorID>
      <errorWord>沉砂池</errorWord>
      <group>L1_Word</group>
      <groupName>字词问题</groupName>
      <ability>L2_Typo</ability>
      <abilityName>字词错误</abilityName>
      <candidateList>
        <item>沉沙池</item>
      </candidateList>
      <explain>存在发音相同字词的误用。</explain>
      <paraID> E97B135</paraID>
      <start>27</start>
      <end>30</end>
      <status>unmodified</status>
      <modifiedWord/>
      <trackRevisions>false</trackRevisions>
    </reviewItem>
    <reviewItem>
      <errorID>93f0d668-e628-4fac-8f77-dc5dfd1c47b0</errorID>
      <errorWord>提高</errorWord>
      <group>L1_Grammar</group>
      <groupName>语法问题</groupName>
      <ability>L2_Grammar</ability>
      <abilityName>语法错误</abilityName>
      <candidateList>
        <item>增强</item>
      </candidateList>
      <explain>“提高～意识”搭配不当，建议修改为“增强～意识”。</explain>
      <paraID> 6A013D3</paraID>
      <start>23</start>
      <end>25</end>
      <status>unmodified</status>
      <modifiedWord/>
      <trackRevisions>false</trackRevisions>
    </reviewItem>
    <reviewItem>
      <errorID>4cb79eba-053a-4a5a-8792-7000fc976d94</errorID>
      <errorWord>沉砂池</errorWord>
      <group>L1_Word</group>
      <groupName>字词问题</groupName>
      <ability>L2_Typo</ability>
      <abilityName>字词错误</abilityName>
      <candidateList>
        <item>沉沙池</item>
      </candidateList>
      <explain>存在发音相同字词的误用。</explain>
      <paraID>1E88E797</paraID>
      <start>17</start>
      <end>20</end>
      <status>unmodified</status>
      <modifiedWord/>
      <trackRevisions>false</trackRevisions>
    </reviewItem>
    <reviewItem>
      <errorID>be821089-8b2c-4811-bcd2-5a119cb3cba9</errorID>
      <errorWord>提高</errorWord>
      <group>L1_Grammar</group>
      <groupName>语法问题</groupName>
      <ability>L2_Grammar</ability>
      <abilityName>语法错误</abilityName>
      <candidateList>
        <item>增强</item>
      </candidateList>
      <explain>“提高～意识”搭配不当，建议修改为“增强～意识”。</explain>
      <paraID>1F157C03</paraID>
      <start>23</start>
      <end>25</end>
      <status>unmodified</status>
      <modifiedWord/>
      <trackRevisions>false</trackRevisions>
    </reviewItem>
    <reviewItem>
      <errorID>87564e87-0950-4fe7-9e51-d9f7a2d58e11</errorID>
      <errorWord>按《中华人民共和国</errorWord>
      <group>L1_Word</group>
      <groupName>字词问题</groupName>
      <ability>L2_Typo</ability>
      <abilityName>字词错误</abilityName>
      <candidateList>
        <item>按照《中华人民共和国</item>
      </candidateList>
      <explain/>
      <paraID>3418B111</paraID>
      <start>1</start>
      <end>10</end>
      <status>unmodified</status>
      <modifiedWord/>
      <trackRevisions>false</trackRevisions>
    </reviewItem>
    <reviewItem>
      <errorID>90a736fe-09fa-44d2-a07e-2db4e27ed112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3418B111</paraID>
      <start>98</start>
      <end>99</end>
      <status>unmodified</status>
      <modifiedWord/>
      <trackRevisions>false</trackRevisions>
    </reviewItem>
    <reviewItem>
      <errorID>e6e78785-90af-416e-ac0a-0854cfbc0da7</errorID>
      <errorWord>按《中华人民共和国</errorWord>
      <group>L1_Word</group>
      <groupName>字词问题</groupName>
      <ability>L2_Typo</ability>
      <abilityName>字词错误</abilityName>
      <candidateList>
        <item>按照《中华人民共和国</item>
      </candidateList>
      <explain/>
      <paraID>324DB484</paraID>
      <start>24</start>
      <end>34</end>
      <status>modified</status>
      <modifiedWord>按照《中华人民共和国</modifiedWord>
      <trackRevisions>false</trackRevisions>
    </reviewItem>
    <reviewItem>
      <errorID>625b6cf0-b7c9-4066-9a50-a4cdab3f0151</errorID>
      <errorWord>-</errorWord>
      <group>L1_Format</group>
      <groupName>格式问题</groupName>
      <ability>L2_HalfPunc</ability>
      <abilityName>全半角检查</abilityName>
      <candidateList>
        <item>－</item>
      </candidateList>
      <explain>文本全半角错误。</explain>
      <paraID>4468788B</paraID>
      <start>8</start>
      <end>9</end>
      <status>unmodified</status>
      <modifiedWord/>
      <trackRevisions>false</trackRevisions>
    </reviewItem>
    <reviewItem>
      <errorID>8f6df679-fe69-4b46-93e0-8ce62e61ac1e</errorID>
      <errorWord>-</errorWord>
      <group>L1_Format</group>
      <groupName>格式问题</groupName>
      <ability>L2_HalfPunc</ability>
      <abilityName>全半角检查</abilityName>
      <candidateList>
        <item>－</item>
      </candidateList>
      <explain>文本全半角错误。</explain>
      <paraID>51DFA469</paraID>
      <start>6</start>
      <end>7</end>
      <status>unmodified</status>
      <modifiedWord/>
      <trackRevisions>false</trackRevisions>
    </reviewItem>
    <reviewItem>
      <errorID>83772e73-f872-4e63-9bd7-72dd417c7106</errorID>
      <errorWord>-</errorWord>
      <group>L1_Format</group>
      <groupName>格式问题</groupName>
      <ability>L2_HalfPunc</ability>
      <abilityName>全半角检查</abilityName>
      <candidateList>
        <item>－</item>
      </candidateList>
      <explain>文本全半角错误。</explain>
      <paraID> BB322CB</paraID>
      <start>6</start>
      <end>7</end>
      <status>unmodified</status>
      <modifiedWord/>
      <trackRevisions>false</trackRevisions>
    </reviewItem>
    <reviewItem>
      <errorID>228667bb-9255-4978-b42d-a1f80855925e</errorID>
      <errorWord>-</errorWord>
      <group>L1_Format</group>
      <groupName>格式问题</groupName>
      <ability>L2_HalfPunc</ability>
      <abilityName>全半角检查</abilityName>
      <candidateList>
        <item>－</item>
      </candidateList>
      <explain>文本全半角错误。</explain>
      <paraID>378FDA22</paraID>
      <start>8</start>
      <end>9</end>
      <status>unmodified</status>
      <modifiedWord/>
      <trackRevisions>false</trackRevisions>
    </reviewItem>
    <reviewItem>
      <errorID>ed31c520-9392-492f-8dc0-90eabbd9f573</errorID>
      <errorWord>-</errorWord>
      <group>L1_Format</group>
      <groupName>格式问题</groupName>
      <ability>L2_HalfPunc</ability>
      <abilityName>全半角检查</abilityName>
      <candidateList>
        <item>－</item>
      </candidateList>
      <explain>文本全半角错误。</explain>
      <paraID>24B015E2</paraID>
      <start>6</start>
      <end>7</end>
      <status>unmodified</status>
      <modifiedWord/>
      <trackRevisions>false</trackRevisions>
    </reviewItem>
    <reviewItem>
      <errorID>c9bd57ea-96b4-432e-ae17-c99d40d9c325</errorID>
      <errorWord>-</errorWord>
      <group>L1_Format</group>
      <groupName>格式问题</groupName>
      <ability>L2_HalfPunc</ability>
      <abilityName>全半角检查</abilityName>
      <candidateList>
        <item>－</item>
      </candidateList>
      <explain>文本全半角错误。</explain>
      <paraID>578B2591</paraID>
      <start>7</start>
      <end>8</end>
      <status>unmodified</status>
      <modifiedWord/>
      <trackRevisions>false</trackRevisions>
    </reviewItem>
    <reviewItem>
      <errorID>3c720936-3221-4976-a3af-d7f4dc5ee5e1</errorID>
      <errorWord>-</errorWord>
      <group>L1_Format</group>
      <groupName>格式问题</groupName>
      <ability>L2_HalfPunc</ability>
      <abilityName>全半角检查</abilityName>
      <candidateList>
        <item>－</item>
      </candidateList>
      <explain>文本全半角错误。</explain>
      <paraID>13302D2F</paraID>
      <start>7</start>
      <end>8</end>
      <status>unmodified</status>
      <modifiedWord/>
      <trackRevisions>false</trackRevisions>
    </reviewItem>
    <reviewItem>
      <errorID>e2cb13e4-0cbb-48cf-93a8-9f07a9246a8f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302AFC3</paraID>
      <start>15</start>
      <end>16</end>
      <status>unmodified</status>
      <modifiedWord/>
      <trackRevisions>false</trackRevisions>
    </reviewItem>
    <reviewItem>
      <errorID>f921d97d-6395-4da7-adcf-c3310bb78cd6</errorID>
      <errorWord>～</errorWord>
      <group>L1_Format</group>
      <groupName>格式问题</groupName>
      <ability>L2_HalfPunc</ability>
      <abilityName>全半角检查</abilityName>
      <candidateList>
        <item>~</item>
      </candidateList>
      <explain>文本全半角错误。</explain>
      <paraID>7E7EDEBB</paraID>
      <start>7</start>
      <end>8</end>
      <status>unmodified</status>
      <modifiedWord/>
      <trackRevisions>false</trackRevisions>
    </reviewItem>
    <reviewItem>
      <errorID>c0d77c41-c16a-4d63-96a4-2a3f043abf8d</errorID>
      <errorWord>～</errorWord>
      <group>L1_Format</group>
      <groupName>格式问题</groupName>
      <ability>L2_HalfPunc</ability>
      <abilityName>全半角检查</abilityName>
      <candidateList>
        <item>~</item>
      </candidateList>
      <explain>文本全半角错误。</explain>
      <paraID>29E75480</paraID>
      <start>3</start>
      <end>4</end>
      <status>unmodified</status>
      <modifiedWord/>
      <trackRevisions>false</trackRevisions>
    </reviewItem>
    <reviewItem>
      <errorID>3a357aad-8587-47a7-9665-be29814ed04a</errorID>
      <errorWord>-</errorWord>
      <group>L1_Format</group>
      <groupName>格式问题</groupName>
      <ability>L2_HalfPunc</ability>
      <abilityName>全半角检查</abilityName>
      <candidateList>
        <item>－</item>
      </candidateList>
      <explain>文本全半角错误。</explain>
      <paraID>5753BF43</paraID>
      <start>7</start>
      <end>8</end>
      <status>unmodified</status>
      <modifiedWord/>
      <trackRevisions>false</trackRevisions>
    </reviewItem>
    <reviewItem>
      <errorID>bf51cb60-49cb-44e0-8c95-1cbb1aa62430</errorID>
      <errorWord>-</errorWord>
      <group>L1_Format</group>
      <groupName>格式问题</groupName>
      <ability>L2_HalfPunc</ability>
      <abilityName>全半角检查</abilityName>
      <candidateList>
        <item>－</item>
      </candidateList>
      <explain>文本全半角错误。</explain>
      <paraID>3650A3A4</paraID>
      <start>7</start>
      <end>8</end>
      <status>unmodified</status>
      <modifiedWord/>
      <trackRevisions>false</trackRevisions>
    </reviewItem>
    <reviewItem>
      <errorID>a7c03e9e-a319-40e5-8ab9-09a572f2b9a7</errorID>
      <errorWord>-</errorWord>
      <group>L1_Format</group>
      <groupName>格式问题</groupName>
      <ability>L2_HalfPunc</ability>
      <abilityName>全半角检查</abilityName>
      <candidateList>
        <item>－</item>
      </candidateList>
      <explain>文本全半角错误。</explain>
      <paraID>719F1159</paraID>
      <start>8</start>
      <end>9</end>
      <status>unmodified</status>
      <modifiedWord/>
      <trackRevisions>false</trackRevisions>
    </reviewItem>
    <reviewItem>
      <errorID>6e83cfe7-9384-4c7a-80dc-057ee190945f</errorID>
      <errorWord>-</errorWord>
      <group>L1_Format</group>
      <groupName>格式问题</groupName>
      <ability>L2_HalfPunc</ability>
      <abilityName>全半角检查</abilityName>
      <candidateList>
        <item>－</item>
      </candidateList>
      <explain>文本全半角错误。</explain>
      <paraID>2D923701</paraID>
      <start>8</start>
      <end>9</end>
      <status>unmodified</status>
      <modifiedWord/>
      <trackRevisions>false</trackRevisions>
    </reviewItem>
    <reviewItem>
      <errorID>894edae9-6851-46c7-beb4-4e05dfec84c5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70F8868B</paraID>
      <start>40</start>
      <end>41</end>
      <status>unmodified</status>
      <modifiedWord/>
      <trackRevisions>false</trackRevisions>
    </reviewItem>
    <reviewItem>
      <errorID>c90b6ea3-c43e-42e0-940c-779e510798c0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94E7DE8</paraID>
      <start>40</start>
      <end>41</end>
      <status>unmodified</status>
      <modifiedWord/>
      <trackRevisions>false</trackRevisions>
    </reviewItem>
    <reviewItem>
      <errorID>79720e20-1132-41ac-8b20-33d8a2bc922f</errorID>
      <errorWord>睛</errorWord>
      <group>L1_Word</group>
      <groupName>字词问题</groupName>
      <ability>L2_Typo</ability>
      <abilityName>字词错误</abilityName>
      <candidateList>
        <item>晴</item>
      </candidateList>
      <explain/>
      <paraID>1B6E1BEA</paraID>
      <start>5</start>
      <end>6</end>
      <status>unmodified</status>
      <modifiedWord/>
      <trackRevisions>false</trackRevisions>
    </reviewItem>
    <reviewItem>
      <errorID>b46d3d0d-1f96-44f8-b32b-e500060f4c4a</errorID>
      <errorWord>42%-66%</errorWord>
      <group>L1_Knowledge</group>
      <groupName>知识性问题</groupName>
      <ability>L2_Knowledge</ability>
      <abilityName>其他知识</abilityName>
      <candidateList>
        <item>42%—66%</item>
      </candidateList>
      <explain>1. “42%-66%”中的单位“%”仅出现在后一个数字上，容易引起歧义；根据《现代汉语标点符号数字用法规范手册》，数字表示范围两边需要使用统一的格式。2. 根据标点国标 4.13 中的规则，数字、时间或地域连接符应使用（视觉上更长的）“—”或“～”。</explain>
      <paraID>1B6E1BEA</paraID>
      <start>11</start>
      <end>18</end>
      <status>unmodified</status>
      <modifiedWord/>
      <trackRevisions>false</trackRevisions>
    </reviewItem>
    <reviewItem>
      <errorID>41d2ee08-93b0-42f6-ae4a-5beceaeaf69b</errorID>
      <errorWord>,</errorWord>
      <group>L1_Format</group>
      <groupName>格式问题</groupName>
      <ability>L2_HalfPunc</ability>
      <abilityName>全半角检查</abilityName>
      <candidateList>
        <item>，</item>
      </candidateList>
      <explain>文本全半角错误。</explain>
      <paraID>250F35B8</paraID>
      <start>56</start>
      <end>57</end>
      <status>unmodified</status>
      <modifiedWord/>
      <trackRevisions>false</trackRevisions>
    </reviewItem>
    <reviewItem>
      <errorID>716bb9e2-2fce-4dcd-bc7c-1973d55a743c</errorID>
      <errorWord>线路在</errorWord>
      <group>L1_Word</group>
      <groupName>字词问题</groupName>
      <ability>L2_Typo</ability>
      <abilityName>字词错误</abilityName>
      <candidateList>
        <item>线路</item>
      </candidateList>
      <explain/>
      <paraID>15A7C978</paraID>
      <start>10</start>
      <end>12</end>
      <status>modified</status>
      <modifiedWord>线路</modifiedWord>
      <trackRevisions>false</trackRevisions>
    </reviewItem>
    <reviewItem>
      <errorID>1a0328c0-d922-4669-bb5b-bc44ba0d18d9</errorID>
      <errorWord>(</errorWord>
      <group>L1_Format</group>
      <groupName>格式问题</groupName>
      <ability>L2_HalfPunc</ability>
      <abilityName>全半角检查</abilityName>
      <candidateList>
        <item>（</item>
      </candidateList>
      <explain>文本全半角错误。</explain>
      <paraID>3F44DF4D</paraID>
      <start>6</start>
      <end>7</end>
      <status>unmodified</status>
      <modifiedWord/>
      <trackRevisions>false</trackRevisions>
    </reviewItem>
    <reviewItem>
      <errorID>106d1598-6875-4d43-acd5-162eb9242d04</errorID>
      <errorWord>)</errorWord>
      <group>L1_Format</group>
      <groupName>格式问题</groupName>
      <ability>L2_HalfPunc</ability>
      <abilityName>全半角检查</abilityName>
      <candidateList>
        <item>）</item>
      </candidateList>
      <explain>文本全半角错误。</explain>
      <paraID>3F44DF4D</paraID>
      <start>9</start>
      <end>10</end>
      <status>unmodified</status>
      <modifiedWord/>
      <trackRevisions>false</trackRevisions>
    </reviewItem>
    <reviewItem>
      <errorID>784ed282-9f49-46d3-8cc8-b0d891d936b5</errorID>
      <errorWord>(</errorWord>
      <group>L1_Format</group>
      <groupName>格式问题</groupName>
      <ability>L2_HalfPunc</ability>
      <abilityName>全半角检查</abilityName>
      <candidateList>
        <item>（</item>
      </candidateList>
      <explain>文本全半角错误。</explain>
      <paraID>7BD6C12D</paraID>
      <start>6</start>
      <end>7</end>
      <status>unmodified</status>
      <modifiedWord/>
      <trackRevisions>false</trackRevisions>
    </reviewItem>
    <reviewItem>
      <errorID>8889df09-c1f3-4fcd-9f50-0aec70722ba7</errorID>
      <errorWord>)</errorWord>
      <group>L1_Format</group>
      <groupName>格式问题</groupName>
      <ability>L2_HalfPunc</ability>
      <abilityName>全半角检查</abilityName>
      <candidateList>
        <item>）</item>
      </candidateList>
      <explain>文本全半角错误。</explain>
      <paraID>7BD6C12D</paraID>
      <start>9</start>
      <end>10</end>
      <status>unmodified</status>
      <modifiedWord/>
      <trackRevisions>false</trackRevisions>
    </reviewItem>
    <reviewItem>
      <errorID>c3556143-8b1c-45c0-975c-d4752ec2257d</errorID>
      <errorWord>(</errorWord>
      <group>L1_Format</group>
      <groupName>格式问题</groupName>
      <ability>L2_HalfPunc</ability>
      <abilityName>全半角检查</abilityName>
      <candidateList>
        <item>（</item>
      </candidateList>
      <explain>文本全半角错误。</explain>
      <paraID>5E4A6FD4</paraID>
      <start>6</start>
      <end>7</end>
      <status>unmodified</status>
      <modifiedWord/>
      <trackRevisions>false</trackRevisions>
    </reviewItem>
    <reviewItem>
      <errorID>ae42b286-c027-406b-b7e4-ed10c3adf345</errorID>
      <errorWord>)</errorWord>
      <group>L1_Format</group>
      <groupName>格式问题</groupName>
      <ability>L2_HalfPunc</ability>
      <abilityName>全半角检查</abilityName>
      <candidateList>
        <item>）</item>
      </candidateList>
      <explain>文本全半角错误。</explain>
      <paraID>5E4A6FD4</paraID>
      <start>9</start>
      <end>10</end>
      <status>unmodified</status>
      <modifiedWord/>
      <trackRevisions>false</trackRevisions>
    </reviewItem>
    <reviewItem>
      <errorID>8cf9e0d0-7ca6-41ca-92af-28d9969c2410</errorID>
      <errorWord>(</errorWord>
      <group>L1_Format</group>
      <groupName>格式问题</groupName>
      <ability>L2_HalfPunc</ability>
      <abilityName>全半角检查</abilityName>
      <candidateList>
        <item>（</item>
      </candidateList>
      <explain>文本全半角错误。</explain>
      <paraID>4EC6F4EA</paraID>
      <start>6</start>
      <end>7</end>
      <status>unmodified</status>
      <modifiedWord/>
      <trackRevisions>false</trackRevisions>
    </reviewItem>
    <reviewItem>
      <errorID>6fed320c-a95c-4f37-8aa7-482988f40182</errorID>
      <errorWord>)</errorWord>
      <group>L1_Format</group>
      <groupName>格式问题</groupName>
      <ability>L2_HalfPunc</ability>
      <abilityName>全半角检查</abilityName>
      <candidateList>
        <item>）</item>
      </candidateList>
      <explain>文本全半角错误。</explain>
      <paraID>4EC6F4EA</paraID>
      <start>9</start>
      <end>10</end>
      <status>unmodified</status>
      <modifiedWord/>
      <trackRevisions>false</trackRevisions>
    </reviewItem>
    <reviewItem>
      <errorID>880aed7b-fac8-475f-a76d-6b28c50c23e6</errorID>
      <errorWord>(</errorWord>
      <group>L1_Format</group>
      <groupName>格式问题</groupName>
      <ability>L2_HalfPunc</ability>
      <abilityName>全半角检查</abilityName>
      <candidateList>
        <item>（</item>
      </candidateList>
      <explain>文本全半角错误。</explain>
      <paraID> BC27F27</paraID>
      <start>6</start>
      <end>7</end>
      <status>unmodified</status>
      <modifiedWord/>
      <trackRevisions>false</trackRevisions>
    </reviewItem>
    <reviewItem>
      <errorID>0205857e-7df4-44a0-9b20-4f2b3f114c58</errorID>
      <errorWord>)</errorWord>
      <group>L1_Format</group>
      <groupName>格式问题</groupName>
      <ability>L2_HalfPunc</ability>
      <abilityName>全半角检查</abilityName>
      <candidateList>
        <item>）</item>
      </candidateList>
      <explain>文本全半角错误。</explain>
      <paraID> BC27F27</paraID>
      <start>9</start>
      <end>10</end>
      <status>unmodified</status>
      <modifiedWord/>
      <trackRevisions>false</trackRevisions>
    </reviewItem>
    <reviewItem>
      <errorID>4e59966a-743c-42bb-8f4b-a2d5e81c43ff</errorID>
      <errorWord>(</errorWord>
      <group>L1_Format</group>
      <groupName>格式问题</groupName>
      <ability>L2_HalfPunc</ability>
      <abilityName>全半角检查</abilityName>
      <candidateList>
        <item>（</item>
      </candidateList>
      <explain>文本全半角错误。</explain>
      <paraID>3F94C366</paraID>
      <start>0</start>
      <end>1</end>
      <status>unmodified</status>
      <modifiedWord/>
      <trackRevisions>false</trackRevisions>
    </reviewItem>
    <reviewItem>
      <errorID>44ae2791-ba3c-41c8-8115-840c7a12d245</errorID>
      <errorWord>(</errorWord>
      <group>L1_Punc</group>
      <groupName>标点问题</groupName>
      <ability>L2_Punc</ability>
      <abilityName>标点符号检查</abilityName>
      <candidateList/>
      <explain>同一形式括号套用。</explain>
      <paraID>3F94C366</paraID>
      <start>7</start>
      <end>8</end>
      <status>unmodified</status>
      <modifiedWord/>
      <trackRevisions>false</trackRevisions>
    </reviewItem>
    <reviewItem>
      <errorID>44820c95-68ab-46a8-b2ec-55b96a6c4dff</errorID>
      <errorWord>)</errorWord>
      <group>L1_Punc</group>
      <groupName>标点问题</groupName>
      <ability>L2_Punc</ability>
      <abilityName>标点符号检查</abilityName>
      <candidateList/>
      <explain>同一形式括号套用。</explain>
      <paraID>3F94C366</paraID>
      <start>10</start>
      <end>11</end>
      <status>unmodified</status>
      <modifiedWord/>
      <trackRevisions>false</trackRevisions>
    </reviewItem>
    <reviewItem>
      <errorID>9f8f96e2-1175-46ad-a7d4-00db83381198</errorID>
      <errorWord>)</errorWord>
      <group>L1_Format</group>
      <groupName>格式问题</groupName>
      <ability>L2_HalfPunc</ability>
      <abilityName>全半角检查</abilityName>
      <candidateList>
        <item>）</item>
      </candidateList>
      <explain>文本全半角错误。</explain>
      <paraID>3F94C366</paraID>
      <start>14</start>
      <end>15</end>
      <status>unmodified</status>
      <modifiedWord/>
      <trackRevisions>false</trackRevisions>
    </reviewItem>
    <reviewItem>
      <errorID>1b7be449-ef7b-4721-9399-3d35522283c4</errorID>
      <errorWord>(</errorWord>
      <group>L1_Format</group>
      <groupName>格式问题</groupName>
      <ability>L2_HalfPunc</ability>
      <abilityName>全半角检查</abilityName>
      <candidateList>
        <item>（</item>
      </candidateList>
      <explain>文本全半角错误。</explain>
      <paraID>5A0F34D7</paraID>
      <start>5</start>
      <end>6</end>
      <status>unmodified</status>
      <modifiedWord/>
      <trackRevisions>false</trackRevisions>
    </reviewItem>
    <reviewItem>
      <errorID>149f4b67-6a47-4d00-be07-7aa8d0a85dac</errorID>
      <errorWord>)</errorWord>
      <group>L1_Format</group>
      <groupName>格式问题</groupName>
      <ability>L2_HalfPunc</ability>
      <abilityName>全半角检查</abilityName>
      <candidateList>
        <item>）</item>
      </candidateList>
      <explain>文本全半角错误。</explain>
      <paraID>5A0F34D7</paraID>
      <start>8</start>
      <end>9</end>
      <status>unmodified</status>
      <modifiedWord/>
      <trackRevisions>false</trackRevisions>
    </reviewItem>
    <reviewItem>
      <errorID>48780380-b498-4250-80a2-75114a78e9ba</errorID>
      <errorWord>(</errorWord>
      <group>L1_Format</group>
      <groupName>格式问题</groupName>
      <ability>L2_HalfPunc</ability>
      <abilityName>全半角检查</abilityName>
      <candidateList>
        <item>（</item>
      </candidateList>
      <explain>文本全半角错误。</explain>
      <paraID>57245E51</paraID>
      <start>0</start>
      <end>1</end>
      <status>unmodified</status>
      <modifiedWord/>
      <trackRevisions>false</trackRevisions>
    </reviewItem>
    <reviewItem>
      <errorID>8814c525-6366-4b2f-b68a-df66eea87d5d</errorID>
      <errorWord>(</errorWord>
      <group>L1_Punc</group>
      <groupName>标点问题</groupName>
      <ability>L2_Punc</ability>
      <abilityName>标点符号检查</abilityName>
      <candidateList/>
      <explain>同一形式括号套用。</explain>
      <paraID>57245E51</paraID>
      <start>7</start>
      <end>8</end>
      <status>unmodified</status>
      <modifiedWord/>
      <trackRevisions>false</trackRevisions>
    </reviewItem>
    <reviewItem>
      <errorID>023fe5b9-8721-4005-b6ae-4ad0b693dbb1</errorID>
      <errorWord>)</errorWord>
      <group>L1_Punc</group>
      <groupName>标点问题</groupName>
      <ability>L2_Punc</ability>
      <abilityName>标点符号检查</abilityName>
      <candidateList/>
      <explain>同一形式括号套用。</explain>
      <paraID>57245E51</paraID>
      <start>10</start>
      <end>11</end>
      <status>unmodified</status>
      <modifiedWord/>
      <trackRevisions>false</trackRevisions>
    </reviewItem>
    <reviewItem>
      <errorID>5fe4c9af-c3d0-4481-8ef7-c1c812a1237d</errorID>
      <errorWord>)</errorWord>
      <group>L1_Format</group>
      <groupName>格式问题</groupName>
      <ability>L2_HalfPunc</ability>
      <abilityName>全半角检查</abilityName>
      <candidateList>
        <item>）</item>
      </candidateList>
      <explain>文本全半角错误。</explain>
      <paraID>57245E51</paraID>
      <start>14</start>
      <end>15</end>
      <status>unmodified</status>
      <modifiedWord/>
      <trackRevisions>false</trackRevisions>
    </reviewItem>
    <reviewItem>
      <errorID>57a281a3-37e4-45f0-ba88-7d9784f5a9f5</errorID>
      <errorWord>(</errorWord>
      <group>L1_Format</group>
      <groupName>格式问题</groupName>
      <ability>L2_HalfPunc</ability>
      <abilityName>全半角检查</abilityName>
      <candidateList>
        <item>（</item>
      </candidateList>
      <explain>文本全半角错误。</explain>
      <paraID>49E7B6D7</paraID>
      <start>6</start>
      <end>7</end>
      <status>unmodified</status>
      <modifiedWord/>
      <trackRevisions>false</trackRevisions>
    </reviewItem>
    <reviewItem>
      <errorID>4a454056-2b44-4faa-a180-c7498efe01ea</errorID>
      <errorWord>)</errorWord>
      <group>L1_Format</group>
      <groupName>格式问题</groupName>
      <ability>L2_HalfPunc</ability>
      <abilityName>全半角检查</abilityName>
      <candidateList>
        <item>）</item>
      </candidateList>
      <explain>文本全半角错误。</explain>
      <paraID>49E7B6D7</paraID>
      <start>9</start>
      <end>10</end>
      <status>unmodified</status>
      <modifiedWord/>
      <trackRevisions>false</trackRevisions>
    </reviewItem>
    <reviewItem>
      <errorID>143c0a80-fd54-4acf-a8a4-14e23415f80e</errorID>
      <errorWord>(</errorWord>
      <group>L1_Format</group>
      <groupName>格式问题</groupName>
      <ability>L2_HalfPunc</ability>
      <abilityName>全半角检查</abilityName>
      <candidateList>
        <item>（</item>
      </candidateList>
      <explain>文本全半角错误。</explain>
      <paraID>44C99CEB</paraID>
      <start>6</start>
      <end>7</end>
      <status>unmodified</status>
      <modifiedWord/>
      <trackRevisions>false</trackRevisions>
    </reviewItem>
    <reviewItem>
      <errorID>b3efd917-76e0-4433-9cd2-89d761a3018d</errorID>
      <errorWord>)</errorWord>
      <group>L1_Format</group>
      <groupName>格式问题</groupName>
      <ability>L2_HalfPunc</ability>
      <abilityName>全半角检查</abilityName>
      <candidateList>
        <item>）</item>
      </candidateList>
      <explain>文本全半角错误。</explain>
      <paraID>44C99CEB</paraID>
      <start>9</start>
      <end>10</end>
      <status>unmodified</status>
      <modifiedWord/>
      <trackRevisions>false</trackRevisions>
    </reviewItem>
    <reviewItem>
      <errorID>a80e627d-0c07-49e0-b8d5-5c00c23a48e2</errorID>
      <errorWord>(</errorWord>
      <group>L1_Format</group>
      <groupName>格式问题</groupName>
      <ability>L2_HalfPunc</ability>
      <abilityName>全半角检查</abilityName>
      <candidateList>
        <item>（</item>
      </candidateList>
      <explain>文本全半角错误。</explain>
      <paraID>175D135E</paraID>
      <start>6</start>
      <end>7</end>
      <status>unmodified</status>
      <modifiedWord/>
      <trackRevisions>false</trackRevisions>
    </reviewItem>
    <reviewItem>
      <errorID>6fdbfbe6-4b81-4f96-a452-fe94a17ed4a7</errorID>
      <errorWord>)</errorWord>
      <group>L1_Format</group>
      <groupName>格式问题</groupName>
      <ability>L2_HalfPunc</ability>
      <abilityName>全半角检查</abilityName>
      <candidateList>
        <item>）</item>
      </candidateList>
      <explain>文本全半角错误。</explain>
      <paraID>175D135E</paraID>
      <start>9</start>
      <end>10</end>
      <status>unmodified</status>
      <modifiedWord/>
      <trackRevisions>false</trackRevisions>
    </reviewItem>
    <reviewItem>
      <errorID>8738550a-d274-4797-8054-b02883fd7db8</errorID>
      <errorWord>(</errorWord>
      <group>L1_Format</group>
      <groupName>格式问题</groupName>
      <ability>L2_HalfPunc</ability>
      <abilityName>全半角检查</abilityName>
      <candidateList>
        <item>（</item>
      </candidateList>
      <explain>文本全半角错误。</explain>
      <paraID>29DA028C</paraID>
      <start>6</start>
      <end>7</end>
      <status>unmodified</status>
      <modifiedWord/>
      <trackRevisions>false</trackRevisions>
    </reviewItem>
    <reviewItem>
      <errorID>3cd626df-db56-4cb9-8a1c-224681258307</errorID>
      <errorWord>)</errorWord>
      <group>L1_Format</group>
      <groupName>格式问题</groupName>
      <ability>L2_HalfPunc</ability>
      <abilityName>全半角检查</abilityName>
      <candidateList>
        <item>）</item>
      </candidateList>
      <explain>文本全半角错误。</explain>
      <paraID>29DA028C</paraID>
      <start>9</start>
      <end>10</end>
      <status>unmodified</status>
      <modifiedWord/>
      <trackRevisions>false</trackRevisions>
    </reviewItem>
    <reviewItem>
      <errorID>65aac89b-ca60-46a4-b3bd-e683ec29c870</errorID>
      <errorWord>(</errorWord>
      <group>L1_Format</group>
      <groupName>格式问题</groupName>
      <ability>L2_HalfPunc</ability>
      <abilityName>全半角检查</abilityName>
      <candidateList>
        <item>（</item>
      </candidateList>
      <explain>文本全半角错误。</explain>
      <paraID>2DF9DE92</paraID>
      <start>6</start>
      <end>7</end>
      <status>unmodified</status>
      <modifiedWord/>
      <trackRevisions>false</trackRevisions>
    </reviewItem>
    <reviewItem>
      <errorID>e03f7e8a-b9e9-4818-b918-66ab48143bb7</errorID>
      <errorWord>)</errorWord>
      <group>L1_Format</group>
      <groupName>格式问题</groupName>
      <ability>L2_HalfPunc</ability>
      <abilityName>全半角检查</abilityName>
      <candidateList>
        <item>）</item>
      </candidateList>
      <explain>文本全半角错误。</explain>
      <paraID>2DF9DE92</paraID>
      <start>9</start>
      <end>10</end>
      <status>unmodified</status>
      <modifiedWord/>
      <trackRevisions>false</trackRevisions>
    </reviewItem>
    <reviewItem>
      <errorID>cf46ec07-b3ea-4c4e-9de4-6add4842facb</errorID>
      <errorWord>(</errorWord>
      <group>L1_Format</group>
      <groupName>格式问题</groupName>
      <ability>L2_HalfPunc</ability>
      <abilityName>全半角检查</abilityName>
      <candidateList>
        <item>（</item>
      </candidateList>
      <explain>文本全半角错误。</explain>
      <paraID>384E5C5F</paraID>
      <start>43</start>
      <end>44</end>
      <status>unmodified</status>
      <modifiedWord/>
      <trackRevisions>false</trackRevisions>
    </reviewItem>
    <reviewItem>
      <errorID>de70a159-a4c4-4bbb-a75c-1ac52f554deb</errorID>
      <errorWord>)</errorWord>
      <group>L1_Format</group>
      <groupName>格式问题</groupName>
      <ability>L2_HalfPunc</ability>
      <abilityName>全半角检查</abilityName>
      <candidateList>
        <item>）</item>
      </candidateList>
      <explain>文本全半角错误。</explain>
      <paraID>384E5C5F</paraID>
      <start>53</start>
      <end>54</end>
      <status>unmodified</status>
      <modifiedWord/>
      <trackRevisions>false</trackRevisions>
    </reviewItem>
    <reviewItem>
      <errorID>78b4409e-68d6-4aae-b571-3f067ef663fb</errorID>
      <errorWord>,...</errorWord>
      <group>L1_Punc</group>
      <groupName>标点问题</groupName>
      <ability>L2_Punc</ability>
      <abilityName>标点符号检查</abilityName>
      <candidateList>
        <item>,</item>
      </candidateList>
      <explain/>
      <paraID>44808CC6</paraID>
      <start>75</start>
      <end>79</end>
      <status>unmodified</status>
      <modifiedWord/>
      <trackRevisions>false</trackRevisions>
    </reviewItem>
    <reviewItem>
      <errorID>942a3d13-3ddf-4eae-9429-9d4a1216bfdd</errorID>
      <errorWord>,...</errorWord>
      <group>L1_Punc</group>
      <groupName>标点问题</groupName>
      <ability>L2_Punc</ability>
      <abilityName>标点符号检查</abilityName>
      <candidateList>
        <item>,</item>
      </candidateList>
      <explain/>
      <paraID>44808CC6</paraID>
      <start>97</start>
      <end>101</end>
      <status>unmodified</status>
      <modifiedWord/>
      <trackRevisions>false</trackRevisions>
    </reviewItem>
    <reviewItem>
      <errorID>255f8278-2369-477a-961f-cd5fef7692ae</errorID>
      <errorWord>、…</errorWord>
      <group>L1_Punc</group>
      <groupName>标点问题</groupName>
      <ability>L2_Punc</ability>
      <abilityName>标点符号检查</abilityName>
      <candidateList>
        <item>、</item>
      </candidateList>
      <explain/>
      <paraID>2B7F9243</paraID>
      <start>69</start>
      <end>71</end>
      <status>unmodified</status>
      <modifiedWord/>
      <trackRevisions>false</trackRevisions>
    </reviewItem>
    <reviewItem>
      <errorID>b5cb005e-94b1-4c0a-b679-69f5bc412b5d</errorID>
      <errorWord>、</errorWord>
      <group>L1_Punc</group>
      <groupName>标点问题</groupName>
      <ability>L2_Punc</ability>
      <abilityName>标点符号检查</abilityName>
      <candidateList/>
      <explain/>
      <paraID>1A2AC3AA</paraID>
      <start>25</start>
      <end>26</end>
      <status>unmodified</status>
      <modifiedWord/>
      <trackRevisions>false</trackRevisions>
    </reviewItem>
    <reviewItem>
      <errorID>6b02bb8a-b3be-413d-b992-26b342745ca1</errorID>
      <errorWord>（</errorWord>
      <group>L1_Format</group>
      <groupName>格式问题</groupName>
      <ability>L2_HalfPunc</ability>
      <abilityName>全半角检查</abilityName>
      <candidateList>
        <item>(</item>
      </candidateList>
      <explain>文本全半角错误。</explain>
      <paraID>467B33FC</paraID>
      <start>25</start>
      <end>26</end>
      <status>unmodified</status>
      <modifiedWord/>
      <trackRevisions>false</trackRevisions>
    </reviewItem>
    <reviewItem>
      <errorID>6200b7ae-1098-443a-b28a-eb6babda7298</errorID>
      <errorWord>）</errorWord>
      <group>L1_Format</group>
      <groupName>格式问题</groupName>
      <ability>L2_HalfPunc</ability>
      <abilityName>全半角检查</abilityName>
      <candidateList>
        <item>)</item>
      </candidateList>
      <explain>文本全半角错误。</explain>
      <paraID>467B33FC</paraID>
      <start>28</start>
      <end>29</end>
      <status>unmodified</status>
      <modifiedWord/>
      <trackRevisions>false</trackRevisions>
    </reviewItem>
    <reviewItem>
      <errorID>5b64cafd-68aa-4c73-bf14-3d483d5ed151</errorID>
      <errorWord>（</errorWord>
      <group>L1_Format</group>
      <groupName>格式问题</groupName>
      <ability>L2_HalfPunc</ability>
      <abilityName>全半角检查</abilityName>
      <candidateList>
        <item>(</item>
      </candidateList>
      <explain>文本全半角错误。</explain>
      <paraID>6C620731</paraID>
      <start>25</start>
      <end>26</end>
      <status>unmodified</status>
      <modifiedWord/>
      <trackRevisions>false</trackRevisions>
    </reviewItem>
    <reviewItem>
      <errorID>98c3a174-b6b3-4742-9014-b8868b08ca83</errorID>
      <errorWord>）</errorWord>
      <group>L1_Format</group>
      <groupName>格式问题</groupName>
      <ability>L2_HalfPunc</ability>
      <abilityName>全半角检查</abilityName>
      <candidateList>
        <item>)</item>
      </candidateList>
      <explain>文本全半角错误。</explain>
      <paraID>6C620731</paraID>
      <start>30</start>
      <end>31</end>
      <status>unmodified</status>
      <modifiedWord/>
      <trackRevisions>false</trackRevisions>
    </reviewItem>
    <reviewItem>
      <errorID>50aa2609-1331-4f42-9ce2-7fd7b91cc87f</errorID>
      <errorWord>-</errorWord>
      <group>L1_Format</group>
      <groupName>格式问题</groupName>
      <ability>L2_HalfPunc</ability>
      <abilityName>全半角检查</abilityName>
      <candidateList>
        <item>－</item>
      </candidateList>
      <explain>文本全半角错误。</explain>
      <paraID> 466DB75</paraID>
      <start>5</start>
      <end>6</end>
      <status>unmodified</status>
      <modifiedWord/>
      <trackRevisions>false</trackRevisions>
    </reviewItem>
    <reviewItem>
      <errorID>46cbf452-4869-46eb-84bd-c884cf139fc0</errorID>
      <errorWord>-</errorWord>
      <group>L1_Format</group>
      <groupName>格式问题</groupName>
      <ability>L2_HalfPunc</ability>
      <abilityName>全半角检查</abilityName>
      <candidateList>
        <item>－</item>
      </candidateList>
      <explain>文本全半角错误。</explain>
      <paraID>78FDDC0F</paraID>
      <start>5</start>
      <end>6</end>
      <status>unmodified</status>
      <modifiedWord/>
      <trackRevisions>false</trackRevisions>
    </reviewItem>
    <reviewItem>
      <errorID>ba007de9-085a-42d8-9164-9dad74ab525c</errorID>
      <errorWord>-</errorWord>
      <group>L1_Format</group>
      <groupName>格式问题</groupName>
      <ability>L2_HalfPunc</ability>
      <abilityName>全半角检查</abilityName>
      <candidateList>
        <item>－</item>
      </candidateList>
      <explain>文本全半角错误。</explain>
      <paraID>42EF8A2B</paraID>
      <start>19</start>
      <end>20</end>
      <status>unmodified</status>
      <modifiedWord/>
      <trackRevisions>false</trackRevisions>
    </reviewItem>
    <reviewItem>
      <errorID>9c01c603-76ac-4636-ac66-0a7c5ea58080</errorID>
      <errorWord>-</errorWord>
      <group>L1_Format</group>
      <groupName>格式问题</groupName>
      <ability>L2_HalfPunc</ability>
      <abilityName>全半角检查</abilityName>
      <candidateList>
        <item>－</item>
      </candidateList>
      <explain>文本全半角错误。</explain>
      <paraID>42EF8A2B</paraID>
      <start>102</start>
      <end>103</end>
      <status>unmodified</status>
      <modifiedWord/>
      <trackRevisions>false</trackRevisions>
    </reviewItem>
    <reviewItem>
      <errorID>93b135fa-390f-4186-9579-6ca74d60c4f4</errorID>
      <errorWord>-</errorWord>
      <group>L1_Format</group>
      <groupName>格式问题</groupName>
      <ability>L2_HalfPunc</ability>
      <abilityName>全半角检查</abilityName>
      <candidateList>
        <item>－</item>
      </candidateList>
      <explain>文本全半角错误。</explain>
      <paraID>394B20B0</paraID>
      <start>5</start>
      <end>6</end>
      <status>unmodified</status>
      <modifiedWord/>
      <trackRevisions>false</trackRevisions>
    </reviewItem>
    <reviewItem>
      <errorID>6ba3162b-fe87-4c6c-b65d-44df222cfc43</errorID>
      <errorWord>-</errorWord>
      <group>L1_Format</group>
      <groupName>格式问题</groupName>
      <ability>L2_HalfPunc</ability>
      <abilityName>全半角检查</abilityName>
      <candidateList>
        <item>－</item>
      </candidateList>
      <explain>文本全半角错误。</explain>
      <paraID>1231E013</paraID>
      <start>5</start>
      <end>6</end>
      <status>unmodified</status>
      <modifiedWord/>
      <trackRevisions>false</trackRevisions>
    </reviewItem>
    <reviewItem>
      <errorID>c17f2ea5-f7f9-404d-99a3-064f10832da3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187A3F24</paraID>
      <start>0</start>
      <end>2</end>
      <status>unmodified</status>
      <modifiedWord/>
      <trackRevisions>false</trackRevisions>
    </reviewItem>
    <reviewItem>
      <errorID>f998fe9e-7ad1-4d04-838d-01c4d44a7f75</errorID>
      <errorWord>-</errorWord>
      <group>L1_Format</group>
      <groupName>格式问题</groupName>
      <ability>L2_HalfPunc</ability>
      <abilityName>全半角检查</abilityName>
      <candidateList>
        <item>－</item>
      </candidateList>
      <explain>文本全半角错误。</explain>
      <paraID>187A3F24</paraID>
      <start>7</start>
      <end>8</end>
      <status>unmodified</status>
      <modifiedWord/>
      <trackRevisions>false</trackRevisions>
    </reviewItem>
    <reviewItem>
      <errorID>c5009ab6-9b36-4107-8b4f-2967abab18a6</errorID>
      <errorWord>~</errorWord>
      <group>L1_Format</group>
      <groupName>格式问题</groupName>
      <ability>L2_HalfPunc</ability>
      <abilityName>全半角检查</abilityName>
      <candidateList>
        <item>～</item>
      </candidateList>
      <explain>文本全半角错误。</explain>
      <paraID>24D5145B</paraID>
      <start>115</start>
      <end>116</end>
      <status>unmodified</status>
      <modifiedWord/>
      <trackRevisions>false</trackRevisions>
    </reviewItem>
    <reviewItem>
      <errorID>04297b48-ef7b-49c9-a96a-435245ed5bf7</errorID>
      <errorWord>)</errorWord>
      <group>L1_Format</group>
      <groupName>格式问题</groupName>
      <ability>L2_HalfPunc</ability>
      <abilityName>全半角检查</abilityName>
      <candidateList>
        <item>）</item>
      </candidateList>
      <explain>文本全半角错误。</explain>
      <paraID>7E2246C3</paraID>
      <start>11</start>
      <end>12</end>
      <status>unmodified</status>
      <modifiedWord/>
      <trackRevisions>false</trackRevisions>
    </reviewItem>
    <reviewItem>
      <errorID>e519526b-a1b5-4464-9b8e-30367c6cae1c</errorID>
      <errorWord>(</errorWord>
      <group>L1_Format</group>
      <groupName>格式问题</groupName>
      <ability>L2_HalfPunc</ability>
      <abilityName>全半角检查</abilityName>
      <candidateList>
        <item>（</item>
      </candidateList>
      <explain>文本全半角错误。</explain>
      <paraID>2B511779</paraID>
      <start>8</start>
      <end>9</end>
      <status>unmodified</status>
      <modifiedWord/>
      <trackRevisions>false</trackRevisions>
    </reviewItem>
    <reviewItem>
      <errorID>ea5fc1cf-242d-435f-924b-dd1d9d7c6945</errorID>
      <errorWord>)</errorWord>
      <group>L1_Format</group>
      <groupName>格式问题</groupName>
      <ability>L2_HalfPunc</ability>
      <abilityName>全半角检查</abilityName>
      <candidateList>
        <item>）</item>
      </candidateList>
      <explain>文本全半角错误。</explain>
      <paraID>2B511779</paraID>
      <start>10</start>
      <end>11</end>
      <status>unmodified</status>
      <modifiedWord/>
      <trackRevisions>false</trackRevisions>
    </reviewItem>
    <reviewItem>
      <errorID>271d5f9b-f7bf-4e70-a531-6abfc325bc7b</errorID>
      <errorWord>(</errorWord>
      <group>L1_Format</group>
      <groupName>格式问题</groupName>
      <ability>L2_HalfPunc</ability>
      <abilityName>全半角检查</abilityName>
      <candidateList>
        <item>（</item>
      </candidateList>
      <explain>文本全半角错误。</explain>
      <paraID>60FE51B3</paraID>
      <start>6</start>
      <end>7</end>
      <status>unmodified</status>
      <modifiedWord/>
      <trackRevisions>false</trackRevisions>
    </reviewItem>
    <reviewItem>
      <errorID>a8b4334b-f3cb-4619-a54a-e654cd054f11</errorID>
      <errorWord>)</errorWord>
      <group>L1_Format</group>
      <groupName>格式问题</groupName>
      <ability>L2_HalfPunc</ability>
      <abilityName>全半角检查</abilityName>
      <candidateList>
        <item>）</item>
      </candidateList>
      <explain>文本全半角错误。</explain>
      <paraID>60FE51B3</paraID>
      <start>8</start>
      <end>9</end>
      <status>unmodified</status>
      <modifiedWord/>
      <trackRevisions>false</trackRevisions>
    </reviewItem>
    <reviewItem>
      <errorID>503c8e5c-37a8-4025-a2ae-8a9e4f38f53c</errorID>
      <errorWord>“/</errorWord>
      <group>L1_Punc</group>
      <groupName>标点问题</groupName>
      <ability>L2_Punc</ability>
      <abilityName>标点符号检查</abilityName>
      <candidateList>
        <item>“</item>
      </candidateList>
      <explain/>
      <paraID>3BB46124</paraID>
      <start>49</start>
      <end>51</end>
      <status>unmodified</status>
      <modifiedWord/>
      <trackRevisions>false</trackRevisions>
    </reviewItem>
    <reviewItem>
      <errorID>bf94efb1-0d30-4e8a-ba5f-0257b6478b63</errorID>
      <errorWord>~</errorWord>
      <group>L1_Format</group>
      <groupName>格式问题</groupName>
      <ability>L2_HalfPunc</ability>
      <abilityName>全半角检查</abilityName>
      <candidateList>
        <item>～</item>
      </candidateList>
      <explain>文本全半角错误。</explain>
      <paraID>3C702F0F</paraID>
      <start>365</start>
      <end>366</end>
      <status>unmodified</status>
      <modifiedWord/>
      <trackRevisions>false</trackRevisions>
    </reviewItem>
    <reviewItem>
      <errorID>3aa3fc3c-99e5-4f79-9d53-9e6c82b2643c</errorID>
      <errorWord>(</errorWord>
      <group>L1_Format</group>
      <groupName>格式问题</groupName>
      <ability>L2_HalfPunc</ability>
      <abilityName>全半角检查</abilityName>
      <candidateList>
        <item>（</item>
      </candidateList>
      <explain>文本全半角错误。</explain>
      <paraID> 4B308D4</paraID>
      <start>8</start>
      <end>9</end>
      <status>unmodified</status>
      <modifiedWord/>
      <trackRevisions>false</trackRevisions>
    </reviewItem>
    <reviewItem>
      <errorID>a0632940-5082-4244-8880-889e8470f315</errorID>
      <errorWord>)</errorWord>
      <group>L1_Format</group>
      <groupName>格式问题</groupName>
      <ability>L2_HalfPunc</ability>
      <abilityName>全半角检查</abilityName>
      <candidateList>
        <item>）</item>
      </candidateList>
      <explain>文本全半角错误。</explain>
      <paraID> 4B308D4</paraID>
      <start>10</start>
      <end>11</end>
      <status>unmodified</status>
      <modifiedWord/>
      <trackRevisions>false</trackRevisions>
    </reviewItem>
    <reviewItem>
      <errorID>e22364dd-8968-46e2-948d-3f465483ba9b</errorID>
      <errorWord>(</errorWord>
      <group>L1_Format</group>
      <groupName>格式问题</groupName>
      <ability>L2_HalfPunc</ability>
      <abilityName>全半角检查</abilityName>
      <candidateList>
        <item>（</item>
      </candidateList>
      <explain>文本全半角错误。</explain>
      <paraID>63664E95</paraID>
      <start>6</start>
      <end>7</end>
      <status>unmodified</status>
      <modifiedWord/>
      <trackRevisions>false</trackRevisions>
    </reviewItem>
    <reviewItem>
      <errorID>face7b11-1357-4674-b2d5-7b9b7fd4b9a0</errorID>
      <errorWord>)</errorWord>
      <group>L1_Format</group>
      <groupName>格式问题</groupName>
      <ability>L2_HalfPunc</ability>
      <abilityName>全半角检查</abilityName>
      <candidateList>
        <item>）</item>
      </candidateList>
      <explain>文本全半角错误。</explain>
      <paraID>63664E95</paraID>
      <start>8</start>
      <end>9</end>
      <status>unmodified</status>
      <modifiedWord/>
      <trackRevisions>false</trackRevisions>
    </reviewItem>
    <reviewItem>
      <errorID>4aa6f9ea-99b6-4453-8d37-f2905878487e</errorID>
      <errorWord>~</errorWord>
      <group>L1_Format</group>
      <groupName>格式问题</groupName>
      <ability>L2_HalfPunc</ability>
      <abilityName>全半角检查</abilityName>
      <candidateList>
        <item>～</item>
      </candidateList>
      <explain>文本全半角错误。</explain>
      <paraID>6807BAAA</paraID>
      <start>115</start>
      <end>116</end>
      <status>unmodified</status>
      <modifiedWord/>
      <trackRevisions>false</trackRevisions>
    </reviewItem>
    <reviewItem>
      <errorID>399457c9-8813-4711-85cf-0d2cf1be7f52</errorID>
      <errorWord>)</errorWord>
      <group>L1_Format</group>
      <groupName>格式问题</groupName>
      <ability>L2_HalfPunc</ability>
      <abilityName>全半角检查</abilityName>
      <candidateList>
        <item>）</item>
      </candidateList>
      <explain>文本全半角错误。</explain>
      <paraID> 145BBA1</paraID>
      <start>11</start>
      <end>12</end>
      <status>unmodified</status>
      <modifiedWord/>
      <trackRevisions>false</trackRevisions>
    </reviewItem>
    <reviewItem>
      <errorID>ec3c6d3a-909b-405e-b103-50f95ea69a31</errorID>
      <errorWord>(</errorWord>
      <group>L1_Format</group>
      <groupName>格式问题</groupName>
      <ability>L2_HalfPunc</ability>
      <abilityName>全半角检查</abilityName>
      <candidateList>
        <item>（</item>
      </candidateList>
      <explain>文本全半角错误。</explain>
      <paraID> 76849BA</paraID>
      <start>8</start>
      <end>9</end>
      <status>unmodified</status>
      <modifiedWord/>
      <trackRevisions>false</trackRevisions>
    </reviewItem>
    <reviewItem>
      <errorID>cae27f95-e34a-482e-accc-71833987cf22</errorID>
      <errorWord>)</errorWord>
      <group>L1_Format</group>
      <groupName>格式问题</groupName>
      <ability>L2_HalfPunc</ability>
      <abilityName>全半角检查</abilityName>
      <candidateList>
        <item>）</item>
      </candidateList>
      <explain>文本全半角错误。</explain>
      <paraID> 76849BA</paraID>
      <start>10</start>
      <end>11</end>
      <status>unmodified</status>
      <modifiedWord/>
      <trackRevisions>false</trackRevisions>
    </reviewItem>
    <reviewItem>
      <errorID>5f0fd2f7-c138-4bd9-b805-02f9e0ab425b</errorID>
      <errorWord>(</errorWord>
      <group>L1_Format</group>
      <groupName>格式问题</groupName>
      <ability>L2_HalfPunc</ability>
      <abilityName>全半角检查</abilityName>
      <candidateList>
        <item>（</item>
      </candidateList>
      <explain>文本全半角错误。</explain>
      <paraID>46E11426</paraID>
      <start>6</start>
      <end>7</end>
      <status>unmodified</status>
      <modifiedWord/>
      <trackRevisions>false</trackRevisions>
    </reviewItem>
    <reviewItem>
      <errorID>f6c50f0f-4747-4153-90ad-66e127ee606f</errorID>
      <errorWord>)</errorWord>
      <group>L1_Format</group>
      <groupName>格式问题</groupName>
      <ability>L2_HalfPunc</ability>
      <abilityName>全半角检查</abilityName>
      <candidateList>
        <item>）</item>
      </candidateList>
      <explain>文本全半角错误。</explain>
      <paraID>46E11426</paraID>
      <start>8</start>
      <end>9</end>
      <status>unmodified</status>
      <modifiedWord/>
      <trackRevisions>false</trackRevisions>
    </reviewItem>
    <reviewItem>
      <errorID>07cd68d2-8268-42c2-8db1-65f1ba10fd9f</errorID>
      <errorWord>~</errorWord>
      <group>L1_Format</group>
      <groupName>格式问题</groupName>
      <ability>L2_HalfPunc</ability>
      <abilityName>全半角检查</abilityName>
      <candidateList>
        <item>～</item>
      </candidateList>
      <explain>文本全半角错误。</explain>
      <paraID> AF040C7</paraID>
      <start>365</start>
      <end>366</end>
      <status>unmodified</status>
      <modifiedWord/>
      <trackRevisions>false</trackRevisions>
    </reviewItem>
    <reviewItem>
      <errorID>1ecdcb4a-9bee-4098-9ee3-e7327d69659d</errorID>
      <errorWord>(</errorWord>
      <group>L1_Format</group>
      <groupName>格式问题</groupName>
      <ability>L2_HalfPunc</ability>
      <abilityName>全半角检查</abilityName>
      <candidateList>
        <item>（</item>
      </candidateList>
      <explain>文本全半角错误。</explain>
      <paraID>7FF4DFF5</paraID>
      <start>8</start>
      <end>9</end>
      <status>unmodified</status>
      <modifiedWord/>
      <trackRevisions>false</trackRevisions>
    </reviewItem>
    <reviewItem>
      <errorID>578a1a31-91fd-4494-a4b8-5980eb2b2312</errorID>
      <errorWord>)</errorWord>
      <group>L1_Format</group>
      <groupName>格式问题</groupName>
      <ability>L2_HalfPunc</ability>
      <abilityName>全半角检查</abilityName>
      <candidateList>
        <item>）</item>
      </candidateList>
      <explain>文本全半角错误。</explain>
      <paraID>7FF4DFF5</paraID>
      <start>10</start>
      <end>11</end>
      <status>unmodified</status>
      <modifiedWord/>
      <trackRevisions>false</trackRevisions>
    </reviewItem>
    <reviewItem>
      <errorID>85ff4072-5aa7-4926-8f6d-0b482e49f627</errorID>
      <errorWord>(</errorWord>
      <group>L1_Format</group>
      <groupName>格式问题</groupName>
      <ability>L2_HalfPunc</ability>
      <abilityName>全半角检查</abilityName>
      <candidateList>
        <item>（</item>
      </candidateList>
      <explain>文本全半角错误。</explain>
      <paraID>7040BE8D</paraID>
      <start>6</start>
      <end>7</end>
      <status>unmodified</status>
      <modifiedWord/>
      <trackRevisions>false</trackRevisions>
    </reviewItem>
    <reviewItem>
      <errorID>192d899a-4b15-4cdb-a60e-c191f99a5b6f</errorID>
      <errorWord>)</errorWord>
      <group>L1_Format</group>
      <groupName>格式问题</groupName>
      <ability>L2_HalfPunc</ability>
      <abilityName>全半角检查</abilityName>
      <candidateList>
        <item>）</item>
      </candidateList>
      <explain>文本全半角错误。</explain>
      <paraID>7040BE8D</paraID>
      <start>8</start>
      <end>9</end>
      <status>unmodified</status>
      <modifiedWord/>
      <trackRevisions>false</trackRevisions>
    </reviewItem>
    <reviewItem>
      <errorID>1ac5c933-f4e5-4122-8a03-221d914b3ded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53CDCB76</paraID>
      <start>0</start>
      <end>2</end>
      <status>unmodified</status>
      <modifiedWord/>
      <trackRevisions>false</trackRevisions>
    </reviewItem>
    <reviewItem>
      <errorID>5acf1891-5ba6-4a08-9ccb-3dd36ae2b914</errorID>
      <errorWord>-</errorWord>
      <group>L1_Format</group>
      <groupName>格式问题</groupName>
      <ability>L2_HalfPunc</ability>
      <abilityName>全半角检查</abilityName>
      <candidateList>
        <item>－</item>
      </candidateList>
      <explain>文本全半角错误。</explain>
      <paraID>53CDCB76</paraID>
      <start>7</start>
      <end>8</end>
      <status>unmodified</status>
      <modifiedWord/>
      <trackRevisions>false</trackRevisions>
    </reviewItem>
    <reviewItem>
      <errorID>99ea86d4-8398-428f-8413-9d6f4c5f3e97</errorID>
      <errorWord>~</errorWord>
      <group>L1_Format</group>
      <groupName>格式问题</groupName>
      <ability>L2_HalfPunc</ability>
      <abilityName>全半角检查</abilityName>
      <candidateList>
        <item>～</item>
      </candidateList>
      <explain>文本全半角错误。</explain>
      <paraID>19035126</paraID>
      <start>115</start>
      <end>116</end>
      <status>unmodified</status>
      <modifiedWord/>
      <trackRevisions>false</trackRevisions>
    </reviewItem>
    <reviewItem>
      <errorID>399457c9-8813-4711-85cf-0d2cf1be7f52</errorID>
      <errorWord>)</errorWord>
      <group>L1_Format</group>
      <groupName>格式问题</groupName>
      <ability>L2_HalfPunc</ability>
      <abilityName>全半角检查</abilityName>
      <candidateList>
        <item>）</item>
      </candidateList>
      <explain>文本全半角错误。</explain>
      <paraID>6A25ACF5</paraID>
      <start>11</start>
      <end>12</end>
      <status>unmodified</status>
      <modifiedWord/>
      <trackRevisions>false</trackRevisions>
    </reviewItem>
    <reviewItem>
      <errorID>ec3c6d3a-909b-405e-b103-50f95ea69a31</errorID>
      <errorWord>(</errorWord>
      <group>L1_Format</group>
      <groupName>格式问题</groupName>
      <ability>L2_HalfPunc</ability>
      <abilityName>全半角检查</abilityName>
      <candidateList>
        <item>（</item>
      </candidateList>
      <explain>文本全半角错误。</explain>
      <paraID>338D0691</paraID>
      <start>8</start>
      <end>9</end>
      <status>unmodified</status>
      <modifiedWord/>
      <trackRevisions>false</trackRevisions>
    </reviewItem>
    <reviewItem>
      <errorID>cae27f95-e34a-482e-accc-71833987cf22</errorID>
      <errorWord>)</errorWord>
      <group>L1_Format</group>
      <groupName>格式问题</groupName>
      <ability>L2_HalfPunc</ability>
      <abilityName>全半角检查</abilityName>
      <candidateList>
        <item>）</item>
      </candidateList>
      <explain>文本全半角错误。</explain>
      <paraID>338D0691</paraID>
      <start>10</start>
      <end>11</end>
      <status>unmodified</status>
      <modifiedWord/>
      <trackRevisions>false</trackRevisions>
    </reviewItem>
    <reviewItem>
      <errorID>5f0fd2f7-c138-4bd9-b805-02f9e0ab425b</errorID>
      <errorWord>(</errorWord>
      <group>L1_Format</group>
      <groupName>格式问题</groupName>
      <ability>L2_HalfPunc</ability>
      <abilityName>全半角检查</abilityName>
      <candidateList>
        <item>（</item>
      </candidateList>
      <explain>文本全半角错误。</explain>
      <paraID>4441AFC8</paraID>
      <start>6</start>
      <end>7</end>
      <status>unmodified</status>
      <modifiedWord/>
      <trackRevisions>false</trackRevisions>
    </reviewItem>
    <reviewItem>
      <errorID>f6c50f0f-4747-4153-90ad-66e127ee606f</errorID>
      <errorWord>)</errorWord>
      <group>L1_Format</group>
      <groupName>格式问题</groupName>
      <ability>L2_HalfPunc</ability>
      <abilityName>全半角检查</abilityName>
      <candidateList>
        <item>）</item>
      </candidateList>
      <explain>文本全半角错误。</explain>
      <paraID>4441AFC8</paraID>
      <start>8</start>
      <end>9</end>
      <status>unmodified</status>
      <modifiedWord/>
      <trackRevisions>false</trackRevisions>
    </reviewItem>
    <reviewItem>
      <errorID>6cc4a8d5-5148-4ed0-924c-f060b2d7bcd0</errorID>
      <errorWord>~</errorWord>
      <group>L1_Format</group>
      <groupName>格式问题</groupName>
      <ability>L2_HalfPunc</ability>
      <abilityName>全半角检查</abilityName>
      <candidateList>
        <item>～</item>
      </candidateList>
      <explain>文本全半角错误。</explain>
      <paraID>6C6B93F5</paraID>
      <start>365</start>
      <end>366</end>
      <status>unmodified</status>
      <modifiedWord/>
      <trackRevisions>false</trackRevisions>
    </reviewItem>
    <reviewItem>
      <errorID>1ecdcb4a-9bee-4098-9ee3-e7327d69659d</errorID>
      <errorWord>(</errorWord>
      <group>L1_Format</group>
      <groupName>格式问题</groupName>
      <ability>L2_HalfPunc</ability>
      <abilityName>全半角检查</abilityName>
      <candidateList>
        <item>（</item>
      </candidateList>
      <explain>文本全半角错误。</explain>
      <paraID>137FE948</paraID>
      <start>8</start>
      <end>9</end>
      <status>unmodified</status>
      <modifiedWord/>
      <trackRevisions>false</trackRevisions>
    </reviewItem>
    <reviewItem>
      <errorID>578a1a31-91fd-4494-a4b8-5980eb2b2312</errorID>
      <errorWord>)</errorWord>
      <group>L1_Format</group>
      <groupName>格式问题</groupName>
      <ability>L2_HalfPunc</ability>
      <abilityName>全半角检查</abilityName>
      <candidateList>
        <item>）</item>
      </candidateList>
      <explain>文本全半角错误。</explain>
      <paraID>137FE948</paraID>
      <start>10</start>
      <end>11</end>
      <status>unmodified</status>
      <modifiedWord/>
      <trackRevisions>false</trackRevisions>
    </reviewItem>
    <reviewItem>
      <errorID>85ff4072-5aa7-4926-8f6d-0b482e49f627</errorID>
      <errorWord>(</errorWord>
      <group>L1_Format</group>
      <groupName>格式问题</groupName>
      <ability>L2_HalfPunc</ability>
      <abilityName>全半角检查</abilityName>
      <candidateList>
        <item>（</item>
      </candidateList>
      <explain>文本全半角错误。</explain>
      <paraID>2D252688</paraID>
      <start>6</start>
      <end>7</end>
      <status>unmodified</status>
      <modifiedWord/>
      <trackRevisions>false</trackRevisions>
    </reviewItem>
    <reviewItem>
      <errorID>192d899a-4b15-4cdb-a60e-c191f99a5b6f</errorID>
      <errorWord>)</errorWord>
      <group>L1_Format</group>
      <groupName>格式问题</groupName>
      <ability>L2_HalfPunc</ability>
      <abilityName>全半角检查</abilityName>
      <candidateList>
        <item>）</item>
      </candidateList>
      <explain>文本全半角错误。</explain>
      <paraID>2D252688</paraID>
      <start>8</start>
      <end>9</end>
      <status>unmodified</status>
      <modifiedWord/>
      <trackRevisions>false</trackRevisions>
    </reviewItem>
    <reviewItem>
      <errorID>360b6ce6-ed9b-4c11-957b-f1767c6242f4</errorID>
      <errorWord>-</errorWord>
      <group>L1_Format</group>
      <groupName>格式问题</groupName>
      <ability>L2_HalfPunc</ability>
      <abilityName>全半角检查</abilityName>
      <candidateList>
        <item>－</item>
      </candidateList>
      <explain>文本全半角错误。</explain>
      <paraID>7704AF51</paraID>
      <start>5</start>
      <end>6</end>
      <status>unmodified</status>
      <modifiedWord/>
      <trackRevisions>false</trackRevisions>
    </reviewItem>
    <reviewItem>
      <errorID>56f11ac1-d0b6-4775-946d-0348f9676bc1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7704AF51</paraID>
      <start>29</start>
      <end>30</end>
      <status>unmodified</status>
      <modifiedWord/>
      <trackRevisions>false</trackRevisions>
    </reviewItem>
    <reviewItem>
      <errorID>9a666516-43b9-40f2-9ddd-2c624642daad</errorID>
      <errorWord>-</errorWord>
      <group>L1_Format</group>
      <groupName>格式问题</groupName>
      <ability>L2_HalfPunc</ability>
      <abilityName>全半角检查</abilityName>
      <candidateList>
        <item>－</item>
      </candidateList>
      <explain>文本全半角错误。</explain>
      <paraID>408C15A6</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604425F4-2FDC-401B-B386-78103C1093AF}">
  <ds:schemaRefs/>
</ds:datastoreItem>
</file>

<file path=customXml/itemProps2.xml><?xml version="1.0" encoding="utf-8"?>
<ds:datastoreItem xmlns:ds="http://schemas.openxmlformats.org/officeDocument/2006/customXml" ds:itemID="{037993d7-0351-428d-ae5c-da020f7d87f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126</Pages>
  <Words>66530</Words>
  <Characters>84681</Characters>
  <Lines>880</Lines>
  <Paragraphs>247</Paragraphs>
  <TotalTime>50</TotalTime>
  <ScaleCrop>false</ScaleCrop>
  <LinksUpToDate>false</LinksUpToDate>
  <CharactersWithSpaces>85218</CharactersWithSpaces>
  <Application>WPS Office_11.8.2.12316_F1E327BC-269C-435d-A152-05C5408002CA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2024-01-25T13:05:00Z</dcterms:created>
  <dc:creator>lhj</dc:creator>
  <cp:lastModifiedBy>Administrator</cp:lastModifiedBy>
  <cp:lastPrinted>2024-01-22T03:27:00Z</cp:lastPrinted>
  <dcterms:modified xsi:type="dcterms:W3CDTF">2026-05-07T09:59:51Z</dcterms:modified>
  <cp:revision>149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2052-11.8.2.12316</vt:lpwstr>
  </property>
  <property fmtid="{D5CDD505-2E9C-101B-9397-08002B2CF9AE}" pid="3" name="_DocHome">
    <vt:r8>878298889</vt:r8>
  </property>
  <property fmtid="{D5CDD505-2E9C-101B-9397-08002B2CF9AE}" pid="4" name="ICV">
    <vt:lpwstr>6A45956151964DD8979108D509BBF1EE_13</vt:lpwstr>
  </property>
  <property fmtid="{D5CDD505-2E9C-101B-9397-08002B2CF9AE}" pid="5" name="KSOTemplateDocerSaveRecord">
    <vt:lpwstr>eyJoZGlkIjoiYzIwNTYzMzIyYzg1YjNmMjkyZDY2NTFlNTQxYTgyOGMiLCJ1c2VySWQiOiIyODQzMTg3NzkifQ==</vt:lpwstr>
  </property>
</Properties>
</file>