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outlineLvl w:val="0"/>
        <w:rPr>
          <w:rFonts w:hint="eastAsia" w:ascii="黑体" w:hAnsi="黑体" w:eastAsia="黑体"/>
          <w:snapToGrid w:val="0"/>
          <w:sz w:val="30"/>
          <w:szCs w:val="30"/>
        </w:rPr>
      </w:pPr>
      <w:r>
        <w:rPr>
          <w:rFonts w:hint="eastAsia" w:ascii="黑体" w:hAnsi="黑体" w:eastAsia="黑体"/>
          <w:snapToGrid w:val="0"/>
          <w:sz w:val="30"/>
          <w:szCs w:val="30"/>
        </w:rPr>
        <w:t>一、建设项目基本情况</w:t>
      </w:r>
    </w:p>
    <w:tbl>
      <w:tblPr>
        <w:tblStyle w:val="1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1637"/>
        <w:gridCol w:w="2212"/>
        <w:gridCol w:w="26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382" w:type="dxa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建设项目名称</w:t>
            </w:r>
          </w:p>
        </w:tc>
        <w:tc>
          <w:tcPr>
            <w:tcW w:w="64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鄯善县达浪坎乡卫生院建设项目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382" w:type="dxa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国民经济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行业类别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Q84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_Hlk49843745"/>
            <w:r>
              <w:rPr>
                <w:rFonts w:hint="eastAsia" w:ascii="宋体" w:hAnsi="宋体" w:cs="宋体"/>
                <w:sz w:val="24"/>
                <w:szCs w:val="24"/>
              </w:rPr>
              <w:t>建设项目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行业类别</w:t>
            </w:r>
            <w:bookmarkEnd w:id="0"/>
          </w:p>
        </w:tc>
        <w:tc>
          <w:tcPr>
            <w:tcW w:w="263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四十九、卫生 84--108基层医疗卫生服务 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2382" w:type="dxa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建设性质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sz w:val="24"/>
                <w:szCs w:val="24"/>
              </w:rPr>
              <w:t>新建（迁建）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□改建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□扩建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□技术改造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申报情形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  <w:szCs w:val="24"/>
              </w:rPr>
              <w:t>首次申报项目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□不予批准后再次申报项目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超五年重新审核项目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□重大变动重新报批项目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专项评价设置情况</w:t>
            </w:r>
          </w:p>
        </w:tc>
        <w:tc>
          <w:tcPr>
            <w:tcW w:w="648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规划情况</w:t>
            </w:r>
          </w:p>
        </w:tc>
        <w:tc>
          <w:tcPr>
            <w:tcW w:w="648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规划环境影响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评价情况</w:t>
            </w:r>
          </w:p>
        </w:tc>
        <w:tc>
          <w:tcPr>
            <w:tcW w:w="648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规划及规划环境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影响评价符合性分析</w:t>
            </w:r>
          </w:p>
        </w:tc>
        <w:tc>
          <w:tcPr>
            <w:tcW w:w="648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line="360" w:lineRule="auto"/>
        <w:outlineLvl w:val="0"/>
        <w:rPr>
          <w:rFonts w:eastAsia="黑体"/>
          <w:sz w:val="30"/>
        </w:rPr>
        <w:sectPr>
          <w:headerReference r:id="rId3" w:type="default"/>
          <w:footerReference r:id="rId4" w:type="default"/>
          <w:pgSz w:w="11906" w:h="16838"/>
          <w:pgMar w:top="1701" w:right="1531" w:bottom="1701" w:left="1531" w:header="851" w:footer="1077" w:gutter="0"/>
          <w:pgNumType w:fmt="decimal" w:start="1"/>
          <w:cols w:space="720" w:num="1"/>
          <w:docGrid w:linePitch="312" w:charSpace="0"/>
        </w:sectPr>
      </w:pPr>
    </w:p>
    <w:p>
      <w:pPr>
        <w:pStyle w:val="13"/>
        <w:jc w:val="center"/>
        <w:outlineLvl w:val="0"/>
        <w:rPr>
          <w:rFonts w:ascii="黑体" w:hAnsi="黑体" w:eastAsia="黑体"/>
          <w:snapToGrid w:val="0"/>
          <w:sz w:val="30"/>
          <w:szCs w:val="30"/>
        </w:rPr>
      </w:pPr>
      <w:r>
        <w:rPr>
          <w:rFonts w:hint="eastAsia" w:ascii="黑体" w:hAnsi="黑体" w:eastAsia="黑体"/>
          <w:snapToGrid w:val="0"/>
          <w:sz w:val="30"/>
          <w:szCs w:val="30"/>
        </w:rPr>
        <w:t>二、建设项目工程分析</w:t>
      </w:r>
    </w:p>
    <w:tbl>
      <w:tblPr>
        <w:tblStyle w:val="1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6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4"/>
                <w:szCs w:val="24"/>
              </w:rPr>
              <w:t>建设内容</w:t>
            </w:r>
          </w:p>
        </w:tc>
        <w:tc>
          <w:tcPr>
            <w:tcW w:w="86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建设内容</w:t>
            </w:r>
          </w:p>
          <w:p>
            <w:pPr>
              <w:pStyle w:val="8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本项目</w:t>
            </w:r>
            <w:bookmarkStart w:id="1" w:name="OLE_LINK21"/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位于</w:t>
            </w:r>
            <w:bookmarkEnd w:id="1"/>
            <w:bookmarkStart w:id="2" w:name="OLE_LINK9"/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吐鲁番市鄯善县</w:t>
            </w:r>
            <w:bookmarkEnd w:id="2"/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鄯善县达朗坎乡卫生院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占地面积约11320平方米，建筑面积6813平方米。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门诊楼、住院部、行政楼，设7个临床科室、4个医技科室、9个职能科室，编制床位和开放床位各20张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总床位数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张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，配套建设辅助工程、公用工程、环保工程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本项目不设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传染科、食堂、病理科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，本次环评不包括放射科设备的环境影响评价内容，放射科辐射设备须单独办理环评手续。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表 2-1 主要建设内容及规模</w:t>
            </w:r>
          </w:p>
          <w:tbl>
            <w:tblPr>
              <w:tblStyle w:val="14"/>
              <w:tblW w:w="4920" w:type="pct"/>
              <w:jc w:val="center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0"/>
              <w:gridCol w:w="1981"/>
              <w:gridCol w:w="3995"/>
              <w:gridCol w:w="1093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1" w:hRule="atLeast"/>
                <w:jc w:val="center"/>
              </w:trPr>
              <w:tc>
                <w:tcPr>
                  <w:tcW w:w="715" w:type="pct"/>
                  <w:vAlign w:val="center"/>
                </w:tcPr>
                <w:p>
                  <w:pPr>
                    <w:pStyle w:val="22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</w:rPr>
                    <w:t>类别</w:t>
                  </w: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2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2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</w:rPr>
                    <w:t>建设内容</w:t>
                  </w:r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pStyle w:val="22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71" w:hRule="atLeast"/>
                <w:jc w:val="center"/>
              </w:trPr>
              <w:tc>
                <w:tcPr>
                  <w:tcW w:w="715" w:type="pct"/>
                  <w:vMerge w:val="restar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主体工程</w:t>
                  </w:r>
                </w:p>
              </w:tc>
              <w:tc>
                <w:tcPr>
                  <w:tcW w:w="1200" w:type="pct"/>
                  <w:vMerge w:val="restar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门诊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楼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1F医生办公室1，医生办公室2、收费室、中心药房、检验科、放射科，输液室，医生值班室、卫生间、换药室，液体库房，导医台，抢救室</w:t>
                  </w:r>
                </w:p>
              </w:tc>
              <w:tc>
                <w:tcPr>
                  <w:tcW w:w="662" w:type="pct"/>
                  <w:vMerge w:val="restar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71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00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2F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B超室，妇科，产检室，体检科，口腔科，护理部，药剂科，会议室</w:t>
                  </w:r>
                </w:p>
              </w:tc>
              <w:tc>
                <w:tcPr>
                  <w:tcW w:w="662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71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住院部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1F医生办公室、护士站、治疗室、处置室、医生值班室、护士值班室、更衣室、司机值班室以及病房、卫生间、开水间</w:t>
                  </w:r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71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00" w:type="pct"/>
                  <w:vMerge w:val="restar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行政楼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1F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 xml:space="preserve">中医科 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医生办公室、女治疗室、男治疗室、泡脚室、草药房、煎药室、更衣室、卫生间、开水间</w:t>
                  </w:r>
                </w:p>
              </w:tc>
              <w:tc>
                <w:tcPr>
                  <w:tcW w:w="662" w:type="pct"/>
                  <w:vMerge w:val="restar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71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00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2F书记、院长办公室，副书记、副院长办公室，财务室，公卫科，妇幼保健科、党办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行政办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小会议室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公共卫生档案室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女卫生间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水房</w:t>
                  </w:r>
                </w:p>
              </w:tc>
              <w:tc>
                <w:tcPr>
                  <w:tcW w:w="662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8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00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F宿舍楼，卫生间</w:t>
                  </w:r>
                </w:p>
              </w:tc>
              <w:tc>
                <w:tcPr>
                  <w:tcW w:w="662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1" w:hRule="atLeast"/>
                <w:jc w:val="center"/>
              </w:trPr>
              <w:tc>
                <w:tcPr>
                  <w:tcW w:w="715" w:type="pct"/>
                  <w:vMerge w:val="restar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公用工程</w:t>
                  </w: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供电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市政供电管网提供</w:t>
                  </w:r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依托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5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供水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市政供水管网提供</w:t>
                  </w:r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依托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供热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采用空气能热泵供暖系统</w:t>
                  </w:r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22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gree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排水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医疗废水、生活污水、煎药机清洗废水、保洁废水排入污水处理站处置。</w:t>
                  </w:r>
                </w:p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gree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 xml:space="preserve">院区综合废水经处理后达到《医疗机构水污染物排放标准》（GB18466-2005）中表 2 </w:t>
                  </w:r>
                  <w:bookmarkStart w:id="3" w:name="OLE_LINK10"/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综合医疗机构和其他医疗机构水污染物排放限值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，设计规模 50m³/d，同时满足《城市污水再生利用 绿地灌溉水质》（GB/T 25499-2010）水质要求后绿化回用。</w:t>
                  </w:r>
                  <w:bookmarkEnd w:id="3"/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8" w:hRule="atLeast"/>
                <w:jc w:val="center"/>
              </w:trPr>
              <w:tc>
                <w:tcPr>
                  <w:tcW w:w="715" w:type="pct"/>
                  <w:vMerge w:val="restar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环保</w:t>
                  </w:r>
                </w:p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工程</w:t>
                  </w: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废气</w:t>
                  </w:r>
                </w:p>
              </w:tc>
              <w:tc>
                <w:tcPr>
                  <w:tcW w:w="2420" w:type="pct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2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en-US"/>
                    </w:rPr>
                  </w:pPr>
                  <w:bookmarkStart w:id="4" w:name="OLE_LINK8"/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en-US"/>
                    </w:rPr>
                    <w:t>本项目大气污染物主要为污水处理产生的恶臭，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en-US"/>
                    </w:rPr>
                    <w:t>污水处理站地埋式建造，</w:t>
                  </w:r>
                  <w:bookmarkEnd w:id="4"/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en-US"/>
                    </w:rPr>
                    <w:t>各池体加盖，定期添加除臭剂，抑制恶臭。</w:t>
                  </w:r>
                </w:p>
                <w:p>
                  <w:pPr>
                    <w:pStyle w:val="2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en-US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en-US"/>
                    </w:rPr>
                    <w:t>煎药废气由煎药室内设置排风设施引至室外排放。</w:t>
                  </w:r>
                </w:p>
              </w:tc>
              <w:tc>
                <w:tcPr>
                  <w:tcW w:w="662" w:type="pct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2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32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废水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治理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医疗废水、生活污水、煎药机清洗废水、保洁废水排入污水处理站处置。</w:t>
                  </w:r>
                </w:p>
                <w:p>
                  <w:pPr>
                    <w:pStyle w:val="21"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综合废水采用“预处理+AO 生物处理+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加药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消毒”工艺进行处置。</w:t>
                  </w:r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7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噪声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治理</w:t>
                  </w:r>
                </w:p>
              </w:tc>
              <w:tc>
                <w:tcPr>
                  <w:tcW w:w="2420" w:type="pct"/>
                  <w:vAlign w:val="center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  <w:lang w:eastAsia="zh-CN"/>
                    </w:rPr>
                    <w:t>设备噪声采取</w:t>
                  </w:r>
                  <w:r>
                    <w:rPr>
                      <w:rFonts w:hint="eastAsia" w:cs="Times New Roman"/>
                      <w:color w:val="auto"/>
                      <w:kern w:val="0"/>
                      <w:sz w:val="21"/>
                      <w:szCs w:val="21"/>
                      <w:lang w:eastAsia="zh-CN"/>
                    </w:rPr>
                    <w:t>减振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  <w:lang w:eastAsia="zh-CN"/>
                    </w:rPr>
                    <w:t>、隔声措施。</w:t>
                  </w:r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1" w:hRule="atLeast"/>
                <w:jc w:val="center"/>
              </w:trPr>
              <w:tc>
                <w:tcPr>
                  <w:tcW w:w="715" w:type="pct"/>
                  <w:vMerge w:val="continue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00" w:type="pct"/>
                  <w:vAlign w:val="center"/>
                </w:tcPr>
                <w:p>
                  <w:pPr>
                    <w:pStyle w:val="21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固废治理</w:t>
                  </w:r>
                  <w:bookmarkStart w:id="5" w:name="OLE_LINK153"/>
                  <w:bookmarkStart w:id="6" w:name="OLE_LINK137"/>
                </w:p>
                <w:bookmarkEnd w:id="5"/>
                <w:bookmarkEnd w:id="6"/>
              </w:tc>
              <w:tc>
                <w:tcPr>
                  <w:tcW w:w="2420" w:type="pct"/>
                  <w:vAlign w:val="center"/>
                </w:tcPr>
                <w:p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生活垃圾收集至垃圾箱后由环卫部门统一清运处置；</w:t>
                  </w:r>
                </w:p>
                <w:p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医疗垃圾</w:t>
                  </w: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暂存于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院区医疗</w:t>
                  </w: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废物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暂存</w:t>
                  </w: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室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（1</w:t>
                  </w: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m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vertAlign w:val="superscript"/>
                      <w:lang w:val="en-US" w:eastAsia="zh-CN" w:bidi="en-US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），位于院区东侧，医疗废物临时贮存，委托有医疗废物处理资质的单位转移处置</w:t>
                  </w: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，目前委托吐鲁番市湘展环保技术咨询服务有限公司进行清运处置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lang w:val="en-US" w:eastAsia="zh-CN" w:bidi="en-US"/>
                    </w:rPr>
                    <w:t>；</w:t>
                  </w:r>
                </w:p>
                <w:p>
                  <w:pPr>
                    <w:spacing w:line="240" w:lineRule="auto"/>
                    <w:jc w:val="left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1"/>
                      <w:szCs w:val="21"/>
                      <w:lang w:val="en-US" w:eastAsia="zh-CN"/>
                    </w:rPr>
                    <w:t>环评要求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污水站栅渣</w:t>
                  </w:r>
                  <w:r>
                    <w:rPr>
                      <w:rFonts w:hint="eastAsia" w:cs="Times New Roman"/>
                      <w:sz w:val="21"/>
                      <w:szCs w:val="21"/>
                      <w:lang w:val="en-US" w:eastAsia="zh-CN"/>
                    </w:rPr>
                    <w:t>及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污泥委托有资质单位定期进行清运并处置。</w:t>
                  </w:r>
                </w:p>
              </w:tc>
              <w:tc>
                <w:tcPr>
                  <w:tcW w:w="662" w:type="pct"/>
                  <w:vAlign w:val="center"/>
                </w:tcPr>
                <w:p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已建</w:t>
                  </w:r>
                </w:p>
              </w:tc>
            </w:tr>
          </w:tbl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</w:p>
        </w:tc>
      </w:tr>
    </w:tbl>
    <w:p>
      <w:pPr>
        <w:pStyle w:val="13"/>
        <w:jc w:val="center"/>
        <w:rPr>
          <w:rFonts w:ascii="黑体" w:hAnsi="黑体" w:eastAsia="黑体"/>
          <w:snapToGrid w:val="0"/>
          <w:sz w:val="36"/>
          <w:szCs w:val="36"/>
        </w:rPr>
        <w:sectPr>
          <w:footerReference r:id="rId5" w:type="default"/>
          <w:pgSz w:w="11906" w:h="16838"/>
          <w:pgMar w:top="1701" w:right="1531" w:bottom="1701" w:left="1531" w:header="851" w:footer="851" w:gutter="0"/>
          <w:pgNumType w:fmt="decimal"/>
          <w:cols w:space="720" w:num="1"/>
          <w:docGrid w:linePitch="312" w:charSpace="0"/>
        </w:sectPr>
      </w:pPr>
    </w:p>
    <w:p>
      <w:pPr>
        <w:pStyle w:val="13"/>
        <w:adjustRightInd w:val="0"/>
        <w:snapToGrid w:val="0"/>
        <w:spacing w:before="0" w:beforeAutospacing="0" w:after="0" w:afterAutospacing="0" w:line="14" w:lineRule="auto"/>
        <w:jc w:val="center"/>
        <w:outlineLvl w:val="0"/>
        <w:rPr>
          <w:rFonts w:hint="eastAsia" w:ascii="黑体" w:hAnsi="黑体" w:eastAsia="黑体"/>
          <w:snapToGrid w:val="0"/>
          <w:sz w:val="30"/>
          <w:szCs w:val="30"/>
        </w:rPr>
      </w:pPr>
    </w:p>
    <w:p>
      <w:pPr>
        <w:pStyle w:val="13"/>
        <w:jc w:val="center"/>
        <w:outlineLvl w:val="0"/>
        <w:rPr>
          <w:rFonts w:ascii="黑体" w:hAnsi="黑体" w:eastAsia="黑体"/>
          <w:snapToGrid w:val="0"/>
          <w:sz w:val="30"/>
          <w:szCs w:val="30"/>
        </w:rPr>
      </w:pPr>
      <w:r>
        <w:rPr>
          <w:rFonts w:hint="eastAsia" w:ascii="黑体" w:hAnsi="黑体" w:eastAsia="黑体"/>
          <w:snapToGrid w:val="0"/>
          <w:sz w:val="30"/>
          <w:szCs w:val="30"/>
        </w:rPr>
        <w:t>三、区域环境质量现状、环境保护目标及评价标准</w:t>
      </w:r>
    </w:p>
    <w:tbl>
      <w:tblPr>
        <w:tblStyle w:val="1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1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437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环境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保护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（1）大气环境：本项目厂界外500m范围内大气环境保护目标主要为居民住宅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及学校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（2）声环境：声环境保护目标为50m范围内周围居民。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（3）地下水环境：厂界外500m范围内无地下水集中式饮用水水源以及热水、矿泉水、温泉等特殊地下水资源。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firstLine="480" w:firstLineChars="200"/>
              <w:textAlignment w:val="auto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）生态环境：本项目用地范围内无生态环境保护目标。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8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污染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物排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放控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制标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准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1.大气污染物排放标准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本项目氨、硫化氢、甲烷、臭气浓度、氯气无组织排放执行《医疗机构水污染物排放标准》（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GB18466-2005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）中污水站周边大气污染物最高允许排放浓度。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水污染物排放标准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医疗废水、生活污水、煎药机清洗废水、保洁废水排入污水处理站处置。综合废水采用“预处理+AO 生物处理+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加药消毒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”工艺进行处置达到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《医疗机构水污染物排放标准》（GB18466-2005）中表2 综合医疗机构和其他医疗机构水污染物排放限值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同时满足《城市污水再生利用 绿地灌溉水质》（GB/T 25499-2010）水质要求后绿化回用。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3.噪声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项目运营期厂界噪声执行《工业企业厂界环境噪声排放标准》（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GB12348-2008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类区标准。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4.运营期生产固废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本项目已建医疗垃圾暂存间（15m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），医疗废物收集、贮存、运输及处理管理执行《医疗卫生机构医疗废物管理办法》《医疗废物管理条例》等相关规范执行。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危险废物收集、贮存、转运、处置执行《危险废物贮存污染控制标准》（GB18597-2023）中相关要求。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污水处理站污泥执行《医疗机构水污染物排放标准》（GB18466-2005）中表 4 标准限值，标准限值详见下表。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表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3-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医疗机构污泥控制标准</w:t>
            </w:r>
          </w:p>
          <w:tbl>
            <w:tblPr>
              <w:tblStyle w:val="15"/>
              <w:tblW w:w="7974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9"/>
              <w:gridCol w:w="2197"/>
              <w:gridCol w:w="26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1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医疗机构类别</w:t>
                  </w:r>
                </w:p>
              </w:tc>
              <w:tc>
                <w:tcPr>
                  <w:tcW w:w="21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粪大肠菌群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MPN/g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6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蛔虫卵死亡率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1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综合医疗机构和其他医疗机构</w:t>
                  </w:r>
                </w:p>
              </w:tc>
              <w:tc>
                <w:tcPr>
                  <w:tcW w:w="21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≤100</w:t>
                  </w:r>
                </w:p>
              </w:tc>
              <w:tc>
                <w:tcPr>
                  <w:tcW w:w="26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&gt;95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生活垃圾执行《生活垃圾填埋场污染控制标准》（GB16889-2008）中相关要求。</w:t>
            </w:r>
          </w:p>
        </w:tc>
      </w:tr>
    </w:tbl>
    <w:p>
      <w:pPr>
        <w:pStyle w:val="13"/>
        <w:jc w:val="center"/>
        <w:outlineLvl w:val="0"/>
        <w:rPr>
          <w:rFonts w:ascii="黑体" w:hAnsi="黑体" w:eastAsia="黑体"/>
          <w:snapToGrid w:val="0"/>
          <w:sz w:val="30"/>
          <w:szCs w:val="30"/>
        </w:rPr>
      </w:pPr>
      <w:r>
        <w:rPr>
          <w:rFonts w:ascii="黑体" w:hAnsi="黑体" w:eastAsia="黑体"/>
          <w:snapToGrid w:val="0"/>
          <w:sz w:val="36"/>
          <w:szCs w:val="36"/>
        </w:rPr>
        <w:br w:type="page"/>
      </w:r>
      <w:r>
        <w:rPr>
          <w:rFonts w:hint="eastAsia" w:ascii="黑体" w:hAnsi="黑体" w:eastAsia="黑体"/>
          <w:snapToGrid w:val="0"/>
          <w:sz w:val="30"/>
          <w:szCs w:val="30"/>
        </w:rPr>
        <w:t>四、主要环境影响和保护措施</w:t>
      </w:r>
    </w:p>
    <w:tbl>
      <w:tblPr>
        <w:tblStyle w:val="14"/>
        <w:tblW w:w="89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1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9" w:hRule="atLeast"/>
        </w:trPr>
        <w:tc>
          <w:tcPr>
            <w:tcW w:w="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运营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期环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境影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响和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保护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措施</w:t>
            </w:r>
          </w:p>
        </w:tc>
        <w:tc>
          <w:tcPr>
            <w:tcW w:w="8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1.运营期大气环境影响和保护措施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1.1 产排污环节及废气源强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（1）产排污环节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本项目废气产污环节为污水处理站恶臭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煎药废气。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（2）源强核算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恶臭是多种物质的混合物，其中最主要的是 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S、NH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由于恶臭的逸出和扩散机理复杂，国内外有关研究资料中尚未见到系统性的报道，而且不同的处理工艺，其臭气源的排放情况也不尽相同。恶臭气体的溢出量受污水水质、水量、构筑物水体面积、污水中溶解氧及气温、风速、日照、湿度等诸多因素的影响，故恶臭污染源强的确定比较困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污水处理站为地埋式，采用密闭加盖，定期喷洒除臭剂，加强绿化，能有效控制臭气的逸散。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2）煎药废气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煎药房为就诊病人提供代煎服务，中药煎药过程会产生气体，该气味为无毒无害物质。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煎药房内设置排风设施，保证院内空气卫生环境良好。</w:t>
            </w:r>
          </w:p>
          <w:p>
            <w:pPr>
              <w:pStyle w:val="42"/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bookmarkStart w:id="7" w:name="OLE_LINK271"/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2以新带老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环保措施</w:t>
            </w:r>
          </w:p>
          <w:bookmarkEnd w:id="7"/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/>
              </w:rPr>
              <w:t>①</w:t>
            </w:r>
            <w:bookmarkStart w:id="8" w:name="OLE_LINK26"/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污水处理站为地埋式，采用密闭加盖，定期喷洒除臭剂</w:t>
            </w:r>
            <w:bookmarkEnd w:id="8"/>
            <w:r>
              <w:rPr>
                <w:rFonts w:hint="default" w:ascii="Times New Roman" w:hAnsi="Times New Roman" w:cs="Times New Roman"/>
                <w:sz w:val="24"/>
                <w:szCs w:val="32"/>
                <w:lang w:val="en-US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eastAsia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/>
              </w:rPr>
              <w:t>②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加强绿化；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rPr>
                <w:rFonts w:hint="eastAsia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③煎药室内设置排风设施引至室外排放。</w:t>
            </w:r>
          </w:p>
          <w:p>
            <w:pPr>
              <w:pStyle w:val="45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采取以上措施后，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本项目废气可得到有效处理处置，不会对周围环境空气质量产生明显影响。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废气达标排放分析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为乡镇卫生院建设项目，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采取的治理措施是《排污许可证申请与核发技术规范 医疗机构》（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HJ 1105-2020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）附录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中可行技术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该规范中“表 A.1 推荐的医疗机构排污单位废气污染防治可行技术参考表”见表 4-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45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表 4-3 医疗机构排污单位废气污染防治可行技术参考表</w:t>
            </w:r>
          </w:p>
          <w:tbl>
            <w:tblPr>
              <w:tblStyle w:val="15"/>
              <w:tblW w:w="79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3056"/>
              <w:gridCol w:w="1207"/>
              <w:gridCol w:w="19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污染物产生设施</w:t>
                  </w:r>
                </w:p>
              </w:tc>
              <w:tc>
                <w:tcPr>
                  <w:tcW w:w="305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污染物种类</w:t>
                  </w:r>
                </w:p>
              </w:tc>
              <w:tc>
                <w:tcPr>
                  <w:tcW w:w="120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排放形式</w:t>
                  </w:r>
                </w:p>
              </w:tc>
              <w:tc>
                <w:tcPr>
                  <w:tcW w:w="198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可行技术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污水处理站</w:t>
                  </w:r>
                </w:p>
              </w:tc>
              <w:tc>
                <w:tcPr>
                  <w:tcW w:w="305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氨、硫化氢、臭气浓度、甲烷、氯气</w:t>
                  </w:r>
                </w:p>
              </w:tc>
              <w:tc>
                <w:tcPr>
                  <w:tcW w:w="120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无组织</w:t>
                  </w:r>
                </w:p>
              </w:tc>
              <w:tc>
                <w:tcPr>
                  <w:tcW w:w="198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产生恶臭区域加罩或加盖，投放除臭剂；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本项目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污水处理站为地埋式，采用密闭加盖，定期喷洒除臭剂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加强绿化，采取以上措施后，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污水处理站周界氨、硫化氢、臭气浓度、甲烷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、氯气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可达到《医疗机构水污染物排放标准》（GB 18466-2005）表 3 限值的要求。综上所述，本项目废气可得到有效处理处置，不会对周围环境空气质量产生明显影响。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非正常工况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非正常排放指非正常工况下的排放，如设备检修、工艺设备运转异常等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非正常工况下的污染物排放，以及污染物排放控制措施达不到应有效率等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情况</w:t>
            </w:r>
            <w:bookmarkStart w:id="13" w:name="_GoBack"/>
            <w:bookmarkEnd w:id="13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下的排放。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本项目运营期设备厂家定期检修废水处理设施阶段打开密闭装置，会导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致废气非正常排放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，持续时间为1～2h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。当发生故障及检修设备时，及时采取喷洒生物除臭剂去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除异味的措施，待环保设备正常运行，对设备进行密封，不会产生污染物的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持续非正常排放。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综上所述，在环保设施停止运行或出现故障时，及时采取喷洒生物除臭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剂去除异味的措施，本项目不存在非正常工况下的排放。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2.运营期水环境影响和保护措施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2.1 产排污环节、废水量及污染源源强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（1）产排污环节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医疗废水、生活污水、保洁废水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及煎药机清洗废水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经院区污水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管网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排入污水处理站。综合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污水处理站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采用“预处理+AO生物处理+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加药消毒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”工艺，达到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《医疗机构水污染物排放标准》（GB18466-2005）中表 2 综合医疗机构和其他医疗机构水污染物排放限值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同时满足《城市污水再生利用 绿地灌溉水质》（GB/T 25499-2010）水质要求后绿化回用。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（2）废水量及污染源源强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根据项目特点，本次评价针对医疗污水中的主要污染物进行分析。污水中各污染物浓度参考《医院污水处理工程技术规范》（HJ2029-2013）中表 1，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本项目医疗污水浓度取值见下表。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-10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pacing w:val="-10"/>
                <w:szCs w:val="21"/>
              </w:rPr>
              <w:t>表 4-</w:t>
            </w:r>
            <w:r>
              <w:rPr>
                <w:rFonts w:hint="eastAsia" w:cs="Times New Roman"/>
                <w:b/>
                <w:bCs w:val="0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0"/>
                <w:szCs w:val="21"/>
              </w:rPr>
              <w:t>医疗污水中污染物产生浓度一览表</w:t>
            </w:r>
          </w:p>
          <w:tbl>
            <w:tblPr>
              <w:tblStyle w:val="15"/>
              <w:tblW w:w="79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5"/>
              <w:gridCol w:w="1120"/>
              <w:gridCol w:w="1048"/>
              <w:gridCol w:w="1085"/>
              <w:gridCol w:w="1048"/>
              <w:gridCol w:w="1373"/>
              <w:gridCol w:w="11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12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类型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CODcr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mg/L</w:t>
                  </w: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BOD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vertAlign w:val="subscript"/>
                      <w:lang w:val="en-US" w:eastAsia="zh-CN" w:bidi="ar"/>
                    </w:rPr>
                    <w:t>5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mg/L</w:t>
                  </w: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8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SS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mg/L</w:t>
                  </w: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0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NH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vertAlign w:val="subscript"/>
                      <w:lang w:val="en-US" w:eastAsia="zh-CN" w:bidi="ar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-N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mg/L</w:t>
                  </w: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37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粪大肠菌群数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MPN/L</w:t>
                  </w: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动植物油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mg/L</w:t>
                  </w:r>
                  <w:r>
                    <w:rPr>
                      <w:rFonts w:hint="eastAsi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医疗污水</w:t>
                  </w:r>
                </w:p>
              </w:tc>
              <w:tc>
                <w:tcPr>
                  <w:tcW w:w="11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0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0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37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1.6×10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vertAlign w:val="superscript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pacing w:val="-10"/>
                      <w:sz w:val="21"/>
                      <w:szCs w:val="21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院区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综合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污水处理站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采用“预处理+AO生物处理+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加药消毒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”工艺，达到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《医疗机构水污染物排放标准》（GB18466-2005）中表 2 综合医疗机构和其他医疗机构水污染物排放限值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同时满足《城市污水再生利用 绿地灌溉水质》（GB/T 25499-2010）水质要求后绿化回用。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经核算，本项目废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水污染物产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污染物排放情况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本项目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水污染物排放执行《医疗机构水污染物排放标准》（GB18466-2005）表 2 排放限值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，同时满足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《城市污水再生利用 绿地灌溉水质》（GB/T 25499-2010）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水质要求，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尾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绿化回用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本项目院区综合污水处理站设计处理能力为 50 m³/d，可完全满足项目日均 6.59 m³/d 的废水产生量，处理容量冗余充足，具备应对水质水量波动的缓冲能力，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本项目废水处理措施合理可行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</w:t>
            </w:r>
            <w:r>
              <w:rPr>
                <w:rFonts w:hint="default"/>
                <w:lang w:val="en-US" w:eastAsia="zh-CN"/>
              </w:rPr>
              <w:t>出水</w:t>
            </w:r>
            <w:r>
              <w:rPr>
                <w:rFonts w:hint="eastAsia"/>
                <w:lang w:val="en-US" w:eastAsia="zh-CN"/>
              </w:rPr>
              <w:t>回用</w:t>
            </w:r>
            <w:r>
              <w:rPr>
                <w:rFonts w:hint="default"/>
                <w:lang w:val="en-US" w:eastAsia="zh-CN"/>
              </w:rPr>
              <w:t>可行性分析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本项目出水水质达到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《医疗机构水污染物排放标准》（GB18466-2005）中表 2 综合医疗机构和其他医疗机构水污染物排放限值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，主要用于项目区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内部绿化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消耗。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left="0" w:leftChars="0"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本项目出水水质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执行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《医疗机构水污染物排放标准》（GB18466-2005）中表 2 综合医疗机构和其他医疗机构水污染物排放限值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同时满足《城市污水再生利用 绿地灌溉水质》（GB/T 25499-2010）绿化灌溉用水要求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，出水用于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项目区内部绿化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可行。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pacing w:val="-10"/>
                <w:sz w:val="24"/>
                <w:szCs w:val="24"/>
                <w:lang w:val="en-US" w:eastAsia="zh-CN"/>
              </w:rPr>
              <w:t xml:space="preserve">3. 运营期噪声环境影响和保护措施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pacing w:val="-10"/>
                <w:sz w:val="24"/>
                <w:szCs w:val="24"/>
                <w:lang w:val="en-US" w:eastAsia="zh-CN"/>
              </w:rPr>
              <w:t xml:space="preserve">3.1 噪声声源 </w:t>
            </w:r>
          </w:p>
          <w:p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-10"/>
                <w:sz w:val="24"/>
                <w:szCs w:val="24"/>
                <w:lang w:val="en-US" w:eastAsia="zh-CN"/>
              </w:rPr>
              <w:t>本项目运营期噪声主要包括空调外机、风机噪声、泵类噪声。这些设备主要位于地下及设备间内部，拟对噪声源采取隔声、减震处置措施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bookmarkStart w:id="9" w:name="OLE_LINK14"/>
            <w:bookmarkStart w:id="10" w:name="OLE_LINK255"/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3.3预测结果与评价</w:t>
            </w:r>
          </w:p>
          <w:bookmarkEnd w:id="9"/>
          <w:p>
            <w:pPr>
              <w:tabs>
                <w:tab w:val="left" w:pos="3345"/>
              </w:tabs>
              <w:bidi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设备噪声在经隔声、降噪及距离衰减后，可做到厂界噪声达标排放 ，运营期厂界噪声预测值满足 《 工业企业厂界环境噪声排放标准 》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GB12348-2008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 类标准要求，厂界四周 50m范围内的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居民区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声环境保护目标处噪声预测值同时满足《声环境质量标准》（GB3096-2008）2 类声功能区限值。</w:t>
            </w:r>
          </w:p>
          <w:bookmarkEnd w:id="10"/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3.4 噪声防治措施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运营期噪声防治措施如下：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a.选用低噪声设备，置于地下或室内，隔声降噪。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b.在设计中合理布局，充分利用建筑物的隔声作用，使生产噪声对周围环境的影响减轻。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c.运输车配备低音喇叭，并做到不鸣或少鸣笛。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d.合理绿化，以达到美化环境和降噪降尘作用。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综上所述，项目通过采取上述减震、隔声等措施处理后，项目产生的噪声对周围声环境影响较小。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噪声达标可行性分析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项目采取优化设备选型、基础减震、封闭隔声、地埋设置等措施后，能有效降低噪声的产生和传播。本项目噪声排放可以满足《工业企业厂界环境噪声排放标准》（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GB12348-2008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类功能区标准限值（昼间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、夜间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）。对周边声环境及保护目标的影响较小。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为避免周围社会生活噪声和交通噪声对本项目声环境质量的影响，院区内车辆限速行驶、禁止鸣笛，可有效减轻外环境对卫生院内部的影响。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运营期固体废物环境影响和保护措施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4.1 固废产污环节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本项目运行期产生的固体废物主要为医疗废物、污水处理站废物、生活垃圾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（1）医疗废物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医疗废物主要来自病人医疗诊断及治疗过程中产生的各类固体废物，含有大量的病原微生物及其他有害物质。医疗废物属于危险废物，根据《国家危险废物名录》（2025年版）医疗废物 HW01 包括感染性废物、损伤性废物、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病理性废物、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化学性废物、药物性废物。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根据《医疗废物分类目录》（202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年版），感染性废物（841-001-01）为携带病原微生物具有引发感染性疾病传播危险的医疗废物；损伤性废物（841-002-01）为能够刺伤或者割伤人体的废弃医用锐器；病理性废物（841-003-01）为诊疗过程中产生的人体废弃物和医学实验动物尸体等；化学性废物（841-004-01）为具有毒性、腐蚀性、易燃性、反应性的废弃化学物品；药物性废物（841-005-01）为过期、淘汰、变质或者被污染的废弃药物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本项目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已建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医疗废物暂存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室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位于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院区东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南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角，医疗废物暂存于医疗废物暂存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，委托有医疗废物处理资质的单位转移处置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，目前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卫生院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医疗垃圾委托吐鲁番市湘展环保技术咨询服务有限公司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定期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进行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清运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处置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污水处理站废物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污水处理站废物主要为栅渣及污泥，根据《医疗机构水污染物排放标准》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（GB18466-2005）4.3 要求，栅渣、污泥属于危险废物，污泥清掏前应进行消毒、对粪大肠菌群及蛔虫卵死亡率的监测。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）生活垃圾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本项目设置垃圾箱对生活垃圾进行收集，再交由环卫部门统一清运处理。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运营期地下水、土壤环境影响和保护措施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5.1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地下水、土壤污染源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本项目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运营期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对地下水、土壤环境可能造成影响的污染源主要为污水处理设施、危险废物贮存场所，对地下水、土壤产生污染的途径主要是渗透污染。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正常工况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期间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不会造成渗漏，不会对地下水及土壤造成影响。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非正常工况期，渗漏污染因素分析如下：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（1）污水处理站池体达不到防渗要求时，污染物下渗影响浅层地下水。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（2）医疗废物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暂存间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地面等防渗措施达不到要求时，污染物下渗污染地下水、土壤。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5.2 地下水及土壤污染防治措施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针对地下水及土壤污染防治，应坚持“源头控制、分区防控”等原则。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源头控制措施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应根据国家现行相关规范加强环境管理，对污水处理工艺设备、污水储存及处理构筑物采取控制措施，防止和降低污染物跑、冒、滴、漏。正常生产过程中应加强巡检工艺设备密闭性及对防渗工程的检查，若发现防渗密封材料老化或损坏，应及时维修更换。将污染物泄漏的环境风险事故降到最低限度。</w:t>
            </w:r>
          </w:p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（2）分区防渗措施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针对可能发生的土壤、地下水污染，本项目污染防治措施采取“分区防渗”的原则，从污染物的入渗、扩散、应急响应全方位进行防控。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表 4-1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厂区防渗要求一览表</w:t>
            </w:r>
          </w:p>
          <w:tbl>
            <w:tblPr>
              <w:tblStyle w:val="15"/>
              <w:tblW w:w="79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3"/>
              <w:gridCol w:w="1308"/>
              <w:gridCol w:w="1906"/>
              <w:gridCol w:w="40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83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防渗等级</w:t>
                  </w: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单元、设施名称</w:t>
                  </w:r>
                </w:p>
              </w:tc>
              <w:tc>
                <w:tcPr>
                  <w:tcW w:w="404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防渗要求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95" w:hRule="atLeast"/>
              </w:trPr>
              <w:tc>
                <w:tcPr>
                  <w:tcW w:w="683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重点防渗区</w:t>
                  </w: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医疗废物暂存</w:t>
                  </w: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室、</w:t>
                  </w: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污水处理站</w:t>
                  </w:r>
                </w:p>
              </w:tc>
              <w:tc>
                <w:tcPr>
                  <w:tcW w:w="4049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防渗层的防渗性能不应低于6.0m厚、渗透系数为1.0×10</w:t>
                  </w: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—</w:t>
                  </w:r>
                  <w:r>
                    <w:rPr>
                      <w:rFonts w:hint="eastAsia"/>
                      <w:sz w:val="21"/>
                      <w:szCs w:val="21"/>
                      <w:vertAlign w:val="superscript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cm/s的黏土层的防渗性能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3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一般防渗区</w:t>
                  </w: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门诊楼、行政楼、住院部</w:t>
                  </w:r>
                </w:p>
              </w:tc>
              <w:tc>
                <w:tcPr>
                  <w:tcW w:w="4049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防渗层的防渗性能不应低于1.5m厚、渗透系数为1.0×10</w:t>
                  </w:r>
                  <w:r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  <w:t>—</w:t>
                  </w:r>
                  <w:r>
                    <w:rPr>
                      <w:rFonts w:hint="eastAsia"/>
                      <w:sz w:val="21"/>
                      <w:szCs w:val="21"/>
                      <w:vertAlign w:val="superscript"/>
                    </w:rPr>
                    <w:t>7</w:t>
                  </w: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cm/s的黏土层的防渗性能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3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30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简单防渗区</w:t>
                  </w: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eastAsia="宋体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厂区道路及其他</w:t>
                  </w:r>
                </w:p>
              </w:tc>
              <w:tc>
                <w:tcPr>
                  <w:tcW w:w="4049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</w:rPr>
                    <w:t>一般地面硬化</w:t>
                  </w:r>
                </w:p>
              </w:tc>
            </w:tr>
          </w:tbl>
          <w:p>
            <w:pPr>
              <w:pStyle w:val="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经采取以上措施，本项目正常情况下不会对地下水、土壤造成污染影响。</w:t>
            </w:r>
          </w:p>
          <w:p>
            <w:pPr>
              <w:pStyle w:val="45"/>
              <w:rPr>
                <w:rFonts w:hint="eastAsia"/>
                <w:sz w:val="24"/>
                <w:szCs w:val="24"/>
              </w:rPr>
            </w:pPr>
          </w:p>
          <w:p>
            <w:pPr>
              <w:pStyle w:val="45"/>
              <w:rPr>
                <w:rFonts w:hint="eastAsia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cs="宋体"/>
          <w:b/>
          <w:kern w:val="0"/>
          <w:sz w:val="28"/>
          <w:szCs w:val="28"/>
        </w:rPr>
        <w:sectPr>
          <w:pgSz w:w="11907" w:h="16840"/>
          <w:pgMar w:top="1701" w:right="1531" w:bottom="2127" w:left="1531" w:header="851" w:footer="851" w:gutter="0"/>
          <w:pgNumType w:fmt="decimal"/>
          <w:cols w:space="720" w:num="1"/>
          <w:docGrid w:linePitch="312" w:charSpace="0"/>
        </w:sectPr>
      </w:pPr>
    </w:p>
    <w:p>
      <w:pPr>
        <w:pStyle w:val="13"/>
        <w:jc w:val="center"/>
        <w:outlineLvl w:val="0"/>
        <w:rPr>
          <w:rFonts w:ascii="黑体" w:hAnsi="黑体" w:eastAsia="黑体"/>
          <w:snapToGrid w:val="0"/>
          <w:sz w:val="30"/>
          <w:szCs w:val="30"/>
        </w:rPr>
      </w:pPr>
      <w:r>
        <w:rPr>
          <w:rFonts w:hint="eastAsia" w:ascii="黑体" w:hAnsi="黑体" w:eastAsia="黑体"/>
          <w:snapToGrid w:val="0"/>
          <w:sz w:val="30"/>
          <w:szCs w:val="30"/>
        </w:rPr>
        <w:t>五、</w:t>
      </w:r>
      <w:bookmarkStart w:id="11" w:name="_Hlk54167917"/>
      <w:r>
        <w:rPr>
          <w:rFonts w:hint="eastAsia" w:ascii="黑体" w:hAnsi="黑体" w:eastAsia="黑体"/>
          <w:snapToGrid w:val="0"/>
          <w:sz w:val="30"/>
          <w:szCs w:val="30"/>
        </w:rPr>
        <w:t>环境保护措施监督检查清单</w:t>
      </w:r>
      <w:bookmarkEnd w:id="11"/>
    </w:p>
    <w:tbl>
      <w:tblPr>
        <w:tblStyle w:val="1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55"/>
        <w:gridCol w:w="1755"/>
        <w:gridCol w:w="1755"/>
        <w:gridCol w:w="17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84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内容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要素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排放口(编号、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/污染源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污染物项目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环境保护措施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执行标准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大气环境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污水处理站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周边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S、臭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气浓度、甲烷、氯气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en-US"/>
              </w:rPr>
              <w:t>污水处理站为地埋式，采用密闭加盖，定期喷洒除臭剂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《医疗机构水污染物排放标准》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GB18466-2005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中表 3“污水处理站周边大气污染物最高允许浓度”标准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煎药废气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中药气味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煎药室内设置排风设施引至室外排放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地表水环境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DW001 污水总排口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pH、COD、SS、粪大肠菌群数、BOD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、石油类、挥发酚、阴离子表面活性剂、总氰化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物、总余氯、氨氮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肠道致病菌（沙门氏菌）、色度、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总汞、动植物油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医疗废水、生活污水、煎药机清洗废水、保洁废水排入污水处理站处置。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综合废水采用“预处理+AO 生物处理+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加药消毒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”工艺进行处置。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2" w:name="OLE_LINK4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《医疗机构水污染物排放标准》</w:t>
            </w:r>
          </w:p>
          <w:p>
            <w:pPr>
              <w:adjustRightInd w:val="0"/>
              <w:snapToGrid w:val="0"/>
              <w:jc w:val="center"/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GB18466-2005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bookmarkEnd w:id="12"/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表 2 排放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限值、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《城市污水再生利用 绿地灌溉水质》（GB/T 25499-2010）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声环境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设备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设备噪声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基础减震，封闭隔声等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《工业企业厂界环境噪声排放标准》（GB12348-2008）2 类功能区标准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电磁辐射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固体废物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生活垃圾收集至垃圾箱后由环卫部门统一清运处置；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  <w:t>医疗垃圾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  <w:t>暂存于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  <w:t>医疗垃圾暂存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  <w:t>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  <w:t>（1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vertAlign w:val="superscript"/>
                <w:lang w:val="en-US" w:eastAsia="zh-CN" w:bidi="en-US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en-US"/>
              </w:rPr>
              <w:t>），位于院区东侧，医疗废物临时贮存，委托有医疗废物处理资质的单位转移处置；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污水站栅渣及污泥委托有资质单位定期进行清运并处置。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土壤及地下水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污染防治措施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医疗废物暂存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室、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污水处理站采取重点防渗。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门诊楼、行政楼及住院部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采取一般防渗。其他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道路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等区域，采取简单防渗。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生态保护措施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污水处理站周边绿化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环境风险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防范措施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配套相应应急设施及编制风险应急预案。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其他环境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>管理要求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环境体制与机构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目建成后，由建设单位主管环保工作，院长直接负责项目的环保工作。应成立专门环境管理办公室负责环境档案的建立和环境制度的落实。环境监测由具备环境监测资质的单位进行监测，监控污染物排放及环保设施的运转状况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管理职责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（1）贯彻执行国家、省级、地方各项环保政策、法规、标准，根据本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sz w:val="24"/>
                <w:szCs w:val="24"/>
              </w:rPr>
              <w:t>实际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sz w:val="24"/>
                <w:szCs w:val="24"/>
              </w:rPr>
              <w:t>，编制环境保护规划和实施细则，并组织实施，监督执行。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（2）组织和管理本项目的污染治理工作，负责环保治理设施的运行及管理工作，建立污染物浓度和排放总量双项控制制度，并彻底做到各项污染物达标排放。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（3）定期进行本项目环境管理人员的环保知识和技术培训工作。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（4）通过技术培训，不断提高治理设施的处理水平和可操作性。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（5）做好常规环境统计工作，掌握各项治理设施的运行状况。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（6）科学组织项目运营。通过及时全面了解运营情况，加强环境保护工作调度，做好突发事故时防止污染的应急措施，使生产过程的污染物排放达到最低限度。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（7）加强物资管理。加强物资管理实行无害保管、无害运输、限额发放、控制消耗定额、保证原材料质量也会对减少排污量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起到</w:t>
            </w:r>
            <w:r>
              <w:rPr>
                <w:rFonts w:hint="eastAsia" w:ascii="宋体" w:hAnsi="宋体" w:cs="宋体"/>
                <w:sz w:val="24"/>
                <w:szCs w:val="24"/>
              </w:rPr>
              <w:t>一定作用。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（8）设备管理。合理使用设备，加强对设备的维护和修理，改造设备的结构，杜绝设备和管道的跑、冒、漏现象，防止有害物质的泄漏。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（9）废弃物管理。针对项目营运期产生的固体废物和生活垃圾，应集中收集及时处理，严禁长时间在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sz w:val="24"/>
                <w:szCs w:val="24"/>
              </w:rPr>
              <w:t>区堆存污染环境。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排污口规范化管理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（1）排污口标识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项目应完成废气排放源、噪声排放源的规范化建设，其投资纳入项目总投资中，同时各项污染源排放口应设置专项图标，执行《环境保护图形标志-排放口（源）》（GB15562-1995），详见下表。</w:t>
            </w:r>
          </w:p>
          <w:p>
            <w:pPr>
              <w:shd w:val="clear"/>
              <w:adjustRightInd w:val="0"/>
              <w:snapToGrid w:val="0"/>
              <w:spacing w:line="240" w:lineRule="auto"/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表 5-1 环境保护图形标志设置图形表</w:t>
            </w:r>
          </w:p>
          <w:tbl>
            <w:tblPr>
              <w:tblStyle w:val="15"/>
              <w:tblW w:w="6806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9"/>
              <w:gridCol w:w="1845"/>
              <w:gridCol w:w="2005"/>
              <w:gridCol w:w="1056"/>
              <w:gridCol w:w="15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</w:tblPrEx>
              <w:tc>
                <w:tcPr>
                  <w:tcW w:w="3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提示图形符号</w:t>
                  </w:r>
                </w:p>
              </w:tc>
              <w:tc>
                <w:tcPr>
                  <w:tcW w:w="2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警告图形符号</w:t>
                  </w:r>
                </w:p>
              </w:tc>
              <w:tc>
                <w:tcPr>
                  <w:tcW w:w="1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名称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功能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drawing>
                      <wp:inline distT="0" distB="0" distL="114300" distR="114300">
                        <wp:extent cx="1054735" cy="1236345"/>
                        <wp:effectExtent l="0" t="0" r="12065" b="1905"/>
                        <wp:docPr id="6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 l="15079" t="2302" r="15794" b="19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735" cy="1236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drawing>
                      <wp:inline distT="0" distB="0" distL="114300" distR="114300">
                        <wp:extent cx="1172210" cy="1238250"/>
                        <wp:effectExtent l="0" t="0" r="8890" b="0"/>
                        <wp:docPr id="6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221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污水排放口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表示污水向水体排放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drawing>
                      <wp:inline distT="0" distB="0" distL="114300" distR="114300">
                        <wp:extent cx="1029970" cy="1241425"/>
                        <wp:effectExtent l="0" t="0" r="17780" b="15875"/>
                        <wp:docPr id="6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9970" cy="1241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drawing>
                      <wp:inline distT="0" distB="0" distL="114300" distR="114300">
                        <wp:extent cx="1167130" cy="1325245"/>
                        <wp:effectExtent l="0" t="0" r="13970" b="8255"/>
                        <wp:docPr id="6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7130" cy="1325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废气排放口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表示废气向大气环境排放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drawing>
                      <wp:inline distT="0" distB="0" distL="114300" distR="114300">
                        <wp:extent cx="1032510" cy="1312545"/>
                        <wp:effectExtent l="0" t="0" r="15240" b="1905"/>
                        <wp:docPr id="72" name="图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图片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2510" cy="1312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drawing>
                      <wp:inline distT="0" distB="0" distL="114300" distR="114300">
                        <wp:extent cx="1179195" cy="1304925"/>
                        <wp:effectExtent l="0" t="0" r="1905" b="9525"/>
                        <wp:docPr id="69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噪声排放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源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表示噪声向外环境排放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drawing>
                      <wp:inline distT="0" distB="0" distL="114300" distR="114300">
                        <wp:extent cx="1033145" cy="1276350"/>
                        <wp:effectExtent l="0" t="0" r="14605" b="0"/>
                        <wp:docPr id="73" name="图片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图片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145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drawing>
                      <wp:inline distT="0" distB="0" distL="114300" distR="114300">
                        <wp:extent cx="1174750" cy="1294765"/>
                        <wp:effectExtent l="0" t="0" r="6350" b="635"/>
                        <wp:docPr id="70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4750" cy="1294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一般固体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废物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表示一般固废贮存、处置场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highlight w:val="none"/>
                    </w:rPr>
                    <w:drawing>
                      <wp:inline distT="0" distB="0" distL="114300" distR="114300">
                        <wp:extent cx="1139190" cy="1017270"/>
                        <wp:effectExtent l="0" t="0" r="3810" b="11430"/>
                        <wp:docPr id="107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9190" cy="1017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危险废物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表示危险废物贮存、处置场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8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highlight w:val="none"/>
                    </w:rPr>
                  </w:pPr>
                  <w:r>
                    <w:drawing>
                      <wp:inline distT="0" distB="0" distL="114300" distR="114300">
                        <wp:extent cx="1115060" cy="1027430"/>
                        <wp:effectExtent l="0" t="0" r="0" b="1270"/>
                        <wp:docPr id="20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clrChange>
                                    <a:clrFrom>
                                      <a:srgbClr val="FFFFFF">
                                        <a:alpha val="100000"/>
                                      </a:srgbClr>
                                    </a:clrFrom>
                                    <a:clrTo>
                                      <a:srgbClr val="FFFFFF">
                                        <a:alpha val="100000"/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5060" cy="1027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医疗废物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</w:rPr>
                    <w:t>医疗废物贮存、处置场</w:t>
                  </w:r>
                </w:p>
              </w:tc>
            </w:tr>
          </w:tbl>
          <w:p>
            <w:pPr>
              <w:pStyle w:val="45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求各排污口（源）提示标志形状采用正方形边框，背景颜色采用绿色，图形颜色采用白色，警告标志采用三角形边框，背景颜色采用黄色，图形颜色采用黑色，标志牌应设在与功能相应的醒目处，并保持清晰、完整。</w:t>
            </w:r>
          </w:p>
          <w:p>
            <w:pPr>
              <w:pStyle w:val="45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（2）排污口管理</w:t>
            </w:r>
          </w:p>
          <w:p>
            <w:pPr>
              <w:pStyle w:val="45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单位应在排污口设置标志牌，标志牌应注明污染物名称以警示周围群众，建设单位如实填写《中华人民共和国规范化排污口登记证》的有关内容。建设单位应把有关排污情况及污染防治措施的运行情况建档管理，并报送生态环境主管部门备案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本项目已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于2023年12月6日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办理排污许可登记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，排污许可登记回执见附件。</w:t>
            </w:r>
          </w:p>
          <w:p>
            <w:pPr>
              <w:pStyle w:val="8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8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13"/>
        <w:jc w:val="center"/>
        <w:outlineLvl w:val="0"/>
        <w:rPr>
          <w:rFonts w:ascii="黑体" w:hAnsi="黑体" w:eastAsia="黑体"/>
          <w:snapToGrid w:val="0"/>
          <w:sz w:val="30"/>
          <w:szCs w:val="30"/>
        </w:rPr>
      </w:pPr>
      <w:r>
        <w:rPr>
          <w:snapToGrid w:val="0"/>
        </w:rPr>
        <w:br w:type="page"/>
      </w:r>
      <w:r>
        <w:rPr>
          <w:rFonts w:hint="eastAsia" w:ascii="黑体" w:hAnsi="黑体" w:eastAsia="黑体"/>
          <w:snapToGrid w:val="0"/>
          <w:sz w:val="30"/>
          <w:szCs w:val="30"/>
        </w:rPr>
        <w:t>六、结论</w:t>
      </w:r>
    </w:p>
    <w:tbl>
      <w:tblPr>
        <w:tblStyle w:val="1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1991" w:hRule="atLeast"/>
          <w:jc w:val="center"/>
        </w:trPr>
        <w:tc>
          <w:tcPr>
            <w:tcW w:w="8865" w:type="dxa"/>
            <w:noWrap w:val="0"/>
            <w:vAlign w:val="top"/>
          </w:tcPr>
          <w:p>
            <w:pPr>
              <w:spacing w:line="360" w:lineRule="auto"/>
              <w:ind w:firstLine="480" w:firstLineChars="200"/>
              <w:jc w:val="both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鄯善县达浪坎乡卫生院建设项目符合国家产业政策，项目选址符合相关规划要求，采用的工艺技术成熟可行，通过采取有效的环保措施可实现达标排放，对周边环境的影响也能控制在可接受程度。因此，建设单位在严格执行环保“三同时”制度，严格落实本报告提出的各项环保措施后，项目建设对环境的影响是可接受的。因此，从环保的角度分析，本项目的建设可行。</w:t>
            </w:r>
          </w:p>
        </w:tc>
      </w:tr>
    </w:tbl>
    <w:p>
      <w:pPr>
        <w:rPr>
          <w:rFonts w:ascii="宋体"/>
        </w:rPr>
        <w:sectPr>
          <w:pgSz w:w="11906" w:h="16838"/>
          <w:pgMar w:top="1701" w:right="1531" w:bottom="1701" w:left="1531" w:header="851" w:footer="851" w:gutter="0"/>
          <w:pgNumType w:fmt="decimal"/>
          <w:cols w:space="720" w:num="1"/>
          <w:docGrid w:linePitch="312" w:charSpace="0"/>
        </w:sectPr>
      </w:pPr>
    </w:p>
    <w:p/>
    <w:sectPr>
      <w:footerReference r:id="rId6" w:type="default"/>
      <w:pgSz w:w="11906" w:h="16838"/>
      <w:pgMar w:top="1701" w:right="1531" w:bottom="1701" w:left="1531" w:header="851" w:footer="85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EA3926-35F5-456A-959E-298AE8EDCA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1FE3A3-9953-4851-93FD-579515988A99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7F8BD77-0BB4-4404-8AFA-7720A8B6A3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51BB0"/>
    <w:multiLevelType w:val="singleLevel"/>
    <w:tmpl w:val="8E751BB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FD684CCF"/>
    <w:multiLevelType w:val="singleLevel"/>
    <w:tmpl w:val="FD684CC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YjVkYTMzZGFkYWUxOGYwOWY0NDM1ZDMwZTgzMTcifQ=="/>
  </w:docVars>
  <w:rsids>
    <w:rsidRoot w:val="39F0634F"/>
    <w:rsid w:val="0AE0030A"/>
    <w:rsid w:val="1D6152DA"/>
    <w:rsid w:val="1FD16A98"/>
    <w:rsid w:val="2176135F"/>
    <w:rsid w:val="3371058D"/>
    <w:rsid w:val="39F0634F"/>
    <w:rsid w:val="46D83FB0"/>
    <w:rsid w:val="525E7A5F"/>
    <w:rsid w:val="5D437F7D"/>
    <w:rsid w:val="5DFE38DC"/>
    <w:rsid w:val="5FE64BF0"/>
    <w:rsid w:val="68F32BC0"/>
    <w:rsid w:val="71327C95"/>
    <w:rsid w:val="72AF3B4F"/>
    <w:rsid w:val="760065B4"/>
    <w:rsid w:val="76650B0D"/>
    <w:rsid w:val="774A537A"/>
    <w:rsid w:val="779810DC"/>
    <w:rsid w:val="78852DA0"/>
    <w:rsid w:val="7C896BD7"/>
    <w:rsid w:val="7FF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0"/>
    <w:pPr>
      <w:keepNext/>
      <w:jc w:val="left"/>
      <w:outlineLvl w:val="0"/>
    </w:pPr>
    <w:rPr>
      <w:rFonts w:ascii="Times New Roman" w:hAnsi="Times New Roman" w:eastAsia="宋体"/>
      <w:b/>
      <w:bCs/>
      <w:sz w:val="44"/>
      <w:szCs w:val="20"/>
    </w:rPr>
  </w:style>
  <w:style w:type="paragraph" w:styleId="6">
    <w:name w:val="heading 2"/>
    <w:basedOn w:val="1"/>
    <w:next w:val="7"/>
    <w:link w:val="19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bCs/>
      <w:sz w:val="32"/>
      <w:szCs w:val="32"/>
    </w:rPr>
  </w:style>
  <w:style w:type="paragraph" w:styleId="8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Times New Roman" w:hAnsi="Times New Roman" w:eastAsia="宋体"/>
      <w:b/>
      <w:bCs/>
      <w:sz w:val="28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993"/>
        <w:tab w:val="left" w:pos="8497"/>
      </w:tabs>
      <w:spacing w:line="360" w:lineRule="auto"/>
      <w:outlineLvl w:val="3"/>
    </w:p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9">
    <w:name w:val="caption"/>
    <w:basedOn w:val="1"/>
    <w:next w:val="1"/>
    <w:qFormat/>
    <w:uiPriority w:val="0"/>
    <w:pPr>
      <w:spacing w:before="50" w:beforeLines="50" w:afterLines="0"/>
      <w:ind w:firstLine="0" w:firstLineChars="0"/>
      <w:jc w:val="center"/>
    </w:pPr>
    <w:rPr>
      <w:rFonts w:ascii="黑体" w:hAnsi="黑体" w:eastAsia="宋体"/>
      <w:b/>
      <w:kern w:val="0"/>
      <w:sz w:val="21"/>
      <w:szCs w:val="20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12">
    <w:name w:val="List"/>
    <w:basedOn w:val="1"/>
    <w:next w:val="1"/>
    <w:qFormat/>
    <w:uiPriority w:val="0"/>
    <w:pPr>
      <w:ind w:left="200" w:hanging="200" w:hangingChars="20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customStyle="1" w:styleId="18">
    <w:name w:val="标题 1 Char1"/>
    <w:link w:val="5"/>
    <w:qFormat/>
    <w:uiPriority w:val="0"/>
    <w:rPr>
      <w:rFonts w:ascii="Times New Roman" w:hAnsi="Times New Roman" w:eastAsia="宋体"/>
      <w:b/>
      <w:bCs/>
      <w:kern w:val="2"/>
      <w:sz w:val="44"/>
      <w:lang w:val="en-US" w:eastAsia="zh-CN" w:bidi="ar-SA"/>
    </w:rPr>
  </w:style>
  <w:style w:type="character" w:customStyle="1" w:styleId="19">
    <w:name w:val="标题 2 Char1"/>
    <w:link w:val="6"/>
    <w:qFormat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标题 3 Char1"/>
    <w:link w:val="8"/>
    <w:qFormat/>
    <w:uiPriority w:val="0"/>
    <w:rPr>
      <w:rFonts w:ascii="Times New Roman" w:hAnsi="Times New Roman" w:eastAsia="宋体"/>
      <w:b/>
      <w:bCs/>
      <w:kern w:val="2"/>
      <w:sz w:val="28"/>
      <w:szCs w:val="32"/>
      <w:lang w:val="en-US" w:eastAsia="zh-CN" w:bidi="ar-SA"/>
    </w:rPr>
  </w:style>
  <w:style w:type="paragraph" w:customStyle="1" w:styleId="21">
    <w:name w:val="表内字"/>
    <w:basedOn w:val="1"/>
    <w:qFormat/>
    <w:uiPriority w:val="0"/>
    <w:pPr>
      <w:spacing w:line="320" w:lineRule="exact"/>
      <w:jc w:val="center"/>
    </w:pPr>
    <w:rPr>
      <w:kern w:val="0"/>
    </w:rPr>
  </w:style>
  <w:style w:type="paragraph" w:customStyle="1" w:styleId="22">
    <w:name w:val="表+五号"/>
    <w:basedOn w:val="1"/>
    <w:qFormat/>
    <w:uiPriority w:val="0"/>
    <w:rPr>
      <w:szCs w:val="28"/>
    </w:rPr>
  </w:style>
  <w:style w:type="paragraph" w:customStyle="1" w:styleId="23">
    <w:name w:val="样式 正文缩进 + 宋体 行距: 固定值 22 磅"/>
    <w:basedOn w:val="7"/>
    <w:qFormat/>
    <w:uiPriority w:val="0"/>
    <w:pPr>
      <w:ind w:firstLine="0" w:firstLineChars="0"/>
    </w:pPr>
    <w:rPr>
      <w:rFonts w:ascii="Arial Unicode MS" w:hAnsi="Arial Unicode MS" w:cs="宋体"/>
      <w:szCs w:val="20"/>
    </w:rPr>
  </w:style>
  <w:style w:type="character" w:customStyle="1" w:styleId="24">
    <w:name w:val="font11"/>
    <w:basedOn w:val="16"/>
    <w:qFormat/>
    <w:uiPriority w:val="0"/>
    <w:rPr>
      <w:rFonts w:ascii="宋体" w:hAnsi="宋体" w:eastAsia="宋体" w:cs="宋体"/>
      <w:color w:val="808070"/>
      <w:sz w:val="14"/>
      <w:szCs w:val="14"/>
      <w:u w:val="none"/>
    </w:rPr>
  </w:style>
  <w:style w:type="character" w:customStyle="1" w:styleId="25">
    <w:name w:val="font21"/>
    <w:basedOn w:val="16"/>
    <w:qFormat/>
    <w:uiPriority w:val="0"/>
    <w:rPr>
      <w:rFonts w:ascii="宋体" w:hAnsi="宋体" w:eastAsia="宋体" w:cs="宋体"/>
      <w:color w:val="909070"/>
      <w:sz w:val="14"/>
      <w:szCs w:val="14"/>
      <w:u w:val="none"/>
    </w:rPr>
  </w:style>
  <w:style w:type="character" w:customStyle="1" w:styleId="26">
    <w:name w:val="font31"/>
    <w:basedOn w:val="16"/>
    <w:qFormat/>
    <w:uiPriority w:val="0"/>
    <w:rPr>
      <w:rFonts w:ascii="宋体" w:hAnsi="宋体" w:eastAsia="宋体" w:cs="宋体"/>
      <w:color w:val="908070"/>
      <w:sz w:val="14"/>
      <w:szCs w:val="14"/>
      <w:u w:val="none"/>
    </w:rPr>
  </w:style>
  <w:style w:type="character" w:customStyle="1" w:styleId="27">
    <w:name w:val="font41"/>
    <w:basedOn w:val="16"/>
    <w:qFormat/>
    <w:uiPriority w:val="0"/>
    <w:rPr>
      <w:rFonts w:ascii="宋体" w:hAnsi="宋体" w:eastAsia="宋体" w:cs="宋体"/>
      <w:color w:val="708080"/>
      <w:sz w:val="14"/>
      <w:szCs w:val="14"/>
      <w:u w:val="none"/>
    </w:rPr>
  </w:style>
  <w:style w:type="character" w:customStyle="1" w:styleId="28">
    <w:name w:val="font71"/>
    <w:basedOn w:val="16"/>
    <w:qFormat/>
    <w:uiPriority w:val="0"/>
    <w:rPr>
      <w:rFonts w:ascii="宋体" w:hAnsi="宋体" w:eastAsia="宋体" w:cs="宋体"/>
      <w:color w:val="505050"/>
      <w:sz w:val="14"/>
      <w:szCs w:val="14"/>
      <w:u w:val="none"/>
    </w:rPr>
  </w:style>
  <w:style w:type="character" w:customStyle="1" w:styleId="29">
    <w:name w:val="font51"/>
    <w:basedOn w:val="16"/>
    <w:qFormat/>
    <w:uiPriority w:val="0"/>
    <w:rPr>
      <w:rFonts w:ascii="宋体" w:hAnsi="宋体" w:eastAsia="宋体" w:cs="宋体"/>
      <w:color w:val="504060"/>
      <w:sz w:val="14"/>
      <w:szCs w:val="14"/>
      <w:u w:val="none"/>
    </w:rPr>
  </w:style>
  <w:style w:type="character" w:customStyle="1" w:styleId="30">
    <w:name w:val="font221"/>
    <w:basedOn w:val="16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1">
    <w:name w:val="font181"/>
    <w:basedOn w:val="16"/>
    <w:qFormat/>
    <w:uiPriority w:val="0"/>
    <w:rPr>
      <w:rFonts w:ascii="宋体" w:hAnsi="宋体" w:eastAsia="宋体" w:cs="宋体"/>
      <w:color w:val="504050"/>
      <w:sz w:val="14"/>
      <w:szCs w:val="14"/>
      <w:u w:val="none"/>
    </w:rPr>
  </w:style>
  <w:style w:type="character" w:customStyle="1" w:styleId="32">
    <w:name w:val="font91"/>
    <w:basedOn w:val="16"/>
    <w:qFormat/>
    <w:uiPriority w:val="0"/>
    <w:rPr>
      <w:rFonts w:ascii="宋体" w:hAnsi="宋体" w:eastAsia="宋体" w:cs="宋体"/>
      <w:color w:val="504040"/>
      <w:sz w:val="14"/>
      <w:szCs w:val="14"/>
      <w:u w:val="none"/>
    </w:rPr>
  </w:style>
  <w:style w:type="character" w:customStyle="1" w:styleId="33">
    <w:name w:val="font231"/>
    <w:basedOn w:val="16"/>
    <w:qFormat/>
    <w:uiPriority w:val="0"/>
    <w:rPr>
      <w:rFonts w:ascii="宋体" w:hAnsi="宋体" w:eastAsia="宋体" w:cs="宋体"/>
      <w:color w:val="304050"/>
      <w:sz w:val="14"/>
      <w:szCs w:val="14"/>
      <w:u w:val="none"/>
    </w:rPr>
  </w:style>
  <w:style w:type="character" w:customStyle="1" w:styleId="34">
    <w:name w:val="font101"/>
    <w:basedOn w:val="16"/>
    <w:qFormat/>
    <w:uiPriority w:val="0"/>
    <w:rPr>
      <w:rFonts w:hint="default" w:ascii="Calibri" w:hAnsi="Calibri" w:cs="Calibri"/>
      <w:color w:val="304050"/>
      <w:sz w:val="14"/>
      <w:szCs w:val="14"/>
      <w:u w:val="none"/>
    </w:rPr>
  </w:style>
  <w:style w:type="character" w:customStyle="1" w:styleId="35">
    <w:name w:val="font121"/>
    <w:basedOn w:val="16"/>
    <w:qFormat/>
    <w:uiPriority w:val="0"/>
    <w:rPr>
      <w:rFonts w:ascii="宋体" w:hAnsi="宋体" w:eastAsia="宋体" w:cs="宋体"/>
      <w:color w:val="404050"/>
      <w:sz w:val="14"/>
      <w:szCs w:val="14"/>
      <w:u w:val="none"/>
    </w:rPr>
  </w:style>
  <w:style w:type="character" w:customStyle="1" w:styleId="36">
    <w:name w:val="font141"/>
    <w:basedOn w:val="16"/>
    <w:qFormat/>
    <w:uiPriority w:val="0"/>
    <w:rPr>
      <w:rFonts w:ascii="宋体" w:hAnsi="宋体" w:eastAsia="宋体" w:cs="宋体"/>
      <w:color w:val="404040"/>
      <w:sz w:val="14"/>
      <w:szCs w:val="14"/>
      <w:u w:val="none"/>
    </w:rPr>
  </w:style>
  <w:style w:type="character" w:customStyle="1" w:styleId="37">
    <w:name w:val="font151"/>
    <w:basedOn w:val="16"/>
    <w:qFormat/>
    <w:uiPriority w:val="0"/>
    <w:rPr>
      <w:rFonts w:ascii="宋体" w:hAnsi="宋体" w:eastAsia="宋体" w:cs="宋体"/>
      <w:color w:val="605050"/>
      <w:sz w:val="14"/>
      <w:szCs w:val="14"/>
      <w:u w:val="none"/>
    </w:rPr>
  </w:style>
  <w:style w:type="character" w:customStyle="1" w:styleId="38">
    <w:name w:val="font112"/>
    <w:basedOn w:val="16"/>
    <w:qFormat/>
    <w:uiPriority w:val="0"/>
    <w:rPr>
      <w:rFonts w:ascii="宋体" w:hAnsi="宋体" w:eastAsia="宋体" w:cs="宋体"/>
      <w:color w:val="505080"/>
      <w:sz w:val="14"/>
      <w:szCs w:val="14"/>
      <w:u w:val="none"/>
    </w:rPr>
  </w:style>
  <w:style w:type="character" w:customStyle="1" w:styleId="39">
    <w:name w:val="font171"/>
    <w:basedOn w:val="16"/>
    <w:qFormat/>
    <w:uiPriority w:val="0"/>
    <w:rPr>
      <w:rFonts w:ascii="宋体" w:hAnsi="宋体" w:eastAsia="宋体" w:cs="宋体"/>
      <w:color w:val="606050"/>
      <w:sz w:val="14"/>
      <w:szCs w:val="14"/>
      <w:u w:val="none"/>
    </w:rPr>
  </w:style>
  <w:style w:type="character" w:customStyle="1" w:styleId="40">
    <w:name w:val="font201"/>
    <w:basedOn w:val="16"/>
    <w:qFormat/>
    <w:uiPriority w:val="0"/>
    <w:rPr>
      <w:rFonts w:ascii="宋体" w:hAnsi="宋体" w:eastAsia="宋体" w:cs="宋体"/>
      <w:color w:val="505040"/>
      <w:sz w:val="14"/>
      <w:szCs w:val="14"/>
      <w:u w:val="none"/>
    </w:rPr>
  </w:style>
  <w:style w:type="character" w:customStyle="1" w:styleId="41">
    <w:name w:val="font191"/>
    <w:basedOn w:val="16"/>
    <w:qFormat/>
    <w:uiPriority w:val="0"/>
    <w:rPr>
      <w:rFonts w:ascii="宋体" w:hAnsi="宋体" w:eastAsia="宋体" w:cs="宋体"/>
      <w:color w:val="405060"/>
      <w:sz w:val="14"/>
      <w:szCs w:val="14"/>
      <w:u w:val="none"/>
    </w:rPr>
  </w:style>
  <w:style w:type="paragraph" w:customStyle="1" w:styleId="42">
    <w:name w:val="报告表正文"/>
    <w:basedOn w:val="43"/>
    <w:qFormat/>
    <w:uiPriority w:val="0"/>
    <w:pPr>
      <w:adjustRightInd w:val="0"/>
      <w:ind w:left="113" w:right="113" w:firstLine="482"/>
      <w:jc w:val="left"/>
      <w:textAlignment w:val="baseline"/>
    </w:pPr>
    <w:rPr>
      <w:kern w:val="0"/>
      <w:szCs w:val="21"/>
    </w:rPr>
  </w:style>
  <w:style w:type="paragraph" w:customStyle="1" w:styleId="43">
    <w:name w:val="报告正文"/>
    <w:basedOn w:val="44"/>
    <w:qFormat/>
    <w:uiPriority w:val="0"/>
    <w:pPr>
      <w:widowControl w:val="0"/>
      <w:snapToGrid w:val="0"/>
      <w:spacing w:line="360" w:lineRule="auto"/>
      <w:ind w:firstLine="200" w:firstLineChars="200"/>
    </w:pPr>
    <w:rPr>
      <w:rFonts w:ascii="Times New Roman" w:hAnsi="Times New Roman" w:cs="Times New Roman"/>
      <w:snapToGrid w:val="0"/>
      <w:sz w:val="24"/>
      <w:szCs w:val="28"/>
    </w:rPr>
  </w:style>
  <w:style w:type="paragraph" w:customStyle="1" w:styleId="44">
    <w:name w:val="p17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45">
    <w:name w:val="Default"/>
    <w:basedOn w:val="46"/>
    <w:next w:val="12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color w:val="000000"/>
      <w:sz w:val="24"/>
      <w:szCs w:val="24"/>
      <w:lang w:val="en-US" w:eastAsia="zh-CN" w:bidi="ar-SA"/>
    </w:rPr>
  </w:style>
  <w:style w:type="paragraph" w:customStyle="1" w:styleId="46">
    <w:name w:val="纯文本1"/>
    <w:basedOn w:val="1"/>
    <w:qFormat/>
    <w:uiPriority w:val="0"/>
    <w:rPr>
      <w:rFonts w:ascii="宋体" w:hAnsi="Courier New"/>
    </w:rPr>
  </w:style>
  <w:style w:type="paragraph" w:customStyle="1" w:styleId="47">
    <w:name w:val="表格正文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4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49">
    <w:name w:val="font61"/>
    <w:basedOn w:val="1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50">
    <w:name w:val="font81"/>
    <w:basedOn w:val="16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paragraph" w:customStyle="1" w:styleId="51">
    <w:name w:val="表格式"/>
    <w:basedOn w:val="12"/>
    <w:qFormat/>
    <w:uiPriority w:val="0"/>
    <w:pPr>
      <w:spacing w:line="240" w:lineRule="atLeast"/>
      <w:ind w:left="0" w:firstLine="0" w:firstLineChars="0"/>
    </w:pPr>
    <w:rPr>
      <w:szCs w:val="20"/>
    </w:rPr>
  </w:style>
  <w:style w:type="paragraph" w:customStyle="1" w:styleId="52">
    <w:name w:val="表格"/>
    <w:basedOn w:val="1"/>
    <w:next w:val="1"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d6109ea3-9a9a-4e76-aa2e-3dd240ee4fea</errorID>
      <errorWord>&gt;</errorWord>
      <group>L1_Punc</group>
      <groupName>标点问题</groupName>
      <ability>L2_Punc_CN</ability>
      <abilityName>标点符号问题</abilityName>
      <candidateList/>
      <explain/>
      <paraID>47645010</paraID>
      <start>0</start>
      <end>1</end>
      <status>ignored</status>
      <modifiedWord/>
      <trackRevisions>false</trackRevisions>
    </reviewItem>
    <reviewItem>
      <errorID>9d4083f1-50ab-442f-99d5-40e0e57c0b20</errorID>
      <errorWord>情</errorWord>
      <group>L1_Word</group>
      <groupName>字词问题</groupName>
      <ability>L2_Typo</ability>
      <abilityName>字词错误</abilityName>
      <candidateList>
        <item>情况</item>
      </candidateList>
      <explain>〈名〉❶情形：思想～｜工作～｜～特殊。❷指军事上的变化，泛指事情的变化、动向：这两天前线没有什么～｜他俩的关系最近又有了新的～。</explain>
      <paraID>59D9E5B6</paraID>
      <start>32</start>
      <end>34</end>
      <status>modified</status>
      <modifiedWord>情况</modifiedWord>
      <trackRevisions>false</trackRevisions>
    </reviewItem>
    <reviewItem>
      <errorID>3ce7989b-c449-4ead-93bd-6fc83428f57f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28EAD166</paraID>
      <start>75</start>
      <end>76</end>
      <status>modified</status>
      <modifiedWord>）</modifiedWord>
      <trackRevisions>false</trackRevisions>
    </reviewItem>
    <reviewItem>
      <errorID>c0ff5d63-08fc-4c95-80c2-d6eb5ff62a69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465D4B8E</paraID>
      <start>29</start>
      <end>30</end>
      <status>modified</status>
      <modifiedWord>—</modifiedWord>
      <trackRevisions>false</trackRevisions>
    </reviewItem>
    <reviewItem>
      <errorID>198d2905-0b47-4871-b1fc-ce4924114cb4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48FE989</paraID>
      <start>29</start>
      <end>30</end>
      <status>modified</status>
      <modifiedWord>—</modifiedWord>
      <trackRevisions>false</trackRevisions>
    </reviewItem>
    <reviewItem>
      <errorID>6202d113-f29c-4418-ad8b-d77979ded87d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45EBA2CC</paraID>
      <start>2</start>
      <end>3</end>
      <status>modified</status>
      <modifiedWord>）</modifiedWord>
      <trackRevisions>false</trackRevisions>
    </reviewItem>
    <reviewItem>
      <errorID>7ce3c335-765e-40ad-998b-de08b10a5b5a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759BE1FD</paraID>
      <start>27</start>
      <end>28</end>
      <status>modified</status>
      <modifiedWord>）</modifiedWord>
      <trackRevisions>false</trackRevisions>
    </reviewItem>
    <reviewItem>
      <errorID>756bc6c2-9a12-4156-a5bc-610ad03417db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58A502CA</paraID>
      <start>13</start>
      <end>14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697ca-e786-45cc-93a2-f051451afc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7220</Words>
  <Characters>7858</Characters>
  <Lines>0</Lines>
  <Paragraphs>0</Paragraphs>
  <TotalTime>196</TotalTime>
  <ScaleCrop>false</ScaleCrop>
  <LinksUpToDate>false</LinksUpToDate>
  <CharactersWithSpaces>7976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2026-03-06T04:06:00Z</dcterms:created>
  <dc:creator>不断回炉</dc:creator>
  <cp:lastModifiedBy>Administrator</cp:lastModifiedBy>
  <dcterms:modified xsi:type="dcterms:W3CDTF">2026-06-22T11:02:35Z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B43426A16E2C4F1F99A96FB630326D4A_11</vt:lpwstr>
  </property>
  <property fmtid="{D5CDD505-2E9C-101B-9397-08002B2CF9AE}" pid="4" name="KSOTemplateDocerSaveRecord">
    <vt:lpwstr>eyJoZGlkIjoiMDE5MzY4NTVmNWNkM2FiOTE3MzcxMWViN2E1MTkyMzYiLCJ1c2VySWQiOiI1MDc3ODA1MzIifQ==</vt:lpwstr>
  </property>
</Properties>
</file>